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UNITED STATES SECURITIES AND EXCHANGE COMMISSION</w:t>
      </w:r>
    </w:p>
    <w:p>
      <w:pPr>
        <w:jc w:val="center"/>
        <w:ind w:right="-19"/>
        <w:spacing w:after="0" w:line="234" w:lineRule="auto"/>
        <w:rPr>
          <w:sz w:val="20"/>
          <w:szCs w:val="20"/>
          <w:color w:val="auto"/>
        </w:rPr>
      </w:pPr>
      <w:r>
        <w:rPr>
          <w:rFonts w:ascii="Arial" w:cs="Arial" w:eastAsia="Arial" w:hAnsi="Arial"/>
          <w:sz w:val="18"/>
          <w:szCs w:val="18"/>
          <w:color w:val="auto"/>
        </w:rPr>
        <w:t>Washington, D.C. 20549</w:t>
      </w:r>
    </w:p>
    <w:p>
      <w:pPr>
        <w:jc w:val="center"/>
        <w:ind w:right="-59"/>
        <w:spacing w:after="0" w:line="235" w:lineRule="auto"/>
        <w:rPr>
          <w:sz w:val="20"/>
          <w:szCs w:val="20"/>
          <w:color w:val="auto"/>
        </w:rPr>
      </w:pPr>
      <w:r>
        <w:rPr>
          <w:rFonts w:ascii="Arial" w:cs="Arial" w:eastAsia="Arial" w:hAnsi="Arial"/>
          <w:sz w:val="18"/>
          <w:szCs w:val="18"/>
          <w:b w:val="1"/>
          <w:bCs w:val="1"/>
          <w:color w:val="auto"/>
        </w:rPr>
        <w:t>FORM 10-K</w:t>
      </w:r>
    </w:p>
    <w:p>
      <w:pPr>
        <w:spacing w:after="0" w:line="1" w:lineRule="exact"/>
        <w:rPr>
          <w:sz w:val="24"/>
          <w:szCs w:val="24"/>
          <w:color w:val="auto"/>
        </w:rPr>
      </w:pPr>
    </w:p>
    <w:p>
      <w:pPr>
        <w:ind w:left="4060" w:right="2820" w:hanging="1188"/>
        <w:spacing w:after="0" w:line="231" w:lineRule="auto"/>
        <w:tabs>
          <w:tab w:leader="none" w:pos="3138"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ANNUAL REPORT PURSUANT TO SECTION 13 OR 15(d) OF THE SECURITIES EXCHANGE ACT OF 1934</w:t>
      </w:r>
    </w:p>
    <w:p>
      <w:pPr>
        <w:jc w:val="center"/>
        <w:ind w:right="-19"/>
        <w:spacing w:after="0" w:line="237" w:lineRule="auto"/>
        <w:rPr>
          <w:sz w:val="20"/>
          <w:szCs w:val="20"/>
          <w:color w:val="auto"/>
        </w:rPr>
      </w:pPr>
      <w:r>
        <w:rPr>
          <w:rFonts w:ascii="Arial" w:cs="Arial" w:eastAsia="Arial" w:hAnsi="Arial"/>
          <w:sz w:val="22"/>
          <w:szCs w:val="22"/>
          <w:b w:val="1"/>
          <w:bCs w:val="1"/>
          <w:color w:val="auto"/>
        </w:rPr>
        <w:t>For The Fiscal Year Ended September 29, 2019</w:t>
      </w:r>
    </w:p>
    <w:p>
      <w:pPr>
        <w:jc w:val="center"/>
        <w:ind w:right="-59"/>
        <w:spacing w:after="0" w:line="234" w:lineRule="auto"/>
        <w:rPr>
          <w:sz w:val="20"/>
          <w:szCs w:val="20"/>
          <w:color w:val="auto"/>
        </w:rPr>
      </w:pPr>
      <w:r>
        <w:rPr>
          <w:rFonts w:ascii="Arial" w:cs="Arial" w:eastAsia="Arial" w:hAnsi="Arial"/>
          <w:sz w:val="18"/>
          <w:szCs w:val="18"/>
          <w:color w:val="auto"/>
        </w:rPr>
        <w:t>OR</w:t>
      </w:r>
    </w:p>
    <w:p>
      <w:pPr>
        <w:spacing w:after="0" w:line="1" w:lineRule="exact"/>
        <w:rPr>
          <w:sz w:val="24"/>
          <w:szCs w:val="24"/>
          <w:color w:val="auto"/>
        </w:rPr>
      </w:pPr>
    </w:p>
    <w:p>
      <w:pPr>
        <w:ind w:left="4060" w:right="2660" w:hanging="1383"/>
        <w:spacing w:after="0" w:line="234" w:lineRule="auto"/>
        <w:tabs>
          <w:tab w:leader="none" w:pos="2823"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w:t>
      </w:r>
    </w:p>
    <w:p>
      <w:pPr>
        <w:spacing w:after="0" w:line="1"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18"/>
          <w:szCs w:val="18"/>
          <w:color w:val="auto"/>
        </w:rPr>
        <w:t>Commission File Number 1-6227</w:t>
      </w:r>
    </w:p>
    <w:p>
      <w:pPr>
        <w:jc w:val="center"/>
        <w:ind w:right="-19"/>
        <w:spacing w:after="0"/>
        <w:rPr>
          <w:sz w:val="20"/>
          <w:szCs w:val="20"/>
          <w:color w:val="auto"/>
        </w:rPr>
      </w:pPr>
      <w:r>
        <w:rPr>
          <w:rFonts w:ascii="Arial" w:cs="Arial" w:eastAsia="Arial" w:hAnsi="Arial"/>
          <w:sz w:val="32"/>
          <w:szCs w:val="32"/>
          <w:b w:val="1"/>
          <w:bCs w:val="1"/>
          <w:color w:val="auto"/>
        </w:rPr>
        <w:t>LEE ENTERPRISES, INCORPORATED</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692" w:right="239" w:bottom="1440" w:gutter="0" w:footer="0" w:header="0"/>
        </w:sectPr>
      </w:pPr>
    </w:p>
    <w:p>
      <w:pPr>
        <w:jc w:val="center"/>
        <w:ind w:left="1940"/>
        <w:spacing w:after="0" w:line="229" w:lineRule="auto"/>
        <w:rPr>
          <w:sz w:val="20"/>
          <w:szCs w:val="20"/>
          <w:color w:val="auto"/>
        </w:rPr>
      </w:pPr>
      <w:r>
        <w:rPr>
          <w:rFonts w:ascii="Arial" w:cs="Arial" w:eastAsia="Arial" w:hAnsi="Arial"/>
          <w:sz w:val="18"/>
          <w:szCs w:val="18"/>
          <w:color w:val="auto"/>
        </w:rPr>
        <w:t>Delaware</w:t>
      </w:r>
    </w:p>
    <w:p>
      <w:pPr>
        <w:spacing w:after="0" w:line="1" w:lineRule="exact"/>
        <w:rPr>
          <w:sz w:val="24"/>
          <w:szCs w:val="24"/>
          <w:color w:val="auto"/>
        </w:rPr>
      </w:pPr>
    </w:p>
    <w:p>
      <w:pPr>
        <w:jc w:val="center"/>
        <w:ind w:left="1940"/>
        <w:spacing w:after="0"/>
        <w:rPr>
          <w:sz w:val="20"/>
          <w:szCs w:val="20"/>
          <w:color w:val="auto"/>
        </w:rPr>
      </w:pPr>
      <w:r>
        <w:rPr>
          <w:rFonts w:ascii="Arial" w:cs="Arial" w:eastAsia="Arial" w:hAnsi="Arial"/>
          <w:sz w:val="18"/>
          <w:szCs w:val="18"/>
          <w:color w:val="auto"/>
        </w:rPr>
        <w:t>(State of incorporation)</w:t>
      </w:r>
    </w:p>
    <w:p>
      <w:pPr>
        <w:spacing w:after="0" w:line="20" w:lineRule="exact"/>
        <w:rPr>
          <w:sz w:val="24"/>
          <w:szCs w:val="24"/>
          <w:color w:val="auto"/>
        </w:rPr>
      </w:pPr>
      <w:r>
        <w:rPr>
          <w:sz w:val="24"/>
          <w:szCs w:val="24"/>
          <w:color w:val="auto"/>
        </w:rPr>
        <w:br w:type="column"/>
      </w:r>
    </w:p>
    <w:p>
      <w:pPr>
        <w:ind w:left="4100"/>
        <w:spacing w:after="0" w:line="229" w:lineRule="auto"/>
        <w:rPr>
          <w:sz w:val="20"/>
          <w:szCs w:val="20"/>
          <w:color w:val="auto"/>
        </w:rPr>
      </w:pPr>
      <w:r>
        <w:rPr>
          <w:rFonts w:ascii="Arial" w:cs="Arial" w:eastAsia="Arial" w:hAnsi="Arial"/>
          <w:sz w:val="18"/>
          <w:szCs w:val="18"/>
          <w:color w:val="auto"/>
        </w:rPr>
        <w:t>42-0823980</w:t>
      </w:r>
    </w:p>
    <w:p>
      <w:pPr>
        <w:ind w:left="3200"/>
        <w:spacing w:after="0" w:line="235" w:lineRule="auto"/>
        <w:rPr>
          <w:sz w:val="20"/>
          <w:szCs w:val="20"/>
          <w:color w:val="auto"/>
        </w:rPr>
      </w:pPr>
      <w:r>
        <w:rPr>
          <w:rFonts w:ascii="Arial" w:cs="Arial" w:eastAsia="Arial" w:hAnsi="Arial"/>
          <w:sz w:val="18"/>
          <w:szCs w:val="18"/>
          <w:color w:val="auto"/>
        </w:rPr>
        <w:t>(I.R.S. Employer Identification No.)</w:t>
      </w:r>
    </w:p>
    <w:p>
      <w:pPr>
        <w:spacing w:after="0" w:line="235" w:lineRule="auto"/>
        <w:rPr>
          <w:sz w:val="20"/>
          <w:szCs w:val="20"/>
          <w:color w:val="auto"/>
        </w:rPr>
      </w:pPr>
      <w:r>
        <w:rPr>
          <w:rFonts w:ascii="Arial" w:cs="Arial" w:eastAsia="Arial" w:hAnsi="Arial"/>
          <w:sz w:val="18"/>
          <w:szCs w:val="18"/>
          <w:color w:val="auto"/>
        </w:rPr>
        <w:t>4600 E 53rd Street, Davenport, Iowa 52807</w:t>
      </w:r>
    </w:p>
    <w:p>
      <w:pPr>
        <w:ind w:left="200"/>
        <w:spacing w:after="0" w:line="235" w:lineRule="auto"/>
        <w:rPr>
          <w:sz w:val="20"/>
          <w:szCs w:val="20"/>
          <w:color w:val="auto"/>
        </w:rPr>
      </w:pPr>
      <w:r>
        <w:rPr>
          <w:rFonts w:ascii="Arial" w:cs="Arial" w:eastAsia="Arial" w:hAnsi="Arial"/>
          <w:sz w:val="18"/>
          <w:szCs w:val="18"/>
          <w:color w:val="auto"/>
        </w:rPr>
        <w:t>(Address of principal executive offices)</w:t>
      </w:r>
    </w:p>
    <w:p>
      <w:pPr>
        <w:ind w:left="1140"/>
        <w:spacing w:after="0"/>
        <w:rPr>
          <w:sz w:val="20"/>
          <w:szCs w:val="20"/>
          <w:color w:val="auto"/>
        </w:rPr>
      </w:pPr>
      <w:r>
        <w:rPr>
          <w:rFonts w:ascii="Arial" w:cs="Arial" w:eastAsia="Arial" w:hAnsi="Arial"/>
          <w:sz w:val="18"/>
          <w:szCs w:val="18"/>
          <w:color w:val="auto"/>
        </w:rPr>
        <w:t>(563) 383-2100</w:t>
      </w:r>
    </w:p>
    <w:p>
      <w:pPr>
        <w:spacing w:after="0" w:line="6" w:lineRule="exact"/>
        <w:rPr>
          <w:sz w:val="24"/>
          <w:szCs w:val="24"/>
          <w:color w:val="auto"/>
        </w:rPr>
      </w:pPr>
    </w:p>
    <w:p>
      <w:pPr>
        <w:sectPr>
          <w:pgSz w:w="11900" w:h="16838" w:orient="portrait"/>
          <w:cols w:equalWidth="0" w:num="2">
            <w:col w:w="3780" w:space="200"/>
            <w:col w:w="7440"/>
          </w:cols>
          <w:pgMar w:left="240" w:top="692" w:right="239" w:bottom="1440" w:gutter="0" w:footer="0" w:header="0"/>
          <w:type w:val="continuous"/>
        </w:sect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100" w:type="dxa"/>
            <w:vAlign w:val="bottom"/>
            <w:tcBorders>
              <w:top w:val="single" w:sz="8" w:color="auto"/>
              <w:bottom w:val="single" w:sz="8" w:color="auto"/>
            </w:tcBorders>
          </w:tcPr>
          <w:p>
            <w:pPr>
              <w:jc w:val="center"/>
              <w:ind w:right="190"/>
              <w:spacing w:after="0"/>
              <w:rPr>
                <w:sz w:val="20"/>
                <w:szCs w:val="20"/>
                <w:color w:val="auto"/>
              </w:rPr>
            </w:pPr>
            <w:r>
              <w:rPr>
                <w:rFonts w:ascii="Arial" w:cs="Arial" w:eastAsia="Arial" w:hAnsi="Arial"/>
                <w:sz w:val="18"/>
                <w:szCs w:val="18"/>
                <w:color w:val="auto"/>
                <w:w w:val="99"/>
              </w:rPr>
              <w:t>Title of Each Class</w:t>
            </w:r>
          </w:p>
        </w:tc>
        <w:tc>
          <w:tcPr>
            <w:tcW w:w="2940" w:type="dxa"/>
            <w:vAlign w:val="bottom"/>
            <w:tcBorders>
              <w:top w:val="single" w:sz="8" w:color="auto"/>
              <w:bottom w:val="single" w:sz="8" w:color="auto"/>
            </w:tcBorders>
          </w:tcPr>
          <w:p>
            <w:pPr>
              <w:jc w:val="center"/>
              <w:ind w:left="190"/>
              <w:spacing w:after="0"/>
              <w:rPr>
                <w:sz w:val="20"/>
                <w:szCs w:val="20"/>
                <w:color w:val="auto"/>
              </w:rPr>
            </w:pPr>
            <w:r>
              <w:rPr>
                <w:rFonts w:ascii="Arial" w:cs="Arial" w:eastAsia="Arial" w:hAnsi="Arial"/>
                <w:sz w:val="18"/>
                <w:szCs w:val="18"/>
                <w:color w:val="auto"/>
                <w:w w:val="99"/>
              </w:rPr>
              <w:t>Trading Symbol(s)</w:t>
            </w:r>
          </w:p>
        </w:tc>
        <w:tc>
          <w:tcPr>
            <w:tcW w:w="4380" w:type="dxa"/>
            <w:vAlign w:val="bottom"/>
            <w:tcBorders>
              <w:top w:val="single" w:sz="8" w:color="auto"/>
              <w:bottom w:val="single" w:sz="8" w:color="auto"/>
            </w:tcBorders>
          </w:tcPr>
          <w:p>
            <w:pPr>
              <w:jc w:val="center"/>
              <w:ind w:left="490"/>
              <w:spacing w:after="0"/>
              <w:rPr>
                <w:sz w:val="20"/>
                <w:szCs w:val="20"/>
                <w:color w:val="auto"/>
              </w:rPr>
            </w:pPr>
            <w:r>
              <w:rPr>
                <w:rFonts w:ascii="Arial" w:cs="Arial" w:eastAsia="Arial" w:hAnsi="Arial"/>
                <w:sz w:val="18"/>
                <w:szCs w:val="18"/>
                <w:color w:val="auto"/>
              </w:rPr>
              <w:t>Name of Each Exchange On Which Registered</w:t>
            </w:r>
          </w:p>
        </w:tc>
      </w:tr>
      <w:tr>
        <w:trPr>
          <w:trHeight w:val="210"/>
        </w:trPr>
        <w:tc>
          <w:tcPr>
            <w:tcW w:w="4100" w:type="dxa"/>
            <w:vAlign w:val="bottom"/>
          </w:tcPr>
          <w:p>
            <w:pPr>
              <w:jc w:val="center"/>
              <w:ind w:right="210"/>
              <w:spacing w:after="0"/>
              <w:rPr>
                <w:sz w:val="20"/>
                <w:szCs w:val="20"/>
                <w:color w:val="auto"/>
              </w:rPr>
            </w:pPr>
            <w:r>
              <w:rPr>
                <w:rFonts w:ascii="Arial" w:cs="Arial" w:eastAsia="Arial" w:hAnsi="Arial"/>
                <w:sz w:val="18"/>
                <w:szCs w:val="18"/>
                <w:color w:val="auto"/>
              </w:rPr>
              <w:t>Common Stock - $0.01 par value</w:t>
            </w:r>
          </w:p>
        </w:tc>
        <w:tc>
          <w:tcPr>
            <w:tcW w:w="2940" w:type="dxa"/>
            <w:vAlign w:val="bottom"/>
          </w:tcPr>
          <w:p>
            <w:pPr>
              <w:jc w:val="center"/>
              <w:ind w:left="190"/>
              <w:spacing w:after="0"/>
              <w:rPr>
                <w:sz w:val="20"/>
                <w:szCs w:val="20"/>
                <w:color w:val="auto"/>
              </w:rPr>
            </w:pPr>
            <w:r>
              <w:rPr>
                <w:rFonts w:ascii="Arial" w:cs="Arial" w:eastAsia="Arial" w:hAnsi="Arial"/>
                <w:sz w:val="18"/>
                <w:szCs w:val="18"/>
                <w:color w:val="auto"/>
                <w:w w:val="99"/>
              </w:rPr>
              <w:t>LEE</w:t>
            </w:r>
          </w:p>
        </w:tc>
        <w:tc>
          <w:tcPr>
            <w:tcW w:w="4380" w:type="dxa"/>
            <w:vAlign w:val="bottom"/>
          </w:tcPr>
          <w:p>
            <w:pPr>
              <w:jc w:val="center"/>
              <w:ind w:left="490"/>
              <w:spacing w:after="0"/>
              <w:rPr>
                <w:sz w:val="20"/>
                <w:szCs w:val="20"/>
                <w:color w:val="auto"/>
              </w:rPr>
            </w:pPr>
            <w:r>
              <w:rPr>
                <w:rFonts w:ascii="Arial" w:cs="Arial" w:eastAsia="Arial" w:hAnsi="Arial"/>
                <w:sz w:val="18"/>
                <w:szCs w:val="18"/>
                <w:color w:val="auto"/>
                <w:w w:val="99"/>
              </w:rPr>
              <w:t>New York Stock Exchange</w:t>
            </w:r>
          </w:p>
        </w:tc>
      </w:tr>
    </w:tbl>
    <w:p>
      <w:pPr>
        <w:spacing w:after="0" w:line="187" w:lineRule="exact"/>
        <w:rPr>
          <w:sz w:val="24"/>
          <w:szCs w:val="24"/>
          <w:color w:val="auto"/>
        </w:rPr>
      </w:pPr>
    </w:p>
    <w:p>
      <w:pPr>
        <w:ind w:right="840"/>
        <w:spacing w:after="0" w:line="497" w:lineRule="auto"/>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 Yes [ ] No [X] Indicate by check mark if the Registrant is not required to file reports pursuant to Section 13 or Section 15(d) of the Act. Yes [ ] No [X]</w:t>
      </w:r>
    </w:p>
    <w:p>
      <w:pPr>
        <w:spacing w:after="0" w:line="1" w:lineRule="exact"/>
        <w:rPr>
          <w:sz w:val="24"/>
          <w:szCs w:val="24"/>
          <w:color w:val="auto"/>
        </w:rPr>
      </w:pPr>
    </w:p>
    <w:p>
      <w:pPr>
        <w:jc w:val="both"/>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9" w:lineRule="exact"/>
        <w:rPr>
          <w:sz w:val="24"/>
          <w:szCs w:val="24"/>
          <w:color w:val="auto"/>
        </w:rPr>
      </w:pPr>
    </w:p>
    <w:p>
      <w:pPr>
        <w:jc w:val="both"/>
        <w:spacing w:after="0"/>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such shorter period that the Registrant was required to submit). Yes [X] No [ ]</w:t>
      </w:r>
    </w:p>
    <w:p>
      <w:pPr>
        <w:spacing w:after="0" w:line="189" w:lineRule="exact"/>
        <w:rPr>
          <w:sz w:val="24"/>
          <w:szCs w:val="24"/>
          <w:color w:val="auto"/>
        </w:rPr>
      </w:pPr>
    </w:p>
    <w:p>
      <w:pPr>
        <w:jc w:val="both"/>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 [ ] Accelerated filer [X] Non-accelerated filer [ ] Smaller Reporting Company [ ] Emerging growth company [ ]</w:t>
      </w:r>
    </w:p>
    <w:p>
      <w:pPr>
        <w:spacing w:after="0" w:line="198" w:lineRule="exact"/>
        <w:rPr>
          <w:sz w:val="24"/>
          <w:szCs w:val="24"/>
          <w:color w:val="auto"/>
        </w:rPr>
      </w:pPr>
    </w:p>
    <w:p>
      <w:pPr>
        <w:jc w:val="both"/>
        <w:ind w:right="20"/>
        <w:spacing w:after="0" w:line="246"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 [ ] No [X]</w:t>
      </w:r>
    </w:p>
    <w:p>
      <w:pPr>
        <w:spacing w:after="0" w:line="198" w:lineRule="exact"/>
        <w:rPr>
          <w:sz w:val="24"/>
          <w:szCs w:val="24"/>
          <w:color w:val="auto"/>
        </w:rPr>
      </w:pPr>
    </w:p>
    <w:p>
      <w:pPr>
        <w:jc w:val="both"/>
        <w:spacing w:after="0"/>
        <w:rPr>
          <w:sz w:val="20"/>
          <w:szCs w:val="20"/>
          <w:color w:val="auto"/>
        </w:rPr>
      </w:pPr>
      <w:r>
        <w:rPr>
          <w:rFonts w:ascii="Arial" w:cs="Arial" w:eastAsia="Arial" w:hAnsi="Arial"/>
          <w:sz w:val="18"/>
          <w:szCs w:val="18"/>
          <w:color w:val="auto"/>
        </w:rPr>
        <w:t>As of March 31, 2019, the aggregate market value of the registrant's common stock held by non-affiliates of the registrant was $ 174,880,560 based on the closing sale price as reported on the New York Stock Exchange. As of November 30, 2019, Common Stock $0.01 par value were 57,609,582 shares of common stock outstanding.</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DOCUMENTS INCORPORATED BY REFERENCE</w:t>
      </w:r>
    </w:p>
    <w:p>
      <w:pPr>
        <w:spacing w:after="0" w:line="198" w:lineRule="exact"/>
        <w:rPr>
          <w:sz w:val="24"/>
          <w:szCs w:val="24"/>
          <w:color w:val="auto"/>
        </w:rPr>
      </w:pPr>
    </w:p>
    <w:p>
      <w:pPr>
        <w:jc w:val="both"/>
        <w:ind w:right="80"/>
        <w:spacing w:after="0"/>
        <w:rPr>
          <w:sz w:val="20"/>
          <w:szCs w:val="20"/>
          <w:color w:val="auto"/>
        </w:rPr>
      </w:pPr>
      <w:r>
        <w:rPr>
          <w:rFonts w:ascii="Arial" w:cs="Arial" w:eastAsia="Arial" w:hAnsi="Arial"/>
          <w:sz w:val="18"/>
          <w:szCs w:val="18"/>
          <w:color w:val="auto"/>
        </w:rPr>
        <w:t>Portions of the Lee Enterprises, Incorporated Definitive Proxy Statement to be filed in January 2020 are incorporated by reference in Part III of this Form 10-K. Except as expressly incorporated by reference, the Registrant's Definitive Proxy Statement shall not be deemed to be a part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1940" w:type="dxa"/>
            <w:vAlign w:val="bottom"/>
            <w:gridSpan w:val="3"/>
          </w:tcPr>
          <w:p>
            <w:pPr>
              <w:spacing w:after="0"/>
              <w:rPr>
                <w:sz w:val="20"/>
                <w:szCs w:val="20"/>
                <w:color w:val="auto"/>
              </w:rPr>
            </w:pPr>
            <w:r>
              <w:rPr>
                <w:rFonts w:ascii="Arial" w:cs="Arial" w:eastAsia="Arial" w:hAnsi="Arial"/>
                <w:sz w:val="18"/>
                <w:szCs w:val="18"/>
                <w:b w:val="1"/>
                <w:bCs w:val="1"/>
                <w:color w:val="auto"/>
                <w:w w:val="98"/>
              </w:rPr>
              <w:t>TABLE OF CONTENTS</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189"/>
        </w:trPr>
        <w:tc>
          <w:tcPr>
            <w:tcW w:w="8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412"/>
        </w:trPr>
        <w:tc>
          <w:tcPr>
            <w:tcW w:w="1940" w:type="dxa"/>
            <w:vAlign w:val="bottom"/>
            <w:gridSpan w:val="3"/>
          </w:tcPr>
          <w:p>
            <w:pPr>
              <w:spacing w:after="0"/>
              <w:rPr>
                <w:sz w:val="20"/>
                <w:szCs w:val="20"/>
                <w:color w:val="auto"/>
              </w:rPr>
            </w:pPr>
            <w:r>
              <w:rPr>
                <w:rFonts w:ascii="Arial" w:cs="Arial" w:eastAsia="Arial" w:hAnsi="Arial"/>
                <w:sz w:val="18"/>
                <w:szCs w:val="18"/>
                <w:color w:val="auto"/>
              </w:rPr>
              <w:t>Part I</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65"/>
        </w:trPr>
        <w:tc>
          <w:tcPr>
            <w:tcW w:w="1940" w:type="dxa"/>
            <w:vAlign w:val="bottom"/>
            <w:gridSpan w:val="3"/>
          </w:tcPr>
          <w:p>
            <w:pPr>
              <w:ind w:left="800"/>
              <w:spacing w:after="0"/>
              <w:rPr>
                <w:sz w:val="20"/>
                <w:szCs w:val="20"/>
                <w:color w:val="auto"/>
              </w:rPr>
            </w:pPr>
            <w:r>
              <w:rPr>
                <w:rFonts w:ascii="Arial" w:cs="Arial" w:eastAsia="Arial" w:hAnsi="Arial"/>
                <w:sz w:val="18"/>
                <w:szCs w:val="18"/>
                <w:color w:val="auto"/>
              </w:rPr>
              <w:t>Item 1</w:t>
            </w:r>
          </w:p>
        </w:tc>
        <w:tc>
          <w:tcPr>
            <w:tcW w:w="8280" w:type="dxa"/>
            <w:vAlign w:val="bottom"/>
            <w:gridSpan w:val="2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85"/>
        </w:trPr>
        <w:tc>
          <w:tcPr>
            <w:tcW w:w="1940" w:type="dxa"/>
            <w:vAlign w:val="bottom"/>
            <w:gridSpan w:val="3"/>
          </w:tcPr>
          <w:p>
            <w:pPr>
              <w:ind w:left="800"/>
              <w:spacing w:after="0"/>
              <w:rPr>
                <w:sz w:val="20"/>
                <w:szCs w:val="20"/>
                <w:color w:val="auto"/>
              </w:rPr>
            </w:pPr>
            <w:r>
              <w:rPr>
                <w:rFonts w:ascii="Arial" w:cs="Arial" w:eastAsia="Arial" w:hAnsi="Arial"/>
                <w:sz w:val="18"/>
                <w:szCs w:val="18"/>
                <w:color w:val="auto"/>
              </w:rPr>
              <w:t>Item 1A</w:t>
            </w:r>
          </w:p>
        </w:tc>
        <w:tc>
          <w:tcPr>
            <w:tcW w:w="1000" w:type="dxa"/>
            <w:vAlign w:val="bottom"/>
            <w:tcBorders>
              <w:bottom w:val="single" w:sz="8" w:color="0000EE"/>
            </w:tcBorders>
            <w:gridSpan w:val="5"/>
          </w:tcPr>
          <w:p>
            <w:pPr>
              <w:spacing w:after="0"/>
              <w:rPr>
                <w:rFonts w:ascii="Arial" w:cs="Arial" w:eastAsia="Arial" w:hAnsi="Arial"/>
                <w:sz w:val="18"/>
                <w:szCs w:val="18"/>
                <w:color w:val="0000EE"/>
                <w:w w:val="97"/>
              </w:rPr>
            </w:pPr>
            <w:hyperlink w:anchor="page12">
              <w:r>
                <w:rPr>
                  <w:rFonts w:ascii="Arial" w:cs="Arial" w:eastAsia="Arial" w:hAnsi="Arial"/>
                  <w:sz w:val="18"/>
                  <w:szCs w:val="18"/>
                  <w:color w:val="0000EE"/>
                  <w:w w:val="97"/>
                </w:rPr>
                <w:t>Risk Factors</w:t>
              </w:r>
            </w:hyperlink>
          </w:p>
        </w:tc>
        <w:tc>
          <w:tcPr>
            <w:tcW w:w="7280" w:type="dxa"/>
            <w:vAlign w:val="bottom"/>
            <w:gridSpan w:val="18"/>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85"/>
        </w:trPr>
        <w:tc>
          <w:tcPr>
            <w:tcW w:w="1940" w:type="dxa"/>
            <w:vAlign w:val="bottom"/>
            <w:gridSpan w:val="3"/>
          </w:tcPr>
          <w:p>
            <w:pPr>
              <w:ind w:left="800"/>
              <w:spacing w:after="0"/>
              <w:rPr>
                <w:sz w:val="20"/>
                <w:szCs w:val="20"/>
                <w:color w:val="auto"/>
              </w:rPr>
            </w:pPr>
            <w:r>
              <w:rPr>
                <w:rFonts w:ascii="Arial" w:cs="Arial" w:eastAsia="Arial" w:hAnsi="Arial"/>
                <w:sz w:val="18"/>
                <w:szCs w:val="18"/>
                <w:color w:val="auto"/>
              </w:rPr>
              <w:t>Item 1B</w:t>
            </w:r>
          </w:p>
        </w:tc>
        <w:tc>
          <w:tcPr>
            <w:tcW w:w="8280" w:type="dxa"/>
            <w:vAlign w:val="bottom"/>
            <w:gridSpan w:val="2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Unresolved Staff Comments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85"/>
        </w:trPr>
        <w:tc>
          <w:tcPr>
            <w:tcW w:w="1940" w:type="dxa"/>
            <w:vAlign w:val="bottom"/>
            <w:gridSpan w:val="3"/>
          </w:tcPr>
          <w:p>
            <w:pPr>
              <w:ind w:left="800"/>
              <w:spacing w:after="0"/>
              <w:rPr>
                <w:sz w:val="20"/>
                <w:szCs w:val="20"/>
                <w:color w:val="auto"/>
              </w:rPr>
            </w:pPr>
            <w:r>
              <w:rPr>
                <w:rFonts w:ascii="Arial" w:cs="Arial" w:eastAsia="Arial" w:hAnsi="Arial"/>
                <w:sz w:val="18"/>
                <w:szCs w:val="18"/>
                <w:color w:val="auto"/>
              </w:rPr>
              <w:t>Item 2</w:t>
            </w:r>
          </w:p>
        </w:tc>
        <w:tc>
          <w:tcPr>
            <w:tcW w:w="8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7"/>
              </w:rPr>
            </w:pPr>
            <w:hyperlink w:anchor="page18">
              <w:r>
                <w:rPr>
                  <w:rFonts w:ascii="Arial" w:cs="Arial" w:eastAsia="Arial" w:hAnsi="Arial"/>
                  <w:sz w:val="18"/>
                  <w:szCs w:val="18"/>
                  <w:color w:val="0000EE"/>
                  <w:w w:val="97"/>
                </w:rPr>
                <w:t>Properties</w:t>
              </w:r>
            </w:hyperlink>
          </w:p>
        </w:tc>
        <w:tc>
          <w:tcPr>
            <w:tcW w:w="1420" w:type="dxa"/>
            <w:vAlign w:val="bottom"/>
            <w:tcBorders>
              <w:top w:val="single" w:sz="8" w:color="0000EE"/>
            </w:tcBorders>
            <w:gridSpan w:val="9"/>
          </w:tcPr>
          <w:p>
            <w:pPr>
              <w:spacing w:after="0"/>
              <w:rPr>
                <w:sz w:val="24"/>
                <w:szCs w:val="24"/>
                <w:color w:val="auto"/>
              </w:rPr>
            </w:pPr>
          </w:p>
        </w:tc>
        <w:tc>
          <w:tcPr>
            <w:tcW w:w="6040" w:type="dxa"/>
            <w:vAlign w:val="bottom"/>
            <w:gridSpan w:val="11"/>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85"/>
        </w:trPr>
        <w:tc>
          <w:tcPr>
            <w:tcW w:w="1940" w:type="dxa"/>
            <w:vAlign w:val="bottom"/>
            <w:gridSpan w:val="3"/>
          </w:tcPr>
          <w:p>
            <w:pPr>
              <w:ind w:left="800"/>
              <w:spacing w:after="0"/>
              <w:rPr>
                <w:sz w:val="20"/>
                <w:szCs w:val="20"/>
                <w:color w:val="auto"/>
              </w:rPr>
            </w:pPr>
            <w:r>
              <w:rPr>
                <w:rFonts w:ascii="Arial" w:cs="Arial" w:eastAsia="Arial" w:hAnsi="Arial"/>
                <w:sz w:val="18"/>
                <w:szCs w:val="18"/>
                <w:color w:val="auto"/>
              </w:rPr>
              <w:t>Item 3</w:t>
            </w:r>
          </w:p>
        </w:tc>
        <w:tc>
          <w:tcPr>
            <w:tcW w:w="1500" w:type="dxa"/>
            <w:vAlign w:val="bottom"/>
            <w:tcBorders>
              <w:bottom w:val="single" w:sz="8" w:color="0000EE"/>
            </w:tcBorders>
            <w:gridSpan w:val="7"/>
          </w:tcPr>
          <w:p>
            <w:pPr>
              <w:spacing w:after="0"/>
              <w:rPr>
                <w:rFonts w:ascii="Arial" w:cs="Arial" w:eastAsia="Arial" w:hAnsi="Arial"/>
                <w:sz w:val="18"/>
                <w:szCs w:val="18"/>
                <w:color w:val="0000EE"/>
                <w:w w:val="99"/>
              </w:rPr>
            </w:pPr>
            <w:hyperlink w:anchor="page18">
              <w:r>
                <w:rPr>
                  <w:rFonts w:ascii="Arial" w:cs="Arial" w:eastAsia="Arial" w:hAnsi="Arial"/>
                  <w:sz w:val="18"/>
                  <w:szCs w:val="18"/>
                  <w:color w:val="0000EE"/>
                  <w:w w:val="99"/>
                </w:rPr>
                <w:t>Legal Proceedings</w:t>
              </w:r>
            </w:hyperlink>
          </w:p>
        </w:tc>
        <w:tc>
          <w:tcPr>
            <w:tcW w:w="6780" w:type="dxa"/>
            <w:vAlign w:val="bottom"/>
            <w:gridSpan w:val="16"/>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85"/>
        </w:trPr>
        <w:tc>
          <w:tcPr>
            <w:tcW w:w="1940" w:type="dxa"/>
            <w:vAlign w:val="bottom"/>
            <w:gridSpan w:val="3"/>
          </w:tcPr>
          <w:p>
            <w:pPr>
              <w:ind w:left="800"/>
              <w:spacing w:after="0"/>
              <w:rPr>
                <w:sz w:val="20"/>
                <w:szCs w:val="20"/>
                <w:color w:val="auto"/>
              </w:rPr>
            </w:pPr>
            <w:r>
              <w:rPr>
                <w:rFonts w:ascii="Arial" w:cs="Arial" w:eastAsia="Arial" w:hAnsi="Arial"/>
                <w:sz w:val="18"/>
                <w:szCs w:val="18"/>
                <w:color w:val="auto"/>
              </w:rPr>
              <w:t>Item 4</w:t>
            </w:r>
          </w:p>
        </w:tc>
        <w:tc>
          <w:tcPr>
            <w:tcW w:w="8280" w:type="dxa"/>
            <w:vAlign w:val="bottom"/>
            <w:gridSpan w:val="2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Mine Safety Disclosures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26"/>
        </w:trPr>
        <w:tc>
          <w:tcPr>
            <w:tcW w:w="1940" w:type="dxa"/>
            <w:vAlign w:val="bottom"/>
            <w:gridSpan w:val="3"/>
          </w:tcPr>
          <w:p>
            <w:pPr>
              <w:spacing w:after="0"/>
              <w:rPr>
                <w:sz w:val="20"/>
                <w:szCs w:val="20"/>
                <w:color w:val="auto"/>
              </w:rPr>
            </w:pPr>
            <w:r>
              <w:rPr>
                <w:rFonts w:ascii="Arial" w:cs="Arial" w:eastAsia="Arial" w:hAnsi="Arial"/>
                <w:sz w:val="18"/>
                <w:szCs w:val="18"/>
                <w:color w:val="auto"/>
              </w:rPr>
              <w:t>Part II</w:t>
            </w:r>
          </w:p>
        </w:tc>
        <w:tc>
          <w:tcPr>
            <w:tcW w:w="6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65"/>
        </w:trPr>
        <w:tc>
          <w:tcPr>
            <w:tcW w:w="1940" w:type="dxa"/>
            <w:vAlign w:val="bottom"/>
            <w:gridSpan w:val="3"/>
          </w:tcPr>
          <w:p>
            <w:pPr>
              <w:ind w:left="800"/>
              <w:spacing w:after="0"/>
              <w:rPr>
                <w:sz w:val="20"/>
                <w:szCs w:val="20"/>
                <w:color w:val="auto"/>
              </w:rPr>
            </w:pPr>
            <w:r>
              <w:rPr>
                <w:rFonts w:ascii="Arial" w:cs="Arial" w:eastAsia="Arial" w:hAnsi="Arial"/>
                <w:sz w:val="18"/>
                <w:szCs w:val="18"/>
                <w:color w:val="auto"/>
              </w:rPr>
              <w:t>Item 5</w:t>
            </w:r>
          </w:p>
        </w:tc>
        <w:tc>
          <w:tcPr>
            <w:tcW w:w="8280" w:type="dxa"/>
            <w:vAlign w:val="bottom"/>
            <w:gridSpan w:val="2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Market for the Registrant's Common Equity, Related Stockholder Matters and Issuer Purchases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183"/>
        </w:trPr>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4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8"/>
              </w:rPr>
            </w:pPr>
            <w:hyperlink w:anchor="page19">
              <w:r>
                <w:rPr>
                  <w:rFonts w:ascii="Arial" w:cs="Arial" w:eastAsia="Arial" w:hAnsi="Arial"/>
                  <w:sz w:val="18"/>
                  <w:szCs w:val="18"/>
                  <w:color w:val="0000EE"/>
                  <w:w w:val="98"/>
                </w:rPr>
                <w:t>of Equity Securities</w:t>
              </w:r>
            </w:hyperlink>
          </w:p>
        </w:tc>
        <w:tc>
          <w:tcPr>
            <w:tcW w:w="6040" w:type="dxa"/>
            <w:vAlign w:val="bottom"/>
            <w:tcBorders>
              <w:top w:val="single" w:sz="8" w:color="0000EE"/>
            </w:tcBorders>
            <w:gridSpan w:val="14"/>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385"/>
        </w:trPr>
        <w:tc>
          <w:tcPr>
            <w:tcW w:w="1940" w:type="dxa"/>
            <w:vAlign w:val="bottom"/>
            <w:gridSpan w:val="3"/>
          </w:tcPr>
          <w:p>
            <w:pPr>
              <w:ind w:left="800"/>
              <w:spacing w:after="0"/>
              <w:rPr>
                <w:sz w:val="20"/>
                <w:szCs w:val="20"/>
                <w:color w:val="auto"/>
              </w:rPr>
            </w:pPr>
            <w:r>
              <w:rPr>
                <w:rFonts w:ascii="Arial" w:cs="Arial" w:eastAsia="Arial" w:hAnsi="Arial"/>
                <w:sz w:val="18"/>
                <w:szCs w:val="18"/>
                <w:color w:val="auto"/>
              </w:rPr>
              <w:t>Item 6</w:t>
            </w:r>
          </w:p>
        </w:tc>
        <w:tc>
          <w:tcPr>
            <w:tcW w:w="8280" w:type="dxa"/>
            <w:vAlign w:val="bottom"/>
            <w:gridSpan w:val="2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Selected Financial Data</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85"/>
        </w:trPr>
        <w:tc>
          <w:tcPr>
            <w:tcW w:w="1940" w:type="dxa"/>
            <w:vAlign w:val="bottom"/>
            <w:gridSpan w:val="3"/>
          </w:tcPr>
          <w:p>
            <w:pPr>
              <w:ind w:left="800"/>
              <w:spacing w:after="0"/>
              <w:rPr>
                <w:sz w:val="20"/>
                <w:szCs w:val="20"/>
                <w:color w:val="auto"/>
              </w:rPr>
            </w:pPr>
            <w:r>
              <w:rPr>
                <w:rFonts w:ascii="Arial" w:cs="Arial" w:eastAsia="Arial" w:hAnsi="Arial"/>
                <w:sz w:val="18"/>
                <w:szCs w:val="18"/>
                <w:color w:val="auto"/>
              </w:rPr>
              <w:t>Item 7</w:t>
            </w:r>
          </w:p>
        </w:tc>
        <w:tc>
          <w:tcPr>
            <w:tcW w:w="7080" w:type="dxa"/>
            <w:vAlign w:val="bottom"/>
            <w:tcBorders>
              <w:bottom w:val="single" w:sz="8" w:color="0000EE"/>
            </w:tcBorders>
            <w:gridSpan w:val="19"/>
          </w:tcPr>
          <w:p>
            <w:pPr>
              <w:spacing w:after="0"/>
              <w:rPr>
                <w:rFonts w:ascii="Arial" w:cs="Arial" w:eastAsia="Arial" w:hAnsi="Arial"/>
                <w:sz w:val="18"/>
                <w:szCs w:val="18"/>
                <w:color w:val="0000EE"/>
                <w:w w:val="99"/>
              </w:rPr>
            </w:pPr>
            <w:hyperlink w:anchor="page22">
              <w:r>
                <w:rPr>
                  <w:rFonts w:ascii="Arial" w:cs="Arial" w:eastAsia="Arial" w:hAnsi="Arial"/>
                  <w:sz w:val="18"/>
                  <w:szCs w:val="18"/>
                  <w:color w:val="0000EE"/>
                  <w:w w:val="99"/>
                </w:rPr>
                <w:t>Management's Discussion and Analysis of Financial Condition and Results of Operations</w:t>
              </w:r>
            </w:hyperlink>
          </w:p>
        </w:tc>
        <w:tc>
          <w:tcPr>
            <w:tcW w:w="1200" w:type="dxa"/>
            <w:vAlign w:val="bottom"/>
            <w:gridSpan w:val="4"/>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85"/>
        </w:trPr>
        <w:tc>
          <w:tcPr>
            <w:tcW w:w="1940" w:type="dxa"/>
            <w:vAlign w:val="bottom"/>
            <w:gridSpan w:val="3"/>
          </w:tcPr>
          <w:p>
            <w:pPr>
              <w:ind w:left="800"/>
              <w:spacing w:after="0"/>
              <w:rPr>
                <w:sz w:val="20"/>
                <w:szCs w:val="20"/>
                <w:color w:val="auto"/>
              </w:rPr>
            </w:pPr>
            <w:r>
              <w:rPr>
                <w:rFonts w:ascii="Arial" w:cs="Arial" w:eastAsia="Arial" w:hAnsi="Arial"/>
                <w:sz w:val="18"/>
                <w:szCs w:val="18"/>
                <w:color w:val="auto"/>
              </w:rPr>
              <w:t>Item 7A</w:t>
            </w:r>
          </w:p>
        </w:tc>
        <w:tc>
          <w:tcPr>
            <w:tcW w:w="4700" w:type="dxa"/>
            <w:vAlign w:val="bottom"/>
            <w:tcBorders>
              <w:bottom w:val="single" w:sz="8" w:color="0000EE"/>
            </w:tcBorders>
            <w:gridSpan w:val="17"/>
          </w:tcPr>
          <w:p>
            <w:pPr>
              <w:spacing w:after="0"/>
              <w:rPr>
                <w:rFonts w:ascii="Arial" w:cs="Arial" w:eastAsia="Arial" w:hAnsi="Arial"/>
                <w:sz w:val="18"/>
                <w:szCs w:val="18"/>
                <w:color w:val="0000EE"/>
                <w:w w:val="99"/>
              </w:rPr>
            </w:pPr>
            <w:hyperlink w:anchor="page33">
              <w:r>
                <w:rPr>
                  <w:rFonts w:ascii="Arial" w:cs="Arial" w:eastAsia="Arial" w:hAnsi="Arial"/>
                  <w:sz w:val="18"/>
                  <w:szCs w:val="18"/>
                  <w:color w:val="0000EE"/>
                  <w:w w:val="99"/>
                </w:rPr>
                <w:t>Quantitative and Qualitative Disclosures about Market Risk</w:t>
              </w:r>
            </w:hyperlink>
          </w:p>
        </w:tc>
        <w:tc>
          <w:tcPr>
            <w:tcW w:w="3580" w:type="dxa"/>
            <w:vAlign w:val="bottom"/>
            <w:gridSpan w:val="6"/>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85"/>
        </w:trPr>
        <w:tc>
          <w:tcPr>
            <w:tcW w:w="1940" w:type="dxa"/>
            <w:vAlign w:val="bottom"/>
            <w:gridSpan w:val="3"/>
          </w:tcPr>
          <w:p>
            <w:pPr>
              <w:ind w:left="800"/>
              <w:spacing w:after="0"/>
              <w:rPr>
                <w:sz w:val="20"/>
                <w:szCs w:val="20"/>
                <w:color w:val="auto"/>
              </w:rPr>
            </w:pPr>
            <w:r>
              <w:rPr>
                <w:rFonts w:ascii="Arial" w:cs="Arial" w:eastAsia="Arial" w:hAnsi="Arial"/>
                <w:sz w:val="18"/>
                <w:szCs w:val="18"/>
                <w:color w:val="auto"/>
              </w:rPr>
              <w:t>Item 8</w:t>
            </w:r>
          </w:p>
        </w:tc>
        <w:tc>
          <w:tcPr>
            <w:tcW w:w="8280" w:type="dxa"/>
            <w:vAlign w:val="bottom"/>
            <w:gridSpan w:val="2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Financial Statements and Supplementary Data</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85"/>
        </w:trPr>
        <w:tc>
          <w:tcPr>
            <w:tcW w:w="1940" w:type="dxa"/>
            <w:vAlign w:val="bottom"/>
            <w:gridSpan w:val="3"/>
          </w:tcPr>
          <w:p>
            <w:pPr>
              <w:ind w:left="800"/>
              <w:spacing w:after="0"/>
              <w:rPr>
                <w:sz w:val="20"/>
                <w:szCs w:val="20"/>
                <w:color w:val="auto"/>
              </w:rPr>
            </w:pPr>
            <w:r>
              <w:rPr>
                <w:rFonts w:ascii="Arial" w:cs="Arial" w:eastAsia="Arial" w:hAnsi="Arial"/>
                <w:sz w:val="18"/>
                <w:szCs w:val="18"/>
                <w:color w:val="auto"/>
              </w:rPr>
              <w:t>Item 9</w:t>
            </w:r>
          </w:p>
        </w:tc>
        <w:tc>
          <w:tcPr>
            <w:tcW w:w="7140" w:type="dxa"/>
            <w:vAlign w:val="bottom"/>
            <w:tcBorders>
              <w:bottom w:val="single" w:sz="8" w:color="0000EE"/>
            </w:tcBorders>
            <w:gridSpan w:val="20"/>
          </w:tcPr>
          <w:p>
            <w:pPr>
              <w:spacing w:after="0"/>
              <w:rPr>
                <w:rFonts w:ascii="Arial" w:cs="Arial" w:eastAsia="Arial" w:hAnsi="Arial"/>
                <w:sz w:val="18"/>
                <w:szCs w:val="18"/>
                <w:color w:val="0000EE"/>
                <w:w w:val="99"/>
              </w:rPr>
            </w:pPr>
            <w:hyperlink w:anchor="page34">
              <w:r>
                <w:rPr>
                  <w:rFonts w:ascii="Arial" w:cs="Arial" w:eastAsia="Arial" w:hAnsi="Arial"/>
                  <w:sz w:val="18"/>
                  <w:szCs w:val="18"/>
                  <w:color w:val="0000EE"/>
                  <w:w w:val="99"/>
                </w:rPr>
                <w:t>Changes in and Disagreements with Accountants on Accounting and Financial Disclosure</w:t>
              </w:r>
            </w:hyperlink>
          </w:p>
        </w:tc>
        <w:tc>
          <w:tcPr>
            <w:tcW w:w="1140" w:type="dxa"/>
            <w:vAlign w:val="bottom"/>
            <w:gridSpan w:val="3"/>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85"/>
        </w:trPr>
        <w:tc>
          <w:tcPr>
            <w:tcW w:w="1940" w:type="dxa"/>
            <w:vAlign w:val="bottom"/>
            <w:gridSpan w:val="3"/>
          </w:tcPr>
          <w:p>
            <w:pPr>
              <w:ind w:left="800"/>
              <w:spacing w:after="0"/>
              <w:rPr>
                <w:sz w:val="20"/>
                <w:szCs w:val="20"/>
                <w:color w:val="auto"/>
              </w:rPr>
            </w:pPr>
            <w:r>
              <w:rPr>
                <w:rFonts w:ascii="Arial" w:cs="Arial" w:eastAsia="Arial" w:hAnsi="Arial"/>
                <w:sz w:val="18"/>
                <w:szCs w:val="18"/>
                <w:color w:val="auto"/>
              </w:rPr>
              <w:t>Item 9A</w:t>
            </w:r>
          </w:p>
        </w:tc>
        <w:tc>
          <w:tcPr>
            <w:tcW w:w="2000" w:type="dxa"/>
            <w:vAlign w:val="bottom"/>
            <w:tcBorders>
              <w:bottom w:val="single" w:sz="8" w:color="0000EE"/>
            </w:tcBorders>
            <w:gridSpan w:val="11"/>
          </w:tcPr>
          <w:p>
            <w:pPr>
              <w:spacing w:after="0"/>
              <w:rPr>
                <w:rFonts w:ascii="Arial" w:cs="Arial" w:eastAsia="Arial" w:hAnsi="Arial"/>
                <w:sz w:val="18"/>
                <w:szCs w:val="18"/>
                <w:color w:val="0000EE"/>
                <w:w w:val="99"/>
              </w:rPr>
            </w:pPr>
            <w:hyperlink w:anchor="page34">
              <w:r>
                <w:rPr>
                  <w:rFonts w:ascii="Arial" w:cs="Arial" w:eastAsia="Arial" w:hAnsi="Arial"/>
                  <w:sz w:val="18"/>
                  <w:szCs w:val="18"/>
                  <w:color w:val="0000EE"/>
                  <w:w w:val="99"/>
                </w:rPr>
                <w:t>Controls and Procedures</w:t>
              </w:r>
            </w:hyperlink>
          </w:p>
        </w:tc>
        <w:tc>
          <w:tcPr>
            <w:tcW w:w="6280" w:type="dxa"/>
            <w:vAlign w:val="bottom"/>
            <w:gridSpan w:val="12"/>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85"/>
        </w:trPr>
        <w:tc>
          <w:tcPr>
            <w:tcW w:w="1940" w:type="dxa"/>
            <w:vAlign w:val="bottom"/>
            <w:gridSpan w:val="3"/>
          </w:tcPr>
          <w:p>
            <w:pPr>
              <w:ind w:left="800"/>
              <w:spacing w:after="0"/>
              <w:rPr>
                <w:sz w:val="20"/>
                <w:szCs w:val="20"/>
                <w:color w:val="auto"/>
              </w:rPr>
            </w:pPr>
            <w:r>
              <w:rPr>
                <w:rFonts w:ascii="Arial" w:cs="Arial" w:eastAsia="Arial" w:hAnsi="Arial"/>
                <w:sz w:val="18"/>
                <w:szCs w:val="18"/>
                <w:color w:val="auto"/>
              </w:rPr>
              <w:t>Item 9B</w:t>
            </w:r>
          </w:p>
        </w:tc>
        <w:tc>
          <w:tcPr>
            <w:tcW w:w="8280" w:type="dxa"/>
            <w:vAlign w:val="bottom"/>
            <w:gridSpan w:val="2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Other Information</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26"/>
        </w:trPr>
        <w:tc>
          <w:tcPr>
            <w:tcW w:w="1940" w:type="dxa"/>
            <w:vAlign w:val="bottom"/>
            <w:gridSpan w:val="3"/>
          </w:tcPr>
          <w:p>
            <w:pPr>
              <w:spacing w:after="0"/>
              <w:rPr>
                <w:sz w:val="20"/>
                <w:szCs w:val="20"/>
                <w:color w:val="auto"/>
              </w:rPr>
            </w:pPr>
            <w:r>
              <w:rPr>
                <w:rFonts w:ascii="Arial" w:cs="Arial" w:eastAsia="Arial" w:hAnsi="Arial"/>
                <w:sz w:val="18"/>
                <w:szCs w:val="18"/>
                <w:color w:val="auto"/>
              </w:rPr>
              <w:t>Part III</w:t>
            </w:r>
          </w:p>
        </w:tc>
        <w:tc>
          <w:tcPr>
            <w:tcW w:w="6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65"/>
        </w:trPr>
        <w:tc>
          <w:tcPr>
            <w:tcW w:w="1940" w:type="dxa"/>
            <w:vAlign w:val="bottom"/>
            <w:gridSpan w:val="3"/>
          </w:tcPr>
          <w:p>
            <w:pPr>
              <w:ind w:left="800"/>
              <w:spacing w:after="0"/>
              <w:rPr>
                <w:sz w:val="20"/>
                <w:szCs w:val="20"/>
                <w:color w:val="auto"/>
              </w:rPr>
            </w:pPr>
            <w:r>
              <w:rPr>
                <w:rFonts w:ascii="Arial" w:cs="Arial" w:eastAsia="Arial" w:hAnsi="Arial"/>
                <w:sz w:val="18"/>
                <w:szCs w:val="18"/>
                <w:color w:val="auto"/>
              </w:rPr>
              <w:t>Item 10</w:t>
            </w:r>
          </w:p>
        </w:tc>
        <w:tc>
          <w:tcPr>
            <w:tcW w:w="4500" w:type="dxa"/>
            <w:vAlign w:val="bottom"/>
            <w:tcBorders>
              <w:bottom w:val="single" w:sz="8" w:color="0000EE"/>
            </w:tcBorders>
            <w:gridSpan w:val="16"/>
          </w:tcPr>
          <w:p>
            <w:pPr>
              <w:spacing w:after="0"/>
              <w:rPr>
                <w:rFonts w:ascii="Arial" w:cs="Arial" w:eastAsia="Arial" w:hAnsi="Arial"/>
                <w:sz w:val="18"/>
                <w:szCs w:val="18"/>
                <w:color w:val="0000EE"/>
                <w:w w:val="99"/>
              </w:rPr>
            </w:pPr>
            <w:hyperlink w:anchor="page36">
              <w:r>
                <w:rPr>
                  <w:rFonts w:ascii="Arial" w:cs="Arial" w:eastAsia="Arial" w:hAnsi="Arial"/>
                  <w:sz w:val="18"/>
                  <w:szCs w:val="18"/>
                  <w:color w:val="0000EE"/>
                  <w:w w:val="99"/>
                </w:rPr>
                <w:t>Directors, Executive Officers and Corporate Governance</w:t>
              </w:r>
            </w:hyperlink>
          </w:p>
        </w:tc>
        <w:tc>
          <w:tcPr>
            <w:tcW w:w="3780" w:type="dxa"/>
            <w:vAlign w:val="bottom"/>
            <w:gridSpan w:val="7"/>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85"/>
        </w:trPr>
        <w:tc>
          <w:tcPr>
            <w:tcW w:w="1940" w:type="dxa"/>
            <w:vAlign w:val="bottom"/>
            <w:gridSpan w:val="3"/>
          </w:tcPr>
          <w:p>
            <w:pPr>
              <w:ind w:left="800"/>
              <w:spacing w:after="0"/>
              <w:rPr>
                <w:sz w:val="20"/>
                <w:szCs w:val="20"/>
                <w:color w:val="auto"/>
              </w:rPr>
            </w:pPr>
            <w:r>
              <w:rPr>
                <w:rFonts w:ascii="Arial" w:cs="Arial" w:eastAsia="Arial" w:hAnsi="Arial"/>
                <w:sz w:val="18"/>
                <w:szCs w:val="18"/>
                <w:color w:val="auto"/>
              </w:rPr>
              <w:t>Item 11</w:t>
            </w:r>
          </w:p>
        </w:tc>
        <w:tc>
          <w:tcPr>
            <w:tcW w:w="2000" w:type="dxa"/>
            <w:vAlign w:val="bottom"/>
            <w:tcBorders>
              <w:bottom w:val="single" w:sz="8" w:color="0000EE"/>
            </w:tcBorders>
            <w:gridSpan w:val="11"/>
          </w:tcPr>
          <w:p>
            <w:pPr>
              <w:spacing w:after="0"/>
              <w:rPr>
                <w:rFonts w:ascii="Arial" w:cs="Arial" w:eastAsia="Arial" w:hAnsi="Arial"/>
                <w:sz w:val="18"/>
                <w:szCs w:val="18"/>
                <w:color w:val="0000EE"/>
                <w:w w:val="99"/>
              </w:rPr>
            </w:pPr>
            <w:hyperlink w:anchor="page36">
              <w:r>
                <w:rPr>
                  <w:rFonts w:ascii="Arial" w:cs="Arial" w:eastAsia="Arial" w:hAnsi="Arial"/>
                  <w:sz w:val="18"/>
                  <w:szCs w:val="18"/>
                  <w:color w:val="0000EE"/>
                  <w:w w:val="99"/>
                </w:rPr>
                <w:t>Executive Compensation</w:t>
              </w:r>
            </w:hyperlink>
          </w:p>
        </w:tc>
        <w:tc>
          <w:tcPr>
            <w:tcW w:w="6280" w:type="dxa"/>
            <w:vAlign w:val="bottom"/>
            <w:gridSpan w:val="12"/>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85"/>
        </w:trPr>
        <w:tc>
          <w:tcPr>
            <w:tcW w:w="1940" w:type="dxa"/>
            <w:vAlign w:val="bottom"/>
            <w:gridSpan w:val="3"/>
          </w:tcPr>
          <w:p>
            <w:pPr>
              <w:ind w:left="800"/>
              <w:spacing w:after="0"/>
              <w:rPr>
                <w:sz w:val="20"/>
                <w:szCs w:val="20"/>
                <w:color w:val="auto"/>
              </w:rPr>
            </w:pPr>
            <w:r>
              <w:rPr>
                <w:rFonts w:ascii="Arial" w:cs="Arial" w:eastAsia="Arial" w:hAnsi="Arial"/>
                <w:sz w:val="18"/>
                <w:szCs w:val="18"/>
                <w:color w:val="auto"/>
              </w:rPr>
              <w:t>Item 12</w:t>
            </w:r>
          </w:p>
        </w:tc>
        <w:tc>
          <w:tcPr>
            <w:tcW w:w="8280" w:type="dxa"/>
            <w:vAlign w:val="bottom"/>
            <w:gridSpan w:val="2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Security Ownership of Certain Beneficial Owners and Management and Related Stockholder</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183"/>
        </w:trPr>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6"/>
              </w:rPr>
            </w:pPr>
            <w:hyperlink w:anchor="page36">
              <w:r>
                <w:rPr>
                  <w:rFonts w:ascii="Arial" w:cs="Arial" w:eastAsia="Arial" w:hAnsi="Arial"/>
                  <w:sz w:val="18"/>
                  <w:szCs w:val="18"/>
                  <w:color w:val="0000EE"/>
                  <w:w w:val="96"/>
                </w:rPr>
                <w:t>Matters</w:t>
              </w:r>
            </w:hyperlink>
          </w:p>
        </w:tc>
        <w:tc>
          <w:tcPr>
            <w:tcW w:w="6760" w:type="dxa"/>
            <w:vAlign w:val="bottom"/>
            <w:tcBorders>
              <w:top w:val="single" w:sz="8" w:color="0000EE"/>
            </w:tcBorders>
            <w:gridSpan w:val="20"/>
          </w:tcPr>
          <w:p>
            <w:pPr>
              <w:spacing w:after="0"/>
              <w:rPr>
                <w:sz w:val="15"/>
                <w:szCs w:val="15"/>
                <w:color w:val="auto"/>
              </w:rPr>
            </w:pPr>
          </w:p>
        </w:tc>
        <w:tc>
          <w:tcPr>
            <w:tcW w:w="920" w:type="dxa"/>
            <w:vAlign w:val="bottom"/>
            <w:gridSpan w:val="2"/>
          </w:tcPr>
          <w:p>
            <w:pPr>
              <w:spacing w:after="0"/>
              <w:rPr>
                <w:sz w:val="15"/>
                <w:szCs w:val="15"/>
                <w:color w:val="auto"/>
              </w:rPr>
            </w:pPr>
          </w:p>
        </w:tc>
        <w:tc>
          <w:tcPr>
            <w:tcW w:w="1200" w:type="dxa"/>
            <w:vAlign w:val="bottom"/>
          </w:tcPr>
          <w:p>
            <w:pPr>
              <w:spacing w:after="0"/>
              <w:rPr>
                <w:sz w:val="15"/>
                <w:szCs w:val="15"/>
                <w:color w:val="auto"/>
              </w:rPr>
            </w:pPr>
          </w:p>
        </w:tc>
      </w:tr>
      <w:tr>
        <w:trPr>
          <w:trHeight w:val="385"/>
        </w:trPr>
        <w:tc>
          <w:tcPr>
            <w:tcW w:w="1940" w:type="dxa"/>
            <w:vAlign w:val="bottom"/>
            <w:gridSpan w:val="3"/>
          </w:tcPr>
          <w:p>
            <w:pPr>
              <w:ind w:left="800"/>
              <w:spacing w:after="0"/>
              <w:rPr>
                <w:sz w:val="20"/>
                <w:szCs w:val="20"/>
                <w:color w:val="auto"/>
              </w:rPr>
            </w:pPr>
            <w:r>
              <w:rPr>
                <w:rFonts w:ascii="Arial" w:cs="Arial" w:eastAsia="Arial" w:hAnsi="Arial"/>
                <w:sz w:val="18"/>
                <w:szCs w:val="18"/>
                <w:color w:val="auto"/>
              </w:rPr>
              <w:t>Item 13</w:t>
            </w:r>
          </w:p>
        </w:tc>
        <w:tc>
          <w:tcPr>
            <w:tcW w:w="6080" w:type="dxa"/>
            <w:vAlign w:val="bottom"/>
            <w:tcBorders>
              <w:bottom w:val="single" w:sz="8" w:color="0000EE"/>
            </w:tcBorders>
            <w:gridSpan w:val="18"/>
          </w:tcPr>
          <w:p>
            <w:pPr>
              <w:spacing w:after="0"/>
              <w:rPr>
                <w:rFonts w:ascii="Arial" w:cs="Arial" w:eastAsia="Arial" w:hAnsi="Arial"/>
                <w:sz w:val="18"/>
                <w:szCs w:val="18"/>
                <w:color w:val="0000EE"/>
                <w:w w:val="99"/>
              </w:rPr>
            </w:pPr>
            <w:hyperlink w:anchor="page36">
              <w:r>
                <w:rPr>
                  <w:rFonts w:ascii="Arial" w:cs="Arial" w:eastAsia="Arial" w:hAnsi="Arial"/>
                  <w:sz w:val="18"/>
                  <w:szCs w:val="18"/>
                  <w:color w:val="0000EE"/>
                  <w:w w:val="99"/>
                </w:rPr>
                <w:t>Certain Relationships and Related Transactions, and Director Independence</w:t>
              </w:r>
            </w:hyperlink>
          </w:p>
        </w:tc>
        <w:tc>
          <w:tcPr>
            <w:tcW w:w="2200" w:type="dxa"/>
            <w:vAlign w:val="bottom"/>
            <w:gridSpan w:val="5"/>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85"/>
        </w:trPr>
        <w:tc>
          <w:tcPr>
            <w:tcW w:w="1940" w:type="dxa"/>
            <w:vAlign w:val="bottom"/>
            <w:gridSpan w:val="3"/>
          </w:tcPr>
          <w:p>
            <w:pPr>
              <w:ind w:left="800"/>
              <w:spacing w:after="0"/>
              <w:rPr>
                <w:sz w:val="20"/>
                <w:szCs w:val="20"/>
                <w:color w:val="auto"/>
              </w:rPr>
            </w:pPr>
            <w:r>
              <w:rPr>
                <w:rFonts w:ascii="Arial" w:cs="Arial" w:eastAsia="Arial" w:hAnsi="Arial"/>
                <w:sz w:val="18"/>
                <w:szCs w:val="18"/>
                <w:color w:val="auto"/>
              </w:rPr>
              <w:t>Item 14</w:t>
            </w:r>
          </w:p>
        </w:tc>
        <w:tc>
          <w:tcPr>
            <w:tcW w:w="8280" w:type="dxa"/>
            <w:vAlign w:val="bottom"/>
            <w:gridSpan w:val="2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Principal Accounting Fees and Services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26"/>
        </w:trPr>
        <w:tc>
          <w:tcPr>
            <w:tcW w:w="1940" w:type="dxa"/>
            <w:vAlign w:val="bottom"/>
            <w:gridSpan w:val="3"/>
          </w:tcPr>
          <w:p>
            <w:pPr>
              <w:spacing w:after="0"/>
              <w:rPr>
                <w:sz w:val="20"/>
                <w:szCs w:val="20"/>
                <w:color w:val="auto"/>
              </w:rPr>
            </w:pPr>
            <w:r>
              <w:rPr>
                <w:rFonts w:ascii="Arial" w:cs="Arial" w:eastAsia="Arial" w:hAnsi="Arial"/>
                <w:sz w:val="18"/>
                <w:szCs w:val="18"/>
                <w:color w:val="auto"/>
              </w:rPr>
              <w:t>Part IV</w:t>
            </w:r>
          </w:p>
        </w:tc>
        <w:tc>
          <w:tcPr>
            <w:tcW w:w="6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65"/>
        </w:trPr>
        <w:tc>
          <w:tcPr>
            <w:tcW w:w="1940" w:type="dxa"/>
            <w:vAlign w:val="bottom"/>
            <w:gridSpan w:val="3"/>
          </w:tcPr>
          <w:p>
            <w:pPr>
              <w:ind w:left="800"/>
              <w:spacing w:after="0"/>
              <w:rPr>
                <w:sz w:val="20"/>
                <w:szCs w:val="20"/>
                <w:color w:val="auto"/>
              </w:rPr>
            </w:pPr>
            <w:r>
              <w:rPr>
                <w:rFonts w:ascii="Arial" w:cs="Arial" w:eastAsia="Arial" w:hAnsi="Arial"/>
                <w:sz w:val="18"/>
                <w:szCs w:val="18"/>
                <w:color w:val="auto"/>
              </w:rPr>
              <w:t>Item 15</w:t>
            </w:r>
          </w:p>
        </w:tc>
        <w:tc>
          <w:tcPr>
            <w:tcW w:w="3520" w:type="dxa"/>
            <w:vAlign w:val="bottom"/>
            <w:tcBorders>
              <w:bottom w:val="single" w:sz="8" w:color="0000EE"/>
            </w:tcBorders>
            <w:gridSpan w:val="14"/>
          </w:tcPr>
          <w:p>
            <w:pPr>
              <w:spacing w:after="0"/>
              <w:rPr>
                <w:rFonts w:ascii="Arial" w:cs="Arial" w:eastAsia="Arial" w:hAnsi="Arial"/>
                <w:sz w:val="18"/>
                <w:szCs w:val="18"/>
                <w:color w:val="0000EE"/>
                <w:w w:val="99"/>
              </w:rPr>
            </w:pPr>
            <w:hyperlink w:anchor="page37">
              <w:r>
                <w:rPr>
                  <w:rFonts w:ascii="Arial" w:cs="Arial" w:eastAsia="Arial" w:hAnsi="Arial"/>
                  <w:sz w:val="18"/>
                  <w:szCs w:val="18"/>
                  <w:color w:val="0000EE"/>
                  <w:w w:val="99"/>
                </w:rPr>
                <w:t>Exhibits and Financial Statement Schedules</w:t>
              </w:r>
            </w:hyperlink>
          </w:p>
        </w:tc>
        <w:tc>
          <w:tcPr>
            <w:tcW w:w="4760" w:type="dxa"/>
            <w:vAlign w:val="bottom"/>
            <w:gridSpan w:val="9"/>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85"/>
        </w:trPr>
        <w:tc>
          <w:tcPr>
            <w:tcW w:w="10220" w:type="dxa"/>
            <w:vAlign w:val="bottom"/>
            <w:gridSpan w:val="26"/>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Consolidated Financial Statements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85"/>
        </w:trPr>
        <w:tc>
          <w:tcPr>
            <w:tcW w:w="1940" w:type="dxa"/>
            <w:vAlign w:val="bottom"/>
            <w:tcBorders>
              <w:top w:val="single" w:sz="8" w:color="0000EE"/>
            </w:tcBorders>
            <w:gridSpan w:val="3"/>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0"/>
        </w:trPr>
        <w:tc>
          <w:tcPr>
            <w:tcW w:w="8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85"/>
        </w:trPr>
        <w:tc>
          <w:tcPr>
            <w:tcW w:w="1940" w:type="dxa"/>
            <w:vAlign w:val="bottom"/>
            <w:gridSpan w:val="3"/>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Exhibit Index</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0"/>
        </w:trPr>
        <w:tc>
          <w:tcPr>
            <w:tcW w:w="8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
        </w:trPr>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528"/>
        </w:trPr>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19"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References to “we”, “our”, “us” and the like throughout this document refer to Lee Enterprises, Incorporated and subsidiaries (the "Company").</w:t>
      </w:r>
    </w:p>
    <w:p>
      <w:pPr>
        <w:spacing w:after="0"/>
        <w:rPr>
          <w:sz w:val="20"/>
          <w:szCs w:val="20"/>
          <w:color w:val="auto"/>
        </w:rPr>
      </w:pPr>
      <w:r>
        <w:rPr>
          <w:rFonts w:ascii="Arial" w:cs="Arial" w:eastAsia="Arial" w:hAnsi="Arial"/>
          <w:sz w:val="18"/>
          <w:szCs w:val="18"/>
          <w:color w:val="auto"/>
        </w:rPr>
        <w:t>References to "2019", "2018", "2017" and the like refer to the fiscal years ended the last Sunday in September.</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BUSINESS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Lee Enterprises, Incorporated ("Company", "we" or "our") is a leading provider of high quality, trusted, local news and information, and a major platform for advertising in the markets we serve. We operate 50 principally mid-sized local media operations (including TNI Partners ("TNI") and Madison Newspapers, Inc. ("MNI")) across 20 states.</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products include print and digital editions of daily, weekly and monthly newspapers and niche publications. All of our products offer print and digital editions, and our content and advertising is available in real time through our websites and mobile apps. We provide marketing services, predominately through our digital marketing agency, Amplified Agency, and through one of our subsidiaries, TownNews, we provide web hosting and content management services for our media operations and 2,000 other content producers who rely on TownNews for their web, Over-the-top display ("OTT"), mobile, video and social media products.</w:t>
      </w:r>
    </w:p>
    <w:p>
      <w:pPr>
        <w:spacing w:after="0" w:line="171"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 xml:space="preserve">Our local media operations range from large daily newspapers and the associated digital products, such as the </w:t>
      </w:r>
      <w:r>
        <w:rPr>
          <w:rFonts w:ascii="Arial" w:cs="Arial" w:eastAsia="Arial" w:hAnsi="Arial"/>
          <w:sz w:val="18"/>
          <w:szCs w:val="18"/>
          <w:i w:val="1"/>
          <w:iCs w:val="1"/>
          <w:color w:val="auto"/>
        </w:rPr>
        <w:t>St. Louis Post-Dispatch</w:t>
      </w:r>
      <w:r>
        <w:rPr>
          <w:rFonts w:ascii="Arial" w:cs="Arial" w:eastAsia="Arial" w:hAnsi="Arial"/>
          <w:sz w:val="18"/>
          <w:szCs w:val="18"/>
          <w:color w:val="auto"/>
        </w:rPr>
        <w:t>, to non-daily newspapers with news websites and digital platforms serving smaller communities.</w:t>
      </w:r>
    </w:p>
    <w:p>
      <w:pPr>
        <w:spacing w:after="0" w:line="16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the leading provider of local news, information and a major source of advertising in our markets we aim to grow our business through three main categories: subscriptions with consumers, local retail accounts and digital services.</w:t>
      </w:r>
    </w:p>
    <w:p>
      <w:pPr>
        <w:spacing w:after="0" w:line="183" w:lineRule="exact"/>
        <w:rPr>
          <w:sz w:val="20"/>
          <w:szCs w:val="20"/>
          <w:color w:val="auto"/>
        </w:rPr>
      </w:pPr>
    </w:p>
    <w:p>
      <w:pPr>
        <w:ind w:left="500" w:right="20" w:hanging="168"/>
        <w:spacing w:after="0" w:line="246"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committed to a business strategy that drives audience growth and engagement by delivering valuable, intensely local, original news and information to consumers.</w:t>
      </w:r>
    </w:p>
    <w:p>
      <w:pPr>
        <w:spacing w:after="0" w:line="183" w:lineRule="exact"/>
        <w:rPr>
          <w:rFonts w:ascii="Arial" w:cs="Arial" w:eastAsia="Arial" w:hAnsi="Arial"/>
          <w:sz w:val="18"/>
          <w:szCs w:val="18"/>
          <w:color w:val="auto"/>
        </w:rPr>
      </w:pPr>
    </w:p>
    <w:p>
      <w:pPr>
        <w:jc w:val="both"/>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Local, controllable retail accounts - those in which our local sales teams have direct contact with the advertising decision makers - are the core of our business. This segment represents more than 50% of advertising revenue and we believe we can improve revenue trends in this category as we have unmatched audience reach through our print and digital product offerings.</w:t>
      </w:r>
    </w:p>
    <w:p>
      <w:pPr>
        <w:spacing w:after="0" w:line="189" w:lineRule="exact"/>
        <w:rPr>
          <w:rFonts w:ascii="Arial" w:cs="Arial" w:eastAsia="Arial" w:hAnsi="Arial"/>
          <w:sz w:val="18"/>
          <w:szCs w:val="18"/>
          <w:color w:val="auto"/>
        </w:rPr>
      </w:pPr>
    </w:p>
    <w:p>
      <w:pPr>
        <w:ind w:left="500" w:right="20" w:hanging="168"/>
        <w:spacing w:after="0" w:line="246"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TownNews represents a powerful opportunity for us to drive additional digital revenue by providing state-of-the-art web hosting and content management services to nearly 2,000 other media organizations including broadcast.</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local media operations generate revenue primarily through print and digital advertising, digital marketing services, subscriptions to our publications and digital services, primarily through TownNews. Our operations also provide commercial printing, distribution of third party publications and management services to other local media operations.</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 xml:space="preserve">Advertising and Marketing Services - </w:t>
      </w:r>
      <w:r>
        <w:rPr>
          <w:rFonts w:ascii="Arial" w:cs="Arial" w:eastAsia="Arial" w:hAnsi="Arial"/>
          <w:sz w:val="18"/>
          <w:szCs w:val="18"/>
          <w:color w:val="auto"/>
        </w:rPr>
        <w:t>Approximately 52% of our 2019 revenue was derived from advertising and marketing services.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broadly define major categories of advertising and marketing services revenue:</w:t>
      </w:r>
    </w:p>
    <w:p>
      <w:pPr>
        <w:spacing w:after="0" w:line="147" w:lineRule="exact"/>
        <w:rPr>
          <w:sz w:val="20"/>
          <w:szCs w:val="20"/>
          <w:color w:val="auto"/>
        </w:rPr>
      </w:pPr>
    </w:p>
    <w:p>
      <w:pPr>
        <w:jc w:val="both"/>
        <w:ind w:left="460" w:right="140"/>
        <w:spacing w:after="0" w:line="251" w:lineRule="auto"/>
        <w:rPr>
          <w:sz w:val="20"/>
          <w:szCs w:val="20"/>
          <w:color w:val="auto"/>
        </w:rPr>
      </w:pPr>
      <w:r>
        <w:rPr>
          <w:rFonts w:ascii="Arial" w:cs="Arial" w:eastAsia="Arial" w:hAnsi="Arial"/>
          <w:sz w:val="18"/>
          <w:szCs w:val="18"/>
          <w:i w:val="1"/>
          <w:iCs w:val="1"/>
          <w:color w:val="auto"/>
        </w:rPr>
        <w:t xml:space="preserve">Local retail </w:t>
      </w:r>
      <w:r>
        <w:rPr>
          <w:rFonts w:ascii="Arial" w:cs="Arial" w:eastAsia="Arial" w:hAnsi="Arial"/>
          <w:sz w:val="18"/>
          <w:szCs w:val="18"/>
          <w:color w:val="auto"/>
        </w:rPr>
        <w:t>advertising is revenue earned from top local accounts and Small to Medium Businesses (SMBs) in our markets and takes</w:t>
      </w:r>
      <w:r>
        <w:rPr>
          <w:rFonts w:ascii="Arial" w:cs="Arial" w:eastAsia="Arial" w:hAnsi="Arial"/>
          <w:sz w:val="18"/>
          <w:szCs w:val="18"/>
          <w:i w:val="1"/>
          <w:iCs w:val="1"/>
          <w:color w:val="auto"/>
        </w:rPr>
        <w:t xml:space="preserve"> </w:t>
      </w:r>
      <w:r>
        <w:rPr>
          <w:rFonts w:ascii="Arial" w:cs="Arial" w:eastAsia="Arial" w:hAnsi="Arial"/>
          <w:sz w:val="18"/>
          <w:szCs w:val="18"/>
          <w:color w:val="auto"/>
        </w:rPr>
        <w:t>the form of display advertising in daily and non-daily publications, from preprinted advertising inserted in the publication, and display advertising delivered on our owned and operated websites.</w:t>
      </w:r>
    </w:p>
    <w:p>
      <w:pPr>
        <w:spacing w:after="0" w:line="161" w:lineRule="exact"/>
        <w:rPr>
          <w:sz w:val="20"/>
          <w:szCs w:val="20"/>
          <w:color w:val="auto"/>
        </w:rPr>
      </w:pPr>
    </w:p>
    <w:p>
      <w:pPr>
        <w:jc w:val="both"/>
        <w:ind w:left="460" w:right="140"/>
        <w:spacing w:after="0" w:line="267" w:lineRule="auto"/>
        <w:rPr>
          <w:sz w:val="20"/>
          <w:szCs w:val="20"/>
          <w:color w:val="auto"/>
        </w:rPr>
      </w:pPr>
      <w:r>
        <w:rPr>
          <w:rFonts w:ascii="Arial" w:cs="Arial" w:eastAsia="Arial" w:hAnsi="Arial"/>
          <w:sz w:val="18"/>
          <w:szCs w:val="18"/>
          <w:i w:val="1"/>
          <w:iCs w:val="1"/>
          <w:color w:val="auto"/>
        </w:rPr>
        <w:t xml:space="preserve">Classified </w:t>
      </w:r>
      <w:r>
        <w:rPr>
          <w:rFonts w:ascii="Arial" w:cs="Arial" w:eastAsia="Arial" w:hAnsi="Arial"/>
          <w:sz w:val="18"/>
          <w:szCs w:val="18"/>
          <w:color w:val="auto"/>
        </w:rPr>
        <w:t>advertising includes major categories of employment, real estate, automotive, obituaries and legal notices. Advertising for</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classifieds is published in both the print and digital editions of our products and is also posted on our websites and mobile applications.</w:t>
      </w:r>
    </w:p>
    <w:p>
      <w:pPr>
        <w:spacing w:after="0" w:line="147" w:lineRule="exact"/>
        <w:rPr>
          <w:sz w:val="20"/>
          <w:szCs w:val="20"/>
          <w:color w:val="auto"/>
        </w:rPr>
      </w:pPr>
    </w:p>
    <w:p>
      <w:pPr>
        <w:jc w:val="both"/>
        <w:ind w:left="460" w:right="140"/>
        <w:spacing w:after="0" w:line="267" w:lineRule="auto"/>
        <w:rPr>
          <w:sz w:val="20"/>
          <w:szCs w:val="20"/>
          <w:color w:val="auto"/>
        </w:rPr>
      </w:pPr>
      <w:r>
        <w:rPr>
          <w:rFonts w:ascii="Arial" w:cs="Arial" w:eastAsia="Arial" w:hAnsi="Arial"/>
          <w:sz w:val="18"/>
          <w:szCs w:val="18"/>
          <w:i w:val="1"/>
          <w:iCs w:val="1"/>
          <w:color w:val="auto"/>
        </w:rPr>
        <w:t xml:space="preserve">National </w:t>
      </w:r>
      <w:r>
        <w:rPr>
          <w:rFonts w:ascii="Arial" w:cs="Arial" w:eastAsia="Arial" w:hAnsi="Arial"/>
          <w:sz w:val="18"/>
          <w:szCs w:val="18"/>
          <w:color w:val="auto"/>
        </w:rPr>
        <w:t>advertising is revenue earned from the sale of print or digital display advertising space, or from preprinted advertising inserted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publication, from national accounts that do not have a local retailer representing the account in the market.</w:t>
      </w:r>
    </w:p>
    <w:p>
      <w:pPr>
        <w:spacing w:after="0" w:line="147" w:lineRule="exact"/>
        <w:rPr>
          <w:sz w:val="20"/>
          <w:szCs w:val="20"/>
          <w:color w:val="auto"/>
        </w:rPr>
      </w:pPr>
    </w:p>
    <w:p>
      <w:pPr>
        <w:jc w:val="both"/>
        <w:ind w:left="460" w:right="140"/>
        <w:spacing w:after="0" w:line="267" w:lineRule="auto"/>
        <w:rPr>
          <w:sz w:val="20"/>
          <w:szCs w:val="20"/>
          <w:color w:val="auto"/>
        </w:rPr>
      </w:pPr>
      <w:r>
        <w:rPr>
          <w:rFonts w:ascii="Arial" w:cs="Arial" w:eastAsia="Arial" w:hAnsi="Arial"/>
          <w:sz w:val="18"/>
          <w:szCs w:val="18"/>
          <w:i w:val="1"/>
          <w:iCs w:val="1"/>
          <w:color w:val="auto"/>
        </w:rPr>
        <w:t xml:space="preserve">Niche publications </w:t>
      </w:r>
      <w:r>
        <w:rPr>
          <w:rFonts w:ascii="Arial" w:cs="Arial" w:eastAsia="Arial" w:hAnsi="Arial"/>
          <w:sz w:val="18"/>
          <w:szCs w:val="18"/>
          <w:color w:val="auto"/>
        </w:rPr>
        <w:t>are specialty publications, such as lifestyle, business, health or home improvement publications that contain</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w:t>
      </w:r>
    </w:p>
    <w:p>
      <w:pPr>
        <w:spacing w:after="0" w:line="147" w:lineRule="exact"/>
        <w:rPr>
          <w:sz w:val="20"/>
          <w:szCs w:val="20"/>
          <w:color w:val="auto"/>
        </w:rPr>
      </w:pPr>
    </w:p>
    <w:p>
      <w:pPr>
        <w:jc w:val="both"/>
        <w:ind w:left="460" w:right="140"/>
        <w:spacing w:after="0" w:line="267" w:lineRule="auto"/>
        <w:rPr>
          <w:sz w:val="20"/>
          <w:szCs w:val="20"/>
          <w:color w:val="auto"/>
        </w:rPr>
      </w:pPr>
      <w:r>
        <w:rPr>
          <w:rFonts w:ascii="Arial" w:cs="Arial" w:eastAsia="Arial" w:hAnsi="Arial"/>
          <w:sz w:val="18"/>
          <w:szCs w:val="18"/>
          <w:i w:val="1"/>
          <w:iCs w:val="1"/>
          <w:color w:val="auto"/>
        </w:rPr>
        <w:t xml:space="preserve">Marketing services </w:t>
      </w:r>
      <w:r>
        <w:rPr>
          <w:rFonts w:ascii="Arial" w:cs="Arial" w:eastAsia="Arial" w:hAnsi="Arial"/>
          <w:sz w:val="18"/>
          <w:szCs w:val="18"/>
          <w:color w:val="auto"/>
        </w:rPr>
        <w:t>represents a complete suite of services including events, contests and digital promotions offered in our local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Amplified Agency.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3" w:right="239" w:bottom="1440" w:gutter="0" w:footer="0" w:header="0"/>
        </w:sectPr>
      </w:pPr>
    </w:p>
    <w:bookmarkStart w:id="3" w:name="page4"/>
    <w:bookmarkEnd w:id="3"/>
    <w:p>
      <w:pPr>
        <w:jc w:val="both"/>
        <w:spacing w:after="0" w:line="239" w:lineRule="auto"/>
        <w:rPr>
          <w:sz w:val="20"/>
          <w:szCs w:val="20"/>
          <w:color w:val="auto"/>
        </w:rPr>
      </w:pPr>
      <w:r>
        <w:rPr>
          <w:rFonts w:ascii="Arial" w:cs="Arial" w:eastAsia="Arial" w:hAnsi="Arial"/>
          <w:sz w:val="18"/>
          <w:szCs w:val="18"/>
          <w:color w:val="auto"/>
        </w:rPr>
        <w:t>Our sales force uses a multi-platform sales approach that maximizes audience reach for our advertisers by tailoring advertising and marketing services packages based on the size and scale of the advertiser. Through Amplified Agency we create sophisticated digital campaigns on our owned and operated sites and on third party inventory that give advertisers the ability to target their message. We partner with Google to provide key metrics and analytics to measure campaign effectiveness.</w:t>
      </w:r>
    </w:p>
    <w:p>
      <w:pPr>
        <w:spacing w:after="0" w:line="18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advertising revenues are subject to seasonality due primarily to fluctuations in advertising spend. Advertising revenue is typically highest in our first quarter due to holiday and seasonal advertising and lowest in the second quarter following the holiday season. The volume of advertising sales in any period is also impacted by other external factors such as competitors' pricing, advertisers' decisions to increase or decrease their advertising expenditures in response to anticipated consumer demand, and general economic conditions.</w:t>
      </w:r>
    </w:p>
    <w:p>
      <w:pPr>
        <w:spacing w:after="0" w:line="17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 xml:space="preserve">Subscription Revenue - </w:t>
      </w:r>
      <w:r>
        <w:rPr>
          <w:rFonts w:ascii="Arial" w:cs="Arial" w:eastAsia="Arial" w:hAnsi="Arial"/>
          <w:sz w:val="18"/>
          <w:szCs w:val="18"/>
          <w:color w:val="auto"/>
        </w:rPr>
        <w:t>Approximately 37% of our 2019 revenue was derived from subscriptions to our print and digital products. Subscription</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is earned primarily from our News+ membership platform, which offers different rewards, benefits and access to content through five different membership levels. Three levels include full access, where members receive print and digital access to our leading local news, information and advertising content, and two levels include digital-only access. We also earn subscription revenue from the sale of single copy editions.</w:t>
      </w:r>
    </w:p>
    <w:p>
      <w:pPr>
        <w:spacing w:after="0" w:line="19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reach 77% of all adults in our larger markets through a combination of our print and digital content offerings.</w:t>
      </w:r>
    </w:p>
    <w:p>
      <w:pPr>
        <w:spacing w:after="0" w:line="198" w:lineRule="exact"/>
        <w:rPr>
          <w:sz w:val="20"/>
          <w:szCs w:val="20"/>
          <w:color w:val="auto"/>
        </w:rPr>
      </w:pPr>
    </w:p>
    <w:p>
      <w:pPr>
        <w:ind w:left="840" w:right="100" w:hanging="326"/>
        <w:spacing w:after="0" w:line="218" w:lineRule="auto"/>
        <w:tabs>
          <w:tab w:leader="none" w:pos="840"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printed newspapers reach almost 700,000 households daily and more than 1 million on Sunday, and more than 265,000 users access our digital e-edition.</w:t>
      </w:r>
    </w:p>
    <w:p>
      <w:pPr>
        <w:spacing w:after="0" w:line="189" w:lineRule="exact"/>
        <w:rPr>
          <w:rFonts w:ascii="Arial" w:cs="Arial" w:eastAsia="Arial" w:hAnsi="Arial"/>
          <w:sz w:val="22"/>
          <w:szCs w:val="22"/>
          <w:color w:val="auto"/>
        </w:rPr>
      </w:pPr>
    </w:p>
    <w:p>
      <w:pPr>
        <w:jc w:val="both"/>
        <w:ind w:left="840" w:hanging="326"/>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Our web and mobile sites are the number one digital source of local news in most of our markets, reaching more than 29.3 million unique visitors each month with a monthly average of 286.9 million page views. Page views per session, one metric we use to monitor engagement, increased 10.2% in </w:t>
      </w:r>
      <w:r>
        <w:rPr>
          <w:rFonts w:ascii="Arial" w:cs="Arial" w:eastAsia="Arial" w:hAnsi="Arial"/>
          <w:sz w:val="18"/>
          <w:szCs w:val="18"/>
          <w:color w:val="333333"/>
        </w:rPr>
        <w:t>2019</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840" w:hanging="326"/>
        <w:spacing w:after="0" w:line="218" w:lineRule="auto"/>
        <w:tabs>
          <w:tab w:leader="none" w:pos="840" w:val="left"/>
        </w:tabs>
        <w:numPr>
          <w:ilvl w:val="0"/>
          <w:numId w:val="4"/>
        </w:numPr>
        <w:rPr>
          <w:rFonts w:ascii="Arial" w:cs="Arial" w:eastAsia="Arial" w:hAnsi="Arial"/>
          <w:sz w:val="22"/>
          <w:szCs w:val="22"/>
          <w:color w:val="auto"/>
        </w:rPr>
      </w:pPr>
      <w:r>
        <w:rPr>
          <w:rFonts w:ascii="Arial" w:cs="Arial" w:eastAsia="Arial" w:hAnsi="Arial"/>
          <w:sz w:val="18"/>
          <w:szCs w:val="18"/>
          <w:color w:val="auto"/>
        </w:rPr>
        <w:t>As of September 29, 2019, we have 91,000 digital only subscribers, a 79.1% increase over 2018. News+ full access members also have access to, and use, our digital content.</w:t>
      </w:r>
    </w:p>
    <w:p>
      <w:pPr>
        <w:spacing w:after="0" w:line="17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i w:val="1"/>
          <w:iCs w:val="1"/>
          <w:color w:val="auto"/>
        </w:rPr>
        <w:t xml:space="preserve">Digital Services Revenue – </w:t>
      </w:r>
      <w:r>
        <w:rPr>
          <w:rFonts w:ascii="Arial" w:cs="Arial" w:eastAsia="Arial" w:hAnsi="Arial"/>
          <w:sz w:val="18"/>
          <w:szCs w:val="18"/>
          <w:color w:val="auto"/>
        </w:rPr>
        <w:t>Approximately 4% of our revenue is derived from digital services, most of which is revenue from TownNews.</w:t>
      </w:r>
      <w:r>
        <w:rPr>
          <w:rFonts w:ascii="Arial" w:cs="Arial" w:eastAsia="Arial" w:hAnsi="Arial"/>
          <w:sz w:val="18"/>
          <w:szCs w:val="18"/>
          <w:i w:val="1"/>
          <w:iCs w:val="1"/>
          <w:color w:val="auto"/>
        </w:rPr>
        <w:t xml:space="preserve"> </w:t>
      </w:r>
      <w:r>
        <w:rPr>
          <w:rFonts w:ascii="Arial" w:cs="Arial" w:eastAsia="Arial" w:hAnsi="Arial"/>
          <w:sz w:val="18"/>
          <w:szCs w:val="18"/>
          <w:color w:val="auto"/>
        </w:rPr>
        <w:t>TownNews, operated through our 82.5% owned subsidiary INN Partners, L.C., is a leading provider of integrated digital publishing and content management solutions, and offers a state-of-the-art platform for creating, distributing and monetizing multimedia content.</w:t>
      </w:r>
    </w:p>
    <w:p>
      <w:pPr>
        <w:spacing w:after="0" w:line="179" w:lineRule="exact"/>
        <w:rPr>
          <w:sz w:val="20"/>
          <w:szCs w:val="20"/>
          <w:color w:val="auto"/>
        </w:rPr>
      </w:pPr>
    </w:p>
    <w:p>
      <w:pPr>
        <w:ind w:left="840" w:hanging="326"/>
        <w:spacing w:after="0" w:line="246"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TownNews is the engine that powers our digital products. In addition to us, TownNews services nearly 2,000 daily and weekly newspapers as well as universities, television stations and niche publications.</w:t>
      </w:r>
    </w:p>
    <w:p>
      <w:pPr>
        <w:spacing w:after="0" w:line="147" w:lineRule="exact"/>
        <w:rPr>
          <w:rFonts w:ascii="Arial" w:cs="Arial" w:eastAsia="Arial" w:hAnsi="Arial"/>
          <w:sz w:val="18"/>
          <w:szCs w:val="18"/>
          <w:color w:val="auto"/>
        </w:rPr>
      </w:pPr>
    </w:p>
    <w:p>
      <w:pPr>
        <w:ind w:left="840" w:hanging="326"/>
        <w:spacing w:after="0"/>
        <w:tabs>
          <w:tab w:leader="none" w:pos="840" w:val="left"/>
        </w:tabs>
        <w:numPr>
          <w:ilvl w:val="0"/>
          <w:numId w:val="5"/>
        </w:numPr>
        <w:rPr>
          <w:rFonts w:ascii="Arial" w:cs="Arial" w:eastAsia="Arial" w:hAnsi="Arial"/>
          <w:sz w:val="22"/>
          <w:szCs w:val="22"/>
          <w:color w:val="auto"/>
        </w:rPr>
      </w:pPr>
      <w:r>
        <w:rPr>
          <w:rFonts w:ascii="Arial" w:cs="Arial" w:eastAsia="Arial" w:hAnsi="Arial"/>
          <w:sz w:val="18"/>
          <w:szCs w:val="18"/>
          <w:color w:val="auto"/>
        </w:rPr>
        <w:t>Including revenue generated from our markets, total revenue at TownNews grew almost 20% in 2019 and totaled $22.6 million.</w:t>
      </w:r>
    </w:p>
    <w:p>
      <w:pPr>
        <w:spacing w:after="0" w:line="228" w:lineRule="exact"/>
        <w:rPr>
          <w:rFonts w:ascii="Arial" w:cs="Arial" w:eastAsia="Arial" w:hAnsi="Arial"/>
          <w:sz w:val="22"/>
          <w:szCs w:val="22"/>
          <w:color w:val="auto"/>
        </w:rPr>
      </w:pPr>
    </w:p>
    <w:p>
      <w:pPr>
        <w:ind w:left="840" w:hanging="326"/>
        <w:spacing w:after="0" w:line="218" w:lineRule="auto"/>
        <w:tabs>
          <w:tab w:leader="none" w:pos="840" w:val="left"/>
        </w:tabs>
        <w:numPr>
          <w:ilvl w:val="0"/>
          <w:numId w:val="5"/>
        </w:numPr>
        <w:rPr>
          <w:rFonts w:ascii="Arial" w:cs="Arial" w:eastAsia="Arial" w:hAnsi="Arial"/>
          <w:sz w:val="22"/>
          <w:szCs w:val="22"/>
          <w:color w:val="auto"/>
        </w:rPr>
      </w:pPr>
      <w:r>
        <w:rPr>
          <w:rFonts w:ascii="Arial" w:cs="Arial" w:eastAsia="Arial" w:hAnsi="Arial"/>
          <w:sz w:val="18"/>
          <w:szCs w:val="18"/>
          <w:color w:val="auto"/>
        </w:rPr>
        <w:t>With strong product offerings, investments in video and streaming technology and a diversifying customer base into broadcast, TownNews is positioned to continue to be a key component to our growth strategy.</w:t>
      </w:r>
    </w:p>
    <w:p>
      <w:pPr>
        <w:spacing w:after="0" w:line="17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 xml:space="preserve">Other Revenue </w:t>
      </w:r>
      <w:r>
        <w:rPr>
          <w:rFonts w:ascii="Arial" w:cs="Arial" w:eastAsia="Arial" w:hAnsi="Arial"/>
          <w:sz w:val="18"/>
          <w:szCs w:val="18"/>
          <w:color w:val="auto"/>
        </w:rPr>
        <w:t>- Other revenue, excluding digital services revenue, is comprised mainly of revenue from our management agreement with BH</w:t>
      </w:r>
      <w:r>
        <w:rPr>
          <w:rFonts w:ascii="Arial" w:cs="Arial" w:eastAsia="Arial" w:hAnsi="Arial"/>
          <w:sz w:val="18"/>
          <w:szCs w:val="18"/>
          <w:i w:val="1"/>
          <w:iCs w:val="1"/>
          <w:color w:val="auto"/>
        </w:rPr>
        <w:t xml:space="preserve"> </w:t>
      </w:r>
      <w:r>
        <w:rPr>
          <w:rFonts w:ascii="Arial" w:cs="Arial" w:eastAsia="Arial" w:hAnsi="Arial"/>
          <w:sz w:val="18"/>
          <w:szCs w:val="18"/>
          <w:color w:val="auto"/>
        </w:rPr>
        <w:t>Media Group, Inc (“BHMG”), commercial printing and delivery of third party products. Other revenue represents 7% of our business.</w:t>
      </w:r>
    </w:p>
    <w:p>
      <w:pPr>
        <w:spacing w:after="0" w:line="165"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Our operating costs are primarily compensation, newsprint, delivery and digital costs. Over the past several years we have adjusted our business model to create operational efficiencies and significantly reduce our cost structure.</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centralized, or regionalized, most back office functions including the design of our newspapers. The regional design centers ("RDCs") have enabled us to more cost effectively design and layout the newspaper. The RDCs - combined with a common content management system across all of our daily newspaper markets - have created additional operating efficiencies and cost savings. We have templated designs for our printed and digital editions, and we have created a national news desk that shares high quality content across all of our markets, including national news, regional news and other special sections content. The national news desk allows our newsrooms to focus on high quality local content. We believe we will continue to create additional operational efficiencies and continue to transform our business model.</w:t>
      </w:r>
    </w:p>
    <w:p>
      <w:pPr>
        <w:spacing w:after="0" w:line="1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66040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20" w:top="598" w:right="379" w:bottom="1440" w:gutter="0" w:footer="0" w:header="0"/>
        </w:sectPr>
      </w:pPr>
    </w:p>
    <w:bookmarkStart w:id="4" w:name="page5"/>
    <w:bookmarkEnd w:id="4"/>
    <w:p>
      <w:pPr>
        <w:jc w:val="both"/>
        <w:ind w:right="140"/>
        <w:spacing w:after="0"/>
        <w:rPr>
          <w:sz w:val="20"/>
          <w:szCs w:val="20"/>
          <w:color w:val="auto"/>
        </w:rPr>
      </w:pPr>
      <w:r>
        <w:rPr>
          <w:rFonts w:ascii="Arial" w:cs="Arial" w:eastAsia="Arial" w:hAnsi="Arial"/>
          <w:sz w:val="18"/>
          <w:szCs w:val="18"/>
          <w:color w:val="auto"/>
        </w:rPr>
        <w:t>Several of our businesses operate in geographic groups of publications, or “clusters,” which provide operational efficiencies, extend sales penetration and provide broader audiences for advertisers. A table under the caption “Daily Newspapers and Markets” in Item 1, included herein, identifies those groups of our newspapers operating in clusters.</w:t>
      </w:r>
    </w:p>
    <w:p>
      <w:pPr>
        <w:spacing w:after="0" w:line="189"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Our local media operations compete with other media and digital companies for advertising and marketing spend as well as other news and information outlets for subscription spend. While very few of our local media operations have similar daily print competitors that are published in the same city, our local media operations compete with the following types of businesses:</w:t>
      </w:r>
    </w:p>
    <w:p>
      <w:pPr>
        <w:spacing w:after="0" w:line="189" w:lineRule="exact"/>
        <w:rPr>
          <w:sz w:val="20"/>
          <w:szCs w:val="20"/>
          <w:color w:val="auto"/>
        </w:rPr>
      </w:pPr>
    </w:p>
    <w:p>
      <w:pPr>
        <w:ind w:left="480" w:right="140" w:hanging="222"/>
        <w:spacing w:after="0" w:line="246"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media including magazines, radio, television, outdoor/billboard advertising, other classified and specialty publications, other print publications both free and paid, direct mail, directories, and national, regional and local advertising websites and content providers.</w:t>
      </w:r>
    </w:p>
    <w:p>
      <w:pPr>
        <w:spacing w:after="0" w:line="183" w:lineRule="exact"/>
        <w:rPr>
          <w:sz w:val="20"/>
          <w:szCs w:val="20"/>
          <w:color w:val="auto"/>
        </w:rPr>
      </w:pPr>
    </w:p>
    <w:p>
      <w:pPr>
        <w:ind w:left="20"/>
        <w:spacing w:after="0" w:line="246" w:lineRule="auto"/>
        <w:rPr>
          <w:sz w:val="20"/>
          <w:szCs w:val="20"/>
          <w:color w:val="auto"/>
        </w:rPr>
      </w:pPr>
      <w:r>
        <w:rPr>
          <w:rFonts w:ascii="Arial" w:cs="Arial" w:eastAsia="Arial" w:hAnsi="Arial"/>
          <w:sz w:val="18"/>
          <w:szCs w:val="18"/>
          <w:color w:val="auto"/>
        </w:rPr>
        <w:t>The number of competitors in any given market varies, however all of the forms of competition noted above exist to some degree in all of our markets.</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Lee Enterprises, Incorporated was founded in 1890, incorporated in 1950, and listed on the New York Stock Exchange ("NYSE") in 1978.</w:t>
      </w:r>
    </w:p>
    <w:p>
      <w:pPr>
        <w:spacing w:after="0" w:line="198" w:lineRule="exact"/>
        <w:rPr>
          <w:sz w:val="20"/>
          <w:szCs w:val="20"/>
          <w:color w:val="auto"/>
        </w:rPr>
      </w:pPr>
    </w:p>
    <w:p>
      <w:pPr>
        <w:jc w:val="both"/>
        <w:ind w:right="140"/>
        <w:spacing w:after="0" w:line="239" w:lineRule="auto"/>
        <w:rPr>
          <w:sz w:val="20"/>
          <w:szCs w:val="20"/>
          <w:color w:val="auto"/>
        </w:rPr>
      </w:pPr>
      <w:r>
        <w:rPr>
          <w:rFonts w:ascii="Arial" w:cs="Arial" w:eastAsia="Arial" w:hAnsi="Arial"/>
          <w:sz w:val="18"/>
          <w:szCs w:val="18"/>
          <w:color w:val="auto"/>
        </w:rPr>
        <w:t>Our ability to operate as a going concern is dependent on our ability to repay, refinance or amend our debt agreements as they become due, and remain in compliance with debt covenants. We are in compliance with our debt covenants as of September 29, 2019. The information included herein should be evaluated in that context. See Item 1A, “Risk Factors”, and Notes 4 and 5 of the Notes to Consolidated Financial Statements, included herein, for additional information.</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STRATEGIC INITIATIVES</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Key elements of our strategy are as follows:</w:t>
      </w:r>
    </w:p>
    <w:p>
      <w:pPr>
        <w:spacing w:after="0" w:line="180" w:lineRule="exact"/>
        <w:rPr>
          <w:sz w:val="20"/>
          <w:szCs w:val="20"/>
          <w:color w:val="auto"/>
        </w:rPr>
      </w:pPr>
    </w:p>
    <w:p>
      <w:pPr>
        <w:jc w:val="both"/>
        <w:ind w:right="140"/>
        <w:spacing w:after="0" w:line="242" w:lineRule="auto"/>
        <w:rPr>
          <w:sz w:val="20"/>
          <w:szCs w:val="20"/>
          <w:color w:val="auto"/>
        </w:rPr>
      </w:pPr>
      <w:r>
        <w:rPr>
          <w:rFonts w:ascii="Arial" w:cs="Arial" w:eastAsia="Arial" w:hAnsi="Arial"/>
          <w:sz w:val="18"/>
          <w:szCs w:val="18"/>
          <w:i w:val="1"/>
          <w:iCs w:val="1"/>
          <w:color w:val="auto"/>
        </w:rPr>
        <w:t xml:space="preserve">Comprehensive Local News That Drives Frequency and Engagement. </w:t>
      </w:r>
      <w:r>
        <w:rPr>
          <w:rFonts w:ascii="Arial" w:cs="Arial" w:eastAsia="Arial" w:hAnsi="Arial"/>
          <w:sz w:val="18"/>
          <w:szCs w:val="18"/>
          <w:color w:val="auto"/>
        </w:rPr>
        <w:t>We drive frequency and engagement with our products by delivering</w:t>
      </w:r>
      <w:r>
        <w:rPr>
          <w:rFonts w:ascii="Arial" w:cs="Arial" w:eastAsia="Arial" w:hAnsi="Arial"/>
          <w:sz w:val="18"/>
          <w:szCs w:val="18"/>
          <w:i w:val="1"/>
          <w:iCs w:val="1"/>
          <w:color w:val="auto"/>
        </w:rPr>
        <w:t xml:space="preserve"> </w:t>
      </w:r>
      <w:r>
        <w:rPr>
          <w:rFonts w:ascii="Arial" w:cs="Arial" w:eastAsia="Arial" w:hAnsi="Arial"/>
          <w:sz w:val="18"/>
          <w:szCs w:val="18"/>
          <w:color w:val="auto"/>
        </w:rPr>
        <w:t>valuable, intensely local, original news and information that we believe in many cases our audiences cannot otherwise readily obtain. Our talented news and editorial staff provide constant, real-time local news with significant breadth, depth and reliability. We believe the strength of our local brands is the result of the quality of our news gathering staff. This allows us to provide the most comprehensive coverage of local news in our markets. In most of our markets, we are the leading source of print and digital news and information.</w:t>
      </w:r>
    </w:p>
    <w:p>
      <w:pPr>
        <w:spacing w:after="0" w:line="190"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We are focused on continually improving the functionality and design of all our news platforms, allowing us to provide greater depth of coverage and increasing reader engagement. Our local news teams leverage many centralized resources including teams that are responsible for design, national news, syndicated content, digital content, video and data analytics. We are providing our journalists with tools to give them real-time information about audience engagement on our digital platforms. This helps inform their decisions on both presentation and coverage. Driving efficiencies within all of these areas allows for more robust local news content.</w:t>
      </w:r>
    </w:p>
    <w:p>
      <w:pPr>
        <w:spacing w:after="0" w:line="189" w:lineRule="exact"/>
        <w:rPr>
          <w:sz w:val="20"/>
          <w:szCs w:val="20"/>
          <w:color w:val="auto"/>
        </w:rPr>
      </w:pPr>
    </w:p>
    <w:p>
      <w:pPr>
        <w:jc w:val="both"/>
        <w:ind w:right="140"/>
        <w:spacing w:after="0" w:line="239" w:lineRule="auto"/>
        <w:rPr>
          <w:sz w:val="20"/>
          <w:szCs w:val="20"/>
          <w:color w:val="auto"/>
        </w:rPr>
      </w:pPr>
      <w:r>
        <w:rPr>
          <w:rFonts w:ascii="Arial" w:cs="Arial" w:eastAsia="Arial" w:hAnsi="Arial"/>
          <w:sz w:val="18"/>
          <w:szCs w:val="18"/>
          <w:color w:val="auto"/>
        </w:rPr>
        <w:t>We believe our journalists are at the forefront of gathering and producing news and information about their local community. We seek to grow our digital audience by engaging our readers with news and information that we believe stirs public awareness, advances ideas, inspires vision, creates debate and provokes action. Through our news leadership we strive to contribute to community betterment, promote education, foster commerce and help improve the quality of life in our markets.</w:t>
      </w:r>
    </w:p>
    <w:p>
      <w:pPr>
        <w:spacing w:after="0" w:line="170" w:lineRule="exact"/>
        <w:rPr>
          <w:sz w:val="20"/>
          <w:szCs w:val="20"/>
          <w:color w:val="auto"/>
        </w:rPr>
      </w:pPr>
    </w:p>
    <w:p>
      <w:pPr>
        <w:jc w:val="both"/>
        <w:ind w:right="140"/>
        <w:spacing w:after="0" w:line="245" w:lineRule="auto"/>
        <w:rPr>
          <w:sz w:val="20"/>
          <w:szCs w:val="20"/>
          <w:color w:val="auto"/>
        </w:rPr>
      </w:pPr>
      <w:r>
        <w:rPr>
          <w:rFonts w:ascii="Arial" w:cs="Arial" w:eastAsia="Arial" w:hAnsi="Arial"/>
          <w:sz w:val="18"/>
          <w:szCs w:val="18"/>
          <w:i w:val="1"/>
          <w:iCs w:val="1"/>
          <w:color w:val="auto"/>
        </w:rPr>
        <w:t xml:space="preserve">Become Predominately Digital Revenue Driven. </w:t>
      </w:r>
      <w:r>
        <w:rPr>
          <w:rFonts w:ascii="Arial" w:cs="Arial" w:eastAsia="Arial" w:hAnsi="Arial"/>
          <w:sz w:val="18"/>
          <w:szCs w:val="18"/>
          <w:color w:val="auto"/>
        </w:rPr>
        <w:t>Our digital businesses have experienced rapid growth, and since 2011 total digital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which includes digital advertising, digital only subscription revenue and digital services revenue, increased at a compound annual growth rate of 10.9%. In 2019, total digital revenue grew 4.0% and totaled $144,646,000 or 28.4% of our total operating revenue. The increase was fueled by growing our digital audiences, increases in our rates, 79.1% growth in digital only subscribers and rapid growth at TownNews.</w:t>
      </w:r>
    </w:p>
    <w:p>
      <w:pPr>
        <w:spacing w:after="0" w:line="186"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We are growing digital revenue by offering an expansive array of digital products including: video, behavioral targeting, audience retargeting, banner ads, social networking, and digital couponing. Through Amplified Agency, we provide digital marketing services to SMBs, including Search Engine Marketing (SEM), social media, audience extension, business profiles, and website hosting and design.</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66040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598" w:right="239" w:bottom="1440" w:gutter="0" w:footer="0" w:header="0"/>
        </w:sectPr>
      </w:pPr>
    </w:p>
    <w:bookmarkStart w:id="5" w:name="page6"/>
    <w:bookmarkEnd w:id="5"/>
    <w:p>
      <w:pPr>
        <w:jc w:val="both"/>
        <w:ind w:right="140"/>
        <w:spacing w:after="0"/>
        <w:rPr>
          <w:sz w:val="20"/>
          <w:szCs w:val="20"/>
          <w:color w:val="auto"/>
        </w:rPr>
      </w:pPr>
      <w:r>
        <w:rPr>
          <w:rFonts w:ascii="Arial" w:cs="Arial" w:eastAsia="Arial" w:hAnsi="Arial"/>
          <w:sz w:val="18"/>
          <w:szCs w:val="18"/>
          <w:color w:val="auto"/>
        </w:rPr>
        <w:t>We believe that these innovative solutions will continue to drive meaningful new opportunities for us to grow our digital marketing revenue. We also continue to expand our array of digital products to address advertisers' evolving needs and contend with competition while seeking to increase our share of advertising and marketing services spending from existing customers.</w:t>
      </w:r>
    </w:p>
    <w:p>
      <w:pPr>
        <w:spacing w:after="0" w:line="189" w:lineRule="exact"/>
        <w:rPr>
          <w:sz w:val="20"/>
          <w:szCs w:val="20"/>
          <w:color w:val="auto"/>
        </w:rPr>
      </w:pPr>
    </w:p>
    <w:p>
      <w:pPr>
        <w:jc w:val="both"/>
        <w:ind w:right="140"/>
        <w:spacing w:after="0" w:line="239" w:lineRule="auto"/>
        <w:rPr>
          <w:sz w:val="20"/>
          <w:szCs w:val="20"/>
          <w:color w:val="auto"/>
        </w:rPr>
      </w:pPr>
      <w:r>
        <w:rPr>
          <w:rFonts w:ascii="Arial" w:cs="Arial" w:eastAsia="Arial" w:hAnsi="Arial"/>
          <w:sz w:val="18"/>
          <w:szCs w:val="18"/>
          <w:color w:val="auto"/>
        </w:rPr>
        <w:t>Growing digital subscribers is another key to becoming predominately digital revenue driven. Our digital audiences are comprised of full access members, digital only members and non-members who access our site subject to our paywall limits. More than 60% of our full access members have activated their digital access, and the number of digital only members increased 79.1% in 2019. In 2019, we averaged 29,334,000 monthly unique visitors across all of our digital products and as of September 29, 2019, we had 91,000 digital only members.</w:t>
      </w:r>
    </w:p>
    <w:p>
      <w:pPr>
        <w:spacing w:after="0" w:line="188" w:lineRule="exact"/>
        <w:rPr>
          <w:sz w:val="20"/>
          <w:szCs w:val="20"/>
          <w:color w:val="auto"/>
        </w:rPr>
      </w:pPr>
    </w:p>
    <w:p>
      <w:pPr>
        <w:jc w:val="both"/>
        <w:ind w:right="120"/>
        <w:spacing w:after="0" w:line="239" w:lineRule="auto"/>
        <w:rPr>
          <w:sz w:val="20"/>
          <w:szCs w:val="20"/>
          <w:color w:val="auto"/>
        </w:rPr>
      </w:pPr>
      <w:r>
        <w:rPr>
          <w:rFonts w:ascii="Arial" w:cs="Arial" w:eastAsia="Arial" w:hAnsi="Arial"/>
          <w:sz w:val="18"/>
          <w:szCs w:val="18"/>
          <w:color w:val="auto"/>
        </w:rPr>
        <w:t>In 2020, we expect to increase our investment in growing our audiences by using data and analytics to drive our acquisition strategy. Our primary acquisition tactics include sophisticated data-mining techniques leveraging both online and offline consumer behaviors to target full access and digital-only subscription offers. These targeted offers are presented to consumers via integrated marketing campaigns including email, on-site messaging, direct mail, social media and other sales channels designed to maximize exposure and increase response rate.</w:t>
      </w:r>
    </w:p>
    <w:p>
      <w:pPr>
        <w:spacing w:after="0" w:line="188" w:lineRule="exact"/>
        <w:rPr>
          <w:sz w:val="20"/>
          <w:szCs w:val="20"/>
          <w:color w:val="auto"/>
        </w:rPr>
      </w:pPr>
    </w:p>
    <w:p>
      <w:pPr>
        <w:jc w:val="both"/>
        <w:ind w:right="120"/>
        <w:spacing w:after="0" w:line="246" w:lineRule="auto"/>
        <w:rPr>
          <w:sz w:val="20"/>
          <w:szCs w:val="20"/>
          <w:color w:val="auto"/>
        </w:rPr>
      </w:pPr>
      <w:r>
        <w:rPr>
          <w:rFonts w:ascii="Arial" w:cs="Arial" w:eastAsia="Arial" w:hAnsi="Arial"/>
          <w:sz w:val="18"/>
          <w:szCs w:val="18"/>
          <w:color w:val="auto"/>
        </w:rPr>
        <w:t>We believe TownNews represents a powerful opportunity for us to drive additional digital revenue. In 2019, revenue at TownNews totaled almost $23,000,000 and since 2011 the compounded annual growth rate of TownNews revenue has been 10.9%.</w:t>
      </w:r>
    </w:p>
    <w:p>
      <w:pPr>
        <w:spacing w:after="0" w:line="183"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In 2018, TownNews expanded its broadcast and video capabilities by acquiring an acclaimed video management and streaming solution for media operations. The investment allows TownNews’ customers to have broadcast quality video available for desktop, mobile and OTT applications. TownNews leveraged these investments to diversify its customer base to include broadcast customers.</w:t>
      </w:r>
    </w:p>
    <w:p>
      <w:pPr>
        <w:spacing w:after="0" w:line="189" w:lineRule="exact"/>
        <w:rPr>
          <w:sz w:val="20"/>
          <w:szCs w:val="20"/>
          <w:color w:val="auto"/>
        </w:rPr>
      </w:pPr>
    </w:p>
    <w:p>
      <w:pPr>
        <w:jc w:val="both"/>
        <w:ind w:right="140"/>
        <w:spacing w:after="0" w:line="246" w:lineRule="auto"/>
        <w:rPr>
          <w:sz w:val="20"/>
          <w:szCs w:val="20"/>
          <w:color w:val="auto"/>
        </w:rPr>
      </w:pPr>
      <w:r>
        <w:rPr>
          <w:rFonts w:ascii="Arial" w:cs="Arial" w:eastAsia="Arial" w:hAnsi="Arial"/>
          <w:sz w:val="18"/>
          <w:szCs w:val="18"/>
          <w:color w:val="auto"/>
        </w:rPr>
        <w:t>In 2019, TownNews acquired a wordpress-based content management system ("CMS") business, which helped broaden product offerings and gain additional broadcast customers. In 2020, we believe TownNews is poised for continued growth.</w:t>
      </w:r>
    </w:p>
    <w:p>
      <w:pPr>
        <w:spacing w:after="0" w:line="165" w:lineRule="exact"/>
        <w:rPr>
          <w:sz w:val="20"/>
          <w:szCs w:val="20"/>
          <w:color w:val="auto"/>
        </w:rPr>
      </w:pPr>
    </w:p>
    <w:p>
      <w:pPr>
        <w:jc w:val="both"/>
        <w:ind w:right="140"/>
        <w:spacing w:after="0" w:line="242" w:lineRule="auto"/>
        <w:rPr>
          <w:sz w:val="20"/>
          <w:szCs w:val="20"/>
          <w:color w:val="auto"/>
        </w:rPr>
      </w:pPr>
      <w:r>
        <w:rPr>
          <w:rFonts w:ascii="Arial" w:cs="Arial" w:eastAsia="Arial" w:hAnsi="Arial"/>
          <w:sz w:val="18"/>
          <w:szCs w:val="18"/>
          <w:i w:val="1"/>
          <w:iCs w:val="1"/>
          <w:color w:val="auto"/>
        </w:rPr>
        <w:t xml:space="preserve">Accelerate Local Retail Performance. </w:t>
      </w:r>
      <w:r>
        <w:rPr>
          <w:rFonts w:ascii="Arial" w:cs="Arial" w:eastAsia="Arial" w:hAnsi="Arial"/>
          <w:sz w:val="18"/>
          <w:szCs w:val="18"/>
          <w:color w:val="auto"/>
        </w:rPr>
        <w:t>Local, controllable retail accounts - those in which our local sales teams have direct contact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decision makers - are the core of our business. This revenue category represents more than 50% of advertising revenue and is comprised of top local accounts and SMBs. Our historical financial results for this revenue category are better than our overall results. We believe we can accelerate financial performance in this revenue category as we have unmatched audience reach in our local markets through our print and digital product offerings.</w:t>
      </w:r>
    </w:p>
    <w:p>
      <w:pPr>
        <w:spacing w:after="0" w:line="190" w:lineRule="exact"/>
        <w:rPr>
          <w:sz w:val="20"/>
          <w:szCs w:val="20"/>
          <w:color w:val="auto"/>
        </w:rPr>
      </w:pPr>
    </w:p>
    <w:p>
      <w:pPr>
        <w:ind w:left="480" w:hanging="222"/>
        <w:spacing w:after="0" w:line="246"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local sales forces are larger than any local competitor, and we believe they are the most highly trained and proficient sales force in our markets.</w:t>
      </w:r>
    </w:p>
    <w:p>
      <w:pPr>
        <w:spacing w:after="0" w:line="183" w:lineRule="exact"/>
        <w:rPr>
          <w:rFonts w:ascii="Arial" w:cs="Arial" w:eastAsia="Arial" w:hAnsi="Arial"/>
          <w:sz w:val="18"/>
          <w:szCs w:val="18"/>
          <w:color w:val="auto"/>
        </w:rPr>
      </w:pPr>
    </w:p>
    <w:p>
      <w:pPr>
        <w:ind w:left="480" w:hanging="222"/>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strong relationships with businesses in our markets and offer a wide array of products to deliver our advertisers' message.</w:t>
      </w:r>
    </w:p>
    <w:p>
      <w:pPr>
        <w:spacing w:after="0" w:line="238" w:lineRule="exact"/>
        <w:rPr>
          <w:rFonts w:ascii="Arial" w:cs="Arial" w:eastAsia="Arial" w:hAnsi="Arial"/>
          <w:sz w:val="18"/>
          <w:szCs w:val="18"/>
          <w:color w:val="auto"/>
        </w:rPr>
      </w:pPr>
    </w:p>
    <w:p>
      <w:pPr>
        <w:ind w:left="480" w:hanging="222"/>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sales executives pitch the power of our audiences directly to local decision makers.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In 2020, our tactics to drive digital advertising revenue are focused on:</w:t>
      </w:r>
    </w:p>
    <w:p>
      <w:pPr>
        <w:spacing w:after="0" w:line="198" w:lineRule="exact"/>
        <w:rPr>
          <w:sz w:val="20"/>
          <w:szCs w:val="20"/>
          <w:color w:val="auto"/>
        </w:rPr>
      </w:pPr>
    </w:p>
    <w:p>
      <w:pPr>
        <w:jc w:val="both"/>
        <w:ind w:left="480" w:hanging="222"/>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Top local account management. Top local accounts are a subset of local retail and this category represented 20.7% of our total advertising revenue in 2019. In 2020 we expect to better align sales management talent and resources towards these higher value local retail accounts in an effort to drive revenue.</w:t>
      </w:r>
    </w:p>
    <w:p>
      <w:pPr>
        <w:spacing w:after="0" w:line="189" w:lineRule="exact"/>
        <w:rPr>
          <w:rFonts w:ascii="Arial" w:cs="Arial" w:eastAsia="Arial" w:hAnsi="Arial"/>
          <w:sz w:val="18"/>
          <w:szCs w:val="18"/>
          <w:color w:val="auto"/>
        </w:rPr>
      </w:pPr>
    </w:p>
    <w:p>
      <w:pPr>
        <w:ind w:left="480" w:hanging="222"/>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Drive advertiser retention among SMBs through tracking KPIs focused on customer frequency and engagement.</w:t>
      </w:r>
    </w:p>
    <w:p>
      <w:pPr>
        <w:spacing w:after="0" w:line="211" w:lineRule="exact"/>
        <w:rPr>
          <w:rFonts w:ascii="Arial" w:cs="Arial" w:eastAsia="Arial" w:hAnsi="Arial"/>
          <w:sz w:val="18"/>
          <w:szCs w:val="18"/>
          <w:color w:val="auto"/>
        </w:rPr>
      </w:pPr>
    </w:p>
    <w:p>
      <w:pPr>
        <w:jc w:val="both"/>
        <w:ind w:left="480" w:right="140" w:hanging="222"/>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Expand on the success of Amplified Agency. Launched company-wide in 2019, the Amplified Agency is a sophisticated data-driven digital marketing agency. Revenue generated from the agency increased 29% in 2019 and we believe the Amplified Agency will continue to drive revenue growth in 2020.</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66040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598" w:right="239" w:bottom="1440" w:gutter="0" w:footer="0" w:header="0"/>
        </w:sectPr>
      </w:pPr>
    </w:p>
    <w:bookmarkStart w:id="6" w:name="page7"/>
    <w:bookmarkEnd w:id="6"/>
    <w:p>
      <w:pPr>
        <w:jc w:val="both"/>
        <w:ind w:left="20"/>
        <w:spacing w:after="0" w:line="200" w:lineRule="auto"/>
        <w:rPr>
          <w:sz w:val="20"/>
          <w:szCs w:val="20"/>
          <w:color w:val="auto"/>
        </w:rPr>
      </w:pPr>
      <w:r>
        <w:rPr>
          <w:rFonts w:ascii="Arial" w:cs="Arial" w:eastAsia="Arial" w:hAnsi="Arial"/>
          <w:sz w:val="18"/>
          <w:szCs w:val="18"/>
          <w:i w:val="1"/>
          <w:iCs w:val="1"/>
          <w:color w:val="auto"/>
        </w:rPr>
        <w:t>Generate Strong Adjusted EBITDA</w:t>
      </w:r>
      <w:r>
        <w:rPr>
          <w:rFonts w:ascii="Arial" w:cs="Arial" w:eastAsia="Arial" w:hAnsi="Arial"/>
          <w:sz w:val="30"/>
          <w:szCs w:val="30"/>
          <w:i w:val="1"/>
          <w:iCs w:val="1"/>
          <w:color w:val="auto"/>
          <w:vertAlign w:val="superscript"/>
        </w:rPr>
        <w:t>(1)</w:t>
      </w:r>
      <w:r>
        <w:rPr>
          <w:rFonts w:ascii="Arial" w:cs="Arial" w:eastAsia="Arial" w:hAnsi="Arial"/>
          <w:sz w:val="18"/>
          <w:szCs w:val="18"/>
          <w:i w:val="1"/>
          <w:iCs w:val="1"/>
          <w:color w:val="auto"/>
        </w:rPr>
        <w:t xml:space="preserve"> With A Commitment To Reduce Our Debt. </w:t>
      </w:r>
      <w:r>
        <w:rPr>
          <w:rFonts w:ascii="Arial" w:cs="Arial" w:eastAsia="Arial" w:hAnsi="Arial"/>
          <w:sz w:val="18"/>
          <w:szCs w:val="18"/>
          <w:color w:val="auto"/>
        </w:rPr>
        <w:t>We expect to continue to drive strong Adjusted EBITDA</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steadfast focus on driving revenue and continued rationalization of our legacy cost base. In 2019, on a same property basis we</w:t>
      </w:r>
    </w:p>
    <w:p>
      <w:pPr>
        <w:spacing w:after="0" w:line="2" w:lineRule="exact"/>
        <w:rPr>
          <w:sz w:val="20"/>
          <w:szCs w:val="20"/>
          <w:color w:val="auto"/>
        </w:rPr>
      </w:pPr>
    </w:p>
    <w:p>
      <w:pPr>
        <w:jc w:val="both"/>
        <w:ind w:left="20" w:right="20"/>
        <w:spacing w:after="0" w:line="199" w:lineRule="auto"/>
        <w:rPr>
          <w:sz w:val="20"/>
          <w:szCs w:val="20"/>
          <w:color w:val="auto"/>
        </w:rPr>
      </w:pPr>
      <w:r>
        <w:rPr>
          <w:rFonts w:ascii="Arial" w:cs="Arial" w:eastAsia="Arial" w:hAnsi="Arial"/>
          <w:sz w:val="18"/>
          <w:szCs w:val="18"/>
          <w:color w:val="auto"/>
        </w:rPr>
        <w:t>reduced cash costs</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5.9%. With a substantial portion of our cost base tied to printing and distributing our printed products, we expect to continue to implement cost efficiencies while investing in revenue drivers.</w:t>
      </w:r>
    </w:p>
    <w:p>
      <w:pPr>
        <w:spacing w:after="0" w:line="190" w:lineRule="exact"/>
        <w:rPr>
          <w:sz w:val="20"/>
          <w:szCs w:val="20"/>
          <w:color w:val="auto"/>
        </w:rPr>
      </w:pPr>
    </w:p>
    <w:p>
      <w:pPr>
        <w:jc w:val="both"/>
        <w:ind w:left="20" w:right="20"/>
        <w:spacing w:after="0" w:line="246" w:lineRule="auto"/>
        <w:rPr>
          <w:sz w:val="20"/>
          <w:szCs w:val="20"/>
          <w:color w:val="auto"/>
        </w:rPr>
      </w:pPr>
      <w:r>
        <w:rPr>
          <w:rFonts w:ascii="Arial" w:cs="Arial" w:eastAsia="Arial" w:hAnsi="Arial"/>
          <w:sz w:val="18"/>
          <w:szCs w:val="18"/>
          <w:color w:val="auto"/>
        </w:rPr>
        <w:t>We anticipate modest capital expenditures and pension contributions, and we expect to continue to use substantially all of our available cash flow to reduce debt.</w:t>
      </w:r>
    </w:p>
    <w:p>
      <w:pPr>
        <w:spacing w:after="0" w:line="183" w:lineRule="exact"/>
        <w:rPr>
          <w:sz w:val="20"/>
          <w:szCs w:val="20"/>
          <w:color w:val="auto"/>
        </w:rPr>
      </w:pPr>
    </w:p>
    <w:p>
      <w:pPr>
        <w:jc w:val="both"/>
        <w:ind w:left="20"/>
        <w:spacing w:after="0" w:line="239" w:lineRule="auto"/>
        <w:rPr>
          <w:sz w:val="20"/>
          <w:szCs w:val="20"/>
          <w:color w:val="auto"/>
        </w:rPr>
      </w:pPr>
      <w:r>
        <w:rPr>
          <w:rFonts w:ascii="Arial" w:cs="Arial" w:eastAsia="Arial" w:hAnsi="Arial"/>
          <w:sz w:val="18"/>
          <w:szCs w:val="18"/>
          <w:color w:val="auto"/>
        </w:rPr>
        <w:t>The principal amount of debt was reduced by $41.2 million in 2019 with a total debt balance of $443.6 million as of September 29, 2019. Since 2005, we have reduced debt by more than $1 billion and we expect to continue to significantly reduce our debt in 2020. As a result of our debt reductions, interest expense was reduced by $5.4 million in 2019 compared to 2018, providing additional free cash flow for debt service and other corporate uses.</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See "Non-GAAP Financial Measures: in Item 7, included herein, for additional information.</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PULITZER</w:t>
      </w:r>
    </w:p>
    <w:p>
      <w:pPr>
        <w:spacing w:after="0" w:line="220" w:lineRule="exact"/>
        <w:rPr>
          <w:sz w:val="20"/>
          <w:szCs w:val="20"/>
          <w:color w:val="auto"/>
        </w:rPr>
      </w:pPr>
    </w:p>
    <w:p>
      <w:pPr>
        <w:jc w:val="both"/>
        <w:ind w:left="20"/>
        <w:spacing w:after="0" w:line="246" w:lineRule="auto"/>
        <w:rPr>
          <w:sz w:val="20"/>
          <w:szCs w:val="20"/>
          <w:color w:val="auto"/>
        </w:rPr>
      </w:pPr>
      <w:r>
        <w:rPr>
          <w:rFonts w:ascii="Arial" w:cs="Arial" w:eastAsia="Arial" w:hAnsi="Arial"/>
          <w:sz w:val="18"/>
          <w:szCs w:val="18"/>
          <w:color w:val="auto"/>
        </w:rPr>
        <w:t>In 2005, we acquired Pulitzer Inc. (“Pulitzer”). We currently publish 9 daily newspapers that were acquired from Pulitzer and more than 60 weekly newspapers and specialty publications. Pulitzer also includes our 50% interest in TNI, as discussed more fully below.</w:t>
      </w:r>
    </w:p>
    <w:p>
      <w:pPr>
        <w:spacing w:after="0" w:line="183" w:lineRule="exact"/>
        <w:rPr>
          <w:sz w:val="20"/>
          <w:szCs w:val="20"/>
          <w:color w:val="auto"/>
        </w:rPr>
      </w:pPr>
    </w:p>
    <w:p>
      <w:pPr>
        <w:jc w:val="both"/>
        <w:ind w:left="20"/>
        <w:spacing w:after="0" w:line="238" w:lineRule="auto"/>
        <w:rPr>
          <w:sz w:val="20"/>
          <w:szCs w:val="20"/>
          <w:color w:val="auto"/>
        </w:rPr>
      </w:pPr>
      <w:r>
        <w:rPr>
          <w:rFonts w:ascii="Arial" w:cs="Arial" w:eastAsia="Arial" w:hAnsi="Arial"/>
          <w:sz w:val="18"/>
          <w:szCs w:val="18"/>
          <w:color w:val="auto"/>
        </w:rPr>
        <w:t xml:space="preserve">Pulitzer newspapers' largest operations include Bloomington, Illinois and St. Louis, Missouri, where its subsidiary, St. Louis Post-Dispatch LLC (“PD LLC”), publishes the </w:t>
      </w:r>
      <w:r>
        <w:rPr>
          <w:rFonts w:ascii="Arial" w:cs="Arial" w:eastAsia="Arial" w:hAnsi="Arial"/>
          <w:sz w:val="18"/>
          <w:szCs w:val="18"/>
          <w:i w:val="1"/>
          <w:iCs w:val="1"/>
          <w:color w:val="auto"/>
        </w:rPr>
        <w:t>St. Louis Post-Dispatch,</w:t>
      </w:r>
      <w:r>
        <w:rPr>
          <w:rFonts w:ascii="Arial" w:cs="Arial" w:eastAsia="Arial" w:hAnsi="Arial"/>
          <w:sz w:val="18"/>
          <w:szCs w:val="18"/>
          <w:color w:val="auto"/>
        </w:rPr>
        <w:t xml:space="preserve"> our only major daily newspaper, which serves the greater St. Louis metropolitan area. St. Louis newspaper operations also include a variety of specialty publications, and supports its related digital products as well as the </w:t>
      </w:r>
      <w:r>
        <w:rPr>
          <w:rFonts w:ascii="Arial" w:cs="Arial" w:eastAsia="Arial" w:hAnsi="Arial"/>
          <w:sz w:val="18"/>
          <w:szCs w:val="18"/>
          <w:i w:val="1"/>
          <w:iCs w:val="1"/>
          <w:color w:val="auto"/>
        </w:rPr>
        <w:t>Suburban</w:t>
      </w:r>
      <w:r>
        <w:rPr>
          <w:rFonts w:ascii="Arial" w:cs="Arial" w:eastAsia="Arial" w:hAnsi="Arial"/>
          <w:sz w:val="18"/>
          <w:szCs w:val="18"/>
          <w:color w:val="auto"/>
        </w:rPr>
        <w:t xml:space="preserve"> </w:t>
      </w:r>
      <w:r>
        <w:rPr>
          <w:rFonts w:ascii="Arial" w:cs="Arial" w:eastAsia="Arial" w:hAnsi="Arial"/>
          <w:sz w:val="18"/>
          <w:szCs w:val="18"/>
          <w:i w:val="1"/>
          <w:iCs w:val="1"/>
          <w:color w:val="auto"/>
        </w:rPr>
        <w:t>Journals of Greater St. Louis</w:t>
      </w:r>
      <w:r>
        <w:rPr>
          <w:rFonts w:ascii="Arial" w:cs="Arial" w:eastAsia="Arial" w:hAnsi="Arial"/>
          <w:sz w:val="18"/>
          <w:szCs w:val="18"/>
          <w:color w:val="auto"/>
        </w:rPr>
        <w:t>, a group of weekly newspapers and niche publications that focus on separate communities within the metropolitan</w:t>
      </w:r>
      <w:r>
        <w:rPr>
          <w:rFonts w:ascii="Arial" w:cs="Arial" w:eastAsia="Arial" w:hAnsi="Arial"/>
          <w:sz w:val="18"/>
          <w:szCs w:val="18"/>
          <w:i w:val="1"/>
          <w:iCs w:val="1"/>
          <w:color w:val="auto"/>
        </w:rPr>
        <w:t xml:space="preserve"> </w:t>
      </w:r>
      <w:r>
        <w:rPr>
          <w:rFonts w:ascii="Arial" w:cs="Arial" w:eastAsia="Arial" w:hAnsi="Arial"/>
          <w:sz w:val="18"/>
          <w:szCs w:val="18"/>
          <w:color w:val="auto"/>
        </w:rPr>
        <w:t>area.</w:t>
      </w:r>
    </w:p>
    <w:p>
      <w:pPr>
        <w:spacing w:after="0" w:line="189"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The 2005 acquisition was financed primarily with debt. The second lien term loan lenders have a first lien on Pulitzer assets. Excess cash flow from Pulitzer, as defined in the Second Lien Loan Agreement, and cash flow from Pulitzer asset sales are used to pay down the second lien term loan, at par.</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TNI Partners</w:t>
      </w:r>
    </w:p>
    <w:p>
      <w:pPr>
        <w:spacing w:after="0" w:line="220" w:lineRule="exact"/>
        <w:rPr>
          <w:sz w:val="20"/>
          <w:szCs w:val="20"/>
          <w:color w:val="auto"/>
        </w:rPr>
      </w:pPr>
    </w:p>
    <w:p>
      <w:pPr>
        <w:jc w:val="both"/>
        <w:ind w:left="20"/>
        <w:spacing w:after="0" w:line="238" w:lineRule="auto"/>
        <w:rPr>
          <w:sz w:val="20"/>
          <w:szCs w:val="20"/>
          <w:color w:val="auto"/>
        </w:rPr>
      </w:pPr>
      <w:r>
        <w:rPr>
          <w:rFonts w:ascii="Arial" w:cs="Arial" w:eastAsia="Arial" w:hAnsi="Arial"/>
          <w:sz w:val="18"/>
          <w:szCs w:val="18"/>
          <w:color w:val="auto"/>
        </w:rPr>
        <w:t xml:space="preserve">In conjunction with the Pulitzer acquisition we obtained a 50% interest in TNI, the Tucson, Arizona newspaper partnership. TNI, acting as agent for our subsidiary, Star Publishing Company (“Star Publishing”) and Citizen Publishing Company (“Citizen”), the owner of the remaining 50%, a subsidiary of Gannett Co., Inc., (“Gannett”), is responsible for printing, delivery, advertising and subscription activities of the </w:t>
      </w:r>
      <w:r>
        <w:rPr>
          <w:rFonts w:ascii="Arial" w:cs="Arial" w:eastAsia="Arial" w:hAnsi="Arial"/>
          <w:sz w:val="18"/>
          <w:szCs w:val="18"/>
          <w:i w:val="1"/>
          <w:iCs w:val="1"/>
          <w:color w:val="auto"/>
        </w:rPr>
        <w:t>Arizona Daily Star</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Tucson Citizen</w:t>
      </w:r>
      <w:r>
        <w:rPr>
          <w:rFonts w:ascii="Arial" w:cs="Arial" w:eastAsia="Arial" w:hAnsi="Arial"/>
          <w:sz w:val="18"/>
          <w:szCs w:val="18"/>
          <w:color w:val="auto"/>
        </w:rPr>
        <w:t xml:space="preserve">. In May 2009, Citizen discontinued print publication of the </w:t>
      </w:r>
      <w:r>
        <w:rPr>
          <w:rFonts w:ascii="Arial" w:cs="Arial" w:eastAsia="Arial" w:hAnsi="Arial"/>
          <w:sz w:val="18"/>
          <w:szCs w:val="18"/>
          <w:i w:val="1"/>
          <w:iCs w:val="1"/>
          <w:color w:val="auto"/>
        </w:rPr>
        <w:t>Tucson Citizen</w:t>
      </w:r>
      <w:r>
        <w:rPr>
          <w:rFonts w:ascii="Arial" w:cs="Arial" w:eastAsia="Arial" w:hAnsi="Arial"/>
          <w:sz w:val="18"/>
          <w:szCs w:val="18"/>
          <w:color w:val="auto"/>
        </w:rPr>
        <w:t xml:space="preserve"> and in 2014 stopped publishing its digital product.</w:t>
      </w:r>
    </w:p>
    <w:p>
      <w:pPr>
        <w:spacing w:after="0" w:line="189" w:lineRule="exact"/>
        <w:rPr>
          <w:sz w:val="20"/>
          <w:szCs w:val="20"/>
          <w:color w:val="auto"/>
        </w:rPr>
      </w:pPr>
    </w:p>
    <w:p>
      <w:pPr>
        <w:jc w:val="both"/>
        <w:ind w:left="20"/>
        <w:spacing w:after="0" w:line="238" w:lineRule="auto"/>
        <w:rPr>
          <w:sz w:val="20"/>
          <w:szCs w:val="20"/>
          <w:color w:val="auto"/>
        </w:rPr>
      </w:pPr>
      <w:r>
        <w:rPr>
          <w:rFonts w:ascii="Arial" w:cs="Arial" w:eastAsia="Arial" w:hAnsi="Arial"/>
          <w:sz w:val="18"/>
          <w:szCs w:val="18"/>
          <w:color w:val="auto"/>
        </w:rPr>
        <w:t xml:space="preserve">TNI collects all receipts and income and pays substantially all operating expenses incident to the partnership's operations and publication of the newspaper and other media. Under the amended and restated operating agreement between Star Publishing and Citizen, the </w:t>
      </w:r>
      <w:r>
        <w:rPr>
          <w:rFonts w:ascii="Arial" w:cs="Arial" w:eastAsia="Arial" w:hAnsi="Arial"/>
          <w:sz w:val="18"/>
          <w:szCs w:val="18"/>
          <w:i w:val="1"/>
          <w:iCs w:val="1"/>
          <w:color w:val="auto"/>
        </w:rPr>
        <w:t>Arizona Daily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Star </w:t>
      </w:r>
      <w:r>
        <w:rPr>
          <w:rFonts w:ascii="Arial" w:cs="Arial" w:eastAsia="Arial" w:hAnsi="Arial"/>
          <w:sz w:val="18"/>
          <w:szCs w:val="18"/>
          <w:color w:val="auto"/>
        </w:rPr>
        <w:t>remains the separate property of Star Publishing. Results of TNI are accounted for using the equity method. Income or loss of TNI (before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taxes) is allocated equally to Star Publishing and Citizen. TNI makes weekly distributions to Star Publishing and Citizen of all available cash.</w:t>
      </w:r>
    </w:p>
    <w:p>
      <w:pPr>
        <w:spacing w:after="0" w:line="171" w:lineRule="exact"/>
        <w:rPr>
          <w:sz w:val="20"/>
          <w:szCs w:val="20"/>
          <w:color w:val="auto"/>
        </w:rPr>
      </w:pPr>
    </w:p>
    <w:p>
      <w:pPr>
        <w:jc w:val="both"/>
        <w:ind w:left="20"/>
        <w:spacing w:after="0" w:line="242" w:lineRule="auto"/>
        <w:rPr>
          <w:sz w:val="20"/>
          <w:szCs w:val="20"/>
          <w:color w:val="auto"/>
        </w:rPr>
      </w:pPr>
      <w:r>
        <w:rPr>
          <w:rFonts w:ascii="Arial" w:cs="Arial" w:eastAsia="Arial" w:hAnsi="Arial"/>
          <w:sz w:val="18"/>
          <w:szCs w:val="18"/>
          <w:color w:val="auto"/>
        </w:rPr>
        <w:t>The TNI agency agreement (“Agency Agreement”), has governed the operation since 1940</w:t>
      </w:r>
      <w:r>
        <w:rPr>
          <w:rFonts w:ascii="Arial" w:cs="Arial" w:eastAsia="Arial" w:hAnsi="Arial"/>
          <w:sz w:val="18"/>
          <w:szCs w:val="18"/>
          <w:i w:val="1"/>
          <w:iCs w:val="1"/>
          <w:color w:val="auto"/>
        </w:rPr>
        <w:t>.</w:t>
      </w:r>
      <w:r>
        <w:rPr>
          <w:rFonts w:ascii="Arial" w:cs="Arial" w:eastAsia="Arial" w:hAnsi="Arial"/>
          <w:sz w:val="18"/>
          <w:szCs w:val="18"/>
          <w:color w:val="auto"/>
        </w:rPr>
        <w:t xml:space="preserve"> The Agency Agreement expires in 2040, but contains an option, which may be exercised by either party, to renew the agreement for successive periods of 25 years each. Star Publishing and Citizen also have a reciprocal right of first refusal to acquire the 50% interest in TNI owned by Citizen and Star Publishing, respectively, under certain circumstances. Both the Company and Citizen incur certain administrative costs and capital expenditures that are reported by their individual companies.</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MADISON NEWSPAPERS</w:t>
      </w:r>
    </w:p>
    <w:p>
      <w:pPr>
        <w:spacing w:after="0" w:line="220" w:lineRule="exact"/>
        <w:rPr>
          <w:sz w:val="20"/>
          <w:szCs w:val="20"/>
          <w:color w:val="auto"/>
        </w:rPr>
      </w:pPr>
    </w:p>
    <w:p>
      <w:pPr>
        <w:jc w:val="both"/>
        <w:ind w:left="20"/>
        <w:spacing w:after="0" w:line="237" w:lineRule="auto"/>
        <w:rPr>
          <w:sz w:val="20"/>
          <w:szCs w:val="20"/>
          <w:color w:val="auto"/>
        </w:rPr>
      </w:pPr>
      <w:r>
        <w:rPr>
          <w:rFonts w:ascii="Arial" w:cs="Arial" w:eastAsia="Arial" w:hAnsi="Arial"/>
          <w:sz w:val="18"/>
          <w:szCs w:val="18"/>
          <w:color w:val="auto"/>
        </w:rPr>
        <w:t xml:space="preserve">We own 50% of the capital stock of Madison Newspapers, Inc. (MNI) and 8.7% of the total stock of The Capital Times Company (“TCT”). TCT owns 50% of the capital stock of MNI. MNI publishes daily and Sunday newspapers, and other publications in Madison, Wisconsin, and other Wisconsin locations, and supports their related digital products. MNI conducts business under the trade name Capital Newspapers. We have a contract to furnish the editorial and news content for the </w:t>
      </w:r>
      <w:r>
        <w:rPr>
          <w:rFonts w:ascii="Arial" w:cs="Arial" w:eastAsia="Arial" w:hAnsi="Arial"/>
          <w:sz w:val="18"/>
          <w:szCs w:val="18"/>
          <w:i w:val="1"/>
          <w:iCs w:val="1"/>
          <w:color w:val="auto"/>
        </w:rPr>
        <w:t>Wisconsin State Journal</w:t>
      </w:r>
      <w:r>
        <w:rPr>
          <w:rFonts w:ascii="Arial" w:cs="Arial" w:eastAsia="Arial" w:hAnsi="Arial"/>
          <w:sz w:val="18"/>
          <w:szCs w:val="18"/>
          <w:color w:val="auto"/>
        </w:rPr>
        <w:t>, which is published by MNI, and periodically provide other services to MNI for a fee. Results of MNI are accounted for using the equity method. Net income or loss of MNI (after income taxes) is allocated equally to the Company and TCT. MNI makes quarterly dividend payments to the Company and TCT.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66040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582"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DAILY NEWSPAPERS AND MARKETS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Company, TNI and MNI publish the following daily newspapers and maintain the following primary digital sites: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52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27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9"/>
              </w:rPr>
              <w:t>2019 Monthly Average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2240" w:type="dxa"/>
            <w:vAlign w:val="bottom"/>
            <w:gridSpan w:val="2"/>
          </w:tcPr>
          <w:p>
            <w:pPr>
              <w:jc w:val="right"/>
              <w:ind w:right="430"/>
              <w:spacing w:after="0" w:line="243" w:lineRule="exact"/>
              <w:rPr>
                <w:sz w:val="20"/>
                <w:szCs w:val="20"/>
                <w:color w:val="auto"/>
              </w:rPr>
            </w:pPr>
            <w:r>
              <w:rPr>
                <w:rFonts w:ascii="Arial" w:cs="Arial" w:eastAsia="Arial" w:hAnsi="Arial"/>
                <w:sz w:val="17"/>
                <w:szCs w:val="17"/>
                <w:color w:val="auto"/>
              </w:rPr>
              <w:t xml:space="preserve">Average Units </w:t>
            </w:r>
            <w:r>
              <w:rPr>
                <w:rFonts w:ascii="Arial" w:cs="Arial" w:eastAsia="Arial" w:hAnsi="Arial"/>
                <w:sz w:val="28"/>
                <w:szCs w:val="28"/>
                <w:color w:val="auto"/>
                <w:vertAlign w:val="superscript"/>
              </w:rPr>
              <w:t>(1)</w:t>
            </w:r>
          </w:p>
        </w:tc>
        <w:tc>
          <w:tcPr>
            <w:tcW w:w="2060" w:type="dxa"/>
            <w:vAlign w:val="bottom"/>
            <w:gridSpan w:val="3"/>
          </w:tcPr>
          <w:p>
            <w:pPr>
              <w:jc w:val="center"/>
              <w:ind w:right="20"/>
              <w:spacing w:after="0" w:line="243" w:lineRule="exact"/>
              <w:rPr>
                <w:sz w:val="20"/>
                <w:szCs w:val="20"/>
                <w:color w:val="auto"/>
              </w:rPr>
            </w:pPr>
            <w:r>
              <w:rPr>
                <w:rFonts w:ascii="Arial" w:cs="Arial" w:eastAsia="Arial" w:hAnsi="Arial"/>
                <w:sz w:val="17"/>
                <w:szCs w:val="17"/>
                <w:color w:val="auto"/>
                <w:w w:val="96"/>
              </w:rPr>
              <w:t xml:space="preserve">('000s) </w:t>
            </w:r>
            <w:r>
              <w:rPr>
                <w:rFonts w:ascii="Arial" w:cs="Arial" w:eastAsia="Arial" w:hAnsi="Arial"/>
                <w:sz w:val="28"/>
                <w:szCs w:val="28"/>
                <w:color w:val="auto"/>
                <w:w w:val="96"/>
                <w:vertAlign w:val="superscript"/>
              </w:rPr>
              <w:t>(7)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520" w:type="dxa"/>
            <w:vAlign w:val="bottom"/>
            <w:tcBorders>
              <w:top w:val="single" w:sz="8" w:color="auto"/>
            </w:tcBorders>
          </w:tcPr>
          <w:p>
            <w:pPr>
              <w:spacing w:after="0"/>
              <w:rPr>
                <w:sz w:val="16"/>
                <w:szCs w:val="16"/>
                <w:color w:val="auto"/>
              </w:rPr>
            </w:pPr>
          </w:p>
        </w:tc>
        <w:tc>
          <w:tcPr>
            <w:tcW w:w="1880" w:type="dxa"/>
            <w:vAlign w:val="bottom"/>
            <w:tcBorders>
              <w:top w:val="single" w:sz="8" w:color="auto"/>
            </w:tcBorders>
          </w:tcPr>
          <w:p>
            <w:pPr>
              <w:spacing w:after="0"/>
              <w:rPr>
                <w:sz w:val="16"/>
                <w:szCs w:val="16"/>
                <w:color w:val="auto"/>
              </w:rPr>
            </w:pPr>
          </w:p>
        </w:tc>
        <w:tc>
          <w:tcPr>
            <w:tcW w:w="27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rPr>
              <w:t xml:space="preserve">Daily </w:t>
            </w:r>
            <w:r>
              <w:rPr>
                <w:rFonts w:ascii="Arial" w:cs="Arial" w:eastAsia="Arial" w:hAnsi="Arial"/>
                <w:sz w:val="30"/>
                <w:szCs w:val="30"/>
                <w:color w:val="auto"/>
                <w:vertAlign w:val="superscript"/>
              </w:rPr>
              <w:t>(2)</w:t>
            </w:r>
          </w:p>
        </w:tc>
        <w:tc>
          <w:tcPr>
            <w:tcW w:w="10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rPr>
              <w:t>Unique</w:t>
            </w:r>
          </w:p>
        </w:tc>
        <w:tc>
          <w:tcPr>
            <w:tcW w:w="7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Page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40" w:type="dxa"/>
            <w:vAlign w:val="bottom"/>
            <w:gridSpan w:val="2"/>
          </w:tcPr>
          <w:p>
            <w:pPr>
              <w:spacing w:after="0" w:line="203" w:lineRule="exact"/>
              <w:rPr>
                <w:sz w:val="20"/>
                <w:szCs w:val="20"/>
                <w:color w:val="auto"/>
              </w:rPr>
            </w:pPr>
            <w:r>
              <w:rPr>
                <w:rFonts w:ascii="Arial" w:cs="Arial" w:eastAsia="Arial" w:hAnsi="Arial"/>
                <w:sz w:val="18"/>
                <w:szCs w:val="18"/>
                <w:color w:val="auto"/>
              </w:rPr>
              <w:t>Newspaper</w:t>
            </w:r>
          </w:p>
        </w:tc>
        <w:tc>
          <w:tcPr>
            <w:tcW w:w="1880" w:type="dxa"/>
            <w:vAlign w:val="bottom"/>
          </w:tcPr>
          <w:p>
            <w:pPr>
              <w:ind w:left="80"/>
              <w:spacing w:after="0" w:line="203" w:lineRule="exact"/>
              <w:rPr>
                <w:sz w:val="20"/>
                <w:szCs w:val="20"/>
                <w:color w:val="auto"/>
              </w:rPr>
            </w:pPr>
            <w:r>
              <w:rPr>
                <w:rFonts w:ascii="Arial" w:cs="Arial" w:eastAsia="Arial" w:hAnsi="Arial"/>
                <w:sz w:val="18"/>
                <w:szCs w:val="18"/>
                <w:color w:val="auto"/>
              </w:rPr>
              <w:t>Primary Website</w:t>
            </w:r>
          </w:p>
        </w:tc>
        <w:tc>
          <w:tcPr>
            <w:tcW w:w="2700" w:type="dxa"/>
            <w:vAlign w:val="bottom"/>
          </w:tcPr>
          <w:p>
            <w:pPr>
              <w:ind w:left="60"/>
              <w:spacing w:after="0" w:line="203" w:lineRule="exact"/>
              <w:rPr>
                <w:sz w:val="20"/>
                <w:szCs w:val="20"/>
                <w:color w:val="auto"/>
              </w:rPr>
            </w:pPr>
            <w:r>
              <w:rPr>
                <w:rFonts w:ascii="Arial" w:cs="Arial" w:eastAsia="Arial" w:hAnsi="Arial"/>
                <w:sz w:val="18"/>
                <w:szCs w:val="18"/>
                <w:color w:val="auto"/>
              </w:rPr>
              <w:t>Location</w:t>
            </w:r>
          </w:p>
        </w:tc>
        <w:tc>
          <w:tcPr>
            <w:tcW w:w="1240" w:type="dxa"/>
            <w:vAlign w:val="bottom"/>
            <w:vMerge w:val="continue"/>
          </w:tcPr>
          <w:p>
            <w:pPr>
              <w:spacing w:after="0"/>
              <w:rPr>
                <w:sz w:val="17"/>
                <w:szCs w:val="17"/>
                <w:color w:val="auto"/>
              </w:rPr>
            </w:pPr>
          </w:p>
        </w:tc>
        <w:tc>
          <w:tcPr>
            <w:tcW w:w="1000" w:type="dxa"/>
            <w:vAlign w:val="bottom"/>
          </w:tcPr>
          <w:p>
            <w:pPr>
              <w:jc w:val="right"/>
              <w:ind w:right="30"/>
              <w:spacing w:after="0" w:line="203" w:lineRule="exact"/>
              <w:rPr>
                <w:sz w:val="20"/>
                <w:szCs w:val="20"/>
                <w:color w:val="auto"/>
              </w:rPr>
            </w:pPr>
            <w:r>
              <w:rPr>
                <w:rFonts w:ascii="Arial" w:cs="Arial" w:eastAsia="Arial" w:hAnsi="Arial"/>
                <w:sz w:val="18"/>
                <w:szCs w:val="18"/>
                <w:color w:val="auto"/>
              </w:rPr>
              <w:t>Sunday</w:t>
            </w:r>
          </w:p>
        </w:tc>
        <w:tc>
          <w:tcPr>
            <w:tcW w:w="1240" w:type="dxa"/>
            <w:vAlign w:val="bottom"/>
          </w:tcPr>
          <w:p>
            <w:pPr>
              <w:jc w:val="right"/>
              <w:ind w:right="90"/>
              <w:spacing w:after="0" w:line="203" w:lineRule="exact"/>
              <w:rPr>
                <w:sz w:val="20"/>
                <w:szCs w:val="20"/>
                <w:color w:val="auto"/>
              </w:rPr>
            </w:pPr>
            <w:r>
              <w:rPr>
                <w:rFonts w:ascii="Arial" w:cs="Arial" w:eastAsia="Arial" w:hAnsi="Arial"/>
                <w:sz w:val="18"/>
                <w:szCs w:val="18"/>
                <w:color w:val="auto"/>
              </w:rPr>
              <w:t>Visitors</w:t>
            </w:r>
          </w:p>
        </w:tc>
        <w:tc>
          <w:tcPr>
            <w:tcW w:w="82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Views</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52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c>
          <w:tcPr>
            <w:tcW w:w="27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520" w:type="dxa"/>
            <w:vAlign w:val="bottom"/>
            <w:shd w:val="clear" w:color="auto" w:fill="CCEEFF"/>
          </w:tcPr>
          <w:p>
            <w:pPr>
              <w:spacing w:after="0" w:line="243" w:lineRule="exact"/>
              <w:rPr>
                <w:sz w:val="20"/>
                <w:szCs w:val="20"/>
                <w:color w:val="auto"/>
              </w:rPr>
            </w:pPr>
            <w:r>
              <w:rPr>
                <w:rFonts w:ascii="Arial" w:cs="Arial" w:eastAsia="Arial" w:hAnsi="Arial"/>
                <w:sz w:val="17"/>
                <w:szCs w:val="17"/>
                <w:i w:val="1"/>
                <w:iCs w:val="1"/>
                <w:color w:val="auto"/>
              </w:rPr>
              <w:t xml:space="preserve">St. Louis Post-Dispatch </w:t>
            </w:r>
            <w:r>
              <w:rPr>
                <w:rFonts w:ascii="Arial" w:cs="Arial" w:eastAsia="Arial" w:hAnsi="Arial"/>
                <w:sz w:val="28"/>
                <w:szCs w:val="28"/>
                <w:i w:val="1"/>
                <w:iCs w:val="1"/>
                <w:color w:val="auto"/>
                <w:vertAlign w:val="superscript"/>
              </w:rPr>
              <w:t>(3)</w:t>
            </w:r>
          </w:p>
        </w:tc>
        <w:tc>
          <w:tcPr>
            <w:tcW w:w="1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stltoday.com</w:t>
            </w:r>
          </w:p>
        </w:tc>
        <w:tc>
          <w:tcPr>
            <w:tcW w:w="2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 Louis, MO</w:t>
            </w: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84,657</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336,636</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6,234</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66,170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tcPr>
          <w:p>
            <w:pPr>
              <w:spacing w:after="0" w:line="243" w:lineRule="exact"/>
              <w:rPr>
                <w:sz w:val="20"/>
                <w:szCs w:val="20"/>
                <w:color w:val="auto"/>
              </w:rPr>
            </w:pPr>
            <w:r>
              <w:rPr>
                <w:rFonts w:ascii="Arial" w:cs="Arial" w:eastAsia="Arial" w:hAnsi="Arial"/>
                <w:sz w:val="17"/>
                <w:szCs w:val="17"/>
                <w:i w:val="1"/>
                <w:iCs w:val="1"/>
                <w:color w:val="auto"/>
              </w:rPr>
              <w:t xml:space="preserve">Arizona Daily Star </w:t>
            </w:r>
            <w:r>
              <w:rPr>
                <w:rFonts w:ascii="Arial" w:cs="Arial" w:eastAsia="Arial" w:hAnsi="Arial"/>
                <w:sz w:val="28"/>
                <w:szCs w:val="28"/>
                <w:i w:val="1"/>
                <w:iCs w:val="1"/>
                <w:color w:val="auto"/>
                <w:vertAlign w:val="superscript"/>
              </w:rPr>
              <w:t>(5) (3)</w:t>
            </w:r>
          </w:p>
        </w:tc>
        <w:tc>
          <w:tcPr>
            <w:tcW w:w="1880" w:type="dxa"/>
            <w:vAlign w:val="bottom"/>
          </w:tcPr>
          <w:p>
            <w:pPr>
              <w:ind w:left="80"/>
              <w:spacing w:after="0"/>
              <w:rPr>
                <w:sz w:val="20"/>
                <w:szCs w:val="20"/>
                <w:color w:val="auto"/>
              </w:rPr>
            </w:pPr>
            <w:r>
              <w:rPr>
                <w:rFonts w:ascii="Arial" w:cs="Arial" w:eastAsia="Arial" w:hAnsi="Arial"/>
                <w:sz w:val="18"/>
                <w:szCs w:val="18"/>
                <w:color w:val="auto"/>
              </w:rPr>
              <w:t>azstarnet.com</w:t>
            </w:r>
          </w:p>
        </w:tc>
        <w:tc>
          <w:tcPr>
            <w:tcW w:w="2700" w:type="dxa"/>
            <w:vAlign w:val="bottom"/>
          </w:tcPr>
          <w:p>
            <w:pPr>
              <w:ind w:left="60"/>
              <w:spacing w:after="0"/>
              <w:rPr>
                <w:sz w:val="20"/>
                <w:szCs w:val="20"/>
                <w:color w:val="auto"/>
              </w:rPr>
            </w:pPr>
            <w:r>
              <w:rPr>
                <w:rFonts w:ascii="Arial" w:cs="Arial" w:eastAsia="Arial" w:hAnsi="Arial"/>
                <w:sz w:val="18"/>
                <w:szCs w:val="18"/>
                <w:color w:val="auto"/>
              </w:rPr>
              <w:t>Tucson, AZ</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40,593</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83,454</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1,603</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13,310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 xml:space="preserve">Capital Newspapers </w:t>
            </w:r>
            <w:r>
              <w:rPr>
                <w:rFonts w:ascii="Arial" w:cs="Arial" w:eastAsia="Arial" w:hAnsi="Arial"/>
                <w:sz w:val="28"/>
                <w:szCs w:val="28"/>
                <w:color w:val="auto"/>
                <w:vertAlign w:val="superscript"/>
              </w:rPr>
              <w:t>(4)</w:t>
            </w:r>
          </w:p>
        </w:tc>
        <w:tc>
          <w:tcPr>
            <w:tcW w:w="1880" w:type="dxa"/>
            <w:vAlign w:val="bottom"/>
            <w:shd w:val="clear" w:color="auto" w:fill="CCEEFF"/>
          </w:tcPr>
          <w:p>
            <w:pPr>
              <w:spacing w:after="0"/>
              <w:rPr>
                <w:sz w:val="21"/>
                <w:szCs w:val="21"/>
                <w:color w:val="auto"/>
              </w:rPr>
            </w:pPr>
          </w:p>
        </w:tc>
        <w:tc>
          <w:tcPr>
            <w:tcW w:w="27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ind w:left="160"/>
              <w:spacing w:after="0" w:line="202" w:lineRule="exact"/>
              <w:rPr>
                <w:sz w:val="20"/>
                <w:szCs w:val="20"/>
                <w:color w:val="auto"/>
              </w:rPr>
            </w:pPr>
            <w:r>
              <w:rPr>
                <w:rFonts w:ascii="Arial" w:cs="Arial" w:eastAsia="Arial" w:hAnsi="Arial"/>
                <w:sz w:val="18"/>
                <w:szCs w:val="18"/>
                <w:i w:val="1"/>
                <w:iCs w:val="1"/>
                <w:color w:val="auto"/>
              </w:rPr>
              <w:t>Wisconsin State Journal</w:t>
            </w:r>
          </w:p>
        </w:tc>
        <w:tc>
          <w:tcPr>
            <w:tcW w:w="1880" w:type="dxa"/>
            <w:vAlign w:val="bottom"/>
          </w:tcPr>
          <w:p>
            <w:pPr>
              <w:ind w:left="80"/>
              <w:spacing w:after="0" w:line="202" w:lineRule="exact"/>
              <w:rPr>
                <w:sz w:val="20"/>
                <w:szCs w:val="20"/>
                <w:color w:val="auto"/>
              </w:rPr>
            </w:pPr>
            <w:r>
              <w:rPr>
                <w:rFonts w:ascii="Arial" w:cs="Arial" w:eastAsia="Arial" w:hAnsi="Arial"/>
                <w:sz w:val="18"/>
                <w:szCs w:val="18"/>
                <w:color w:val="auto"/>
              </w:rPr>
              <w:t>madison.com</w:t>
            </w:r>
          </w:p>
        </w:tc>
        <w:tc>
          <w:tcPr>
            <w:tcW w:w="2700" w:type="dxa"/>
            <w:vAlign w:val="bottom"/>
          </w:tcPr>
          <w:p>
            <w:pPr>
              <w:ind w:left="60"/>
              <w:spacing w:after="0" w:line="202" w:lineRule="exact"/>
              <w:rPr>
                <w:sz w:val="20"/>
                <w:szCs w:val="20"/>
                <w:color w:val="auto"/>
              </w:rPr>
            </w:pPr>
            <w:r>
              <w:rPr>
                <w:rFonts w:ascii="Arial" w:cs="Arial" w:eastAsia="Arial" w:hAnsi="Arial"/>
                <w:sz w:val="18"/>
                <w:szCs w:val="18"/>
                <w:color w:val="auto"/>
              </w:rPr>
              <w:t>Madison, WI</w:t>
            </w:r>
          </w:p>
        </w:tc>
        <w:tc>
          <w:tcPr>
            <w:tcW w:w="12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51,401</w:t>
            </w: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60,789</w:t>
            </w:r>
          </w:p>
        </w:tc>
        <w:tc>
          <w:tcPr>
            <w:tcW w:w="12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2,147</w:t>
            </w: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13,127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i w:val="1"/>
                <w:iCs w:val="1"/>
                <w:color w:val="auto"/>
              </w:rPr>
              <w:t>Daily Citizen</w:t>
            </w:r>
          </w:p>
        </w:tc>
        <w:tc>
          <w:tcPr>
            <w:tcW w:w="18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wiscnews.com/bdc</w:t>
            </w:r>
          </w:p>
        </w:tc>
        <w:tc>
          <w:tcPr>
            <w:tcW w:w="27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Beaver Dam, WI</w:t>
            </w:r>
          </w:p>
        </w:tc>
        <w:tc>
          <w:tcPr>
            <w:tcW w:w="124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3,968</w:t>
            </w: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93</w:t>
            </w: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ind w:left="160"/>
              <w:spacing w:after="0" w:line="202" w:lineRule="exact"/>
              <w:rPr>
                <w:sz w:val="20"/>
                <w:szCs w:val="20"/>
                <w:color w:val="auto"/>
              </w:rPr>
            </w:pPr>
            <w:r>
              <w:rPr>
                <w:rFonts w:ascii="Arial" w:cs="Arial" w:eastAsia="Arial" w:hAnsi="Arial"/>
                <w:sz w:val="18"/>
                <w:szCs w:val="18"/>
                <w:i w:val="1"/>
                <w:iCs w:val="1"/>
                <w:color w:val="auto"/>
              </w:rPr>
              <w:t>Portage Daily Register</w:t>
            </w:r>
          </w:p>
        </w:tc>
        <w:tc>
          <w:tcPr>
            <w:tcW w:w="1880" w:type="dxa"/>
            <w:vAlign w:val="bottom"/>
          </w:tcPr>
          <w:p>
            <w:pPr>
              <w:ind w:left="80"/>
              <w:spacing w:after="0" w:line="202" w:lineRule="exact"/>
              <w:rPr>
                <w:sz w:val="20"/>
                <w:szCs w:val="20"/>
                <w:color w:val="auto"/>
              </w:rPr>
            </w:pPr>
            <w:r>
              <w:rPr>
                <w:rFonts w:ascii="Arial" w:cs="Arial" w:eastAsia="Arial" w:hAnsi="Arial"/>
                <w:sz w:val="18"/>
                <w:szCs w:val="18"/>
                <w:color w:val="auto"/>
              </w:rPr>
              <w:t>wiscnews.com/pdr</w:t>
            </w:r>
          </w:p>
        </w:tc>
        <w:tc>
          <w:tcPr>
            <w:tcW w:w="2700" w:type="dxa"/>
            <w:vAlign w:val="bottom"/>
          </w:tcPr>
          <w:p>
            <w:pPr>
              <w:ind w:left="60"/>
              <w:spacing w:after="0" w:line="202" w:lineRule="exact"/>
              <w:rPr>
                <w:sz w:val="20"/>
                <w:szCs w:val="20"/>
                <w:color w:val="auto"/>
              </w:rPr>
            </w:pPr>
            <w:r>
              <w:rPr>
                <w:rFonts w:ascii="Arial" w:cs="Arial" w:eastAsia="Arial" w:hAnsi="Arial"/>
                <w:sz w:val="18"/>
                <w:szCs w:val="18"/>
                <w:color w:val="auto"/>
              </w:rPr>
              <w:t>Portage, WI</w:t>
            </w:r>
          </w:p>
        </w:tc>
        <w:tc>
          <w:tcPr>
            <w:tcW w:w="12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2,211</w:t>
            </w: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246</w:t>
            </w: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i w:val="1"/>
                <w:iCs w:val="1"/>
                <w:color w:val="auto"/>
              </w:rPr>
              <w:t>Baraboo News Republic</w:t>
            </w:r>
          </w:p>
        </w:tc>
        <w:tc>
          <w:tcPr>
            <w:tcW w:w="18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wiscnews.com/bnr</w:t>
            </w:r>
          </w:p>
        </w:tc>
        <w:tc>
          <w:tcPr>
            <w:tcW w:w="27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Baraboo, WI</w:t>
            </w:r>
          </w:p>
        </w:tc>
        <w:tc>
          <w:tcPr>
            <w:tcW w:w="124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2,203</w:t>
            </w: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128</w:t>
            </w: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02"/>
        </w:trPr>
        <w:tc>
          <w:tcPr>
            <w:tcW w:w="25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The Times</w:t>
            </w:r>
          </w:p>
        </w:tc>
        <w:tc>
          <w:tcPr>
            <w:tcW w:w="1880" w:type="dxa"/>
            <w:vAlign w:val="bottom"/>
          </w:tcPr>
          <w:p>
            <w:pPr>
              <w:spacing w:after="0"/>
              <w:rPr>
                <w:sz w:val="17"/>
                <w:szCs w:val="17"/>
                <w:color w:val="auto"/>
              </w:rPr>
            </w:pPr>
          </w:p>
        </w:tc>
        <w:tc>
          <w:tcPr>
            <w:tcW w:w="2700" w:type="dxa"/>
            <w:vAlign w:val="bottom"/>
          </w:tcPr>
          <w:p>
            <w:pPr>
              <w:ind w:left="60"/>
              <w:spacing w:after="0" w:line="201" w:lineRule="exact"/>
              <w:rPr>
                <w:sz w:val="20"/>
                <w:szCs w:val="20"/>
                <w:color w:val="auto"/>
              </w:rPr>
            </w:pPr>
            <w:r>
              <w:rPr>
                <w:rFonts w:ascii="Arial" w:cs="Arial" w:eastAsia="Arial" w:hAnsi="Arial"/>
                <w:sz w:val="18"/>
                <w:szCs w:val="18"/>
                <w:color w:val="auto"/>
              </w:rPr>
              <w:t>Munster, Valparaiso, and</w:t>
            </w: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gridSpan w:val="2"/>
            <w:vMerge w:val="continue"/>
          </w:tcPr>
          <w:p>
            <w:pPr>
              <w:spacing w:after="0"/>
              <w:rPr>
                <w:sz w:val="17"/>
                <w:szCs w:val="17"/>
                <w:color w:val="auto"/>
              </w:rPr>
            </w:pPr>
          </w:p>
        </w:tc>
        <w:tc>
          <w:tcPr>
            <w:tcW w:w="1880" w:type="dxa"/>
            <w:vAlign w:val="bottom"/>
          </w:tcPr>
          <w:p>
            <w:pPr>
              <w:ind w:left="80"/>
              <w:spacing w:after="0" w:line="203" w:lineRule="exact"/>
              <w:rPr>
                <w:sz w:val="20"/>
                <w:szCs w:val="20"/>
                <w:color w:val="auto"/>
              </w:rPr>
            </w:pPr>
            <w:r>
              <w:rPr>
                <w:rFonts w:ascii="Arial" w:cs="Arial" w:eastAsia="Arial" w:hAnsi="Arial"/>
                <w:sz w:val="18"/>
                <w:szCs w:val="18"/>
                <w:color w:val="auto"/>
              </w:rPr>
              <w:t>nwitimes.com</w:t>
            </w:r>
          </w:p>
        </w:tc>
        <w:tc>
          <w:tcPr>
            <w:tcW w:w="2700" w:type="dxa"/>
            <w:vAlign w:val="bottom"/>
          </w:tcPr>
          <w:p>
            <w:pPr>
              <w:ind w:left="60"/>
              <w:spacing w:after="0" w:line="203" w:lineRule="exact"/>
              <w:rPr>
                <w:sz w:val="20"/>
                <w:szCs w:val="20"/>
                <w:color w:val="auto"/>
              </w:rPr>
            </w:pPr>
            <w:r>
              <w:rPr>
                <w:rFonts w:ascii="Arial" w:cs="Arial" w:eastAsia="Arial" w:hAnsi="Arial"/>
                <w:sz w:val="18"/>
                <w:szCs w:val="18"/>
                <w:color w:val="auto"/>
              </w:rPr>
              <w:t>Crown Point, IN</w:t>
            </w:r>
          </w:p>
        </w:tc>
        <w:tc>
          <w:tcPr>
            <w:tcW w:w="1240" w:type="dxa"/>
            <w:vAlign w:val="bottom"/>
          </w:tcPr>
          <w:p>
            <w:pPr>
              <w:jc w:val="right"/>
              <w:ind w:right="110"/>
              <w:spacing w:after="0" w:line="203" w:lineRule="exact"/>
              <w:rPr>
                <w:sz w:val="20"/>
                <w:szCs w:val="20"/>
                <w:color w:val="auto"/>
              </w:rPr>
            </w:pPr>
            <w:r>
              <w:rPr>
                <w:rFonts w:ascii="Arial" w:cs="Arial" w:eastAsia="Arial" w:hAnsi="Arial"/>
                <w:sz w:val="18"/>
                <w:szCs w:val="18"/>
                <w:color w:val="auto"/>
              </w:rPr>
              <w:t>40,328</w:t>
            </w:r>
          </w:p>
        </w:tc>
        <w:tc>
          <w:tcPr>
            <w:tcW w:w="1000" w:type="dxa"/>
            <w:vAlign w:val="bottom"/>
          </w:tcPr>
          <w:p>
            <w:pPr>
              <w:jc w:val="right"/>
              <w:ind w:right="30"/>
              <w:spacing w:after="0" w:line="203" w:lineRule="exact"/>
              <w:rPr>
                <w:sz w:val="20"/>
                <w:szCs w:val="20"/>
                <w:color w:val="auto"/>
              </w:rPr>
            </w:pPr>
            <w:r>
              <w:rPr>
                <w:rFonts w:ascii="Arial" w:cs="Arial" w:eastAsia="Arial" w:hAnsi="Arial"/>
                <w:sz w:val="18"/>
                <w:szCs w:val="18"/>
                <w:color w:val="auto"/>
              </w:rPr>
              <w:t>52,276</w:t>
            </w:r>
          </w:p>
        </w:tc>
        <w:tc>
          <w:tcPr>
            <w:tcW w:w="1240" w:type="dxa"/>
            <w:vAlign w:val="bottom"/>
          </w:tcPr>
          <w:p>
            <w:pPr>
              <w:jc w:val="right"/>
              <w:ind w:right="90"/>
              <w:spacing w:after="0" w:line="203" w:lineRule="exact"/>
              <w:rPr>
                <w:sz w:val="20"/>
                <w:szCs w:val="20"/>
                <w:color w:val="auto"/>
              </w:rPr>
            </w:pPr>
            <w:r>
              <w:rPr>
                <w:rFonts w:ascii="Arial" w:cs="Arial" w:eastAsia="Arial" w:hAnsi="Arial"/>
                <w:sz w:val="18"/>
                <w:szCs w:val="18"/>
                <w:color w:val="auto"/>
              </w:rPr>
              <w:t>1,772</w:t>
            </w:r>
          </w:p>
        </w:tc>
        <w:tc>
          <w:tcPr>
            <w:tcW w:w="82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30,054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Quad Cities Group</w:t>
            </w:r>
          </w:p>
        </w:tc>
        <w:tc>
          <w:tcPr>
            <w:tcW w:w="188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ind w:left="160"/>
              <w:spacing w:after="0" w:line="202" w:lineRule="exact"/>
              <w:rPr>
                <w:sz w:val="20"/>
                <w:szCs w:val="20"/>
                <w:color w:val="auto"/>
              </w:rPr>
            </w:pPr>
            <w:r>
              <w:rPr>
                <w:rFonts w:ascii="Arial" w:cs="Arial" w:eastAsia="Arial" w:hAnsi="Arial"/>
                <w:sz w:val="18"/>
                <w:szCs w:val="18"/>
                <w:i w:val="1"/>
                <w:iCs w:val="1"/>
                <w:color w:val="auto"/>
              </w:rPr>
              <w:t>Quad-City Times</w:t>
            </w:r>
          </w:p>
        </w:tc>
        <w:tc>
          <w:tcPr>
            <w:tcW w:w="1880" w:type="dxa"/>
            <w:vAlign w:val="bottom"/>
          </w:tcPr>
          <w:p>
            <w:pPr>
              <w:ind w:left="80"/>
              <w:spacing w:after="0" w:line="202" w:lineRule="exact"/>
              <w:rPr>
                <w:sz w:val="20"/>
                <w:szCs w:val="20"/>
                <w:color w:val="auto"/>
              </w:rPr>
            </w:pPr>
            <w:r>
              <w:rPr>
                <w:rFonts w:ascii="Arial" w:cs="Arial" w:eastAsia="Arial" w:hAnsi="Arial"/>
                <w:sz w:val="18"/>
                <w:szCs w:val="18"/>
                <w:color w:val="auto"/>
              </w:rPr>
              <w:t>qctimes.com</w:t>
            </w:r>
          </w:p>
        </w:tc>
        <w:tc>
          <w:tcPr>
            <w:tcW w:w="2700" w:type="dxa"/>
            <w:vAlign w:val="bottom"/>
          </w:tcPr>
          <w:p>
            <w:pPr>
              <w:ind w:left="60"/>
              <w:spacing w:after="0" w:line="202" w:lineRule="exact"/>
              <w:rPr>
                <w:sz w:val="20"/>
                <w:szCs w:val="20"/>
                <w:color w:val="auto"/>
              </w:rPr>
            </w:pPr>
            <w:r>
              <w:rPr>
                <w:rFonts w:ascii="Arial" w:cs="Arial" w:eastAsia="Arial" w:hAnsi="Arial"/>
                <w:sz w:val="18"/>
                <w:szCs w:val="18"/>
                <w:color w:val="auto"/>
              </w:rPr>
              <w:t>Davenport, IA</w:t>
            </w:r>
          </w:p>
        </w:tc>
        <w:tc>
          <w:tcPr>
            <w:tcW w:w="12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26,836</w:t>
            </w: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28,372</w:t>
            </w:r>
          </w:p>
        </w:tc>
        <w:tc>
          <w:tcPr>
            <w:tcW w:w="12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782</w:t>
            </w: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6,837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i w:val="1"/>
                <w:iCs w:val="1"/>
                <w:color w:val="auto"/>
              </w:rPr>
              <w:t>Dispatch-Argus</w:t>
            </w:r>
          </w:p>
        </w:tc>
        <w:tc>
          <w:tcPr>
            <w:tcW w:w="18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qconline.com</w:t>
            </w:r>
          </w:p>
        </w:tc>
        <w:tc>
          <w:tcPr>
            <w:tcW w:w="27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Moline, IL</w:t>
            </w:r>
          </w:p>
        </w:tc>
        <w:tc>
          <w:tcPr>
            <w:tcW w:w="124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50,145</w:t>
            </w: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17,939</w:t>
            </w:r>
          </w:p>
        </w:tc>
        <w:tc>
          <w:tcPr>
            <w:tcW w:w="124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357</w:t>
            </w: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3,353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ind w:left="160"/>
              <w:spacing w:after="0" w:line="202" w:lineRule="exact"/>
              <w:rPr>
                <w:sz w:val="20"/>
                <w:szCs w:val="20"/>
                <w:color w:val="auto"/>
              </w:rPr>
            </w:pPr>
            <w:r>
              <w:rPr>
                <w:rFonts w:ascii="Arial" w:cs="Arial" w:eastAsia="Arial" w:hAnsi="Arial"/>
                <w:sz w:val="18"/>
                <w:szCs w:val="18"/>
                <w:i w:val="1"/>
                <w:iCs w:val="1"/>
                <w:color w:val="auto"/>
              </w:rPr>
              <w:t>Muscatine Journal</w:t>
            </w:r>
          </w:p>
        </w:tc>
        <w:tc>
          <w:tcPr>
            <w:tcW w:w="1880" w:type="dxa"/>
            <w:vAlign w:val="bottom"/>
          </w:tcPr>
          <w:p>
            <w:pPr>
              <w:ind w:left="80"/>
              <w:spacing w:after="0" w:line="202" w:lineRule="exact"/>
              <w:rPr>
                <w:sz w:val="20"/>
                <w:szCs w:val="20"/>
                <w:color w:val="auto"/>
              </w:rPr>
            </w:pPr>
            <w:r>
              <w:rPr>
                <w:rFonts w:ascii="Arial" w:cs="Arial" w:eastAsia="Arial" w:hAnsi="Arial"/>
                <w:sz w:val="18"/>
                <w:szCs w:val="18"/>
                <w:color w:val="auto"/>
              </w:rPr>
              <w:t>muscatinejournal.com</w:t>
            </w:r>
          </w:p>
        </w:tc>
        <w:tc>
          <w:tcPr>
            <w:tcW w:w="2700" w:type="dxa"/>
            <w:vAlign w:val="bottom"/>
          </w:tcPr>
          <w:p>
            <w:pPr>
              <w:ind w:left="60"/>
              <w:spacing w:after="0" w:line="202" w:lineRule="exact"/>
              <w:rPr>
                <w:sz w:val="20"/>
                <w:szCs w:val="20"/>
                <w:color w:val="auto"/>
              </w:rPr>
            </w:pPr>
            <w:r>
              <w:rPr>
                <w:rFonts w:ascii="Arial" w:cs="Arial" w:eastAsia="Arial" w:hAnsi="Arial"/>
                <w:sz w:val="18"/>
                <w:szCs w:val="18"/>
                <w:color w:val="auto"/>
              </w:rPr>
              <w:t>Muscatine, IA</w:t>
            </w:r>
          </w:p>
        </w:tc>
        <w:tc>
          <w:tcPr>
            <w:tcW w:w="12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3,659</w:t>
            </w: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80</w:t>
            </w: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Lincoln Group</w:t>
            </w:r>
          </w:p>
        </w:tc>
        <w:tc>
          <w:tcPr>
            <w:tcW w:w="188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ind w:left="160"/>
              <w:spacing w:after="0" w:line="202" w:lineRule="exact"/>
              <w:rPr>
                <w:sz w:val="20"/>
                <w:szCs w:val="20"/>
                <w:color w:val="auto"/>
              </w:rPr>
            </w:pPr>
            <w:r>
              <w:rPr>
                <w:rFonts w:ascii="Arial" w:cs="Arial" w:eastAsia="Arial" w:hAnsi="Arial"/>
                <w:sz w:val="18"/>
                <w:szCs w:val="18"/>
                <w:i w:val="1"/>
                <w:iCs w:val="1"/>
                <w:color w:val="auto"/>
              </w:rPr>
              <w:t>Lincoln Journal Star</w:t>
            </w:r>
          </w:p>
        </w:tc>
        <w:tc>
          <w:tcPr>
            <w:tcW w:w="1880" w:type="dxa"/>
            <w:vAlign w:val="bottom"/>
          </w:tcPr>
          <w:p>
            <w:pPr>
              <w:ind w:left="80"/>
              <w:spacing w:after="0" w:line="202" w:lineRule="exact"/>
              <w:rPr>
                <w:sz w:val="20"/>
                <w:szCs w:val="20"/>
                <w:color w:val="auto"/>
              </w:rPr>
            </w:pPr>
            <w:r>
              <w:rPr>
                <w:rFonts w:ascii="Arial" w:cs="Arial" w:eastAsia="Arial" w:hAnsi="Arial"/>
                <w:sz w:val="18"/>
                <w:szCs w:val="18"/>
                <w:color w:val="auto"/>
              </w:rPr>
              <w:t>journalstar.com</w:t>
            </w:r>
          </w:p>
        </w:tc>
        <w:tc>
          <w:tcPr>
            <w:tcW w:w="2700" w:type="dxa"/>
            <w:vAlign w:val="bottom"/>
          </w:tcPr>
          <w:p>
            <w:pPr>
              <w:ind w:left="60"/>
              <w:spacing w:after="0" w:line="202" w:lineRule="exact"/>
              <w:rPr>
                <w:sz w:val="20"/>
                <w:szCs w:val="20"/>
                <w:color w:val="auto"/>
              </w:rPr>
            </w:pPr>
            <w:r>
              <w:rPr>
                <w:rFonts w:ascii="Arial" w:cs="Arial" w:eastAsia="Arial" w:hAnsi="Arial"/>
                <w:sz w:val="18"/>
                <w:szCs w:val="18"/>
                <w:color w:val="auto"/>
              </w:rPr>
              <w:t>Lincoln, NE</w:t>
            </w:r>
          </w:p>
        </w:tc>
        <w:tc>
          <w:tcPr>
            <w:tcW w:w="12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34,462</w:t>
            </w: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40,930</w:t>
            </w:r>
          </w:p>
        </w:tc>
        <w:tc>
          <w:tcPr>
            <w:tcW w:w="12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1,872</w:t>
            </w: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21,995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shd w:val="clear" w:color="auto" w:fill="CCEEFF"/>
          </w:tcPr>
          <w:p>
            <w:pPr>
              <w:ind w:left="160"/>
              <w:spacing w:after="0" w:line="243" w:lineRule="exact"/>
              <w:rPr>
                <w:sz w:val="20"/>
                <w:szCs w:val="20"/>
                <w:color w:val="auto"/>
              </w:rPr>
            </w:pPr>
            <w:r>
              <w:rPr>
                <w:rFonts w:ascii="Arial" w:cs="Arial" w:eastAsia="Arial" w:hAnsi="Arial"/>
                <w:sz w:val="17"/>
                <w:szCs w:val="17"/>
                <w:i w:val="1"/>
                <w:iCs w:val="1"/>
                <w:color w:val="auto"/>
              </w:rPr>
              <w:t xml:space="preserve">Columbus Telegram </w:t>
            </w:r>
            <w:r>
              <w:rPr>
                <w:rFonts w:ascii="Arial" w:cs="Arial" w:eastAsia="Arial" w:hAnsi="Arial"/>
                <w:sz w:val="28"/>
                <w:szCs w:val="28"/>
                <w:i w:val="1"/>
                <w:iCs w:val="1"/>
                <w:color w:val="auto"/>
                <w:vertAlign w:val="superscript"/>
              </w:rPr>
              <w:t>(6)</w:t>
            </w:r>
          </w:p>
        </w:tc>
        <w:tc>
          <w:tcPr>
            <w:tcW w:w="4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columbustelegram.comColumbus, NE</w:t>
            </w: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3,869</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164</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tcPr>
          <w:p>
            <w:pPr>
              <w:ind w:left="160"/>
              <w:spacing w:after="0" w:line="243" w:lineRule="exact"/>
              <w:rPr>
                <w:sz w:val="20"/>
                <w:szCs w:val="20"/>
                <w:color w:val="auto"/>
              </w:rPr>
            </w:pPr>
            <w:r>
              <w:rPr>
                <w:rFonts w:ascii="Arial" w:cs="Arial" w:eastAsia="Arial" w:hAnsi="Arial"/>
                <w:sz w:val="17"/>
                <w:szCs w:val="17"/>
                <w:i w:val="1"/>
                <w:iCs w:val="1"/>
                <w:color w:val="auto"/>
              </w:rPr>
              <w:t xml:space="preserve">Fremont Tribune </w:t>
            </w:r>
            <w:r>
              <w:rPr>
                <w:rFonts w:ascii="Arial" w:cs="Arial" w:eastAsia="Arial" w:hAnsi="Arial"/>
                <w:sz w:val="28"/>
                <w:szCs w:val="28"/>
                <w:i w:val="1"/>
                <w:iCs w:val="1"/>
                <w:color w:val="auto"/>
                <w:vertAlign w:val="superscript"/>
              </w:rPr>
              <w:t>(6)</w:t>
            </w:r>
          </w:p>
        </w:tc>
        <w:tc>
          <w:tcPr>
            <w:tcW w:w="1880" w:type="dxa"/>
            <w:vAlign w:val="bottom"/>
          </w:tcPr>
          <w:p>
            <w:pPr>
              <w:ind w:left="80"/>
              <w:spacing w:after="0"/>
              <w:rPr>
                <w:sz w:val="20"/>
                <w:szCs w:val="20"/>
                <w:color w:val="auto"/>
              </w:rPr>
            </w:pPr>
            <w:r>
              <w:rPr>
                <w:rFonts w:ascii="Arial" w:cs="Arial" w:eastAsia="Arial" w:hAnsi="Arial"/>
                <w:sz w:val="18"/>
                <w:szCs w:val="18"/>
                <w:color w:val="auto"/>
              </w:rPr>
              <w:t>fremonttribune.com</w:t>
            </w:r>
          </w:p>
        </w:tc>
        <w:tc>
          <w:tcPr>
            <w:tcW w:w="2700" w:type="dxa"/>
            <w:vAlign w:val="bottom"/>
          </w:tcPr>
          <w:p>
            <w:pPr>
              <w:ind w:left="60"/>
              <w:spacing w:after="0"/>
              <w:rPr>
                <w:sz w:val="20"/>
                <w:szCs w:val="20"/>
                <w:color w:val="auto"/>
              </w:rPr>
            </w:pPr>
            <w:r>
              <w:rPr>
                <w:rFonts w:ascii="Arial" w:cs="Arial" w:eastAsia="Arial" w:hAnsi="Arial"/>
                <w:sz w:val="18"/>
                <w:szCs w:val="18"/>
                <w:color w:val="auto"/>
              </w:rPr>
              <w:t>Fremont, NE</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3,334</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148</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shd w:val="clear" w:color="auto" w:fill="CCEEFF"/>
          </w:tcPr>
          <w:p>
            <w:pPr>
              <w:ind w:left="160"/>
              <w:spacing w:after="0" w:line="243" w:lineRule="exact"/>
              <w:rPr>
                <w:sz w:val="20"/>
                <w:szCs w:val="20"/>
                <w:color w:val="auto"/>
              </w:rPr>
            </w:pPr>
            <w:r>
              <w:rPr>
                <w:rFonts w:ascii="Arial" w:cs="Arial" w:eastAsia="Arial" w:hAnsi="Arial"/>
                <w:sz w:val="17"/>
                <w:szCs w:val="17"/>
                <w:i w:val="1"/>
                <w:iCs w:val="1"/>
                <w:color w:val="auto"/>
              </w:rPr>
              <w:t xml:space="preserve">Beatrice Daily Sun </w:t>
            </w:r>
            <w:r>
              <w:rPr>
                <w:rFonts w:ascii="Arial" w:cs="Arial" w:eastAsia="Arial" w:hAnsi="Arial"/>
                <w:sz w:val="28"/>
                <w:szCs w:val="28"/>
                <w:i w:val="1"/>
                <w:iCs w:val="1"/>
                <w:color w:val="auto"/>
                <w:vertAlign w:val="superscript"/>
              </w:rPr>
              <w:t>(6)</w:t>
            </w:r>
          </w:p>
        </w:tc>
        <w:tc>
          <w:tcPr>
            <w:tcW w:w="1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beatricedailysun.com</w:t>
            </w:r>
          </w:p>
        </w:tc>
        <w:tc>
          <w:tcPr>
            <w:tcW w:w="2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Beatrice, NE</w:t>
            </w: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2,479</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84</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gridSpan w:val="2"/>
          </w:tcPr>
          <w:p>
            <w:pPr>
              <w:spacing w:after="0" w:line="202" w:lineRule="exact"/>
              <w:rPr>
                <w:sz w:val="20"/>
                <w:szCs w:val="20"/>
                <w:color w:val="auto"/>
              </w:rPr>
            </w:pPr>
            <w:r>
              <w:rPr>
                <w:rFonts w:ascii="Arial" w:cs="Arial" w:eastAsia="Arial" w:hAnsi="Arial"/>
                <w:sz w:val="18"/>
                <w:szCs w:val="18"/>
                <w:color w:val="auto"/>
              </w:rPr>
              <w:t>Central Illinois Newspaper Group</w:t>
            </w:r>
          </w:p>
        </w:tc>
        <w:tc>
          <w:tcPr>
            <w:tcW w:w="27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shd w:val="clear" w:color="auto" w:fill="CCEEFF"/>
          </w:tcPr>
          <w:p>
            <w:pPr>
              <w:ind w:left="160"/>
              <w:spacing w:after="0" w:line="243" w:lineRule="exact"/>
              <w:rPr>
                <w:sz w:val="20"/>
                <w:szCs w:val="20"/>
                <w:color w:val="auto"/>
              </w:rPr>
            </w:pPr>
            <w:r>
              <w:rPr>
                <w:rFonts w:ascii="Arial" w:cs="Arial" w:eastAsia="Arial" w:hAnsi="Arial"/>
                <w:sz w:val="17"/>
                <w:szCs w:val="17"/>
                <w:i w:val="1"/>
                <w:iCs w:val="1"/>
                <w:color w:val="auto"/>
              </w:rPr>
              <w:t xml:space="preserve">The Pantagraph </w:t>
            </w:r>
            <w:r>
              <w:rPr>
                <w:rFonts w:ascii="Arial" w:cs="Arial" w:eastAsia="Arial" w:hAnsi="Arial"/>
                <w:sz w:val="28"/>
                <w:szCs w:val="28"/>
                <w:i w:val="1"/>
                <w:iCs w:val="1"/>
                <w:color w:val="auto"/>
                <w:vertAlign w:val="superscript"/>
              </w:rPr>
              <w:t>(3)</w:t>
            </w:r>
          </w:p>
        </w:tc>
        <w:tc>
          <w:tcPr>
            <w:tcW w:w="1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pantagraph.com</w:t>
            </w:r>
          </w:p>
        </w:tc>
        <w:tc>
          <w:tcPr>
            <w:tcW w:w="2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Bloomington, IL</w:t>
            </w: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17,848</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21,336</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624</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ind w:left="160"/>
              <w:spacing w:after="0" w:line="202" w:lineRule="exact"/>
              <w:rPr>
                <w:sz w:val="20"/>
                <w:szCs w:val="20"/>
                <w:color w:val="auto"/>
              </w:rPr>
            </w:pPr>
            <w:r>
              <w:rPr>
                <w:rFonts w:ascii="Arial" w:cs="Arial" w:eastAsia="Arial" w:hAnsi="Arial"/>
                <w:sz w:val="18"/>
                <w:szCs w:val="18"/>
                <w:i w:val="1"/>
                <w:iCs w:val="1"/>
                <w:color w:val="auto"/>
              </w:rPr>
              <w:t>Herald &amp; Review</w:t>
            </w:r>
          </w:p>
        </w:tc>
        <w:tc>
          <w:tcPr>
            <w:tcW w:w="1880" w:type="dxa"/>
            <w:vAlign w:val="bottom"/>
          </w:tcPr>
          <w:p>
            <w:pPr>
              <w:ind w:left="80"/>
              <w:spacing w:after="0" w:line="202" w:lineRule="exact"/>
              <w:rPr>
                <w:sz w:val="20"/>
                <w:szCs w:val="20"/>
                <w:color w:val="auto"/>
              </w:rPr>
            </w:pPr>
            <w:r>
              <w:rPr>
                <w:rFonts w:ascii="Arial" w:cs="Arial" w:eastAsia="Arial" w:hAnsi="Arial"/>
                <w:sz w:val="18"/>
                <w:szCs w:val="18"/>
                <w:color w:val="auto"/>
              </w:rPr>
              <w:t>herald-review.com</w:t>
            </w:r>
          </w:p>
        </w:tc>
        <w:tc>
          <w:tcPr>
            <w:tcW w:w="2700" w:type="dxa"/>
            <w:vAlign w:val="bottom"/>
          </w:tcPr>
          <w:p>
            <w:pPr>
              <w:ind w:left="60"/>
              <w:spacing w:after="0" w:line="202" w:lineRule="exact"/>
              <w:rPr>
                <w:sz w:val="20"/>
                <w:szCs w:val="20"/>
                <w:color w:val="auto"/>
              </w:rPr>
            </w:pPr>
            <w:r>
              <w:rPr>
                <w:rFonts w:ascii="Arial" w:cs="Arial" w:eastAsia="Arial" w:hAnsi="Arial"/>
                <w:sz w:val="18"/>
                <w:szCs w:val="18"/>
                <w:color w:val="auto"/>
              </w:rPr>
              <w:t>Decatur, IL</w:t>
            </w:r>
          </w:p>
        </w:tc>
        <w:tc>
          <w:tcPr>
            <w:tcW w:w="12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11,787</w:t>
            </w: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18,033</w:t>
            </w:r>
          </w:p>
        </w:tc>
        <w:tc>
          <w:tcPr>
            <w:tcW w:w="12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518</w:t>
            </w: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4,751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520" w:type="dxa"/>
            <w:vAlign w:val="bottom"/>
            <w:shd w:val="clear" w:color="auto" w:fill="CCEEFF"/>
          </w:tcPr>
          <w:p>
            <w:pPr>
              <w:ind w:left="160"/>
              <w:spacing w:after="0" w:line="184" w:lineRule="exact"/>
              <w:rPr>
                <w:sz w:val="20"/>
                <w:szCs w:val="20"/>
                <w:color w:val="auto"/>
              </w:rPr>
            </w:pPr>
            <w:r>
              <w:rPr>
                <w:rFonts w:ascii="Arial" w:cs="Arial" w:eastAsia="Arial" w:hAnsi="Arial"/>
                <w:sz w:val="18"/>
                <w:szCs w:val="18"/>
                <w:i w:val="1"/>
                <w:iCs w:val="1"/>
                <w:color w:val="auto"/>
              </w:rPr>
              <w:t>Journal Gazette &amp; Times-</w:t>
            </w:r>
          </w:p>
        </w:tc>
        <w:tc>
          <w:tcPr>
            <w:tcW w:w="1880" w:type="dxa"/>
            <w:vAlign w:val="bottom"/>
            <w:shd w:val="clear" w:color="auto" w:fill="CCEEFF"/>
          </w:tcPr>
          <w:p>
            <w:pPr>
              <w:spacing w:after="0"/>
              <w:rPr>
                <w:sz w:val="15"/>
                <w:szCs w:val="15"/>
                <w:color w:val="auto"/>
              </w:rPr>
            </w:pPr>
          </w:p>
        </w:tc>
        <w:tc>
          <w:tcPr>
            <w:tcW w:w="27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Courier</w:t>
            </w:r>
          </w:p>
        </w:tc>
        <w:tc>
          <w:tcPr>
            <w:tcW w:w="1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jg-tc.com</w:t>
            </w:r>
          </w:p>
        </w:tc>
        <w:tc>
          <w:tcPr>
            <w:tcW w:w="2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Mattoon/Charleston, IL</w:t>
            </w: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6,236</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165</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spacing w:after="0" w:line="202" w:lineRule="exact"/>
              <w:rPr>
                <w:sz w:val="20"/>
                <w:szCs w:val="20"/>
                <w:color w:val="auto"/>
              </w:rPr>
            </w:pPr>
            <w:r>
              <w:rPr>
                <w:rFonts w:ascii="Arial" w:cs="Arial" w:eastAsia="Arial" w:hAnsi="Arial"/>
                <w:sz w:val="18"/>
                <w:szCs w:val="18"/>
                <w:color w:val="auto"/>
              </w:rPr>
              <w:t>Racine/Kenosha Group</w:t>
            </w:r>
          </w:p>
        </w:tc>
        <w:tc>
          <w:tcPr>
            <w:tcW w:w="18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i w:val="1"/>
                <w:iCs w:val="1"/>
                <w:color w:val="auto"/>
              </w:rPr>
              <w:t>The Journal Times</w:t>
            </w:r>
          </w:p>
        </w:tc>
        <w:tc>
          <w:tcPr>
            <w:tcW w:w="18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journaltimes.com</w:t>
            </w:r>
          </w:p>
        </w:tc>
        <w:tc>
          <w:tcPr>
            <w:tcW w:w="27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Racine, WI</w:t>
            </w:r>
          </w:p>
        </w:tc>
        <w:tc>
          <w:tcPr>
            <w:tcW w:w="124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14,163</w:t>
            </w: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15,482</w:t>
            </w:r>
          </w:p>
        </w:tc>
        <w:tc>
          <w:tcPr>
            <w:tcW w:w="124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512</w:t>
            </w: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6,594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ind w:left="160"/>
              <w:spacing w:after="0" w:line="202" w:lineRule="exact"/>
              <w:rPr>
                <w:sz w:val="20"/>
                <w:szCs w:val="20"/>
                <w:color w:val="auto"/>
              </w:rPr>
            </w:pPr>
            <w:r>
              <w:rPr>
                <w:rFonts w:ascii="Arial" w:cs="Arial" w:eastAsia="Arial" w:hAnsi="Arial"/>
                <w:sz w:val="18"/>
                <w:szCs w:val="18"/>
                <w:i w:val="1"/>
                <w:iCs w:val="1"/>
                <w:color w:val="auto"/>
              </w:rPr>
              <w:t>Kenosha News</w:t>
            </w:r>
          </w:p>
        </w:tc>
        <w:tc>
          <w:tcPr>
            <w:tcW w:w="1880" w:type="dxa"/>
            <w:vAlign w:val="bottom"/>
          </w:tcPr>
          <w:p>
            <w:pPr>
              <w:ind w:left="80"/>
              <w:spacing w:after="0" w:line="202" w:lineRule="exact"/>
              <w:rPr>
                <w:sz w:val="20"/>
                <w:szCs w:val="20"/>
                <w:color w:val="auto"/>
              </w:rPr>
            </w:pPr>
            <w:r>
              <w:rPr>
                <w:rFonts w:ascii="Arial" w:cs="Arial" w:eastAsia="Arial" w:hAnsi="Arial"/>
                <w:sz w:val="18"/>
                <w:szCs w:val="18"/>
                <w:color w:val="auto"/>
              </w:rPr>
              <w:t>kenoshanews.com</w:t>
            </w:r>
          </w:p>
        </w:tc>
        <w:tc>
          <w:tcPr>
            <w:tcW w:w="2700" w:type="dxa"/>
            <w:vAlign w:val="bottom"/>
          </w:tcPr>
          <w:p>
            <w:pPr>
              <w:ind w:left="60"/>
              <w:spacing w:after="0" w:line="202" w:lineRule="exact"/>
              <w:rPr>
                <w:sz w:val="20"/>
                <w:szCs w:val="20"/>
                <w:color w:val="auto"/>
              </w:rPr>
            </w:pPr>
            <w:r>
              <w:rPr>
                <w:rFonts w:ascii="Arial" w:cs="Arial" w:eastAsia="Arial" w:hAnsi="Arial"/>
                <w:sz w:val="18"/>
                <w:szCs w:val="18"/>
                <w:color w:val="auto"/>
              </w:rPr>
              <w:t>Kenosha, WI</w:t>
            </w:r>
          </w:p>
        </w:tc>
        <w:tc>
          <w:tcPr>
            <w:tcW w:w="12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14,165</w:t>
            </w: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16,486</w:t>
            </w:r>
          </w:p>
        </w:tc>
        <w:tc>
          <w:tcPr>
            <w:tcW w:w="12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204</w:t>
            </w: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Billings Gazette</w:t>
            </w:r>
          </w:p>
        </w:tc>
        <w:tc>
          <w:tcPr>
            <w:tcW w:w="18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billingsgazette.com</w:t>
            </w:r>
          </w:p>
        </w:tc>
        <w:tc>
          <w:tcPr>
            <w:tcW w:w="27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Billings, MT</w:t>
            </w:r>
          </w:p>
        </w:tc>
        <w:tc>
          <w:tcPr>
            <w:tcW w:w="124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21,847</w:t>
            </w: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23,123</w:t>
            </w:r>
          </w:p>
        </w:tc>
        <w:tc>
          <w:tcPr>
            <w:tcW w:w="124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1,232</w:t>
            </w: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11,257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spacing w:after="0" w:line="202" w:lineRule="exact"/>
              <w:rPr>
                <w:sz w:val="20"/>
                <w:szCs w:val="20"/>
                <w:color w:val="auto"/>
              </w:rPr>
            </w:pPr>
            <w:r>
              <w:rPr>
                <w:rFonts w:ascii="Arial" w:cs="Arial" w:eastAsia="Arial" w:hAnsi="Arial"/>
                <w:sz w:val="18"/>
                <w:szCs w:val="18"/>
                <w:i w:val="1"/>
                <w:iCs w:val="1"/>
                <w:color w:val="auto"/>
              </w:rPr>
              <w:t>The Courier</w:t>
            </w:r>
          </w:p>
        </w:tc>
        <w:tc>
          <w:tcPr>
            <w:tcW w:w="1880" w:type="dxa"/>
            <w:vAlign w:val="bottom"/>
          </w:tcPr>
          <w:p>
            <w:pPr>
              <w:ind w:left="80"/>
              <w:spacing w:after="0" w:line="202" w:lineRule="exact"/>
              <w:rPr>
                <w:sz w:val="20"/>
                <w:szCs w:val="20"/>
                <w:color w:val="auto"/>
              </w:rPr>
            </w:pPr>
            <w:r>
              <w:rPr>
                <w:rFonts w:ascii="Arial" w:cs="Arial" w:eastAsia="Arial" w:hAnsi="Arial"/>
                <w:sz w:val="18"/>
                <w:szCs w:val="18"/>
                <w:color w:val="auto"/>
              </w:rPr>
              <w:t>wcfcourier.com</w:t>
            </w:r>
          </w:p>
        </w:tc>
        <w:tc>
          <w:tcPr>
            <w:tcW w:w="2700" w:type="dxa"/>
            <w:vAlign w:val="bottom"/>
          </w:tcPr>
          <w:p>
            <w:pPr>
              <w:ind w:left="60"/>
              <w:spacing w:after="0" w:line="202" w:lineRule="exact"/>
              <w:rPr>
                <w:sz w:val="20"/>
                <w:szCs w:val="20"/>
                <w:color w:val="auto"/>
              </w:rPr>
            </w:pPr>
            <w:r>
              <w:rPr>
                <w:rFonts w:ascii="Arial" w:cs="Arial" w:eastAsia="Arial" w:hAnsi="Arial"/>
                <w:sz w:val="18"/>
                <w:szCs w:val="18"/>
                <w:color w:val="auto"/>
              </w:rPr>
              <w:t>Waterloo and Cedar Falls, IA</w:t>
            </w:r>
          </w:p>
        </w:tc>
        <w:tc>
          <w:tcPr>
            <w:tcW w:w="12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29,016</w:t>
            </w: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22,443</w:t>
            </w:r>
          </w:p>
        </w:tc>
        <w:tc>
          <w:tcPr>
            <w:tcW w:w="12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595</w:t>
            </w: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5,799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River Valley Newspaper Group</w:t>
            </w:r>
          </w:p>
        </w:tc>
        <w:tc>
          <w:tcPr>
            <w:tcW w:w="188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ind w:left="160"/>
              <w:spacing w:after="0" w:line="202" w:lineRule="exact"/>
              <w:rPr>
                <w:sz w:val="20"/>
                <w:szCs w:val="20"/>
                <w:color w:val="auto"/>
              </w:rPr>
            </w:pPr>
            <w:r>
              <w:rPr>
                <w:rFonts w:ascii="Arial" w:cs="Arial" w:eastAsia="Arial" w:hAnsi="Arial"/>
                <w:sz w:val="18"/>
                <w:szCs w:val="18"/>
                <w:i w:val="1"/>
                <w:iCs w:val="1"/>
                <w:color w:val="auto"/>
              </w:rPr>
              <w:t>La Crosse Tribune</w:t>
            </w:r>
          </w:p>
        </w:tc>
        <w:tc>
          <w:tcPr>
            <w:tcW w:w="1880" w:type="dxa"/>
            <w:vAlign w:val="bottom"/>
          </w:tcPr>
          <w:p>
            <w:pPr>
              <w:ind w:left="80"/>
              <w:spacing w:after="0" w:line="202" w:lineRule="exact"/>
              <w:rPr>
                <w:sz w:val="20"/>
                <w:szCs w:val="20"/>
                <w:color w:val="auto"/>
              </w:rPr>
            </w:pPr>
            <w:r>
              <w:rPr>
                <w:rFonts w:ascii="Arial" w:cs="Arial" w:eastAsia="Arial" w:hAnsi="Arial"/>
                <w:sz w:val="18"/>
                <w:szCs w:val="18"/>
                <w:color w:val="auto"/>
              </w:rPr>
              <w:t>lacrossetribune.com</w:t>
            </w:r>
          </w:p>
        </w:tc>
        <w:tc>
          <w:tcPr>
            <w:tcW w:w="2700" w:type="dxa"/>
            <w:vAlign w:val="bottom"/>
          </w:tcPr>
          <w:p>
            <w:pPr>
              <w:ind w:left="60"/>
              <w:spacing w:after="0" w:line="202" w:lineRule="exact"/>
              <w:rPr>
                <w:sz w:val="20"/>
                <w:szCs w:val="20"/>
                <w:color w:val="auto"/>
              </w:rPr>
            </w:pPr>
            <w:r>
              <w:rPr>
                <w:rFonts w:ascii="Arial" w:cs="Arial" w:eastAsia="Arial" w:hAnsi="Arial"/>
                <w:sz w:val="18"/>
                <w:szCs w:val="18"/>
                <w:color w:val="auto"/>
              </w:rPr>
              <w:t>La Crosse, WI</w:t>
            </w:r>
          </w:p>
        </w:tc>
        <w:tc>
          <w:tcPr>
            <w:tcW w:w="12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13,737</w:t>
            </w: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16,144</w:t>
            </w:r>
          </w:p>
        </w:tc>
        <w:tc>
          <w:tcPr>
            <w:tcW w:w="12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569</w:t>
            </w: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6,874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i w:val="1"/>
                <w:iCs w:val="1"/>
                <w:color w:val="auto"/>
              </w:rPr>
              <w:t>Winona Daily News</w:t>
            </w:r>
          </w:p>
        </w:tc>
        <w:tc>
          <w:tcPr>
            <w:tcW w:w="18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winonadailynews.com</w:t>
            </w:r>
          </w:p>
        </w:tc>
        <w:tc>
          <w:tcPr>
            <w:tcW w:w="27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Winona, MN</w:t>
            </w:r>
          </w:p>
        </w:tc>
        <w:tc>
          <w:tcPr>
            <w:tcW w:w="124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3,796</w:t>
            </w: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3,935</w:t>
            </w:r>
          </w:p>
        </w:tc>
        <w:tc>
          <w:tcPr>
            <w:tcW w:w="124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169</w:t>
            </w: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tcPr>
          <w:p>
            <w:pPr>
              <w:ind w:left="160"/>
              <w:spacing w:after="0" w:line="243" w:lineRule="exact"/>
              <w:rPr>
                <w:sz w:val="20"/>
                <w:szCs w:val="20"/>
                <w:color w:val="auto"/>
              </w:rPr>
            </w:pPr>
            <w:r>
              <w:rPr>
                <w:rFonts w:ascii="Arial" w:cs="Arial" w:eastAsia="Arial" w:hAnsi="Arial"/>
                <w:sz w:val="17"/>
                <w:szCs w:val="17"/>
                <w:i w:val="1"/>
                <w:iCs w:val="1"/>
                <w:color w:val="auto"/>
              </w:rPr>
              <w:t xml:space="preserve">The Chippewa Herald </w:t>
            </w:r>
            <w:r>
              <w:rPr>
                <w:rFonts w:ascii="Arial" w:cs="Arial" w:eastAsia="Arial" w:hAnsi="Arial"/>
                <w:sz w:val="28"/>
                <w:szCs w:val="28"/>
                <w:i w:val="1"/>
                <w:iCs w:val="1"/>
                <w:color w:val="auto"/>
                <w:vertAlign w:val="superscript"/>
              </w:rPr>
              <w:t>(6)</w:t>
            </w:r>
          </w:p>
        </w:tc>
        <w:tc>
          <w:tcPr>
            <w:tcW w:w="1880" w:type="dxa"/>
            <w:vAlign w:val="bottom"/>
          </w:tcPr>
          <w:p>
            <w:pPr>
              <w:ind w:left="80"/>
              <w:spacing w:after="0"/>
              <w:rPr>
                <w:sz w:val="20"/>
                <w:szCs w:val="20"/>
                <w:color w:val="auto"/>
              </w:rPr>
            </w:pPr>
            <w:r>
              <w:rPr>
                <w:rFonts w:ascii="Arial" w:cs="Arial" w:eastAsia="Arial" w:hAnsi="Arial"/>
                <w:sz w:val="18"/>
                <w:szCs w:val="18"/>
                <w:color w:val="auto"/>
              </w:rPr>
              <w:t>chippewa.com</w:t>
            </w:r>
          </w:p>
        </w:tc>
        <w:tc>
          <w:tcPr>
            <w:tcW w:w="2700" w:type="dxa"/>
            <w:vAlign w:val="bottom"/>
          </w:tcPr>
          <w:p>
            <w:pPr>
              <w:ind w:left="60"/>
              <w:spacing w:after="0"/>
              <w:rPr>
                <w:sz w:val="20"/>
                <w:szCs w:val="20"/>
                <w:color w:val="auto"/>
              </w:rPr>
            </w:pPr>
            <w:r>
              <w:rPr>
                <w:rFonts w:ascii="Arial" w:cs="Arial" w:eastAsia="Arial" w:hAnsi="Arial"/>
                <w:sz w:val="18"/>
                <w:szCs w:val="18"/>
                <w:color w:val="auto"/>
              </w:rPr>
              <w:t>Chippewa Falls, WI</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1,617</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160</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The Bismarck Tribune</w:t>
            </w:r>
          </w:p>
        </w:tc>
        <w:tc>
          <w:tcPr>
            <w:tcW w:w="18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bismarcktribune.com</w:t>
            </w:r>
          </w:p>
        </w:tc>
        <w:tc>
          <w:tcPr>
            <w:tcW w:w="27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Bismarck, ND</w:t>
            </w:r>
          </w:p>
        </w:tc>
        <w:tc>
          <w:tcPr>
            <w:tcW w:w="124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17,177</w:t>
            </w: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18,627</w:t>
            </w:r>
          </w:p>
        </w:tc>
        <w:tc>
          <w:tcPr>
            <w:tcW w:w="124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552</w:t>
            </w: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6,271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spacing w:after="0" w:line="202" w:lineRule="exact"/>
              <w:rPr>
                <w:sz w:val="20"/>
                <w:szCs w:val="20"/>
                <w:color w:val="auto"/>
              </w:rPr>
            </w:pPr>
            <w:r>
              <w:rPr>
                <w:rFonts w:ascii="Arial" w:cs="Arial" w:eastAsia="Arial" w:hAnsi="Arial"/>
                <w:sz w:val="18"/>
                <w:szCs w:val="18"/>
                <w:color w:val="auto"/>
              </w:rPr>
              <w:t>Helena/Butte Group</w:t>
            </w:r>
          </w:p>
        </w:tc>
        <w:tc>
          <w:tcPr>
            <w:tcW w:w="18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shd w:val="clear" w:color="auto" w:fill="CCEEFF"/>
          </w:tcPr>
          <w:p>
            <w:pPr>
              <w:ind w:left="160"/>
              <w:spacing w:after="0" w:line="243" w:lineRule="exact"/>
              <w:rPr>
                <w:sz w:val="20"/>
                <w:szCs w:val="20"/>
                <w:color w:val="auto"/>
              </w:rPr>
            </w:pPr>
            <w:r>
              <w:rPr>
                <w:rFonts w:ascii="Arial" w:cs="Arial" w:eastAsia="Arial" w:hAnsi="Arial"/>
                <w:sz w:val="17"/>
                <w:szCs w:val="17"/>
                <w:i w:val="1"/>
                <w:iCs w:val="1"/>
                <w:color w:val="auto"/>
              </w:rPr>
              <w:t xml:space="preserve">Independent Record </w:t>
            </w:r>
            <w:r>
              <w:rPr>
                <w:rFonts w:ascii="Arial" w:cs="Arial" w:eastAsia="Arial" w:hAnsi="Arial"/>
                <w:sz w:val="28"/>
                <w:szCs w:val="28"/>
                <w:i w:val="1"/>
                <w:iCs w:val="1"/>
                <w:color w:val="auto"/>
                <w:vertAlign w:val="superscript"/>
              </w:rPr>
              <w:t>(6</w:t>
            </w:r>
            <w:r>
              <w:rPr>
                <w:rFonts w:ascii="Arial" w:cs="Arial" w:eastAsia="Arial" w:hAnsi="Arial"/>
                <w:sz w:val="17"/>
                <w:szCs w:val="17"/>
                <w:i w:val="1"/>
                <w:iCs w:val="1"/>
                <w:color w:val="auto"/>
              </w:rPr>
              <w:t>)</w:t>
            </w:r>
          </w:p>
        </w:tc>
        <w:tc>
          <w:tcPr>
            <w:tcW w:w="1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helenair.com</w:t>
            </w:r>
          </w:p>
        </w:tc>
        <w:tc>
          <w:tcPr>
            <w:tcW w:w="2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Helena, MT</w:t>
            </w: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8,800</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10,192</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392</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tcPr>
          <w:p>
            <w:pPr>
              <w:ind w:left="160"/>
              <w:spacing w:after="0" w:line="243" w:lineRule="exact"/>
              <w:rPr>
                <w:sz w:val="20"/>
                <w:szCs w:val="20"/>
                <w:color w:val="auto"/>
              </w:rPr>
            </w:pPr>
            <w:r>
              <w:rPr>
                <w:rFonts w:ascii="Arial" w:cs="Arial" w:eastAsia="Arial" w:hAnsi="Arial"/>
                <w:sz w:val="17"/>
                <w:szCs w:val="17"/>
                <w:i w:val="1"/>
                <w:iCs w:val="1"/>
                <w:color w:val="auto"/>
              </w:rPr>
              <w:t xml:space="preserve">Montana Standard </w:t>
            </w:r>
            <w:r>
              <w:rPr>
                <w:rFonts w:ascii="Arial" w:cs="Arial" w:eastAsia="Arial" w:hAnsi="Arial"/>
                <w:sz w:val="28"/>
                <w:szCs w:val="28"/>
                <w:i w:val="1"/>
                <w:iCs w:val="1"/>
                <w:color w:val="auto"/>
                <w:vertAlign w:val="superscript"/>
              </w:rPr>
              <w:t>(6)</w:t>
            </w:r>
          </w:p>
        </w:tc>
        <w:tc>
          <w:tcPr>
            <w:tcW w:w="1880" w:type="dxa"/>
            <w:vAlign w:val="bottom"/>
          </w:tcPr>
          <w:p>
            <w:pPr>
              <w:ind w:left="80"/>
              <w:spacing w:after="0"/>
              <w:rPr>
                <w:sz w:val="20"/>
                <w:szCs w:val="20"/>
                <w:color w:val="auto"/>
              </w:rPr>
            </w:pPr>
            <w:r>
              <w:rPr>
                <w:rFonts w:ascii="Arial" w:cs="Arial" w:eastAsia="Arial" w:hAnsi="Arial"/>
                <w:sz w:val="18"/>
                <w:szCs w:val="18"/>
                <w:color w:val="auto"/>
              </w:rPr>
              <w:t>mtstandard.com</w:t>
            </w:r>
          </w:p>
        </w:tc>
        <w:tc>
          <w:tcPr>
            <w:tcW w:w="2700" w:type="dxa"/>
            <w:vAlign w:val="bottom"/>
          </w:tcPr>
          <w:p>
            <w:pPr>
              <w:ind w:left="60"/>
              <w:spacing w:after="0"/>
              <w:rPr>
                <w:sz w:val="20"/>
                <w:szCs w:val="20"/>
                <w:color w:val="auto"/>
              </w:rPr>
            </w:pPr>
            <w:r>
              <w:rPr>
                <w:rFonts w:ascii="Arial" w:cs="Arial" w:eastAsia="Arial" w:hAnsi="Arial"/>
                <w:sz w:val="18"/>
                <w:szCs w:val="18"/>
                <w:color w:val="auto"/>
              </w:rPr>
              <w:t>Butte, MT</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7,424</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8,310</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287</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Missoula Group</w:t>
            </w:r>
          </w:p>
        </w:tc>
        <w:tc>
          <w:tcPr>
            <w:tcW w:w="188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tcPr>
          <w:p>
            <w:pPr>
              <w:ind w:left="160"/>
              <w:spacing w:after="0" w:line="243" w:lineRule="exact"/>
              <w:rPr>
                <w:sz w:val="20"/>
                <w:szCs w:val="20"/>
                <w:color w:val="auto"/>
              </w:rPr>
            </w:pPr>
            <w:r>
              <w:rPr>
                <w:rFonts w:ascii="Arial" w:cs="Arial" w:eastAsia="Arial" w:hAnsi="Arial"/>
                <w:sz w:val="17"/>
                <w:szCs w:val="17"/>
                <w:i w:val="1"/>
                <w:iCs w:val="1"/>
                <w:color w:val="auto"/>
              </w:rPr>
              <w:t xml:space="preserve">Missoulian </w:t>
            </w:r>
            <w:r>
              <w:rPr>
                <w:rFonts w:ascii="Arial" w:cs="Arial" w:eastAsia="Arial" w:hAnsi="Arial"/>
                <w:sz w:val="28"/>
                <w:szCs w:val="28"/>
                <w:i w:val="1"/>
                <w:iCs w:val="1"/>
                <w:color w:val="auto"/>
                <w:vertAlign w:val="superscript"/>
              </w:rPr>
              <w:t>(6)</w:t>
            </w:r>
          </w:p>
        </w:tc>
        <w:tc>
          <w:tcPr>
            <w:tcW w:w="1880" w:type="dxa"/>
            <w:vAlign w:val="bottom"/>
          </w:tcPr>
          <w:p>
            <w:pPr>
              <w:ind w:left="80"/>
              <w:spacing w:after="0"/>
              <w:rPr>
                <w:sz w:val="20"/>
                <w:szCs w:val="20"/>
                <w:color w:val="auto"/>
              </w:rPr>
            </w:pPr>
            <w:r>
              <w:rPr>
                <w:rFonts w:ascii="Arial" w:cs="Arial" w:eastAsia="Arial" w:hAnsi="Arial"/>
                <w:sz w:val="18"/>
                <w:szCs w:val="18"/>
                <w:color w:val="auto"/>
              </w:rPr>
              <w:t>missoulian.com</w:t>
            </w:r>
          </w:p>
        </w:tc>
        <w:tc>
          <w:tcPr>
            <w:tcW w:w="2700" w:type="dxa"/>
            <w:vAlign w:val="bottom"/>
          </w:tcPr>
          <w:p>
            <w:pPr>
              <w:ind w:left="60"/>
              <w:spacing w:after="0"/>
              <w:rPr>
                <w:sz w:val="20"/>
                <w:szCs w:val="20"/>
                <w:color w:val="auto"/>
              </w:rPr>
            </w:pPr>
            <w:r>
              <w:rPr>
                <w:rFonts w:ascii="Arial" w:cs="Arial" w:eastAsia="Arial" w:hAnsi="Arial"/>
                <w:sz w:val="18"/>
                <w:szCs w:val="18"/>
                <w:color w:val="auto"/>
              </w:rPr>
              <w:t>Missoula, MT</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13,979</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16,195</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650</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4,765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shd w:val="clear" w:color="auto" w:fill="CCEEFF"/>
          </w:tcPr>
          <w:p>
            <w:pPr>
              <w:ind w:left="160"/>
              <w:spacing w:after="0" w:line="243" w:lineRule="exact"/>
              <w:rPr>
                <w:sz w:val="20"/>
                <w:szCs w:val="20"/>
                <w:color w:val="auto"/>
              </w:rPr>
            </w:pPr>
            <w:r>
              <w:rPr>
                <w:rFonts w:ascii="Arial" w:cs="Arial" w:eastAsia="Arial" w:hAnsi="Arial"/>
                <w:sz w:val="17"/>
                <w:szCs w:val="17"/>
                <w:i w:val="1"/>
                <w:iCs w:val="1"/>
                <w:color w:val="auto"/>
              </w:rPr>
              <w:t xml:space="preserve">Ravalli Republic </w:t>
            </w:r>
            <w:r>
              <w:rPr>
                <w:rFonts w:ascii="Arial" w:cs="Arial" w:eastAsia="Arial" w:hAnsi="Arial"/>
                <w:sz w:val="28"/>
                <w:szCs w:val="28"/>
                <w:i w:val="1"/>
                <w:iCs w:val="1"/>
                <w:color w:val="auto"/>
                <w:vertAlign w:val="superscript"/>
              </w:rPr>
              <w:t>(6)</w:t>
            </w:r>
          </w:p>
        </w:tc>
        <w:tc>
          <w:tcPr>
            <w:tcW w:w="1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ravallinews.com</w:t>
            </w:r>
          </w:p>
        </w:tc>
        <w:tc>
          <w:tcPr>
            <w:tcW w:w="2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Hamilton, MT</w:t>
            </w: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1,796</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1,343</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94</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spacing w:after="0" w:line="202" w:lineRule="exact"/>
              <w:rPr>
                <w:sz w:val="20"/>
                <w:szCs w:val="20"/>
                <w:color w:val="auto"/>
              </w:rPr>
            </w:pPr>
            <w:r>
              <w:rPr>
                <w:rFonts w:ascii="Arial" w:cs="Arial" w:eastAsia="Arial" w:hAnsi="Arial"/>
                <w:sz w:val="18"/>
                <w:szCs w:val="18"/>
                <w:i w:val="1"/>
                <w:iCs w:val="1"/>
                <w:color w:val="auto"/>
              </w:rPr>
              <w:t>Sioux City Journal</w:t>
            </w:r>
          </w:p>
        </w:tc>
        <w:tc>
          <w:tcPr>
            <w:tcW w:w="1880" w:type="dxa"/>
            <w:vAlign w:val="bottom"/>
          </w:tcPr>
          <w:p>
            <w:pPr>
              <w:ind w:left="80"/>
              <w:spacing w:after="0" w:line="202" w:lineRule="exact"/>
              <w:rPr>
                <w:sz w:val="20"/>
                <w:szCs w:val="20"/>
                <w:color w:val="auto"/>
              </w:rPr>
            </w:pPr>
            <w:r>
              <w:rPr>
                <w:rFonts w:ascii="Arial" w:cs="Arial" w:eastAsia="Arial" w:hAnsi="Arial"/>
                <w:sz w:val="18"/>
                <w:szCs w:val="18"/>
                <w:color w:val="auto"/>
              </w:rPr>
              <w:t>siouxcityjournal.com</w:t>
            </w:r>
          </w:p>
        </w:tc>
        <w:tc>
          <w:tcPr>
            <w:tcW w:w="2700" w:type="dxa"/>
            <w:vAlign w:val="bottom"/>
          </w:tcPr>
          <w:p>
            <w:pPr>
              <w:ind w:left="60"/>
              <w:spacing w:after="0" w:line="202" w:lineRule="exact"/>
              <w:rPr>
                <w:sz w:val="20"/>
                <w:szCs w:val="20"/>
                <w:color w:val="auto"/>
              </w:rPr>
            </w:pPr>
            <w:r>
              <w:rPr>
                <w:rFonts w:ascii="Arial" w:cs="Arial" w:eastAsia="Arial" w:hAnsi="Arial"/>
                <w:sz w:val="18"/>
                <w:szCs w:val="18"/>
                <w:color w:val="auto"/>
              </w:rPr>
              <w:t>Sioux City, IA</w:t>
            </w:r>
          </w:p>
        </w:tc>
        <w:tc>
          <w:tcPr>
            <w:tcW w:w="12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16,871</w:t>
            </w: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17,427</w:t>
            </w:r>
          </w:p>
        </w:tc>
        <w:tc>
          <w:tcPr>
            <w:tcW w:w="12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550</w:t>
            </w: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7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700" w:type="dxa"/>
            <w:vAlign w:val="bottom"/>
          </w:tcPr>
          <w:p>
            <w:pPr>
              <w:ind w:left="1240"/>
              <w:spacing w:after="0"/>
              <w:rPr>
                <w:sz w:val="20"/>
                <w:szCs w:val="20"/>
                <w:color w:val="auto"/>
              </w:rPr>
            </w:pPr>
            <w:r>
              <w:rPr>
                <w:rFonts w:ascii="Arial" w:cs="Arial" w:eastAsia="Arial" w:hAnsi="Arial"/>
                <w:sz w:val="18"/>
                <w:szCs w:val="18"/>
                <w:color w:val="auto"/>
              </w:rPr>
              <w:t>6</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2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27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43"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40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2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9"/>
              </w:rPr>
              <w:t>2019 Monthly Average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2720" w:type="dxa"/>
            <w:vAlign w:val="bottom"/>
            <w:gridSpan w:val="2"/>
          </w:tcPr>
          <w:p>
            <w:pPr>
              <w:jc w:val="right"/>
              <w:ind w:right="450"/>
              <w:spacing w:after="0" w:line="243" w:lineRule="exact"/>
              <w:rPr>
                <w:sz w:val="20"/>
                <w:szCs w:val="20"/>
                <w:color w:val="auto"/>
              </w:rPr>
            </w:pPr>
            <w:r>
              <w:rPr>
                <w:rFonts w:ascii="Arial" w:cs="Arial" w:eastAsia="Arial" w:hAnsi="Arial"/>
                <w:sz w:val="17"/>
                <w:szCs w:val="17"/>
                <w:color w:val="auto"/>
              </w:rPr>
              <w:t xml:space="preserve">Average Units </w:t>
            </w:r>
            <w:r>
              <w:rPr>
                <w:rFonts w:ascii="Arial" w:cs="Arial" w:eastAsia="Arial" w:hAnsi="Arial"/>
                <w:sz w:val="28"/>
                <w:szCs w:val="28"/>
                <w:color w:val="auto"/>
                <w:vertAlign w:val="superscript"/>
              </w:rPr>
              <w:t>(1)</w:t>
            </w:r>
          </w:p>
        </w:tc>
        <w:tc>
          <w:tcPr>
            <w:tcW w:w="2140" w:type="dxa"/>
            <w:vAlign w:val="bottom"/>
            <w:gridSpan w:val="4"/>
          </w:tcPr>
          <w:p>
            <w:pPr>
              <w:jc w:val="center"/>
              <w:ind w:right="40"/>
              <w:spacing w:after="0" w:line="243" w:lineRule="exact"/>
              <w:rPr>
                <w:sz w:val="20"/>
                <w:szCs w:val="20"/>
                <w:color w:val="auto"/>
              </w:rPr>
            </w:pPr>
            <w:r>
              <w:rPr>
                <w:rFonts w:ascii="Arial" w:cs="Arial" w:eastAsia="Arial" w:hAnsi="Arial"/>
                <w:sz w:val="17"/>
                <w:szCs w:val="17"/>
                <w:color w:val="auto"/>
                <w:w w:val="98"/>
              </w:rPr>
              <w:t xml:space="preserve">('000s) </w:t>
            </w:r>
            <w:r>
              <w:rPr>
                <w:rFonts w:ascii="Arial" w:cs="Arial" w:eastAsia="Arial" w:hAnsi="Arial"/>
                <w:sz w:val="28"/>
                <w:szCs w:val="28"/>
                <w:color w:val="auto"/>
                <w:w w:val="98"/>
                <w:vertAlign w:val="superscript"/>
              </w:rPr>
              <w:t>(7)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00" w:type="dxa"/>
            <w:vAlign w:val="bottom"/>
            <w:tcBorders>
              <w:top w:val="single" w:sz="8" w:color="auto"/>
            </w:tcBorders>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220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 xml:space="preserve">Daily </w:t>
            </w:r>
            <w:r>
              <w:rPr>
                <w:rFonts w:ascii="Arial" w:cs="Arial" w:eastAsia="Arial" w:hAnsi="Arial"/>
                <w:sz w:val="30"/>
                <w:szCs w:val="30"/>
                <w:color w:val="auto"/>
                <w:vertAlign w:val="superscript"/>
              </w:rPr>
              <w:t>(2)</w:t>
            </w:r>
          </w:p>
        </w:tc>
        <w:tc>
          <w:tcPr>
            <w:tcW w:w="10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rPr>
              <w:t>Unique</w:t>
            </w: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Page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20" w:type="dxa"/>
            <w:vAlign w:val="bottom"/>
            <w:gridSpan w:val="2"/>
          </w:tcPr>
          <w:p>
            <w:pPr>
              <w:spacing w:after="0" w:line="203" w:lineRule="exact"/>
              <w:rPr>
                <w:sz w:val="20"/>
                <w:szCs w:val="20"/>
                <w:color w:val="auto"/>
              </w:rPr>
            </w:pPr>
            <w:r>
              <w:rPr>
                <w:rFonts w:ascii="Arial" w:cs="Arial" w:eastAsia="Arial" w:hAnsi="Arial"/>
                <w:sz w:val="18"/>
                <w:szCs w:val="18"/>
                <w:color w:val="auto"/>
              </w:rPr>
              <w:t>Newspaper</w:t>
            </w:r>
          </w:p>
        </w:tc>
        <w:tc>
          <w:tcPr>
            <w:tcW w:w="1940" w:type="dxa"/>
            <w:vAlign w:val="bottom"/>
          </w:tcPr>
          <w:p>
            <w:pPr>
              <w:ind w:left="160"/>
              <w:spacing w:after="0" w:line="203" w:lineRule="exact"/>
              <w:rPr>
                <w:sz w:val="20"/>
                <w:szCs w:val="20"/>
                <w:color w:val="auto"/>
              </w:rPr>
            </w:pPr>
            <w:r>
              <w:rPr>
                <w:rFonts w:ascii="Arial" w:cs="Arial" w:eastAsia="Arial" w:hAnsi="Arial"/>
                <w:sz w:val="18"/>
                <w:szCs w:val="18"/>
                <w:color w:val="auto"/>
              </w:rPr>
              <w:t>Primary Website</w:t>
            </w:r>
          </w:p>
        </w:tc>
        <w:tc>
          <w:tcPr>
            <w:tcW w:w="2200" w:type="dxa"/>
            <w:vAlign w:val="bottom"/>
          </w:tcPr>
          <w:p>
            <w:pPr>
              <w:ind w:left="80"/>
              <w:spacing w:after="0" w:line="203" w:lineRule="exact"/>
              <w:rPr>
                <w:sz w:val="20"/>
                <w:szCs w:val="20"/>
                <w:color w:val="auto"/>
              </w:rPr>
            </w:pPr>
            <w:r>
              <w:rPr>
                <w:rFonts w:ascii="Arial" w:cs="Arial" w:eastAsia="Arial" w:hAnsi="Arial"/>
                <w:sz w:val="18"/>
                <w:szCs w:val="18"/>
                <w:color w:val="auto"/>
              </w:rPr>
              <w:t>Location</w:t>
            </w:r>
          </w:p>
        </w:tc>
        <w:tc>
          <w:tcPr>
            <w:tcW w:w="1720" w:type="dxa"/>
            <w:vAlign w:val="bottom"/>
            <w:vMerge w:val="continue"/>
          </w:tcPr>
          <w:p>
            <w:pPr>
              <w:spacing w:after="0"/>
              <w:rPr>
                <w:sz w:val="17"/>
                <w:szCs w:val="17"/>
                <w:color w:val="auto"/>
              </w:rPr>
            </w:pPr>
          </w:p>
        </w:tc>
        <w:tc>
          <w:tcPr>
            <w:tcW w:w="1000" w:type="dxa"/>
            <w:vAlign w:val="bottom"/>
          </w:tcPr>
          <w:p>
            <w:pPr>
              <w:jc w:val="right"/>
              <w:ind w:right="50"/>
              <w:spacing w:after="0" w:line="203" w:lineRule="exact"/>
              <w:rPr>
                <w:sz w:val="20"/>
                <w:szCs w:val="20"/>
                <w:color w:val="auto"/>
              </w:rPr>
            </w:pPr>
            <w:r>
              <w:rPr>
                <w:rFonts w:ascii="Arial" w:cs="Arial" w:eastAsia="Arial" w:hAnsi="Arial"/>
                <w:sz w:val="18"/>
                <w:szCs w:val="18"/>
                <w:color w:val="auto"/>
              </w:rPr>
              <w:t>Sunday</w:t>
            </w:r>
          </w:p>
        </w:tc>
        <w:tc>
          <w:tcPr>
            <w:tcW w:w="1220" w:type="dxa"/>
            <w:vAlign w:val="bottom"/>
          </w:tcPr>
          <w:p>
            <w:pPr>
              <w:jc w:val="right"/>
              <w:ind w:right="90"/>
              <w:spacing w:after="0" w:line="203" w:lineRule="exact"/>
              <w:rPr>
                <w:sz w:val="20"/>
                <w:szCs w:val="20"/>
                <w:color w:val="auto"/>
              </w:rPr>
            </w:pPr>
            <w:r>
              <w:rPr>
                <w:rFonts w:ascii="Arial" w:cs="Arial" w:eastAsia="Arial" w:hAnsi="Arial"/>
                <w:sz w:val="18"/>
                <w:szCs w:val="18"/>
                <w:color w:val="auto"/>
              </w:rPr>
              <w:t>Visitors</w:t>
            </w:r>
          </w:p>
        </w:tc>
        <w:tc>
          <w:tcPr>
            <w:tcW w:w="920" w:type="dxa"/>
            <w:vAlign w:val="bottom"/>
            <w:gridSpan w:val="3"/>
          </w:tcPr>
          <w:p>
            <w:pPr>
              <w:jc w:val="right"/>
              <w:ind w:right="100"/>
              <w:spacing w:after="0" w:line="203" w:lineRule="exact"/>
              <w:rPr>
                <w:sz w:val="20"/>
                <w:szCs w:val="20"/>
                <w:color w:val="auto"/>
              </w:rPr>
            </w:pPr>
            <w:r>
              <w:rPr>
                <w:rFonts w:ascii="Arial" w:cs="Arial" w:eastAsia="Arial" w:hAnsi="Arial"/>
                <w:sz w:val="18"/>
                <w:szCs w:val="18"/>
                <w:color w:val="auto"/>
              </w:rPr>
              <w:t>Views</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40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220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40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Casper Star-Tribune</w:t>
            </w:r>
          </w:p>
        </w:tc>
        <w:tc>
          <w:tcPr>
            <w:tcW w:w="19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trib.com</w:t>
            </w:r>
          </w:p>
        </w:tc>
        <w:tc>
          <w:tcPr>
            <w:tcW w:w="22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Casper, WY</w:t>
            </w:r>
          </w:p>
        </w:tc>
        <w:tc>
          <w:tcPr>
            <w:tcW w:w="17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16,575</w:t>
            </w:r>
          </w:p>
        </w:tc>
        <w:tc>
          <w:tcPr>
            <w:tcW w:w="10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17,011</w:t>
            </w:r>
          </w:p>
        </w:tc>
        <w:tc>
          <w:tcPr>
            <w:tcW w:w="12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519</w:t>
            </w: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3,562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tcPr>
          <w:p>
            <w:pPr>
              <w:spacing w:after="0" w:line="202" w:lineRule="exact"/>
              <w:rPr>
                <w:sz w:val="20"/>
                <w:szCs w:val="20"/>
                <w:color w:val="auto"/>
              </w:rPr>
            </w:pPr>
            <w:r>
              <w:rPr>
                <w:rFonts w:ascii="Arial" w:cs="Arial" w:eastAsia="Arial" w:hAnsi="Arial"/>
                <w:sz w:val="18"/>
                <w:szCs w:val="18"/>
                <w:i w:val="1"/>
                <w:iCs w:val="1"/>
                <w:color w:val="auto"/>
              </w:rPr>
              <w:t>Rapid City Journal</w:t>
            </w:r>
          </w:p>
        </w:tc>
        <w:tc>
          <w:tcPr>
            <w:tcW w:w="1940" w:type="dxa"/>
            <w:vAlign w:val="bottom"/>
          </w:tcPr>
          <w:p>
            <w:pPr>
              <w:ind w:left="160"/>
              <w:spacing w:after="0" w:line="202" w:lineRule="exact"/>
              <w:rPr>
                <w:sz w:val="20"/>
                <w:szCs w:val="20"/>
                <w:color w:val="auto"/>
              </w:rPr>
            </w:pPr>
            <w:r>
              <w:rPr>
                <w:rFonts w:ascii="Arial" w:cs="Arial" w:eastAsia="Arial" w:hAnsi="Arial"/>
                <w:sz w:val="18"/>
                <w:szCs w:val="18"/>
                <w:color w:val="auto"/>
              </w:rPr>
              <w:t>rapidcityjournal.com</w:t>
            </w:r>
          </w:p>
        </w:tc>
        <w:tc>
          <w:tcPr>
            <w:tcW w:w="2200" w:type="dxa"/>
            <w:vAlign w:val="bottom"/>
          </w:tcPr>
          <w:p>
            <w:pPr>
              <w:ind w:left="80"/>
              <w:spacing w:after="0" w:line="202" w:lineRule="exact"/>
              <w:rPr>
                <w:sz w:val="20"/>
                <w:szCs w:val="20"/>
                <w:color w:val="auto"/>
              </w:rPr>
            </w:pPr>
            <w:r>
              <w:rPr>
                <w:rFonts w:ascii="Arial" w:cs="Arial" w:eastAsia="Arial" w:hAnsi="Arial"/>
                <w:sz w:val="18"/>
                <w:szCs w:val="18"/>
                <w:color w:val="auto"/>
              </w:rPr>
              <w:t>Rapid City, SD</w:t>
            </w:r>
          </w:p>
        </w:tc>
        <w:tc>
          <w:tcPr>
            <w:tcW w:w="17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13,817</w:t>
            </w:r>
          </w:p>
        </w:tc>
        <w:tc>
          <w:tcPr>
            <w:tcW w:w="10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16,853</w:t>
            </w:r>
          </w:p>
        </w:tc>
        <w:tc>
          <w:tcPr>
            <w:tcW w:w="12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533</w:t>
            </w: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4,757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The Post-Star</w:t>
            </w:r>
          </w:p>
        </w:tc>
        <w:tc>
          <w:tcPr>
            <w:tcW w:w="19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poststar.com</w:t>
            </w:r>
          </w:p>
        </w:tc>
        <w:tc>
          <w:tcPr>
            <w:tcW w:w="22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Glens Falls, NY</w:t>
            </w:r>
          </w:p>
        </w:tc>
        <w:tc>
          <w:tcPr>
            <w:tcW w:w="17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13,721</w:t>
            </w:r>
          </w:p>
        </w:tc>
        <w:tc>
          <w:tcPr>
            <w:tcW w:w="10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15,733</w:t>
            </w:r>
          </w:p>
        </w:tc>
        <w:tc>
          <w:tcPr>
            <w:tcW w:w="12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663</w:t>
            </w: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7,703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tcPr>
          <w:p>
            <w:pPr>
              <w:spacing w:after="0" w:line="202" w:lineRule="exact"/>
              <w:rPr>
                <w:sz w:val="20"/>
                <w:szCs w:val="20"/>
                <w:color w:val="auto"/>
              </w:rPr>
            </w:pPr>
            <w:r>
              <w:rPr>
                <w:rFonts w:ascii="Arial" w:cs="Arial" w:eastAsia="Arial" w:hAnsi="Arial"/>
                <w:sz w:val="18"/>
                <w:szCs w:val="18"/>
                <w:color w:val="auto"/>
              </w:rPr>
              <w:t>Mid-Valley News Group</w:t>
            </w:r>
          </w:p>
        </w:tc>
        <w:tc>
          <w:tcPr>
            <w:tcW w:w="19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i w:val="1"/>
                <w:iCs w:val="1"/>
                <w:color w:val="auto"/>
              </w:rPr>
              <w:t>Albany Democrat-Herald</w:t>
            </w:r>
          </w:p>
        </w:tc>
        <w:tc>
          <w:tcPr>
            <w:tcW w:w="19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democratherald.com</w:t>
            </w:r>
          </w:p>
        </w:tc>
        <w:tc>
          <w:tcPr>
            <w:tcW w:w="22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Albany, OR</w:t>
            </w:r>
          </w:p>
        </w:tc>
        <w:tc>
          <w:tcPr>
            <w:tcW w:w="17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7,743</w:t>
            </w:r>
          </w:p>
        </w:tc>
        <w:tc>
          <w:tcPr>
            <w:tcW w:w="10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8,020</w:t>
            </w:r>
          </w:p>
        </w:tc>
        <w:tc>
          <w:tcPr>
            <w:tcW w:w="12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224</w:t>
            </w: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2,079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tcPr>
          <w:p>
            <w:pPr>
              <w:ind w:left="160"/>
              <w:spacing w:after="0" w:line="202" w:lineRule="exact"/>
              <w:rPr>
                <w:sz w:val="20"/>
                <w:szCs w:val="20"/>
                <w:color w:val="auto"/>
              </w:rPr>
            </w:pPr>
            <w:r>
              <w:rPr>
                <w:rFonts w:ascii="Arial" w:cs="Arial" w:eastAsia="Arial" w:hAnsi="Arial"/>
                <w:sz w:val="18"/>
                <w:szCs w:val="18"/>
                <w:i w:val="1"/>
                <w:iCs w:val="1"/>
                <w:color w:val="auto"/>
              </w:rPr>
              <w:t>Corvallis Gazette-Times</w:t>
            </w:r>
          </w:p>
        </w:tc>
        <w:tc>
          <w:tcPr>
            <w:tcW w:w="1940" w:type="dxa"/>
            <w:vAlign w:val="bottom"/>
          </w:tcPr>
          <w:p>
            <w:pPr>
              <w:ind w:left="160"/>
              <w:spacing w:after="0" w:line="202" w:lineRule="exact"/>
              <w:rPr>
                <w:sz w:val="20"/>
                <w:szCs w:val="20"/>
                <w:color w:val="auto"/>
              </w:rPr>
            </w:pPr>
            <w:r>
              <w:rPr>
                <w:rFonts w:ascii="Arial" w:cs="Arial" w:eastAsia="Arial" w:hAnsi="Arial"/>
                <w:sz w:val="18"/>
                <w:szCs w:val="18"/>
                <w:color w:val="auto"/>
              </w:rPr>
              <w:t>gazettetimes.com</w:t>
            </w:r>
          </w:p>
        </w:tc>
        <w:tc>
          <w:tcPr>
            <w:tcW w:w="2200" w:type="dxa"/>
            <w:vAlign w:val="bottom"/>
          </w:tcPr>
          <w:p>
            <w:pPr>
              <w:ind w:left="80"/>
              <w:spacing w:after="0" w:line="202" w:lineRule="exact"/>
              <w:rPr>
                <w:sz w:val="20"/>
                <w:szCs w:val="20"/>
                <w:color w:val="auto"/>
              </w:rPr>
            </w:pPr>
            <w:r>
              <w:rPr>
                <w:rFonts w:ascii="Arial" w:cs="Arial" w:eastAsia="Arial" w:hAnsi="Arial"/>
                <w:sz w:val="18"/>
                <w:szCs w:val="18"/>
                <w:color w:val="auto"/>
              </w:rPr>
              <w:t>Corvallis, OR</w:t>
            </w:r>
          </w:p>
        </w:tc>
        <w:tc>
          <w:tcPr>
            <w:tcW w:w="17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7,170</w:t>
            </w:r>
          </w:p>
        </w:tc>
        <w:tc>
          <w:tcPr>
            <w:tcW w:w="10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7,174</w:t>
            </w:r>
          </w:p>
        </w:tc>
        <w:tc>
          <w:tcPr>
            <w:tcW w:w="12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244</w:t>
            </w: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1,993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The Southern Illinoisan</w:t>
            </w:r>
          </w:p>
        </w:tc>
        <w:tc>
          <w:tcPr>
            <w:tcW w:w="19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thesouthern.com</w:t>
            </w:r>
          </w:p>
        </w:tc>
        <w:tc>
          <w:tcPr>
            <w:tcW w:w="22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Carbondale, IL</w:t>
            </w:r>
          </w:p>
        </w:tc>
        <w:tc>
          <w:tcPr>
            <w:tcW w:w="17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8,654</w:t>
            </w:r>
          </w:p>
        </w:tc>
        <w:tc>
          <w:tcPr>
            <w:tcW w:w="10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13,719</w:t>
            </w:r>
          </w:p>
        </w:tc>
        <w:tc>
          <w:tcPr>
            <w:tcW w:w="12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400</w:t>
            </w: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2,404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tcPr>
          <w:p>
            <w:pPr>
              <w:spacing w:after="0" w:line="202" w:lineRule="exact"/>
              <w:rPr>
                <w:sz w:val="20"/>
                <w:szCs w:val="20"/>
                <w:color w:val="auto"/>
              </w:rPr>
            </w:pPr>
            <w:r>
              <w:rPr>
                <w:rFonts w:ascii="Arial" w:cs="Arial" w:eastAsia="Arial" w:hAnsi="Arial"/>
                <w:sz w:val="18"/>
                <w:szCs w:val="18"/>
                <w:color w:val="auto"/>
              </w:rPr>
              <w:t>Magic Valley Group</w:t>
            </w:r>
          </w:p>
        </w:tc>
        <w:tc>
          <w:tcPr>
            <w:tcW w:w="19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i w:val="1"/>
                <w:iCs w:val="1"/>
                <w:color w:val="auto"/>
              </w:rPr>
              <w:t>The Times-News</w:t>
            </w:r>
          </w:p>
        </w:tc>
        <w:tc>
          <w:tcPr>
            <w:tcW w:w="19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magicvalley.com</w:t>
            </w:r>
          </w:p>
        </w:tc>
        <w:tc>
          <w:tcPr>
            <w:tcW w:w="22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Twin Falls, ID</w:t>
            </w:r>
          </w:p>
        </w:tc>
        <w:tc>
          <w:tcPr>
            <w:tcW w:w="17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17,492</w:t>
            </w:r>
          </w:p>
        </w:tc>
        <w:tc>
          <w:tcPr>
            <w:tcW w:w="10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10,978</w:t>
            </w:r>
          </w:p>
        </w:tc>
        <w:tc>
          <w:tcPr>
            <w:tcW w:w="12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364</w:t>
            </w: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2,820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ind w:left="160"/>
              <w:spacing w:after="0" w:line="243" w:lineRule="exact"/>
              <w:rPr>
                <w:sz w:val="20"/>
                <w:szCs w:val="20"/>
                <w:color w:val="auto"/>
              </w:rPr>
            </w:pPr>
            <w:r>
              <w:rPr>
                <w:rFonts w:ascii="Arial" w:cs="Arial" w:eastAsia="Arial" w:hAnsi="Arial"/>
                <w:sz w:val="17"/>
                <w:szCs w:val="17"/>
                <w:i w:val="1"/>
                <w:iCs w:val="1"/>
                <w:color w:val="auto"/>
              </w:rPr>
              <w:t xml:space="preserve">Elko Daily Free Press </w:t>
            </w:r>
            <w:r>
              <w:rPr>
                <w:rFonts w:ascii="Arial" w:cs="Arial" w:eastAsia="Arial" w:hAnsi="Arial"/>
                <w:sz w:val="28"/>
                <w:szCs w:val="28"/>
                <w:i w:val="1"/>
                <w:iCs w:val="1"/>
                <w:color w:val="auto"/>
                <w:vertAlign w:val="superscript"/>
              </w:rPr>
              <w:t>(6)</w:t>
            </w:r>
          </w:p>
        </w:tc>
        <w:tc>
          <w:tcPr>
            <w:tcW w:w="1940" w:type="dxa"/>
            <w:vAlign w:val="bottom"/>
          </w:tcPr>
          <w:p>
            <w:pPr>
              <w:ind w:left="160"/>
              <w:spacing w:after="0"/>
              <w:rPr>
                <w:sz w:val="20"/>
                <w:szCs w:val="20"/>
                <w:color w:val="auto"/>
              </w:rPr>
            </w:pPr>
            <w:r>
              <w:rPr>
                <w:rFonts w:ascii="Arial" w:cs="Arial" w:eastAsia="Arial" w:hAnsi="Arial"/>
                <w:sz w:val="18"/>
                <w:szCs w:val="18"/>
                <w:color w:val="auto"/>
              </w:rPr>
              <w:t>elkodaily.com</w:t>
            </w:r>
          </w:p>
        </w:tc>
        <w:tc>
          <w:tcPr>
            <w:tcW w:w="2200" w:type="dxa"/>
            <w:vAlign w:val="bottom"/>
          </w:tcPr>
          <w:p>
            <w:pPr>
              <w:ind w:left="80"/>
              <w:spacing w:after="0"/>
              <w:rPr>
                <w:sz w:val="20"/>
                <w:szCs w:val="20"/>
                <w:color w:val="auto"/>
              </w:rPr>
            </w:pPr>
            <w:r>
              <w:rPr>
                <w:rFonts w:ascii="Arial" w:cs="Arial" w:eastAsia="Arial" w:hAnsi="Arial"/>
                <w:sz w:val="18"/>
                <w:szCs w:val="18"/>
                <w:color w:val="auto"/>
              </w:rPr>
              <w:t>Elko, NV</w:t>
            </w:r>
          </w:p>
        </w:tc>
        <w:tc>
          <w:tcPr>
            <w:tcW w:w="1720" w:type="dxa"/>
            <w:vAlign w:val="bottom"/>
          </w:tcPr>
          <w:p>
            <w:pPr>
              <w:jc w:val="right"/>
              <w:ind w:right="130"/>
              <w:spacing w:after="0"/>
              <w:rPr>
                <w:sz w:val="20"/>
                <w:szCs w:val="20"/>
                <w:color w:val="auto"/>
              </w:rPr>
            </w:pPr>
            <w:r>
              <w:rPr>
                <w:rFonts w:ascii="Arial" w:cs="Arial" w:eastAsia="Arial" w:hAnsi="Arial"/>
                <w:sz w:val="18"/>
                <w:szCs w:val="18"/>
                <w:color w:val="auto"/>
              </w:rPr>
              <w:t>2,933</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185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1,651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The Daily News</w:t>
            </w:r>
          </w:p>
        </w:tc>
        <w:tc>
          <w:tcPr>
            <w:tcW w:w="19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tdn.com</w:t>
            </w:r>
          </w:p>
        </w:tc>
        <w:tc>
          <w:tcPr>
            <w:tcW w:w="22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Longview, WA</w:t>
            </w:r>
          </w:p>
        </w:tc>
        <w:tc>
          <w:tcPr>
            <w:tcW w:w="17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13,587</w:t>
            </w:r>
          </w:p>
        </w:tc>
        <w:tc>
          <w:tcPr>
            <w:tcW w:w="10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10,608</w:t>
            </w:r>
          </w:p>
        </w:tc>
        <w:tc>
          <w:tcPr>
            <w:tcW w:w="12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257</w:t>
            </w: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1,944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tcPr>
          <w:p>
            <w:pPr>
              <w:spacing w:after="0" w:line="202" w:lineRule="exact"/>
              <w:rPr>
                <w:sz w:val="20"/>
                <w:szCs w:val="20"/>
                <w:color w:val="auto"/>
              </w:rPr>
            </w:pPr>
            <w:r>
              <w:rPr>
                <w:rFonts w:ascii="Arial" w:cs="Arial" w:eastAsia="Arial" w:hAnsi="Arial"/>
                <w:sz w:val="18"/>
                <w:szCs w:val="18"/>
                <w:i w:val="1"/>
                <w:iCs w:val="1"/>
                <w:color w:val="auto"/>
              </w:rPr>
              <w:t>Globe Gazette</w:t>
            </w:r>
          </w:p>
        </w:tc>
        <w:tc>
          <w:tcPr>
            <w:tcW w:w="1940" w:type="dxa"/>
            <w:vAlign w:val="bottom"/>
          </w:tcPr>
          <w:p>
            <w:pPr>
              <w:ind w:left="160"/>
              <w:spacing w:after="0" w:line="202" w:lineRule="exact"/>
              <w:rPr>
                <w:sz w:val="20"/>
                <w:szCs w:val="20"/>
                <w:color w:val="auto"/>
              </w:rPr>
            </w:pPr>
            <w:r>
              <w:rPr>
                <w:rFonts w:ascii="Arial" w:cs="Arial" w:eastAsia="Arial" w:hAnsi="Arial"/>
                <w:sz w:val="18"/>
                <w:szCs w:val="18"/>
                <w:color w:val="auto"/>
              </w:rPr>
              <w:t>globegazette.com</w:t>
            </w:r>
          </w:p>
        </w:tc>
        <w:tc>
          <w:tcPr>
            <w:tcW w:w="2200" w:type="dxa"/>
            <w:vAlign w:val="bottom"/>
          </w:tcPr>
          <w:p>
            <w:pPr>
              <w:ind w:left="80"/>
              <w:spacing w:after="0" w:line="202" w:lineRule="exact"/>
              <w:rPr>
                <w:sz w:val="20"/>
                <w:szCs w:val="20"/>
                <w:color w:val="auto"/>
              </w:rPr>
            </w:pPr>
            <w:r>
              <w:rPr>
                <w:rFonts w:ascii="Arial" w:cs="Arial" w:eastAsia="Arial" w:hAnsi="Arial"/>
                <w:sz w:val="18"/>
                <w:szCs w:val="18"/>
                <w:color w:val="auto"/>
              </w:rPr>
              <w:t>Mason City, IA</w:t>
            </w:r>
          </w:p>
        </w:tc>
        <w:tc>
          <w:tcPr>
            <w:tcW w:w="17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7,267</w:t>
            </w:r>
          </w:p>
        </w:tc>
        <w:tc>
          <w:tcPr>
            <w:tcW w:w="10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8,521</w:t>
            </w:r>
          </w:p>
        </w:tc>
        <w:tc>
          <w:tcPr>
            <w:tcW w:w="12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317</w:t>
            </w: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4,531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spacing w:after="0" w:line="243" w:lineRule="exact"/>
              <w:rPr>
                <w:sz w:val="20"/>
                <w:szCs w:val="20"/>
                <w:color w:val="auto"/>
              </w:rPr>
            </w:pPr>
            <w:r>
              <w:rPr>
                <w:rFonts w:ascii="Arial" w:cs="Arial" w:eastAsia="Arial" w:hAnsi="Arial"/>
                <w:sz w:val="17"/>
                <w:szCs w:val="17"/>
                <w:i w:val="1"/>
                <w:iCs w:val="1"/>
                <w:color w:val="auto"/>
              </w:rPr>
              <w:t xml:space="preserve">Napa Valley Register </w:t>
            </w:r>
            <w:r>
              <w:rPr>
                <w:rFonts w:ascii="Arial" w:cs="Arial" w:eastAsia="Arial" w:hAnsi="Arial"/>
                <w:sz w:val="28"/>
                <w:szCs w:val="28"/>
                <w:i w:val="1"/>
                <w:iCs w:val="1"/>
                <w:color w:val="auto"/>
                <w:vertAlign w:val="superscript"/>
              </w:rPr>
              <w:t>(3)</w:t>
            </w:r>
          </w:p>
        </w:tc>
        <w:tc>
          <w:tcPr>
            <w:tcW w:w="4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napavalleyregister.comNapa, CA</w:t>
            </w:r>
          </w:p>
        </w:tc>
        <w:tc>
          <w:tcPr>
            <w:tcW w:w="1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7,965</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7,903</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428</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spacing w:after="0" w:line="243" w:lineRule="exact"/>
              <w:rPr>
                <w:sz w:val="20"/>
                <w:szCs w:val="20"/>
                <w:color w:val="auto"/>
              </w:rPr>
            </w:pPr>
            <w:r>
              <w:rPr>
                <w:rFonts w:ascii="Arial" w:cs="Arial" w:eastAsia="Arial" w:hAnsi="Arial"/>
                <w:sz w:val="17"/>
                <w:szCs w:val="17"/>
                <w:i w:val="1"/>
                <w:iCs w:val="1"/>
                <w:color w:val="auto"/>
              </w:rPr>
              <w:t xml:space="preserve">Arizona Daily Sun </w:t>
            </w:r>
            <w:r>
              <w:rPr>
                <w:rFonts w:ascii="Arial" w:cs="Arial" w:eastAsia="Arial" w:hAnsi="Arial"/>
                <w:sz w:val="28"/>
                <w:szCs w:val="28"/>
                <w:i w:val="1"/>
                <w:iCs w:val="1"/>
                <w:color w:val="auto"/>
                <w:vertAlign w:val="superscript"/>
              </w:rPr>
              <w:t>(3) (6)</w:t>
            </w:r>
          </w:p>
        </w:tc>
        <w:tc>
          <w:tcPr>
            <w:tcW w:w="1940" w:type="dxa"/>
            <w:vAlign w:val="bottom"/>
          </w:tcPr>
          <w:p>
            <w:pPr>
              <w:ind w:left="160"/>
              <w:spacing w:after="0"/>
              <w:rPr>
                <w:sz w:val="20"/>
                <w:szCs w:val="20"/>
                <w:color w:val="auto"/>
              </w:rPr>
            </w:pPr>
            <w:r>
              <w:rPr>
                <w:rFonts w:ascii="Arial" w:cs="Arial" w:eastAsia="Arial" w:hAnsi="Arial"/>
                <w:sz w:val="18"/>
                <w:szCs w:val="18"/>
                <w:color w:val="auto"/>
              </w:rPr>
              <w:t>azdailysun.com</w:t>
            </w:r>
          </w:p>
        </w:tc>
        <w:tc>
          <w:tcPr>
            <w:tcW w:w="2200" w:type="dxa"/>
            <w:vAlign w:val="bottom"/>
          </w:tcPr>
          <w:p>
            <w:pPr>
              <w:ind w:left="80"/>
              <w:spacing w:after="0"/>
              <w:rPr>
                <w:sz w:val="20"/>
                <w:szCs w:val="20"/>
                <w:color w:val="auto"/>
              </w:rPr>
            </w:pPr>
            <w:r>
              <w:rPr>
                <w:rFonts w:ascii="Arial" w:cs="Arial" w:eastAsia="Arial" w:hAnsi="Arial"/>
                <w:sz w:val="18"/>
                <w:szCs w:val="18"/>
                <w:color w:val="auto"/>
              </w:rPr>
              <w:t>Flagstaff, AZ</w:t>
            </w:r>
          </w:p>
        </w:tc>
        <w:tc>
          <w:tcPr>
            <w:tcW w:w="1720" w:type="dxa"/>
            <w:vAlign w:val="bottom"/>
          </w:tcPr>
          <w:p>
            <w:pPr>
              <w:jc w:val="right"/>
              <w:ind w:right="130"/>
              <w:spacing w:after="0"/>
              <w:rPr>
                <w:sz w:val="20"/>
                <w:szCs w:val="20"/>
                <w:color w:val="auto"/>
              </w:rPr>
            </w:pPr>
            <w:r>
              <w:rPr>
                <w:rFonts w:ascii="Arial" w:cs="Arial" w:eastAsia="Arial" w:hAnsi="Arial"/>
                <w:sz w:val="18"/>
                <w:szCs w:val="18"/>
                <w:color w:val="auto"/>
              </w:rPr>
              <w:t>7,011</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7,072</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329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1,868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spacing w:after="0" w:line="243" w:lineRule="exact"/>
              <w:rPr>
                <w:sz w:val="20"/>
                <w:szCs w:val="20"/>
                <w:color w:val="auto"/>
              </w:rPr>
            </w:pPr>
            <w:r>
              <w:rPr>
                <w:rFonts w:ascii="Arial" w:cs="Arial" w:eastAsia="Arial" w:hAnsi="Arial"/>
                <w:sz w:val="17"/>
                <w:szCs w:val="17"/>
                <w:i w:val="1"/>
                <w:iCs w:val="1"/>
                <w:color w:val="auto"/>
              </w:rPr>
              <w:t xml:space="preserve">The Times and Democrat </w:t>
            </w:r>
            <w:r>
              <w:rPr>
                <w:rFonts w:ascii="Arial" w:cs="Arial" w:eastAsia="Arial" w:hAnsi="Arial"/>
                <w:sz w:val="28"/>
                <w:szCs w:val="28"/>
                <w:i w:val="1"/>
                <w:iCs w:val="1"/>
                <w:color w:val="auto"/>
                <w:vertAlign w:val="superscript"/>
              </w:rPr>
              <w:t>(6)</w:t>
            </w:r>
          </w:p>
        </w:tc>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thetandd.com</w:t>
            </w:r>
          </w:p>
        </w:tc>
        <w:tc>
          <w:tcPr>
            <w:tcW w:w="2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Orangeburg, SC</w:t>
            </w:r>
          </w:p>
        </w:tc>
        <w:tc>
          <w:tcPr>
            <w:tcW w:w="1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6,084</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6,218</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328</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spacing w:after="0" w:line="243" w:lineRule="exact"/>
              <w:rPr>
                <w:sz w:val="20"/>
                <w:szCs w:val="20"/>
                <w:color w:val="auto"/>
              </w:rPr>
            </w:pPr>
            <w:r>
              <w:rPr>
                <w:rFonts w:ascii="Arial" w:cs="Arial" w:eastAsia="Arial" w:hAnsi="Arial"/>
                <w:sz w:val="17"/>
                <w:szCs w:val="17"/>
                <w:i w:val="1"/>
                <w:iCs w:val="1"/>
                <w:color w:val="auto"/>
              </w:rPr>
              <w:t xml:space="preserve">The Citizen </w:t>
            </w:r>
            <w:r>
              <w:rPr>
                <w:rFonts w:ascii="Arial" w:cs="Arial" w:eastAsia="Arial" w:hAnsi="Arial"/>
                <w:sz w:val="28"/>
                <w:szCs w:val="28"/>
                <w:i w:val="1"/>
                <w:iCs w:val="1"/>
                <w:color w:val="auto"/>
                <w:vertAlign w:val="superscript"/>
              </w:rPr>
              <w:t>(6)</w:t>
            </w:r>
          </w:p>
        </w:tc>
        <w:tc>
          <w:tcPr>
            <w:tcW w:w="1940" w:type="dxa"/>
            <w:vAlign w:val="bottom"/>
          </w:tcPr>
          <w:p>
            <w:pPr>
              <w:ind w:left="160"/>
              <w:spacing w:after="0"/>
              <w:rPr>
                <w:sz w:val="20"/>
                <w:szCs w:val="20"/>
                <w:color w:val="auto"/>
              </w:rPr>
            </w:pPr>
            <w:r>
              <w:rPr>
                <w:rFonts w:ascii="Arial" w:cs="Arial" w:eastAsia="Arial" w:hAnsi="Arial"/>
                <w:sz w:val="18"/>
                <w:szCs w:val="18"/>
                <w:color w:val="auto"/>
              </w:rPr>
              <w:t>auburnpub.com</w:t>
            </w:r>
          </w:p>
        </w:tc>
        <w:tc>
          <w:tcPr>
            <w:tcW w:w="2200" w:type="dxa"/>
            <w:vAlign w:val="bottom"/>
          </w:tcPr>
          <w:p>
            <w:pPr>
              <w:ind w:left="80"/>
              <w:spacing w:after="0"/>
              <w:rPr>
                <w:sz w:val="20"/>
                <w:szCs w:val="20"/>
                <w:color w:val="auto"/>
              </w:rPr>
            </w:pPr>
            <w:r>
              <w:rPr>
                <w:rFonts w:ascii="Arial" w:cs="Arial" w:eastAsia="Arial" w:hAnsi="Arial"/>
                <w:sz w:val="18"/>
                <w:szCs w:val="18"/>
                <w:color w:val="auto"/>
              </w:rPr>
              <w:t>Auburn, NY</w:t>
            </w:r>
          </w:p>
        </w:tc>
        <w:tc>
          <w:tcPr>
            <w:tcW w:w="1720" w:type="dxa"/>
            <w:vAlign w:val="bottom"/>
          </w:tcPr>
          <w:p>
            <w:pPr>
              <w:jc w:val="right"/>
              <w:ind w:right="130"/>
              <w:spacing w:after="0"/>
              <w:rPr>
                <w:sz w:val="20"/>
                <w:szCs w:val="20"/>
                <w:color w:val="auto"/>
              </w:rPr>
            </w:pPr>
            <w:r>
              <w:rPr>
                <w:rFonts w:ascii="Arial" w:cs="Arial" w:eastAsia="Arial" w:hAnsi="Arial"/>
                <w:sz w:val="18"/>
                <w:szCs w:val="18"/>
                <w:color w:val="auto"/>
              </w:rPr>
              <w:t>5,210</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5,867</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298</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2,925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spacing w:after="0" w:line="243" w:lineRule="exact"/>
              <w:rPr>
                <w:sz w:val="20"/>
                <w:szCs w:val="20"/>
                <w:color w:val="auto"/>
              </w:rPr>
            </w:pPr>
            <w:r>
              <w:rPr>
                <w:rFonts w:ascii="Arial" w:cs="Arial" w:eastAsia="Arial" w:hAnsi="Arial"/>
                <w:sz w:val="17"/>
                <w:szCs w:val="17"/>
                <w:i w:val="1"/>
                <w:iCs w:val="1"/>
                <w:color w:val="auto"/>
              </w:rPr>
              <w:t xml:space="preserve">Santa Maria Times </w:t>
            </w:r>
            <w:r>
              <w:rPr>
                <w:rFonts w:ascii="Arial" w:cs="Arial" w:eastAsia="Arial" w:hAnsi="Arial"/>
                <w:sz w:val="28"/>
                <w:szCs w:val="28"/>
                <w:i w:val="1"/>
                <w:iCs w:val="1"/>
                <w:color w:val="auto"/>
                <w:vertAlign w:val="superscript"/>
              </w:rPr>
              <w:t>(3) (6)</w:t>
            </w:r>
          </w:p>
        </w:tc>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santamariatimes.com</w:t>
            </w:r>
          </w:p>
        </w:tc>
        <w:tc>
          <w:tcPr>
            <w:tcW w:w="2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Santa Maria, CA</w:t>
            </w:r>
          </w:p>
        </w:tc>
        <w:tc>
          <w:tcPr>
            <w:tcW w:w="1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5,206</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4,460</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388</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spacing w:after="0" w:line="243" w:lineRule="exact"/>
              <w:rPr>
                <w:sz w:val="20"/>
                <w:szCs w:val="20"/>
                <w:color w:val="auto"/>
              </w:rPr>
            </w:pPr>
            <w:r>
              <w:rPr>
                <w:rFonts w:ascii="Arial" w:cs="Arial" w:eastAsia="Arial" w:hAnsi="Arial"/>
                <w:sz w:val="17"/>
                <w:szCs w:val="17"/>
                <w:i w:val="1"/>
                <w:iCs w:val="1"/>
                <w:color w:val="auto"/>
              </w:rPr>
              <w:t xml:space="preserve">The Sentinel </w:t>
            </w:r>
            <w:r>
              <w:rPr>
                <w:rFonts w:ascii="Arial" w:cs="Arial" w:eastAsia="Arial" w:hAnsi="Arial"/>
                <w:sz w:val="28"/>
                <w:szCs w:val="28"/>
                <w:i w:val="1"/>
                <w:iCs w:val="1"/>
                <w:color w:val="auto"/>
                <w:vertAlign w:val="superscript"/>
              </w:rPr>
              <w:t>(6)</w:t>
            </w:r>
          </w:p>
        </w:tc>
        <w:tc>
          <w:tcPr>
            <w:tcW w:w="1940" w:type="dxa"/>
            <w:vAlign w:val="bottom"/>
          </w:tcPr>
          <w:p>
            <w:pPr>
              <w:ind w:left="160"/>
              <w:spacing w:after="0"/>
              <w:rPr>
                <w:sz w:val="20"/>
                <w:szCs w:val="20"/>
                <w:color w:val="auto"/>
              </w:rPr>
            </w:pPr>
            <w:r>
              <w:rPr>
                <w:rFonts w:ascii="Arial" w:cs="Arial" w:eastAsia="Arial" w:hAnsi="Arial"/>
                <w:sz w:val="18"/>
                <w:szCs w:val="18"/>
                <w:color w:val="auto"/>
              </w:rPr>
              <w:t>cumberlink.com</w:t>
            </w:r>
          </w:p>
        </w:tc>
        <w:tc>
          <w:tcPr>
            <w:tcW w:w="2200" w:type="dxa"/>
            <w:vAlign w:val="bottom"/>
          </w:tcPr>
          <w:p>
            <w:pPr>
              <w:ind w:left="80"/>
              <w:spacing w:after="0"/>
              <w:rPr>
                <w:sz w:val="20"/>
                <w:szCs w:val="20"/>
                <w:color w:val="auto"/>
              </w:rPr>
            </w:pPr>
            <w:r>
              <w:rPr>
                <w:rFonts w:ascii="Arial" w:cs="Arial" w:eastAsia="Arial" w:hAnsi="Arial"/>
                <w:sz w:val="18"/>
                <w:szCs w:val="18"/>
                <w:color w:val="auto"/>
              </w:rPr>
              <w:t>Carlisle, PA</w:t>
            </w:r>
          </w:p>
        </w:tc>
        <w:tc>
          <w:tcPr>
            <w:tcW w:w="1720" w:type="dxa"/>
            <w:vAlign w:val="bottom"/>
          </w:tcPr>
          <w:p>
            <w:pPr>
              <w:jc w:val="right"/>
              <w:ind w:right="130"/>
              <w:spacing w:after="0"/>
              <w:rPr>
                <w:sz w:val="20"/>
                <w:szCs w:val="20"/>
                <w:color w:val="auto"/>
              </w:rPr>
            </w:pPr>
            <w:r>
              <w:rPr>
                <w:rFonts w:ascii="Arial" w:cs="Arial" w:eastAsia="Arial" w:hAnsi="Arial"/>
                <w:sz w:val="18"/>
                <w:szCs w:val="18"/>
                <w:color w:val="auto"/>
              </w:rPr>
              <w:t>6,086</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264</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1,968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spacing w:after="0" w:line="243" w:lineRule="exact"/>
              <w:rPr>
                <w:sz w:val="20"/>
                <w:szCs w:val="20"/>
                <w:color w:val="auto"/>
              </w:rPr>
            </w:pPr>
            <w:r>
              <w:rPr>
                <w:rFonts w:ascii="Arial" w:cs="Arial" w:eastAsia="Arial" w:hAnsi="Arial"/>
                <w:sz w:val="17"/>
                <w:szCs w:val="17"/>
                <w:i w:val="1"/>
                <w:iCs w:val="1"/>
                <w:color w:val="auto"/>
              </w:rPr>
              <w:t xml:space="preserve">The World </w:t>
            </w:r>
            <w:r>
              <w:rPr>
                <w:rFonts w:ascii="Arial" w:cs="Arial" w:eastAsia="Arial" w:hAnsi="Arial"/>
                <w:sz w:val="28"/>
                <w:szCs w:val="28"/>
                <w:i w:val="1"/>
                <w:iCs w:val="1"/>
                <w:color w:val="auto"/>
                <w:vertAlign w:val="superscript"/>
              </w:rPr>
              <w:t>(3)</w:t>
            </w:r>
          </w:p>
        </w:tc>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theworldlink.com</w:t>
            </w:r>
          </w:p>
        </w:tc>
        <w:tc>
          <w:tcPr>
            <w:tcW w:w="2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Coos Bay, OR</w:t>
            </w:r>
          </w:p>
        </w:tc>
        <w:tc>
          <w:tcPr>
            <w:tcW w:w="1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3,705</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spacing w:after="0" w:line="243" w:lineRule="exact"/>
              <w:rPr>
                <w:sz w:val="20"/>
                <w:szCs w:val="20"/>
                <w:color w:val="auto"/>
              </w:rPr>
            </w:pPr>
            <w:r>
              <w:rPr>
                <w:rFonts w:ascii="Arial" w:cs="Arial" w:eastAsia="Arial" w:hAnsi="Arial"/>
                <w:sz w:val="17"/>
                <w:szCs w:val="17"/>
                <w:i w:val="1"/>
                <w:iCs w:val="1"/>
                <w:color w:val="auto"/>
              </w:rPr>
              <w:t xml:space="preserve">Daily Journal </w:t>
            </w:r>
            <w:r>
              <w:rPr>
                <w:rFonts w:ascii="Arial" w:cs="Arial" w:eastAsia="Arial" w:hAnsi="Arial"/>
                <w:sz w:val="28"/>
                <w:szCs w:val="28"/>
                <w:i w:val="1"/>
                <w:iCs w:val="1"/>
                <w:color w:val="auto"/>
                <w:vertAlign w:val="superscript"/>
              </w:rPr>
              <w:t>(3) (6)</w:t>
            </w:r>
          </w:p>
        </w:tc>
        <w:tc>
          <w:tcPr>
            <w:tcW w:w="4140" w:type="dxa"/>
            <w:vAlign w:val="bottom"/>
            <w:gridSpan w:val="2"/>
          </w:tcPr>
          <w:p>
            <w:pPr>
              <w:ind w:left="160"/>
              <w:spacing w:after="0"/>
              <w:rPr>
                <w:sz w:val="20"/>
                <w:szCs w:val="20"/>
                <w:color w:val="auto"/>
              </w:rPr>
            </w:pPr>
            <w:r>
              <w:rPr>
                <w:rFonts w:ascii="Arial" w:cs="Arial" w:eastAsia="Arial" w:hAnsi="Arial"/>
                <w:sz w:val="18"/>
                <w:szCs w:val="18"/>
                <w:color w:val="auto"/>
              </w:rPr>
              <w:t>dailyjournalonline.com Park Hills, MO</w:t>
            </w:r>
          </w:p>
        </w:tc>
        <w:tc>
          <w:tcPr>
            <w:tcW w:w="1720" w:type="dxa"/>
            <w:vAlign w:val="bottom"/>
          </w:tcPr>
          <w:p>
            <w:pPr>
              <w:jc w:val="right"/>
              <w:ind w:right="130"/>
              <w:spacing w:after="0"/>
              <w:rPr>
                <w:sz w:val="20"/>
                <w:szCs w:val="20"/>
                <w:color w:val="auto"/>
              </w:rPr>
            </w:pPr>
            <w:r>
              <w:rPr>
                <w:rFonts w:ascii="Arial" w:cs="Arial" w:eastAsia="Arial" w:hAnsi="Arial"/>
                <w:sz w:val="18"/>
                <w:szCs w:val="18"/>
                <w:color w:val="auto"/>
              </w:rPr>
              <w:t>2,803</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226</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1,901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Borders>
              <w:bottom w:val="single" w:sz="8" w:color="auto"/>
            </w:tcBorders>
            <w:shd w:val="clear" w:color="auto" w:fill="CCEEFF"/>
          </w:tcPr>
          <w:p>
            <w:pPr>
              <w:spacing w:after="0" w:line="243" w:lineRule="exact"/>
              <w:rPr>
                <w:sz w:val="20"/>
                <w:szCs w:val="20"/>
                <w:color w:val="auto"/>
              </w:rPr>
            </w:pPr>
            <w:r>
              <w:rPr>
                <w:rFonts w:ascii="Arial" w:cs="Arial" w:eastAsia="Arial" w:hAnsi="Arial"/>
                <w:sz w:val="17"/>
                <w:szCs w:val="17"/>
                <w:i w:val="1"/>
                <w:iCs w:val="1"/>
                <w:color w:val="auto"/>
              </w:rPr>
              <w:t xml:space="preserve">The Sentinel </w:t>
            </w:r>
            <w:r>
              <w:rPr>
                <w:rFonts w:ascii="Arial" w:cs="Arial" w:eastAsia="Arial" w:hAnsi="Arial"/>
                <w:sz w:val="28"/>
                <w:szCs w:val="28"/>
                <w:i w:val="1"/>
                <w:iCs w:val="1"/>
                <w:color w:val="auto"/>
                <w:vertAlign w:val="superscript"/>
              </w:rPr>
              <w:t>(3)</w:t>
            </w:r>
          </w:p>
        </w:tc>
        <w:tc>
          <w:tcPr>
            <w:tcW w:w="19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hanfordsentinel.com</w:t>
            </w:r>
          </w:p>
        </w:tc>
        <w:tc>
          <w:tcPr>
            <w:tcW w:w="22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Hanford, CA</w:t>
            </w:r>
          </w:p>
        </w:tc>
        <w:tc>
          <w:tcPr>
            <w:tcW w:w="17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2,651</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169</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706,084</w:t>
            </w:r>
          </w:p>
        </w:tc>
        <w:tc>
          <w:tcPr>
            <w:tcW w:w="10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969,609</w:t>
            </w:r>
          </w:p>
        </w:tc>
        <w:tc>
          <w:tcPr>
            <w:tcW w:w="12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29,239</w:t>
            </w:r>
          </w:p>
        </w:tc>
        <w:tc>
          <w:tcPr>
            <w:tcW w:w="84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286,560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1220" w:hanging="235"/>
        <w:spacing w:after="0"/>
        <w:tabs>
          <w:tab w:leader="none" w:pos="1220" w:val="left"/>
        </w:tabs>
        <w:numPr>
          <w:ilvl w:val="0"/>
          <w:numId w:val="9"/>
        </w:numPr>
        <w:rPr>
          <w:rFonts w:ascii="Arial" w:cs="Arial" w:eastAsia="Arial" w:hAnsi="Arial"/>
          <w:sz w:val="16"/>
          <w:szCs w:val="16"/>
          <w:color w:val="auto"/>
        </w:rPr>
      </w:pPr>
      <w:r>
        <w:rPr>
          <w:rFonts w:ascii="Arial" w:cs="Arial" w:eastAsia="Arial" w:hAnsi="Arial"/>
          <w:sz w:val="16"/>
          <w:szCs w:val="16"/>
          <w:color w:val="auto"/>
        </w:rPr>
        <w:t>Source: AAM: September 2019 Quarterly Executive Summary Data Report, unless otherwise noted.</w:t>
      </w:r>
    </w:p>
    <w:p>
      <w:pPr>
        <w:spacing w:after="0" w:line="5" w:lineRule="exact"/>
        <w:rPr>
          <w:rFonts w:ascii="Arial" w:cs="Arial" w:eastAsia="Arial" w:hAnsi="Arial"/>
          <w:sz w:val="16"/>
          <w:szCs w:val="16"/>
          <w:color w:val="auto"/>
        </w:rPr>
      </w:pPr>
    </w:p>
    <w:p>
      <w:pPr>
        <w:ind w:left="1220" w:hanging="235"/>
        <w:spacing w:after="0"/>
        <w:tabs>
          <w:tab w:leader="none" w:pos="1220" w:val="left"/>
        </w:tabs>
        <w:numPr>
          <w:ilvl w:val="0"/>
          <w:numId w:val="9"/>
        </w:numPr>
        <w:rPr>
          <w:rFonts w:ascii="Arial" w:cs="Arial" w:eastAsia="Arial" w:hAnsi="Arial"/>
          <w:sz w:val="16"/>
          <w:szCs w:val="16"/>
          <w:color w:val="auto"/>
        </w:rPr>
      </w:pPr>
      <w:r>
        <w:rPr>
          <w:rFonts w:ascii="Arial" w:cs="Arial" w:eastAsia="Arial" w:hAnsi="Arial"/>
          <w:sz w:val="16"/>
          <w:szCs w:val="16"/>
          <w:color w:val="auto"/>
        </w:rPr>
        <w:t>Not all newspapers are published Monday through Saturday.</w:t>
      </w:r>
    </w:p>
    <w:p>
      <w:pPr>
        <w:spacing w:after="0" w:line="5" w:lineRule="exact"/>
        <w:rPr>
          <w:rFonts w:ascii="Arial" w:cs="Arial" w:eastAsia="Arial" w:hAnsi="Arial"/>
          <w:sz w:val="16"/>
          <w:szCs w:val="16"/>
          <w:color w:val="auto"/>
        </w:rPr>
      </w:pPr>
    </w:p>
    <w:p>
      <w:pPr>
        <w:ind w:left="1220" w:hanging="235"/>
        <w:spacing w:after="0"/>
        <w:tabs>
          <w:tab w:leader="none" w:pos="1220" w:val="left"/>
        </w:tabs>
        <w:numPr>
          <w:ilvl w:val="0"/>
          <w:numId w:val="9"/>
        </w:numPr>
        <w:rPr>
          <w:rFonts w:ascii="Arial" w:cs="Arial" w:eastAsia="Arial" w:hAnsi="Arial"/>
          <w:sz w:val="16"/>
          <w:szCs w:val="16"/>
          <w:color w:val="auto"/>
        </w:rPr>
      </w:pPr>
      <w:r>
        <w:rPr>
          <w:rFonts w:ascii="Arial" w:cs="Arial" w:eastAsia="Arial" w:hAnsi="Arial"/>
          <w:sz w:val="16"/>
          <w:szCs w:val="16"/>
          <w:color w:val="auto"/>
        </w:rPr>
        <w:t>Owned by Pulitzer Inc.</w:t>
      </w:r>
    </w:p>
    <w:p>
      <w:pPr>
        <w:spacing w:after="0" w:line="5" w:lineRule="exact"/>
        <w:rPr>
          <w:rFonts w:ascii="Arial" w:cs="Arial" w:eastAsia="Arial" w:hAnsi="Arial"/>
          <w:sz w:val="16"/>
          <w:szCs w:val="16"/>
          <w:color w:val="auto"/>
        </w:rPr>
      </w:pPr>
    </w:p>
    <w:p>
      <w:pPr>
        <w:ind w:left="1220" w:hanging="235"/>
        <w:spacing w:after="0"/>
        <w:tabs>
          <w:tab w:leader="none" w:pos="1220" w:val="left"/>
        </w:tabs>
        <w:numPr>
          <w:ilvl w:val="0"/>
          <w:numId w:val="9"/>
        </w:numPr>
        <w:rPr>
          <w:rFonts w:ascii="Arial" w:cs="Arial" w:eastAsia="Arial" w:hAnsi="Arial"/>
          <w:sz w:val="16"/>
          <w:szCs w:val="16"/>
          <w:color w:val="auto"/>
        </w:rPr>
      </w:pPr>
      <w:r>
        <w:rPr>
          <w:rFonts w:ascii="Arial" w:cs="Arial" w:eastAsia="Arial" w:hAnsi="Arial"/>
          <w:sz w:val="16"/>
          <w:szCs w:val="16"/>
          <w:color w:val="auto"/>
        </w:rPr>
        <w:t>Owned by MNI.</w:t>
      </w:r>
    </w:p>
    <w:p>
      <w:pPr>
        <w:spacing w:after="0" w:line="5" w:lineRule="exact"/>
        <w:rPr>
          <w:rFonts w:ascii="Arial" w:cs="Arial" w:eastAsia="Arial" w:hAnsi="Arial"/>
          <w:sz w:val="16"/>
          <w:szCs w:val="16"/>
          <w:color w:val="auto"/>
        </w:rPr>
      </w:pPr>
    </w:p>
    <w:p>
      <w:pPr>
        <w:ind w:left="1220" w:hanging="235"/>
        <w:spacing w:after="0"/>
        <w:tabs>
          <w:tab w:leader="none" w:pos="1220" w:val="left"/>
        </w:tabs>
        <w:numPr>
          <w:ilvl w:val="0"/>
          <w:numId w:val="9"/>
        </w:numPr>
        <w:rPr>
          <w:rFonts w:ascii="Arial" w:cs="Arial" w:eastAsia="Arial" w:hAnsi="Arial"/>
          <w:sz w:val="16"/>
          <w:szCs w:val="16"/>
          <w:color w:val="auto"/>
        </w:rPr>
      </w:pPr>
      <w:r>
        <w:rPr>
          <w:rFonts w:ascii="Arial" w:cs="Arial" w:eastAsia="Arial" w:hAnsi="Arial"/>
          <w:sz w:val="16"/>
          <w:szCs w:val="16"/>
          <w:color w:val="auto"/>
        </w:rPr>
        <w:t>Owned by Star Publishing and published through TNI.</w:t>
      </w:r>
    </w:p>
    <w:p>
      <w:pPr>
        <w:spacing w:after="0" w:line="5" w:lineRule="exact"/>
        <w:rPr>
          <w:rFonts w:ascii="Arial" w:cs="Arial" w:eastAsia="Arial" w:hAnsi="Arial"/>
          <w:sz w:val="16"/>
          <w:szCs w:val="16"/>
          <w:color w:val="auto"/>
        </w:rPr>
      </w:pPr>
    </w:p>
    <w:p>
      <w:pPr>
        <w:ind w:left="1220" w:hanging="235"/>
        <w:spacing w:after="0"/>
        <w:tabs>
          <w:tab w:leader="none" w:pos="1220" w:val="left"/>
        </w:tabs>
        <w:numPr>
          <w:ilvl w:val="0"/>
          <w:numId w:val="9"/>
        </w:numPr>
        <w:rPr>
          <w:rFonts w:ascii="Arial" w:cs="Arial" w:eastAsia="Arial" w:hAnsi="Arial"/>
          <w:sz w:val="16"/>
          <w:szCs w:val="16"/>
          <w:color w:val="auto"/>
        </w:rPr>
      </w:pPr>
      <w:r>
        <w:rPr>
          <w:rFonts w:ascii="Arial" w:cs="Arial" w:eastAsia="Arial" w:hAnsi="Arial"/>
          <w:sz w:val="16"/>
          <w:szCs w:val="16"/>
          <w:color w:val="auto"/>
        </w:rPr>
        <w:t>Source: Company statistics.</w:t>
      </w:r>
    </w:p>
    <w:p>
      <w:pPr>
        <w:spacing w:after="0" w:line="5" w:lineRule="exact"/>
        <w:rPr>
          <w:rFonts w:ascii="Arial" w:cs="Arial" w:eastAsia="Arial" w:hAnsi="Arial"/>
          <w:sz w:val="16"/>
          <w:szCs w:val="16"/>
          <w:color w:val="auto"/>
        </w:rPr>
      </w:pPr>
    </w:p>
    <w:p>
      <w:pPr>
        <w:ind w:left="1220" w:hanging="240"/>
        <w:spacing w:after="0"/>
        <w:tabs>
          <w:tab w:leader="none" w:pos="1220" w:val="left"/>
        </w:tabs>
        <w:numPr>
          <w:ilvl w:val="0"/>
          <w:numId w:val="9"/>
        </w:numPr>
        <w:rPr>
          <w:rFonts w:ascii="Arial" w:cs="Arial" w:eastAsia="Arial" w:hAnsi="Arial"/>
          <w:sz w:val="16"/>
          <w:szCs w:val="16"/>
          <w:color w:val="auto"/>
        </w:rPr>
      </w:pPr>
      <w:r>
        <w:rPr>
          <w:rFonts w:ascii="Arial" w:cs="Arial" w:eastAsia="Arial" w:hAnsi="Arial"/>
          <w:sz w:val="16"/>
          <w:szCs w:val="16"/>
          <w:color w:val="auto"/>
        </w:rPr>
        <w:t>Excludes Agri-Media sites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NEWSPRINT</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raw material of newspapers, and our other print publications, is newsprint. We purchase newsprint from U.S. and Canadian producers. We believe we will continue to receive a supply of newsprint adequate for our needs and consider our relationships with newsprint producers to be good. Newsprint purchase prices can be volatile and fluctuate based upon factors that include foreign currency exchange rates, tariffs and both foreign and domestic production capacity and consumption. Price fluctuations can affect our results of operations. We have not entered into derivative contracts for newsprint. For the quantitative impacts of these fluctuations, see Item 7A, “Quantitative and Qualitative Disclosures about Market Risk”, included herein.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EXECUTIVE TEAM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our current executive team members: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9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Service</w:t>
            </w:r>
          </w:p>
        </w:tc>
        <w:tc>
          <w:tcPr>
            <w:tcW w:w="1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Named</w:t>
            </w:r>
          </w:p>
        </w:tc>
        <w:tc>
          <w:tcPr>
            <w:tcW w:w="5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ind w:left="240"/>
              <w:spacing w:after="0" w:line="202" w:lineRule="exact"/>
              <w:rPr>
                <w:sz w:val="20"/>
                <w:szCs w:val="20"/>
                <w:color w:val="auto"/>
              </w:rPr>
            </w:pPr>
            <w:r>
              <w:rPr>
                <w:rFonts w:ascii="Arial" w:cs="Arial" w:eastAsia="Arial" w:hAnsi="Arial"/>
                <w:sz w:val="18"/>
                <w:szCs w:val="18"/>
                <w:color w:val="auto"/>
              </w:rPr>
              <w:t>With The</w:t>
            </w:r>
          </w:p>
        </w:tc>
        <w:tc>
          <w:tcPr>
            <w:tcW w:w="1240" w:type="dxa"/>
            <w:vAlign w:val="bottom"/>
          </w:tcPr>
          <w:p>
            <w:pPr>
              <w:ind w:left="40"/>
              <w:spacing w:after="0" w:line="202" w:lineRule="exact"/>
              <w:rPr>
                <w:sz w:val="20"/>
                <w:szCs w:val="20"/>
                <w:color w:val="auto"/>
              </w:rPr>
            </w:pPr>
            <w:r>
              <w:rPr>
                <w:rFonts w:ascii="Arial" w:cs="Arial" w:eastAsia="Arial" w:hAnsi="Arial"/>
                <w:sz w:val="18"/>
                <w:szCs w:val="18"/>
                <w:color w:val="auto"/>
              </w:rPr>
              <w:t>To Current</w:t>
            </w:r>
          </w:p>
        </w:tc>
        <w:tc>
          <w:tcPr>
            <w:tcW w:w="5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Name</w:t>
            </w:r>
          </w:p>
        </w:tc>
        <w:tc>
          <w:tcPr>
            <w:tcW w:w="9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Age</w:t>
            </w:r>
          </w:p>
        </w:tc>
        <w:tc>
          <w:tcPr>
            <w:tcW w:w="1460" w:type="dxa"/>
            <w:vAlign w:val="bottom"/>
            <w:tcBorders>
              <w:bottom w:val="single" w:sz="8" w:color="auto"/>
            </w:tcBorders>
          </w:tcPr>
          <w:p>
            <w:pPr>
              <w:ind w:left="240"/>
              <w:spacing w:after="0" w:line="203" w:lineRule="exact"/>
              <w:rPr>
                <w:sz w:val="20"/>
                <w:szCs w:val="20"/>
                <w:color w:val="auto"/>
              </w:rPr>
            </w:pPr>
            <w:r>
              <w:rPr>
                <w:rFonts w:ascii="Arial" w:cs="Arial" w:eastAsia="Arial" w:hAnsi="Arial"/>
                <w:sz w:val="18"/>
                <w:szCs w:val="18"/>
                <w:color w:val="auto"/>
              </w:rPr>
              <w:t>Company</w:t>
            </w:r>
          </w:p>
        </w:tc>
        <w:tc>
          <w:tcPr>
            <w:tcW w:w="124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Position</w:t>
            </w:r>
          </w:p>
        </w:tc>
        <w:tc>
          <w:tcPr>
            <w:tcW w:w="584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Current Position</w:t>
            </w:r>
          </w:p>
        </w:tc>
        <w:tc>
          <w:tcPr>
            <w:tcW w:w="0" w:type="dxa"/>
            <w:vAlign w:val="bottom"/>
          </w:tcPr>
          <w:p>
            <w:pPr>
              <w:spacing w:after="0"/>
              <w:rPr>
                <w:sz w:val="1"/>
                <w:szCs w:val="1"/>
                <w:color w:val="auto"/>
              </w:rPr>
            </w:pPr>
          </w:p>
        </w:tc>
      </w:tr>
      <w:tr>
        <w:trPr>
          <w:trHeight w:val="196"/>
        </w:trPr>
        <w:tc>
          <w:tcPr>
            <w:tcW w:w="1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9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6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September</w:t>
            </w:r>
          </w:p>
        </w:tc>
        <w:tc>
          <w:tcPr>
            <w:tcW w:w="1240" w:type="dxa"/>
            <w:vAlign w:val="bottom"/>
            <w:shd w:val="clear" w:color="auto" w:fill="CCEEFF"/>
          </w:tcPr>
          <w:p>
            <w:pPr>
              <w:spacing w:after="0"/>
              <w:rPr>
                <w:sz w:val="17"/>
                <w:szCs w:val="17"/>
                <w:color w:val="auto"/>
              </w:rPr>
            </w:pPr>
          </w:p>
        </w:tc>
        <w:tc>
          <w:tcPr>
            <w:tcW w:w="5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Kevin D. Mowbray</w:t>
            </w:r>
          </w:p>
        </w:tc>
        <w:tc>
          <w:tcPr>
            <w:tcW w:w="940" w:type="dxa"/>
            <w:vAlign w:val="bottom"/>
            <w:shd w:val="clear" w:color="auto" w:fill="CCEEFF"/>
          </w:tcPr>
          <w:p>
            <w:pPr>
              <w:jc w:val="right"/>
              <w:ind w:right="150"/>
              <w:spacing w:after="0" w:line="203" w:lineRule="exact"/>
              <w:rPr>
                <w:sz w:val="20"/>
                <w:szCs w:val="20"/>
                <w:color w:val="auto"/>
              </w:rPr>
            </w:pPr>
            <w:r>
              <w:rPr>
                <w:rFonts w:ascii="Arial" w:cs="Arial" w:eastAsia="Arial" w:hAnsi="Arial"/>
                <w:sz w:val="18"/>
                <w:szCs w:val="18"/>
                <w:color w:val="auto"/>
              </w:rPr>
              <w:t>57</w:t>
            </w:r>
          </w:p>
        </w:tc>
        <w:tc>
          <w:tcPr>
            <w:tcW w:w="1460" w:type="dxa"/>
            <w:vAlign w:val="bottom"/>
            <w:shd w:val="clear" w:color="auto" w:fill="CCEEFF"/>
          </w:tcPr>
          <w:p>
            <w:pPr>
              <w:ind w:left="240"/>
              <w:spacing w:after="0" w:line="203" w:lineRule="exact"/>
              <w:rPr>
                <w:sz w:val="20"/>
                <w:szCs w:val="20"/>
                <w:color w:val="auto"/>
              </w:rPr>
            </w:pPr>
            <w:r>
              <w:rPr>
                <w:rFonts w:ascii="Arial" w:cs="Arial" w:eastAsia="Arial" w:hAnsi="Arial"/>
                <w:sz w:val="18"/>
                <w:szCs w:val="18"/>
                <w:color w:val="auto"/>
              </w:rPr>
              <w:t>1986</w:t>
            </w:r>
          </w:p>
        </w:tc>
        <w:tc>
          <w:tcPr>
            <w:tcW w:w="124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rPr>
              <w:t>February 2016</w:t>
            </w:r>
          </w:p>
        </w:tc>
        <w:tc>
          <w:tcPr>
            <w:tcW w:w="584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02"/>
        </w:trPr>
        <w:tc>
          <w:tcPr>
            <w:tcW w:w="1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40" w:type="dxa"/>
            <w:vAlign w:val="bottom"/>
          </w:tcPr>
          <w:p>
            <w:pPr>
              <w:ind w:left="40"/>
              <w:spacing w:after="0" w:line="201" w:lineRule="exact"/>
              <w:rPr>
                <w:sz w:val="20"/>
                <w:szCs w:val="20"/>
                <w:color w:val="auto"/>
              </w:rPr>
            </w:pPr>
            <w:r>
              <w:rPr>
                <w:rFonts w:ascii="Arial" w:cs="Arial" w:eastAsia="Arial" w:hAnsi="Arial"/>
                <w:sz w:val="18"/>
                <w:szCs w:val="18"/>
                <w:color w:val="auto"/>
              </w:rPr>
              <w:t>November</w:t>
            </w:r>
          </w:p>
        </w:tc>
        <w:tc>
          <w:tcPr>
            <w:tcW w:w="5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tcPr>
          <w:p>
            <w:pPr>
              <w:spacing w:after="0" w:line="203" w:lineRule="exact"/>
              <w:rPr>
                <w:sz w:val="20"/>
                <w:szCs w:val="20"/>
                <w:color w:val="auto"/>
              </w:rPr>
            </w:pPr>
            <w:r>
              <w:rPr>
                <w:rFonts w:ascii="Arial" w:cs="Arial" w:eastAsia="Arial" w:hAnsi="Arial"/>
                <w:sz w:val="18"/>
                <w:szCs w:val="18"/>
                <w:color w:val="auto"/>
              </w:rPr>
              <w:t>Joseph J. Battistoni</w:t>
            </w:r>
          </w:p>
        </w:tc>
        <w:tc>
          <w:tcPr>
            <w:tcW w:w="940" w:type="dxa"/>
            <w:vAlign w:val="bottom"/>
          </w:tcPr>
          <w:p>
            <w:pPr>
              <w:jc w:val="right"/>
              <w:ind w:right="150"/>
              <w:spacing w:after="0" w:line="203" w:lineRule="exact"/>
              <w:rPr>
                <w:sz w:val="20"/>
                <w:szCs w:val="20"/>
                <w:color w:val="auto"/>
              </w:rPr>
            </w:pPr>
            <w:r>
              <w:rPr>
                <w:rFonts w:ascii="Arial" w:cs="Arial" w:eastAsia="Arial" w:hAnsi="Arial"/>
                <w:sz w:val="18"/>
                <w:szCs w:val="18"/>
                <w:color w:val="auto"/>
              </w:rPr>
              <w:t>36</w:t>
            </w:r>
          </w:p>
        </w:tc>
        <w:tc>
          <w:tcPr>
            <w:tcW w:w="1460" w:type="dxa"/>
            <w:vAlign w:val="bottom"/>
          </w:tcPr>
          <w:p>
            <w:pPr>
              <w:ind w:left="240"/>
              <w:spacing w:after="0" w:line="203" w:lineRule="exact"/>
              <w:rPr>
                <w:sz w:val="20"/>
                <w:szCs w:val="20"/>
                <w:color w:val="auto"/>
              </w:rPr>
            </w:pPr>
            <w:r>
              <w:rPr>
                <w:rFonts w:ascii="Arial" w:cs="Arial" w:eastAsia="Arial" w:hAnsi="Arial"/>
                <w:sz w:val="18"/>
                <w:szCs w:val="18"/>
                <w:color w:val="auto"/>
              </w:rPr>
              <w:t>March 2014</w:t>
            </w:r>
          </w:p>
        </w:tc>
        <w:tc>
          <w:tcPr>
            <w:tcW w:w="1240" w:type="dxa"/>
            <w:vAlign w:val="bottom"/>
          </w:tcPr>
          <w:p>
            <w:pPr>
              <w:ind w:left="40"/>
              <w:spacing w:after="0" w:line="203" w:lineRule="exact"/>
              <w:rPr>
                <w:sz w:val="20"/>
                <w:szCs w:val="20"/>
                <w:color w:val="auto"/>
              </w:rPr>
            </w:pPr>
            <w:r>
              <w:rPr>
                <w:rFonts w:ascii="Arial" w:cs="Arial" w:eastAsia="Arial" w:hAnsi="Arial"/>
                <w:sz w:val="18"/>
                <w:szCs w:val="18"/>
                <w:color w:val="auto"/>
              </w:rPr>
              <w:t>2019</w:t>
            </w:r>
          </w:p>
        </w:tc>
        <w:tc>
          <w:tcPr>
            <w:tcW w:w="5840" w:type="dxa"/>
            <w:vAlign w:val="bottom"/>
          </w:tcPr>
          <w:p>
            <w:pPr>
              <w:ind w:left="40"/>
              <w:spacing w:after="0" w:line="203" w:lineRule="exact"/>
              <w:rPr>
                <w:sz w:val="20"/>
                <w:szCs w:val="20"/>
                <w:color w:val="auto"/>
              </w:rPr>
            </w:pPr>
            <w:r>
              <w:rPr>
                <w:rFonts w:ascii="Arial" w:cs="Arial" w:eastAsia="Arial" w:hAnsi="Arial"/>
                <w:sz w:val="18"/>
                <w:szCs w:val="18"/>
                <w:color w:val="auto"/>
              </w:rPr>
              <w:t>Vice President - Local Advertising</w:t>
            </w: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Nathan E. Bekke</w:t>
            </w:r>
          </w:p>
        </w:tc>
        <w:tc>
          <w:tcPr>
            <w:tcW w:w="9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50</w:t>
            </w:r>
          </w:p>
        </w:tc>
        <w:tc>
          <w:tcPr>
            <w:tcW w:w="14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January 1992</w:t>
            </w:r>
          </w:p>
        </w:tc>
        <w:tc>
          <w:tcPr>
            <w:tcW w:w="12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February 2015</w:t>
            </w:r>
          </w:p>
        </w:tc>
        <w:tc>
          <w:tcPr>
            <w:tcW w:w="58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Vice President - Consumer Sales and Marketing</w:t>
            </w:r>
          </w:p>
        </w:tc>
        <w:tc>
          <w:tcPr>
            <w:tcW w:w="0" w:type="dxa"/>
            <w:vAlign w:val="bottom"/>
          </w:tcPr>
          <w:p>
            <w:pPr>
              <w:spacing w:after="0"/>
              <w:rPr>
                <w:sz w:val="1"/>
                <w:szCs w:val="1"/>
                <w:color w:val="auto"/>
              </w:rPr>
            </w:pPr>
          </w:p>
        </w:tc>
      </w:tr>
      <w:tr>
        <w:trPr>
          <w:trHeight w:val="202"/>
        </w:trPr>
        <w:tc>
          <w:tcPr>
            <w:tcW w:w="1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40" w:type="dxa"/>
            <w:vAlign w:val="bottom"/>
          </w:tcPr>
          <w:p>
            <w:pPr>
              <w:ind w:left="40"/>
              <w:spacing w:after="0" w:line="201" w:lineRule="exact"/>
              <w:rPr>
                <w:sz w:val="20"/>
                <w:szCs w:val="20"/>
                <w:color w:val="auto"/>
              </w:rPr>
            </w:pPr>
            <w:r>
              <w:rPr>
                <w:rFonts w:ascii="Arial" w:cs="Arial" w:eastAsia="Arial" w:hAnsi="Arial"/>
                <w:sz w:val="18"/>
                <w:szCs w:val="18"/>
                <w:color w:val="auto"/>
              </w:rPr>
              <w:t>December</w:t>
            </w:r>
          </w:p>
        </w:tc>
        <w:tc>
          <w:tcPr>
            <w:tcW w:w="5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tcPr>
          <w:p>
            <w:pPr>
              <w:spacing w:after="0" w:line="203" w:lineRule="exact"/>
              <w:rPr>
                <w:sz w:val="20"/>
                <w:szCs w:val="20"/>
                <w:color w:val="auto"/>
              </w:rPr>
            </w:pPr>
            <w:r>
              <w:rPr>
                <w:rFonts w:ascii="Arial" w:cs="Arial" w:eastAsia="Arial" w:hAnsi="Arial"/>
                <w:sz w:val="18"/>
                <w:szCs w:val="18"/>
                <w:color w:val="auto"/>
              </w:rPr>
              <w:t>Ray G. Farris</w:t>
            </w:r>
          </w:p>
        </w:tc>
        <w:tc>
          <w:tcPr>
            <w:tcW w:w="940" w:type="dxa"/>
            <w:vAlign w:val="bottom"/>
          </w:tcPr>
          <w:p>
            <w:pPr>
              <w:jc w:val="right"/>
              <w:ind w:right="150"/>
              <w:spacing w:after="0" w:line="203" w:lineRule="exact"/>
              <w:rPr>
                <w:sz w:val="20"/>
                <w:szCs w:val="20"/>
                <w:color w:val="auto"/>
              </w:rPr>
            </w:pPr>
            <w:r>
              <w:rPr>
                <w:rFonts w:ascii="Arial" w:cs="Arial" w:eastAsia="Arial" w:hAnsi="Arial"/>
                <w:sz w:val="18"/>
                <w:szCs w:val="18"/>
                <w:color w:val="auto"/>
              </w:rPr>
              <w:t>63</w:t>
            </w:r>
          </w:p>
        </w:tc>
        <w:tc>
          <w:tcPr>
            <w:tcW w:w="1460" w:type="dxa"/>
            <w:vAlign w:val="bottom"/>
          </w:tcPr>
          <w:p>
            <w:pPr>
              <w:ind w:left="240"/>
              <w:spacing w:after="0" w:line="203" w:lineRule="exact"/>
              <w:rPr>
                <w:sz w:val="20"/>
                <w:szCs w:val="20"/>
                <w:color w:val="auto"/>
              </w:rPr>
            </w:pPr>
            <w:r>
              <w:rPr>
                <w:rFonts w:ascii="Arial" w:cs="Arial" w:eastAsia="Arial" w:hAnsi="Arial"/>
                <w:sz w:val="18"/>
                <w:szCs w:val="18"/>
                <w:color w:val="auto"/>
              </w:rPr>
              <w:t>October 2006</w:t>
            </w:r>
          </w:p>
        </w:tc>
        <w:tc>
          <w:tcPr>
            <w:tcW w:w="1240" w:type="dxa"/>
            <w:vAlign w:val="bottom"/>
          </w:tcPr>
          <w:p>
            <w:pPr>
              <w:ind w:left="40"/>
              <w:spacing w:after="0" w:line="203" w:lineRule="exact"/>
              <w:rPr>
                <w:sz w:val="20"/>
                <w:szCs w:val="20"/>
                <w:color w:val="auto"/>
              </w:rPr>
            </w:pPr>
            <w:r>
              <w:rPr>
                <w:rFonts w:ascii="Arial" w:cs="Arial" w:eastAsia="Arial" w:hAnsi="Arial"/>
                <w:sz w:val="18"/>
                <w:szCs w:val="18"/>
                <w:color w:val="auto"/>
              </w:rPr>
              <w:t>2018</w:t>
            </w:r>
          </w:p>
        </w:tc>
        <w:tc>
          <w:tcPr>
            <w:tcW w:w="5840" w:type="dxa"/>
            <w:vAlign w:val="bottom"/>
          </w:tcPr>
          <w:p>
            <w:pPr>
              <w:ind w:left="40"/>
              <w:spacing w:after="0" w:line="203" w:lineRule="exact"/>
              <w:rPr>
                <w:sz w:val="20"/>
                <w:szCs w:val="20"/>
                <w:color w:val="auto"/>
              </w:rPr>
            </w:pPr>
            <w:r>
              <w:rPr>
                <w:rFonts w:ascii="Arial" w:cs="Arial" w:eastAsia="Arial" w:hAnsi="Arial"/>
                <w:sz w:val="18"/>
                <w:szCs w:val="18"/>
                <w:color w:val="auto"/>
              </w:rPr>
              <w:t>Vice President - Group Publisher</w:t>
            </w:r>
          </w:p>
        </w:tc>
        <w:tc>
          <w:tcPr>
            <w:tcW w:w="0" w:type="dxa"/>
            <w:vAlign w:val="bottom"/>
          </w:tcPr>
          <w:p>
            <w:pPr>
              <w:spacing w:after="0"/>
              <w:rPr>
                <w:sz w:val="1"/>
                <w:szCs w:val="1"/>
                <w:color w:val="auto"/>
              </w:rPr>
            </w:pPr>
          </w:p>
        </w:tc>
      </w:tr>
      <w:tr>
        <w:trPr>
          <w:trHeight w:val="202"/>
        </w:trPr>
        <w:tc>
          <w:tcPr>
            <w:tcW w:w="19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6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December</w:t>
            </w:r>
          </w:p>
        </w:tc>
        <w:tc>
          <w:tcPr>
            <w:tcW w:w="1240" w:type="dxa"/>
            <w:vAlign w:val="bottom"/>
            <w:shd w:val="clear" w:color="auto" w:fill="CCEEFF"/>
          </w:tcPr>
          <w:p>
            <w:pPr>
              <w:spacing w:after="0"/>
              <w:rPr>
                <w:sz w:val="17"/>
                <w:szCs w:val="17"/>
                <w:color w:val="auto"/>
              </w:rPr>
            </w:pPr>
          </w:p>
        </w:tc>
        <w:tc>
          <w:tcPr>
            <w:tcW w:w="5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Suzanna M. Frank</w:t>
            </w:r>
          </w:p>
        </w:tc>
        <w:tc>
          <w:tcPr>
            <w:tcW w:w="940" w:type="dxa"/>
            <w:vAlign w:val="bottom"/>
            <w:shd w:val="clear" w:color="auto" w:fill="CCEEFF"/>
          </w:tcPr>
          <w:p>
            <w:pPr>
              <w:jc w:val="right"/>
              <w:ind w:right="150"/>
              <w:spacing w:after="0" w:line="203" w:lineRule="exact"/>
              <w:rPr>
                <w:sz w:val="20"/>
                <w:szCs w:val="20"/>
                <w:color w:val="auto"/>
              </w:rPr>
            </w:pPr>
            <w:r>
              <w:rPr>
                <w:rFonts w:ascii="Arial" w:cs="Arial" w:eastAsia="Arial" w:hAnsi="Arial"/>
                <w:sz w:val="18"/>
                <w:szCs w:val="18"/>
                <w:color w:val="auto"/>
              </w:rPr>
              <w:t>49</w:t>
            </w:r>
          </w:p>
        </w:tc>
        <w:tc>
          <w:tcPr>
            <w:tcW w:w="1460" w:type="dxa"/>
            <w:vAlign w:val="bottom"/>
            <w:shd w:val="clear" w:color="auto" w:fill="CCEEFF"/>
          </w:tcPr>
          <w:p>
            <w:pPr>
              <w:ind w:left="240"/>
              <w:spacing w:after="0" w:line="203" w:lineRule="exact"/>
              <w:rPr>
                <w:sz w:val="20"/>
                <w:szCs w:val="20"/>
                <w:color w:val="auto"/>
              </w:rPr>
            </w:pPr>
            <w:r>
              <w:rPr>
                <w:rFonts w:ascii="Arial" w:cs="Arial" w:eastAsia="Arial" w:hAnsi="Arial"/>
                <w:sz w:val="18"/>
                <w:szCs w:val="18"/>
                <w:color w:val="auto"/>
              </w:rPr>
              <w:t>2003</w:t>
            </w:r>
          </w:p>
        </w:tc>
        <w:tc>
          <w:tcPr>
            <w:tcW w:w="124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rPr>
              <w:t>March 2008</w:t>
            </w:r>
          </w:p>
        </w:tc>
        <w:tc>
          <w:tcPr>
            <w:tcW w:w="584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rPr>
              <w:t>Vice President - Audience</w:t>
            </w:r>
          </w:p>
        </w:tc>
        <w:tc>
          <w:tcPr>
            <w:tcW w:w="0" w:type="dxa"/>
            <w:vAlign w:val="bottom"/>
          </w:tcPr>
          <w:p>
            <w:pPr>
              <w:spacing w:after="0"/>
              <w:rPr>
                <w:sz w:val="1"/>
                <w:szCs w:val="1"/>
                <w:color w:val="auto"/>
              </w:rPr>
            </w:pPr>
          </w:p>
        </w:tc>
      </w:tr>
      <w:tr>
        <w:trPr>
          <w:trHeight w:val="202"/>
        </w:trPr>
        <w:tc>
          <w:tcPr>
            <w:tcW w:w="1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ind w:left="240"/>
              <w:spacing w:after="0" w:line="201" w:lineRule="exact"/>
              <w:rPr>
                <w:sz w:val="20"/>
                <w:szCs w:val="20"/>
                <w:color w:val="auto"/>
              </w:rPr>
            </w:pPr>
            <w:r>
              <w:rPr>
                <w:rFonts w:ascii="Arial" w:cs="Arial" w:eastAsia="Arial" w:hAnsi="Arial"/>
                <w:sz w:val="18"/>
                <w:szCs w:val="18"/>
                <w:color w:val="auto"/>
              </w:rPr>
              <w:t>December</w:t>
            </w:r>
          </w:p>
        </w:tc>
        <w:tc>
          <w:tcPr>
            <w:tcW w:w="1240" w:type="dxa"/>
            <w:vAlign w:val="bottom"/>
          </w:tcPr>
          <w:p>
            <w:pPr>
              <w:ind w:left="40"/>
              <w:spacing w:after="0" w:line="201" w:lineRule="exact"/>
              <w:rPr>
                <w:sz w:val="20"/>
                <w:szCs w:val="20"/>
                <w:color w:val="auto"/>
              </w:rPr>
            </w:pPr>
            <w:r>
              <w:rPr>
                <w:rFonts w:ascii="Arial" w:cs="Arial" w:eastAsia="Arial" w:hAnsi="Arial"/>
                <w:sz w:val="18"/>
                <w:szCs w:val="18"/>
                <w:color w:val="auto"/>
              </w:rPr>
              <w:t>December</w:t>
            </w:r>
          </w:p>
        </w:tc>
        <w:tc>
          <w:tcPr>
            <w:tcW w:w="5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tcPr>
          <w:p>
            <w:pPr>
              <w:spacing w:after="0" w:line="203" w:lineRule="exact"/>
              <w:rPr>
                <w:sz w:val="20"/>
                <w:szCs w:val="20"/>
                <w:color w:val="auto"/>
              </w:rPr>
            </w:pPr>
            <w:r>
              <w:rPr>
                <w:rFonts w:ascii="Arial" w:cs="Arial" w:eastAsia="Arial" w:hAnsi="Arial"/>
                <w:sz w:val="18"/>
                <w:szCs w:val="18"/>
                <w:color w:val="auto"/>
              </w:rPr>
              <w:t>Astrid J. Garcia</w:t>
            </w:r>
          </w:p>
        </w:tc>
        <w:tc>
          <w:tcPr>
            <w:tcW w:w="940" w:type="dxa"/>
            <w:vAlign w:val="bottom"/>
          </w:tcPr>
          <w:p>
            <w:pPr>
              <w:jc w:val="right"/>
              <w:ind w:right="150"/>
              <w:spacing w:after="0" w:line="203" w:lineRule="exact"/>
              <w:rPr>
                <w:sz w:val="20"/>
                <w:szCs w:val="20"/>
                <w:color w:val="auto"/>
              </w:rPr>
            </w:pPr>
            <w:r>
              <w:rPr>
                <w:rFonts w:ascii="Arial" w:cs="Arial" w:eastAsia="Arial" w:hAnsi="Arial"/>
                <w:sz w:val="18"/>
                <w:szCs w:val="18"/>
                <w:color w:val="auto"/>
              </w:rPr>
              <w:t>69</w:t>
            </w:r>
          </w:p>
        </w:tc>
        <w:tc>
          <w:tcPr>
            <w:tcW w:w="1460" w:type="dxa"/>
            <w:vAlign w:val="bottom"/>
          </w:tcPr>
          <w:p>
            <w:pPr>
              <w:ind w:left="240"/>
              <w:spacing w:after="0" w:line="203" w:lineRule="exact"/>
              <w:rPr>
                <w:sz w:val="20"/>
                <w:szCs w:val="20"/>
                <w:color w:val="auto"/>
              </w:rPr>
            </w:pPr>
            <w:r>
              <w:rPr>
                <w:rFonts w:ascii="Arial" w:cs="Arial" w:eastAsia="Arial" w:hAnsi="Arial"/>
                <w:sz w:val="18"/>
                <w:szCs w:val="18"/>
                <w:color w:val="auto"/>
              </w:rPr>
              <w:t>2006</w:t>
            </w:r>
          </w:p>
        </w:tc>
        <w:tc>
          <w:tcPr>
            <w:tcW w:w="1240" w:type="dxa"/>
            <w:vAlign w:val="bottom"/>
          </w:tcPr>
          <w:p>
            <w:pPr>
              <w:ind w:left="40"/>
              <w:spacing w:after="0" w:line="203" w:lineRule="exact"/>
              <w:rPr>
                <w:sz w:val="20"/>
                <w:szCs w:val="20"/>
                <w:color w:val="auto"/>
              </w:rPr>
            </w:pPr>
            <w:r>
              <w:rPr>
                <w:rFonts w:ascii="Arial" w:cs="Arial" w:eastAsia="Arial" w:hAnsi="Arial"/>
                <w:sz w:val="18"/>
                <w:szCs w:val="18"/>
                <w:color w:val="auto"/>
              </w:rPr>
              <w:t>2013</w:t>
            </w:r>
          </w:p>
        </w:tc>
        <w:tc>
          <w:tcPr>
            <w:tcW w:w="5840" w:type="dxa"/>
            <w:vAlign w:val="bottom"/>
          </w:tcPr>
          <w:p>
            <w:pPr>
              <w:ind w:left="40"/>
              <w:spacing w:after="0" w:line="203" w:lineRule="exact"/>
              <w:rPr>
                <w:sz w:val="20"/>
                <w:szCs w:val="20"/>
                <w:color w:val="auto"/>
              </w:rPr>
            </w:pPr>
            <w:r>
              <w:rPr>
                <w:rFonts w:ascii="Arial" w:cs="Arial" w:eastAsia="Arial" w:hAnsi="Arial"/>
                <w:sz w:val="18"/>
                <w:szCs w:val="18"/>
                <w:color w:val="auto"/>
              </w:rPr>
              <w:t>Vice President - Human Resources and Legal</w:t>
            </w: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James A. Green</w:t>
            </w:r>
          </w:p>
        </w:tc>
        <w:tc>
          <w:tcPr>
            <w:tcW w:w="9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53</w:t>
            </w:r>
          </w:p>
        </w:tc>
        <w:tc>
          <w:tcPr>
            <w:tcW w:w="14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March 2013</w:t>
            </w:r>
          </w:p>
        </w:tc>
        <w:tc>
          <w:tcPr>
            <w:tcW w:w="12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March 2013</w:t>
            </w:r>
          </w:p>
        </w:tc>
        <w:tc>
          <w:tcPr>
            <w:tcW w:w="58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Vice President - Digital</w:t>
            </w:r>
          </w:p>
        </w:tc>
        <w:tc>
          <w:tcPr>
            <w:tcW w:w="0" w:type="dxa"/>
            <w:vAlign w:val="bottom"/>
          </w:tcPr>
          <w:p>
            <w:pPr>
              <w:spacing w:after="0"/>
              <w:rPr>
                <w:sz w:val="1"/>
                <w:szCs w:val="1"/>
                <w:color w:val="auto"/>
              </w:rPr>
            </w:pPr>
          </w:p>
        </w:tc>
      </w:tr>
      <w:tr>
        <w:trPr>
          <w:trHeight w:val="202"/>
        </w:trPr>
        <w:tc>
          <w:tcPr>
            <w:tcW w:w="1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ind w:left="240"/>
              <w:spacing w:after="0" w:line="201" w:lineRule="exact"/>
              <w:rPr>
                <w:sz w:val="20"/>
                <w:szCs w:val="20"/>
                <w:color w:val="auto"/>
              </w:rPr>
            </w:pPr>
            <w:r>
              <w:rPr>
                <w:rFonts w:ascii="Arial" w:cs="Arial" w:eastAsia="Arial" w:hAnsi="Arial"/>
                <w:sz w:val="18"/>
                <w:szCs w:val="18"/>
                <w:color w:val="auto"/>
              </w:rPr>
              <w:t>December</w:t>
            </w:r>
          </w:p>
        </w:tc>
        <w:tc>
          <w:tcPr>
            <w:tcW w:w="124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tcPr>
          <w:p>
            <w:pPr>
              <w:spacing w:after="0" w:line="203" w:lineRule="exact"/>
              <w:rPr>
                <w:sz w:val="20"/>
                <w:szCs w:val="20"/>
                <w:color w:val="auto"/>
              </w:rPr>
            </w:pPr>
            <w:r>
              <w:rPr>
                <w:rFonts w:ascii="Arial" w:cs="Arial" w:eastAsia="Arial" w:hAnsi="Arial"/>
                <w:sz w:val="18"/>
                <w:szCs w:val="18"/>
                <w:color w:val="auto"/>
              </w:rPr>
              <w:t>John M. Humenik</w:t>
            </w:r>
          </w:p>
        </w:tc>
        <w:tc>
          <w:tcPr>
            <w:tcW w:w="940" w:type="dxa"/>
            <w:vAlign w:val="bottom"/>
          </w:tcPr>
          <w:p>
            <w:pPr>
              <w:jc w:val="right"/>
              <w:ind w:right="150"/>
              <w:spacing w:after="0" w:line="203" w:lineRule="exact"/>
              <w:rPr>
                <w:sz w:val="20"/>
                <w:szCs w:val="20"/>
                <w:color w:val="auto"/>
              </w:rPr>
            </w:pPr>
            <w:r>
              <w:rPr>
                <w:rFonts w:ascii="Arial" w:cs="Arial" w:eastAsia="Arial" w:hAnsi="Arial"/>
                <w:sz w:val="18"/>
                <w:szCs w:val="18"/>
                <w:color w:val="auto"/>
              </w:rPr>
              <w:t>56</w:t>
            </w:r>
          </w:p>
        </w:tc>
        <w:tc>
          <w:tcPr>
            <w:tcW w:w="1460" w:type="dxa"/>
            <w:vAlign w:val="bottom"/>
          </w:tcPr>
          <w:p>
            <w:pPr>
              <w:ind w:left="240"/>
              <w:spacing w:after="0" w:line="203" w:lineRule="exact"/>
              <w:rPr>
                <w:sz w:val="20"/>
                <w:szCs w:val="20"/>
                <w:color w:val="auto"/>
              </w:rPr>
            </w:pPr>
            <w:r>
              <w:rPr>
                <w:rFonts w:ascii="Arial" w:cs="Arial" w:eastAsia="Arial" w:hAnsi="Arial"/>
                <w:sz w:val="18"/>
                <w:szCs w:val="18"/>
                <w:color w:val="auto"/>
              </w:rPr>
              <w:t>1998</w:t>
            </w:r>
          </w:p>
        </w:tc>
        <w:tc>
          <w:tcPr>
            <w:tcW w:w="1240" w:type="dxa"/>
            <w:vAlign w:val="bottom"/>
          </w:tcPr>
          <w:p>
            <w:pPr>
              <w:ind w:left="40"/>
              <w:spacing w:after="0" w:line="203" w:lineRule="exact"/>
              <w:rPr>
                <w:sz w:val="20"/>
                <w:szCs w:val="20"/>
                <w:color w:val="auto"/>
              </w:rPr>
            </w:pPr>
            <w:r>
              <w:rPr>
                <w:rFonts w:ascii="Arial" w:cs="Arial" w:eastAsia="Arial" w:hAnsi="Arial"/>
                <w:sz w:val="18"/>
                <w:szCs w:val="18"/>
                <w:color w:val="auto"/>
              </w:rPr>
              <w:t>February 2015</w:t>
            </w:r>
          </w:p>
        </w:tc>
        <w:tc>
          <w:tcPr>
            <w:tcW w:w="5840" w:type="dxa"/>
            <w:vAlign w:val="bottom"/>
          </w:tcPr>
          <w:p>
            <w:pPr>
              <w:ind w:left="40"/>
              <w:spacing w:after="0" w:line="203" w:lineRule="exact"/>
              <w:rPr>
                <w:sz w:val="20"/>
                <w:szCs w:val="20"/>
                <w:color w:val="auto"/>
              </w:rPr>
            </w:pPr>
            <w:r>
              <w:rPr>
                <w:rFonts w:ascii="Arial" w:cs="Arial" w:eastAsia="Arial" w:hAnsi="Arial"/>
                <w:sz w:val="18"/>
                <w:szCs w:val="18"/>
                <w:color w:val="auto"/>
              </w:rPr>
              <w:t>Vice President - News</w:t>
            </w: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Timothy R. Millage</w:t>
            </w:r>
          </w:p>
        </w:tc>
        <w:tc>
          <w:tcPr>
            <w:tcW w:w="9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38</w:t>
            </w:r>
          </w:p>
        </w:tc>
        <w:tc>
          <w:tcPr>
            <w:tcW w:w="14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March 2010</w:t>
            </w:r>
          </w:p>
        </w:tc>
        <w:tc>
          <w:tcPr>
            <w:tcW w:w="12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August 2018</w:t>
            </w:r>
          </w:p>
        </w:tc>
        <w:tc>
          <w:tcPr>
            <w:tcW w:w="58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Vice President - Chief Financial Officer and Treasurer</w:t>
            </w:r>
          </w:p>
        </w:tc>
        <w:tc>
          <w:tcPr>
            <w:tcW w:w="0" w:type="dxa"/>
            <w:vAlign w:val="bottom"/>
          </w:tcPr>
          <w:p>
            <w:pPr>
              <w:spacing w:after="0"/>
              <w:rPr>
                <w:sz w:val="1"/>
                <w:szCs w:val="1"/>
                <w:color w:val="auto"/>
              </w:rPr>
            </w:pPr>
          </w:p>
        </w:tc>
      </w:tr>
      <w:tr>
        <w:trPr>
          <w:trHeight w:val="202"/>
        </w:trPr>
        <w:tc>
          <w:tcPr>
            <w:tcW w:w="1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40" w:type="dxa"/>
            <w:vAlign w:val="bottom"/>
          </w:tcPr>
          <w:p>
            <w:pPr>
              <w:ind w:left="40"/>
              <w:spacing w:after="0" w:line="201" w:lineRule="exact"/>
              <w:rPr>
                <w:sz w:val="20"/>
                <w:szCs w:val="20"/>
                <w:color w:val="auto"/>
              </w:rPr>
            </w:pPr>
            <w:r>
              <w:rPr>
                <w:rFonts w:ascii="Arial" w:cs="Arial" w:eastAsia="Arial" w:hAnsi="Arial"/>
                <w:sz w:val="18"/>
                <w:szCs w:val="18"/>
                <w:color w:val="auto"/>
              </w:rPr>
              <w:t>November</w:t>
            </w:r>
          </w:p>
        </w:tc>
        <w:tc>
          <w:tcPr>
            <w:tcW w:w="5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tcPr>
          <w:p>
            <w:pPr>
              <w:spacing w:after="0" w:line="203" w:lineRule="exact"/>
              <w:rPr>
                <w:sz w:val="20"/>
                <w:szCs w:val="20"/>
                <w:color w:val="auto"/>
              </w:rPr>
            </w:pPr>
            <w:r>
              <w:rPr>
                <w:rFonts w:ascii="Arial" w:cs="Arial" w:eastAsia="Arial" w:hAnsi="Arial"/>
                <w:sz w:val="18"/>
                <w:szCs w:val="18"/>
                <w:color w:val="auto"/>
              </w:rPr>
              <w:t>Douglas L. Ranes</w:t>
            </w:r>
          </w:p>
        </w:tc>
        <w:tc>
          <w:tcPr>
            <w:tcW w:w="940" w:type="dxa"/>
            <w:vAlign w:val="bottom"/>
          </w:tcPr>
          <w:p>
            <w:pPr>
              <w:jc w:val="right"/>
              <w:ind w:right="150"/>
              <w:spacing w:after="0" w:line="203" w:lineRule="exact"/>
              <w:rPr>
                <w:sz w:val="20"/>
                <w:szCs w:val="20"/>
                <w:color w:val="auto"/>
              </w:rPr>
            </w:pPr>
            <w:r>
              <w:rPr>
                <w:rFonts w:ascii="Arial" w:cs="Arial" w:eastAsia="Arial" w:hAnsi="Arial"/>
                <w:sz w:val="18"/>
                <w:szCs w:val="18"/>
                <w:color w:val="auto"/>
              </w:rPr>
              <w:t>69</w:t>
            </w:r>
          </w:p>
        </w:tc>
        <w:tc>
          <w:tcPr>
            <w:tcW w:w="1460" w:type="dxa"/>
            <w:vAlign w:val="bottom"/>
          </w:tcPr>
          <w:p>
            <w:pPr>
              <w:ind w:left="240"/>
              <w:spacing w:after="0" w:line="203" w:lineRule="exact"/>
              <w:rPr>
                <w:sz w:val="20"/>
                <w:szCs w:val="20"/>
                <w:color w:val="auto"/>
              </w:rPr>
            </w:pPr>
            <w:r>
              <w:rPr>
                <w:rFonts w:ascii="Arial" w:cs="Arial" w:eastAsia="Arial" w:hAnsi="Arial"/>
                <w:sz w:val="18"/>
                <w:szCs w:val="18"/>
                <w:color w:val="auto"/>
              </w:rPr>
              <w:t>February 2005</w:t>
            </w:r>
          </w:p>
        </w:tc>
        <w:tc>
          <w:tcPr>
            <w:tcW w:w="1240" w:type="dxa"/>
            <w:vAlign w:val="bottom"/>
          </w:tcPr>
          <w:p>
            <w:pPr>
              <w:ind w:left="40"/>
              <w:spacing w:after="0" w:line="203" w:lineRule="exact"/>
              <w:rPr>
                <w:sz w:val="20"/>
                <w:szCs w:val="20"/>
                <w:color w:val="auto"/>
              </w:rPr>
            </w:pPr>
            <w:r>
              <w:rPr>
                <w:rFonts w:ascii="Arial" w:cs="Arial" w:eastAsia="Arial" w:hAnsi="Arial"/>
                <w:sz w:val="18"/>
                <w:szCs w:val="18"/>
                <w:color w:val="auto"/>
              </w:rPr>
              <w:t>2019</w:t>
            </w:r>
          </w:p>
        </w:tc>
        <w:tc>
          <w:tcPr>
            <w:tcW w:w="5840" w:type="dxa"/>
            <w:vAlign w:val="bottom"/>
          </w:tcPr>
          <w:p>
            <w:pPr>
              <w:ind w:left="40"/>
              <w:spacing w:after="0" w:line="203" w:lineRule="exact"/>
              <w:rPr>
                <w:sz w:val="20"/>
                <w:szCs w:val="20"/>
                <w:color w:val="auto"/>
              </w:rPr>
            </w:pPr>
            <w:r>
              <w:rPr>
                <w:rFonts w:ascii="Arial" w:cs="Arial" w:eastAsia="Arial" w:hAnsi="Arial"/>
                <w:sz w:val="18"/>
                <w:szCs w:val="18"/>
                <w:color w:val="auto"/>
              </w:rPr>
              <w:t>Vice President - Production Operations</w:t>
            </w:r>
          </w:p>
        </w:tc>
        <w:tc>
          <w:tcPr>
            <w:tcW w:w="0" w:type="dxa"/>
            <w:vAlign w:val="bottom"/>
          </w:tcPr>
          <w:p>
            <w:pPr>
              <w:spacing w:after="0"/>
              <w:rPr>
                <w:sz w:val="1"/>
                <w:szCs w:val="1"/>
                <w:color w:val="auto"/>
              </w:rPr>
            </w:pPr>
          </w:p>
        </w:tc>
      </w:tr>
      <w:tr>
        <w:trPr>
          <w:trHeight w:val="202"/>
        </w:trPr>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Michele Fennelly</w:t>
            </w:r>
          </w:p>
        </w:tc>
        <w:tc>
          <w:tcPr>
            <w:tcW w:w="9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8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Vice President - Information Technology and Chief Information Officer</w:t>
            </w:r>
          </w:p>
        </w:tc>
        <w:tc>
          <w:tcPr>
            <w:tcW w:w="0" w:type="dxa"/>
            <w:vAlign w:val="bottom"/>
          </w:tcPr>
          <w:p>
            <w:pPr>
              <w:spacing w:after="0"/>
              <w:rPr>
                <w:sz w:val="1"/>
                <w:szCs w:val="1"/>
                <w:color w:val="auto"/>
              </w:rPr>
            </w:pPr>
          </w:p>
        </w:tc>
      </w:tr>
      <w:tr>
        <w:trPr>
          <w:trHeight w:val="243"/>
        </w:trPr>
        <w:tc>
          <w:tcPr>
            <w:tcW w:w="1940" w:type="dxa"/>
            <w:vAlign w:val="bottom"/>
            <w:tcBorders>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White</w:t>
            </w:r>
          </w:p>
        </w:tc>
        <w:tc>
          <w:tcPr>
            <w:tcW w:w="940" w:type="dxa"/>
            <w:vAlign w:val="bottom"/>
            <w:tcBorders>
              <w:bottom w:val="single" w:sz="8" w:color="auto"/>
            </w:tcBorders>
            <w:shd w:val="clear" w:color="auto" w:fill="CCEEFF"/>
          </w:tcPr>
          <w:p>
            <w:pPr>
              <w:jc w:val="right"/>
              <w:ind w:right="150"/>
              <w:spacing w:after="0" w:line="203" w:lineRule="exact"/>
              <w:rPr>
                <w:sz w:val="20"/>
                <w:szCs w:val="20"/>
                <w:color w:val="auto"/>
              </w:rPr>
            </w:pPr>
            <w:r>
              <w:rPr>
                <w:rFonts w:ascii="Arial" w:cs="Arial" w:eastAsia="Arial" w:hAnsi="Arial"/>
                <w:sz w:val="18"/>
                <w:szCs w:val="18"/>
                <w:color w:val="auto"/>
              </w:rPr>
              <w:t>57</w:t>
            </w:r>
          </w:p>
        </w:tc>
        <w:tc>
          <w:tcPr>
            <w:tcW w:w="1460" w:type="dxa"/>
            <w:vAlign w:val="bottom"/>
            <w:tcBorders>
              <w:bottom w:val="single" w:sz="8" w:color="auto"/>
            </w:tcBorders>
            <w:shd w:val="clear" w:color="auto" w:fill="CCEEFF"/>
          </w:tcPr>
          <w:p>
            <w:pPr>
              <w:ind w:left="240"/>
              <w:spacing w:after="0" w:line="203" w:lineRule="exact"/>
              <w:rPr>
                <w:sz w:val="20"/>
                <w:szCs w:val="20"/>
                <w:color w:val="auto"/>
              </w:rPr>
            </w:pPr>
            <w:r>
              <w:rPr>
                <w:rFonts w:ascii="Arial" w:cs="Arial" w:eastAsia="Arial" w:hAnsi="Arial"/>
                <w:sz w:val="18"/>
                <w:szCs w:val="18"/>
                <w:color w:val="auto"/>
              </w:rPr>
              <w:t>June 1994</w:t>
            </w:r>
          </w:p>
        </w:tc>
        <w:tc>
          <w:tcPr>
            <w:tcW w:w="1240" w:type="dxa"/>
            <w:vAlign w:val="bottom"/>
            <w:tcBorders>
              <w:bottom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June 2011</w:t>
            </w:r>
          </w:p>
        </w:tc>
        <w:tc>
          <w:tcPr>
            <w:tcW w:w="58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 xml:space="preserve">Kevin D. Mowbray </w:t>
      </w:r>
      <w:r>
        <w:rPr>
          <w:rFonts w:ascii="Arial" w:cs="Arial" w:eastAsia="Arial" w:hAnsi="Arial"/>
          <w:sz w:val="18"/>
          <w:szCs w:val="18"/>
          <w:color w:val="auto"/>
        </w:rPr>
        <w:t>was elected President and Chief Executive Officer in February 2016. From April 2015 - February 2016 he was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Vice President and Chief Operating Officer. From May 2013 to April 2015 he served as Vice President and Chief Operating Officer. From 2004 to May 2013 he served as a Vice President - Publishing and was Publisher of the </w:t>
      </w:r>
      <w:r>
        <w:rPr>
          <w:rFonts w:ascii="Arial" w:cs="Arial" w:eastAsia="Arial" w:hAnsi="Arial"/>
          <w:sz w:val="18"/>
          <w:szCs w:val="18"/>
          <w:i w:val="1"/>
          <w:iCs w:val="1"/>
          <w:color w:val="auto"/>
        </w:rPr>
        <w:t>St. Louis Post-Dispatch</w:t>
      </w:r>
      <w:r>
        <w:rPr>
          <w:rFonts w:ascii="Arial" w:cs="Arial" w:eastAsia="Arial" w:hAnsi="Arial"/>
          <w:sz w:val="18"/>
          <w:szCs w:val="18"/>
          <w:color w:val="auto"/>
        </w:rPr>
        <w:t xml:space="preserve"> from 2006 until May 2013. He was elected to the Board of Directors of the Company in February 2016.</w:t>
      </w:r>
    </w:p>
    <w:p>
      <w:pPr>
        <w:spacing w:after="0" w:line="16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i w:val="1"/>
          <w:iCs w:val="1"/>
          <w:color w:val="auto"/>
        </w:rPr>
        <w:t xml:space="preserve">Joseph J. Battistoni </w:t>
      </w:r>
      <w:r>
        <w:rPr>
          <w:rFonts w:ascii="Arial" w:cs="Arial" w:eastAsia="Arial" w:hAnsi="Arial"/>
          <w:sz w:val="18"/>
          <w:szCs w:val="18"/>
          <w:color w:val="auto"/>
        </w:rPr>
        <w:t>was appointed Vice President - Local Advertising in November 2019. From February 2018 to November 2019, he served</w:t>
      </w:r>
      <w:r>
        <w:rPr>
          <w:rFonts w:ascii="Arial" w:cs="Arial" w:eastAsia="Arial" w:hAnsi="Arial"/>
          <w:sz w:val="18"/>
          <w:szCs w:val="18"/>
          <w:i w:val="1"/>
          <w:iCs w:val="1"/>
          <w:color w:val="auto"/>
        </w:rPr>
        <w:t xml:space="preserve"> </w:t>
      </w:r>
      <w:r>
        <w:rPr>
          <w:rFonts w:ascii="Arial" w:cs="Arial" w:eastAsia="Arial" w:hAnsi="Arial"/>
          <w:sz w:val="18"/>
          <w:szCs w:val="18"/>
          <w:color w:val="auto"/>
        </w:rPr>
        <w:t>as General Manager and Vice President - Sales and Marketing for The Times Media Company. From October 2015 to February 2018, he served as Vice President of Sales and Marketing. From March 2014 to October 2015, he served as Digital Advertising Director.</w:t>
      </w:r>
    </w:p>
    <w:p>
      <w:pPr>
        <w:spacing w:after="0" w:line="16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 xml:space="preserve">Nathan E. Bekke </w:t>
      </w:r>
      <w:r>
        <w:rPr>
          <w:rFonts w:ascii="Arial" w:cs="Arial" w:eastAsia="Arial" w:hAnsi="Arial"/>
          <w:sz w:val="18"/>
          <w:szCs w:val="18"/>
          <w:color w:val="auto"/>
        </w:rPr>
        <w:t>was appointed Vice President - Consumer Sales and Marketing in February 2015. From 2003 to February 2015, he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Publisher of the </w:t>
      </w:r>
      <w:r>
        <w:rPr>
          <w:rFonts w:ascii="Arial" w:cs="Arial" w:eastAsia="Arial" w:hAnsi="Arial"/>
          <w:sz w:val="18"/>
          <w:szCs w:val="18"/>
          <w:i w:val="1"/>
          <w:iCs w:val="1"/>
          <w:color w:val="auto"/>
        </w:rPr>
        <w:t>Casper Star-Tribune</w:t>
      </w:r>
      <w:r>
        <w:rPr>
          <w:rFonts w:ascii="Arial" w:cs="Arial" w:eastAsia="Arial" w:hAnsi="Arial"/>
          <w:sz w:val="18"/>
          <w:szCs w:val="18"/>
          <w:color w:val="auto"/>
        </w:rPr>
        <w:t>.</w:t>
      </w:r>
    </w:p>
    <w:p>
      <w:pPr>
        <w:spacing w:after="0" w:line="14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 xml:space="preserve">Ray G. Farris </w:t>
      </w:r>
      <w:r>
        <w:rPr>
          <w:rFonts w:ascii="Arial" w:cs="Arial" w:eastAsia="Arial" w:hAnsi="Arial"/>
          <w:sz w:val="18"/>
          <w:szCs w:val="18"/>
          <w:color w:val="auto"/>
        </w:rPr>
        <w:t>was appointed Vice President - Group Publisher in December 2018. From May 2013 to December 2018, he served as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Publisher of the </w:t>
      </w:r>
      <w:r>
        <w:rPr>
          <w:rFonts w:ascii="Arial" w:cs="Arial" w:eastAsia="Arial" w:hAnsi="Arial"/>
          <w:sz w:val="18"/>
          <w:szCs w:val="18"/>
          <w:i w:val="1"/>
          <w:iCs w:val="1"/>
          <w:color w:val="auto"/>
        </w:rPr>
        <w:t>St. Louis Post-Dispatch</w:t>
      </w:r>
      <w:r>
        <w:rPr>
          <w:rFonts w:ascii="Arial" w:cs="Arial" w:eastAsia="Arial" w:hAnsi="Arial"/>
          <w:sz w:val="18"/>
          <w:szCs w:val="18"/>
          <w:color w:val="auto"/>
        </w:rPr>
        <w:t xml:space="preserve">. From August 2010 to May 2013, he served as General Manager and Vice President of Sales of the </w:t>
      </w:r>
      <w:r>
        <w:rPr>
          <w:rFonts w:ascii="Arial" w:cs="Arial" w:eastAsia="Arial" w:hAnsi="Arial"/>
          <w:sz w:val="18"/>
          <w:szCs w:val="18"/>
          <w:i w:val="1"/>
          <w:iCs w:val="1"/>
          <w:color w:val="auto"/>
        </w:rPr>
        <w:t>St. Louis Post-Dispatch</w:t>
      </w:r>
      <w:r>
        <w:rPr>
          <w:rFonts w:ascii="Arial" w:cs="Arial" w:eastAsia="Arial" w:hAnsi="Arial"/>
          <w:sz w:val="18"/>
          <w:szCs w:val="18"/>
          <w:color w:val="auto"/>
        </w:rPr>
        <w:t xml:space="preserve">. From October 2006 to August 2010, he served as Vice President of Classified Advertising of the </w:t>
      </w:r>
      <w:r>
        <w:rPr>
          <w:rFonts w:ascii="Arial" w:cs="Arial" w:eastAsia="Arial" w:hAnsi="Arial"/>
          <w:sz w:val="18"/>
          <w:szCs w:val="18"/>
          <w:i w:val="1"/>
          <w:iCs w:val="1"/>
          <w:color w:val="auto"/>
        </w:rPr>
        <w:t>St. Louis Post-Dispatch</w:t>
      </w:r>
      <w:r>
        <w:rPr>
          <w:rFonts w:ascii="Arial" w:cs="Arial" w:eastAsia="Arial" w:hAnsi="Arial"/>
          <w:sz w:val="18"/>
          <w:szCs w:val="18"/>
          <w:color w:val="auto"/>
        </w:rPr>
        <w: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0" w:name="page11"/>
    <w:bookmarkEnd w:id="10"/>
    <w:p>
      <w:pPr>
        <w:jc w:val="both"/>
        <w:ind w:left="20"/>
        <w:spacing w:after="0" w:line="267" w:lineRule="auto"/>
        <w:rPr>
          <w:sz w:val="20"/>
          <w:szCs w:val="20"/>
          <w:color w:val="auto"/>
        </w:rPr>
      </w:pPr>
      <w:r>
        <w:rPr>
          <w:rFonts w:ascii="Arial" w:cs="Arial" w:eastAsia="Arial" w:hAnsi="Arial"/>
          <w:sz w:val="18"/>
          <w:szCs w:val="18"/>
          <w:i w:val="1"/>
          <w:iCs w:val="1"/>
          <w:color w:val="auto"/>
        </w:rPr>
        <w:t xml:space="preserve">Suzanna M. Frank </w:t>
      </w:r>
      <w:r>
        <w:rPr>
          <w:rFonts w:ascii="Arial" w:cs="Arial" w:eastAsia="Arial" w:hAnsi="Arial"/>
          <w:sz w:val="18"/>
          <w:szCs w:val="18"/>
          <w:color w:val="auto"/>
        </w:rPr>
        <w:t>was appointed Vice President - Research and Metrics in November 2018. From March 2008 to November 2018 she served</w:t>
      </w:r>
      <w:r>
        <w:rPr>
          <w:rFonts w:ascii="Arial" w:cs="Arial" w:eastAsia="Arial" w:hAnsi="Arial"/>
          <w:sz w:val="18"/>
          <w:szCs w:val="18"/>
          <w:i w:val="1"/>
          <w:iCs w:val="1"/>
          <w:color w:val="auto"/>
        </w:rPr>
        <w:t xml:space="preserve"> </w:t>
      </w:r>
      <w:r>
        <w:rPr>
          <w:rFonts w:ascii="Arial" w:cs="Arial" w:eastAsia="Arial" w:hAnsi="Arial"/>
          <w:sz w:val="18"/>
          <w:szCs w:val="18"/>
          <w:color w:val="auto"/>
        </w:rPr>
        <w:t>as Vice President - Audience. From 2003 to 2008 she served as Director of Research and Marketing of the Company.</w:t>
      </w:r>
    </w:p>
    <w:p>
      <w:pPr>
        <w:spacing w:after="0" w:line="147" w:lineRule="exact"/>
        <w:rPr>
          <w:sz w:val="20"/>
          <w:szCs w:val="20"/>
          <w:color w:val="auto"/>
        </w:rPr>
      </w:pPr>
    </w:p>
    <w:p>
      <w:pPr>
        <w:jc w:val="both"/>
        <w:ind w:left="20" w:right="20"/>
        <w:spacing w:after="0" w:line="267" w:lineRule="auto"/>
        <w:rPr>
          <w:sz w:val="20"/>
          <w:szCs w:val="20"/>
          <w:color w:val="auto"/>
        </w:rPr>
      </w:pPr>
      <w:r>
        <w:rPr>
          <w:rFonts w:ascii="Arial" w:cs="Arial" w:eastAsia="Arial" w:hAnsi="Arial"/>
          <w:sz w:val="18"/>
          <w:szCs w:val="18"/>
          <w:i w:val="1"/>
          <w:iCs w:val="1"/>
          <w:color w:val="auto"/>
        </w:rPr>
        <w:t xml:space="preserve">Astrid J. Garcia </w:t>
      </w:r>
      <w:r>
        <w:rPr>
          <w:rFonts w:ascii="Arial" w:cs="Arial" w:eastAsia="Arial" w:hAnsi="Arial"/>
          <w:sz w:val="18"/>
          <w:szCs w:val="18"/>
          <w:color w:val="auto"/>
        </w:rPr>
        <w:t>was appointed Vice President - Human Resources and Legal in December 2013. From 2006 to November 2013 she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Vice President of Human Resources, Labor Relations and Operations of the </w:t>
      </w:r>
      <w:r>
        <w:rPr>
          <w:rFonts w:ascii="Arial" w:cs="Arial" w:eastAsia="Arial" w:hAnsi="Arial"/>
          <w:sz w:val="18"/>
          <w:szCs w:val="18"/>
          <w:i w:val="1"/>
          <w:iCs w:val="1"/>
          <w:color w:val="auto"/>
        </w:rPr>
        <w:t>St. Louis Post-Dispatch.</w:t>
      </w:r>
    </w:p>
    <w:p>
      <w:pPr>
        <w:spacing w:after="0" w:line="147" w:lineRule="exact"/>
        <w:rPr>
          <w:sz w:val="20"/>
          <w:szCs w:val="20"/>
          <w:color w:val="auto"/>
        </w:rPr>
      </w:pPr>
    </w:p>
    <w:p>
      <w:pPr>
        <w:jc w:val="both"/>
        <w:ind w:left="20"/>
        <w:spacing w:after="0" w:line="251" w:lineRule="auto"/>
        <w:rPr>
          <w:sz w:val="20"/>
          <w:szCs w:val="20"/>
          <w:color w:val="auto"/>
        </w:rPr>
      </w:pPr>
      <w:r>
        <w:rPr>
          <w:rFonts w:ascii="Arial" w:cs="Arial" w:eastAsia="Arial" w:hAnsi="Arial"/>
          <w:sz w:val="18"/>
          <w:szCs w:val="18"/>
          <w:i w:val="1"/>
          <w:iCs w:val="1"/>
          <w:color w:val="auto"/>
        </w:rPr>
        <w:t xml:space="preserve">James A. Green </w:t>
      </w:r>
      <w:r>
        <w:rPr>
          <w:rFonts w:ascii="Arial" w:cs="Arial" w:eastAsia="Arial" w:hAnsi="Arial"/>
          <w:sz w:val="18"/>
          <w:szCs w:val="18"/>
          <w:color w:val="auto"/>
        </w:rPr>
        <w:t>was appointed Vice President - Digital in March 2013. From June 2011 to March 2013, he served as Executive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and General Manager of Travidia, Inc., a developer of newspaper digital shopping media and marketing programs. From 2004 to June 2011 he served as Chief Marketing Officer of Travidia, Inc.</w:t>
      </w:r>
    </w:p>
    <w:p>
      <w:pPr>
        <w:spacing w:after="0" w:line="161" w:lineRule="exact"/>
        <w:rPr>
          <w:sz w:val="20"/>
          <w:szCs w:val="20"/>
          <w:color w:val="auto"/>
        </w:rPr>
      </w:pPr>
    </w:p>
    <w:p>
      <w:pPr>
        <w:jc w:val="both"/>
        <w:ind w:left="20"/>
        <w:spacing w:after="0" w:line="251" w:lineRule="auto"/>
        <w:rPr>
          <w:sz w:val="20"/>
          <w:szCs w:val="20"/>
          <w:color w:val="auto"/>
        </w:rPr>
      </w:pPr>
      <w:r>
        <w:rPr>
          <w:rFonts w:ascii="Arial" w:cs="Arial" w:eastAsia="Arial" w:hAnsi="Arial"/>
          <w:sz w:val="18"/>
          <w:szCs w:val="18"/>
          <w:i w:val="1"/>
          <w:iCs w:val="1"/>
          <w:color w:val="auto"/>
        </w:rPr>
        <w:t xml:space="preserve">John M. Humenik </w:t>
      </w:r>
      <w:r>
        <w:rPr>
          <w:rFonts w:ascii="Arial" w:cs="Arial" w:eastAsia="Arial" w:hAnsi="Arial"/>
          <w:sz w:val="18"/>
          <w:szCs w:val="18"/>
          <w:color w:val="auto"/>
        </w:rPr>
        <w:t>was appointed Vice President - News in February 2015. He was also president and publisher of the Wisconsin State Journal</w:t>
      </w:r>
      <w:r>
        <w:rPr>
          <w:rFonts w:ascii="Arial" w:cs="Arial" w:eastAsia="Arial" w:hAnsi="Arial"/>
          <w:sz w:val="18"/>
          <w:szCs w:val="18"/>
          <w:i w:val="1"/>
          <w:iCs w:val="1"/>
          <w:color w:val="auto"/>
        </w:rPr>
        <w:t xml:space="preserve"> </w:t>
      </w:r>
      <w:r>
        <w:rPr>
          <w:rFonts w:ascii="Arial" w:cs="Arial" w:eastAsia="Arial" w:hAnsi="Arial"/>
          <w:sz w:val="18"/>
          <w:szCs w:val="18"/>
          <w:color w:val="auto"/>
        </w:rPr>
        <w:t>and president of Madison Newspapers Inc., a position he has held since 2013. He was publisher and editor of the Arizona Daily Star from 2005 to 2010 and additionally served as president of Tucson Newspapers Inc. until 2013.</w:t>
      </w:r>
    </w:p>
    <w:p>
      <w:pPr>
        <w:spacing w:after="0" w:line="161" w:lineRule="exact"/>
        <w:rPr>
          <w:sz w:val="20"/>
          <w:szCs w:val="20"/>
          <w:color w:val="auto"/>
        </w:rPr>
      </w:pPr>
    </w:p>
    <w:p>
      <w:pPr>
        <w:jc w:val="both"/>
        <w:ind w:left="20"/>
        <w:spacing w:after="0" w:line="267" w:lineRule="auto"/>
        <w:rPr>
          <w:sz w:val="20"/>
          <w:szCs w:val="20"/>
          <w:color w:val="auto"/>
        </w:rPr>
      </w:pPr>
      <w:r>
        <w:rPr>
          <w:rFonts w:ascii="Arial" w:cs="Arial" w:eastAsia="Arial" w:hAnsi="Arial"/>
          <w:sz w:val="18"/>
          <w:szCs w:val="18"/>
          <w:i w:val="1"/>
          <w:iCs w:val="1"/>
          <w:color w:val="auto"/>
        </w:rPr>
        <w:t xml:space="preserve">Timothy R. Millage </w:t>
      </w:r>
      <w:r>
        <w:rPr>
          <w:rFonts w:ascii="Arial" w:cs="Arial" w:eastAsia="Arial" w:hAnsi="Arial"/>
          <w:sz w:val="18"/>
          <w:szCs w:val="18"/>
          <w:color w:val="auto"/>
        </w:rPr>
        <w:t>was elected Vice President, Chief Financial Officer and Treasurer in August 2018. From 2012 to 2018 he served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controller.</w:t>
      </w:r>
    </w:p>
    <w:p>
      <w:pPr>
        <w:spacing w:after="0" w:line="147" w:lineRule="exact"/>
        <w:rPr>
          <w:sz w:val="20"/>
          <w:szCs w:val="20"/>
          <w:color w:val="auto"/>
        </w:rPr>
      </w:pPr>
    </w:p>
    <w:p>
      <w:pPr>
        <w:jc w:val="both"/>
        <w:ind w:left="20"/>
        <w:spacing w:after="0" w:line="267" w:lineRule="auto"/>
        <w:rPr>
          <w:sz w:val="20"/>
          <w:szCs w:val="20"/>
          <w:color w:val="auto"/>
        </w:rPr>
      </w:pPr>
      <w:r>
        <w:rPr>
          <w:rFonts w:ascii="Arial" w:cs="Arial" w:eastAsia="Arial" w:hAnsi="Arial"/>
          <w:sz w:val="18"/>
          <w:szCs w:val="18"/>
          <w:i w:val="1"/>
          <w:iCs w:val="1"/>
          <w:color w:val="auto"/>
        </w:rPr>
        <w:t xml:space="preserve">Michele Fennelly White </w:t>
      </w:r>
      <w:r>
        <w:rPr>
          <w:rFonts w:ascii="Arial" w:cs="Arial" w:eastAsia="Arial" w:hAnsi="Arial"/>
          <w:sz w:val="18"/>
          <w:szCs w:val="18"/>
          <w:color w:val="auto"/>
        </w:rPr>
        <w:t>was appointed Vice President - Information Technology and Chief Information Officer in June 2011. From 1999 to June</w:t>
      </w:r>
      <w:r>
        <w:rPr>
          <w:rFonts w:ascii="Arial" w:cs="Arial" w:eastAsia="Arial" w:hAnsi="Arial"/>
          <w:sz w:val="18"/>
          <w:szCs w:val="18"/>
          <w:i w:val="1"/>
          <w:iCs w:val="1"/>
          <w:color w:val="auto"/>
        </w:rPr>
        <w:t xml:space="preserve"> </w:t>
      </w:r>
      <w:r>
        <w:rPr>
          <w:rFonts w:ascii="Arial" w:cs="Arial" w:eastAsia="Arial" w:hAnsi="Arial"/>
          <w:sz w:val="18"/>
          <w:szCs w:val="18"/>
          <w:color w:val="auto"/>
        </w:rPr>
        <w:t>2011, she served as Director of Technical Support.</w:t>
      </w:r>
    </w:p>
    <w:p>
      <w:pPr>
        <w:spacing w:after="0" w:line="147" w:lineRule="exact"/>
        <w:rPr>
          <w:sz w:val="20"/>
          <w:szCs w:val="20"/>
          <w:color w:val="auto"/>
        </w:rPr>
      </w:pPr>
    </w:p>
    <w:p>
      <w:pPr>
        <w:jc w:val="both"/>
        <w:ind w:left="20"/>
        <w:spacing w:after="0" w:line="251" w:lineRule="auto"/>
        <w:rPr>
          <w:sz w:val="20"/>
          <w:szCs w:val="20"/>
          <w:color w:val="auto"/>
        </w:rPr>
      </w:pPr>
      <w:r>
        <w:rPr>
          <w:rFonts w:ascii="Arial" w:cs="Arial" w:eastAsia="Arial" w:hAnsi="Arial"/>
          <w:sz w:val="18"/>
          <w:szCs w:val="18"/>
          <w:i w:val="1"/>
          <w:iCs w:val="1"/>
          <w:color w:val="auto"/>
        </w:rPr>
        <w:t xml:space="preserve">Douglas L. Ranes </w:t>
      </w:r>
      <w:r>
        <w:rPr>
          <w:rFonts w:ascii="Arial" w:cs="Arial" w:eastAsia="Arial" w:hAnsi="Arial"/>
          <w:sz w:val="18"/>
          <w:szCs w:val="18"/>
          <w:color w:val="auto"/>
        </w:rPr>
        <w:t>was</w:t>
      </w:r>
      <w:r>
        <w:rPr>
          <w:rFonts w:ascii="Arial" w:cs="Arial" w:eastAsia="Arial" w:hAnsi="Arial"/>
          <w:sz w:val="18"/>
          <w:szCs w:val="18"/>
          <w:i w:val="1"/>
          <w:iCs w:val="1"/>
          <w:color w:val="auto"/>
        </w:rPr>
        <w:t xml:space="preserve"> a</w:t>
      </w:r>
      <w:r>
        <w:rPr>
          <w:rFonts w:ascii="Arial" w:cs="Arial" w:eastAsia="Arial" w:hAnsi="Arial"/>
          <w:sz w:val="18"/>
          <w:szCs w:val="18"/>
          <w:color w:val="auto"/>
        </w:rPr>
        <w:t>ppointed Vice President - Production Operations in November 2019. From June 2014 to November 2019, he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Director of Production. From February 2005 to June 2012 he serve as Director of Operations for The </w:t>
      </w:r>
      <w:r>
        <w:rPr>
          <w:rFonts w:ascii="Arial" w:cs="Arial" w:eastAsia="Arial" w:hAnsi="Arial"/>
          <w:sz w:val="18"/>
          <w:szCs w:val="18"/>
          <w:i w:val="1"/>
          <w:iCs w:val="1"/>
          <w:color w:val="auto"/>
        </w:rPr>
        <w:t>North County Times</w:t>
      </w:r>
      <w:r>
        <w:rPr>
          <w:rFonts w:ascii="Arial" w:cs="Arial" w:eastAsia="Arial" w:hAnsi="Arial"/>
          <w:sz w:val="18"/>
          <w:szCs w:val="18"/>
          <w:color w:val="auto"/>
        </w:rPr>
        <w:t xml:space="preserve"> and The Northwest Indiana Times.</w:t>
      </w:r>
    </w:p>
    <w:p>
      <w:pPr>
        <w:spacing w:after="0" w:line="179" w:lineRule="exact"/>
        <w:rPr>
          <w:sz w:val="20"/>
          <w:szCs w:val="20"/>
          <w:color w:val="auto"/>
        </w:rPr>
      </w:pPr>
    </w:p>
    <w:p>
      <w:pPr>
        <w:jc w:val="both"/>
        <w:ind w:left="20"/>
        <w:spacing w:after="0" w:line="246" w:lineRule="auto"/>
        <w:rPr>
          <w:sz w:val="20"/>
          <w:szCs w:val="20"/>
          <w:color w:val="auto"/>
        </w:rPr>
      </w:pPr>
      <w:r>
        <w:rPr>
          <w:rFonts w:ascii="Arial" w:cs="Arial" w:eastAsia="Arial" w:hAnsi="Arial"/>
          <w:sz w:val="18"/>
          <w:szCs w:val="18"/>
          <w:color w:val="auto"/>
        </w:rPr>
        <w:t>Messrs. Mowbray, Bekke, Farris, Green, Humenik and Millage have been designated by the Board of Directors as executive officers for US Securities and Exchange Commission ("SEC") reporting purposes.</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EMPLOYEES</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 September 29, 2019, we had approximately 2,954 employees, including approximately 622 part-time employees, exclusive of TNI and MNI.</w:t>
      </w:r>
    </w:p>
    <w:p>
      <w:pPr>
        <w:ind w:left="20"/>
        <w:spacing w:after="0"/>
        <w:rPr>
          <w:sz w:val="20"/>
          <w:szCs w:val="20"/>
          <w:color w:val="auto"/>
        </w:rPr>
      </w:pPr>
      <w:r>
        <w:rPr>
          <w:rFonts w:ascii="Arial" w:cs="Arial" w:eastAsia="Arial" w:hAnsi="Arial"/>
          <w:sz w:val="18"/>
          <w:szCs w:val="18"/>
          <w:color w:val="auto"/>
        </w:rPr>
        <w:t>Full-time equivalent employees in 2019 totaled approximately 2,786. We consider our relationships with our employees to be good.</w:t>
      </w:r>
    </w:p>
    <w:p>
      <w:pPr>
        <w:spacing w:after="0" w:line="180" w:lineRule="exact"/>
        <w:rPr>
          <w:sz w:val="20"/>
          <w:szCs w:val="20"/>
          <w:color w:val="auto"/>
        </w:rPr>
      </w:pPr>
    </w:p>
    <w:p>
      <w:pPr>
        <w:jc w:val="both"/>
        <w:ind w:left="20"/>
        <w:spacing w:after="0" w:line="267" w:lineRule="auto"/>
        <w:rPr>
          <w:sz w:val="20"/>
          <w:szCs w:val="20"/>
          <w:color w:val="auto"/>
        </w:rPr>
      </w:pPr>
      <w:r>
        <w:rPr>
          <w:rFonts w:ascii="Arial" w:cs="Arial" w:eastAsia="Arial" w:hAnsi="Arial"/>
          <w:sz w:val="18"/>
          <w:szCs w:val="18"/>
          <w:color w:val="auto"/>
        </w:rPr>
        <w:t xml:space="preserve">Bargaining units represent 283, or 69%, of the total employees of the </w:t>
      </w:r>
      <w:r>
        <w:rPr>
          <w:rFonts w:ascii="Arial" w:cs="Arial" w:eastAsia="Arial" w:hAnsi="Arial"/>
          <w:sz w:val="18"/>
          <w:szCs w:val="18"/>
          <w:i w:val="1"/>
          <w:iCs w:val="1"/>
          <w:color w:val="auto"/>
        </w:rPr>
        <w:t>St. Louis Post-Dispatch,</w:t>
      </w:r>
      <w:r>
        <w:rPr>
          <w:rFonts w:ascii="Arial" w:cs="Arial" w:eastAsia="Arial" w:hAnsi="Arial"/>
          <w:sz w:val="18"/>
          <w:szCs w:val="18"/>
          <w:color w:val="auto"/>
        </w:rPr>
        <w:t xml:space="preserve"> which has six contracts with bargaining units with expiration dates from March 2020 through September 2021.</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Approximately 55 employees in four additional locations are represented by collective bargaining units.</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CORPORATE GOVERNANCE AND PUBLIC INFORMATION</w:t>
      </w:r>
    </w:p>
    <w:p>
      <w:pPr>
        <w:spacing w:after="0" w:line="220" w:lineRule="exact"/>
        <w:rPr>
          <w:sz w:val="20"/>
          <w:szCs w:val="20"/>
          <w:color w:val="auto"/>
        </w:rPr>
      </w:pPr>
    </w:p>
    <w:p>
      <w:pPr>
        <w:jc w:val="both"/>
        <w:ind w:right="140"/>
        <w:spacing w:after="0" w:line="239" w:lineRule="auto"/>
        <w:rPr>
          <w:sz w:val="20"/>
          <w:szCs w:val="20"/>
          <w:color w:val="auto"/>
        </w:rPr>
      </w:pPr>
      <w:r>
        <w:rPr>
          <w:rFonts w:ascii="Arial" w:cs="Arial" w:eastAsia="Arial" w:hAnsi="Arial"/>
          <w:sz w:val="18"/>
          <w:szCs w:val="18"/>
          <w:color w:val="auto"/>
        </w:rPr>
        <w:t>We have a long history of sound corporate governance practices. Our Board of Directors has a lead independent director, and has had one for many years. Currently, our Board of Directors has affirmatively determined that seven of its ten members are independent, including all members of the Board's Audit, Executive Compensation and Nominating and Corporate Governance committees. The Audit Committee approves all services to be provided by our independent registered public accounting firm and its affiliates.</w:t>
      </w:r>
    </w:p>
    <w:p>
      <w:pPr>
        <w:spacing w:after="0" w:line="188" w:lineRule="exact"/>
        <w:rPr>
          <w:sz w:val="20"/>
          <w:szCs w:val="20"/>
          <w:color w:val="auto"/>
        </w:rPr>
      </w:pPr>
    </w:p>
    <w:p>
      <w:pPr>
        <w:ind w:left="20"/>
        <w:spacing w:after="0" w:line="246" w:lineRule="auto"/>
        <w:rPr>
          <w:sz w:val="20"/>
          <w:szCs w:val="20"/>
          <w:color w:val="auto"/>
        </w:rPr>
      </w:pPr>
      <w:r>
        <w:rPr>
          <w:rFonts w:ascii="Arial" w:cs="Arial" w:eastAsia="Arial" w:hAnsi="Arial"/>
          <w:sz w:val="18"/>
          <w:szCs w:val="18"/>
          <w:color w:val="auto"/>
        </w:rPr>
        <w:t>In 2019, the Company enhanced corporate governance practices to further increase the Board’s effectiveness and accountability to shareholders, by:</w:t>
      </w:r>
    </w:p>
    <w:p>
      <w:pPr>
        <w:spacing w:after="0" w:line="179" w:lineRule="exact"/>
        <w:rPr>
          <w:sz w:val="20"/>
          <w:szCs w:val="20"/>
          <w:color w:val="auto"/>
        </w:rPr>
      </w:pPr>
    </w:p>
    <w:p>
      <w:pPr>
        <w:ind w:left="840" w:hanging="326"/>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Adopting a majority voting standard for the election of directors in uncontested elections;</w:t>
      </w:r>
    </w:p>
    <w:p>
      <w:pPr>
        <w:ind w:left="840" w:right="280" w:hanging="326"/>
        <w:spacing w:after="0" w:line="234"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Allowing proxy access, providing shareholders who satisfy the requirements specified in the amended bylaws the ability to include their own nominees in the Company’s proxy statement;</w:t>
      </w:r>
    </w:p>
    <w:p>
      <w:pPr>
        <w:spacing w:after="0" w:line="1" w:lineRule="exact"/>
        <w:rPr>
          <w:rFonts w:ascii="Arial" w:cs="Arial" w:eastAsia="Arial" w:hAnsi="Arial"/>
          <w:sz w:val="18"/>
          <w:szCs w:val="18"/>
          <w:color w:val="auto"/>
        </w:rPr>
      </w:pPr>
    </w:p>
    <w:p>
      <w:pPr>
        <w:ind w:left="840" w:right="60" w:hanging="326"/>
        <w:spacing w:after="0" w:line="234"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Allowing substantially more time for shareholders to submit proposals and director nominations for consideration at annual meetings; and</w:t>
      </w:r>
    </w:p>
    <w:p>
      <w:pPr>
        <w:spacing w:after="0" w:line="1" w:lineRule="exact"/>
        <w:rPr>
          <w:rFonts w:ascii="Arial" w:cs="Arial" w:eastAsia="Arial" w:hAnsi="Arial"/>
          <w:sz w:val="18"/>
          <w:szCs w:val="18"/>
          <w:color w:val="auto"/>
        </w:rPr>
      </w:pPr>
    </w:p>
    <w:p>
      <w:pPr>
        <w:ind w:left="840" w:hanging="326"/>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Demonstrating a commitment to board refreshment through the nomination of three new independent board members.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66040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580" w:right="239" w:bottom="1440" w:gutter="0" w:footer="0" w:header="0"/>
        </w:sectPr>
      </w:pPr>
    </w:p>
    <w:bookmarkStart w:id="11" w:name="page12"/>
    <w:bookmarkEnd w:id="11"/>
    <w:p>
      <w:pPr>
        <w:jc w:val="both"/>
        <w:spacing w:after="0" w:line="238" w:lineRule="auto"/>
        <w:rPr>
          <w:sz w:val="20"/>
          <w:szCs w:val="20"/>
          <w:color w:val="auto"/>
        </w:rPr>
      </w:pPr>
      <w:r>
        <w:rPr>
          <w:rFonts w:ascii="Arial" w:cs="Arial" w:eastAsia="Arial" w:hAnsi="Arial"/>
          <w:sz w:val="18"/>
          <w:szCs w:val="18"/>
          <w:color w:val="auto"/>
        </w:rPr>
        <w:t>At www.lee.net, one may access a wide variety of information, including news releases, SEC filings, financial statistics, annual reports, investor presentations, governance documents, newspaper profiles and digital links. We make available via our website all filings made by the Company under the Securities Exchange Act of 1934 (the "Exchange Act"), including Forms 10-K, 10-Q and 8-K, and related amendments, as soon as reasonably practicable after they are filed with, or furnished to, the SEC. All such filings are available free of charge. The content of any website referred to in this Annual Report is not incorporated by reference unless expressly noted.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This annual report ("Annual Report") contains information that may be deemed forward-looking that is based largely on our current expectations, and is subject to certain risks, trends and uncertainties that could cause actual results to differ materially from those anticipated. Among such risks, trends and other uncertainties, which in some instances are beyond our control, are:</w:t>
      </w:r>
    </w:p>
    <w:p>
      <w:pPr>
        <w:spacing w:after="0" w:line="184" w:lineRule="exact"/>
        <w:rPr>
          <w:sz w:val="20"/>
          <w:szCs w:val="20"/>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generate cash flows and maintain liquidity sufficient to service our debt;</w:t>
      </w:r>
    </w:p>
    <w:p>
      <w:pPr>
        <w:ind w:left="820" w:hanging="326"/>
        <w:spacing w:after="0" w:line="234"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comply with the financial covenants in our credit facilities;</w:t>
      </w:r>
    </w:p>
    <w:p>
      <w:pPr>
        <w:ind w:left="820" w:hanging="326"/>
        <w:spacing w:after="0" w:line="234"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refinance our debt as it comes due;</w:t>
      </w:r>
    </w:p>
    <w:p>
      <w:pPr>
        <w:ind w:left="820" w:hanging="326"/>
        <w:spacing w:after="0" w:line="234"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manage declining print revenue;</w:t>
      </w:r>
    </w:p>
    <w:p>
      <w:pPr>
        <w:ind w:left="820" w:hanging="326"/>
        <w:spacing w:after="0" w:line="234"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That the warrants issued in our refinancing will not be exercised;</w:t>
      </w:r>
    </w:p>
    <w:p>
      <w:pPr>
        <w:ind w:left="820" w:hanging="326"/>
        <w:spacing w:after="0" w:line="234"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and duration of adverse conditions in certain aspects of the economy affecting our business;</w:t>
      </w:r>
    </w:p>
    <w:p>
      <w:pPr>
        <w:ind w:left="820" w:hanging="326"/>
        <w:spacing w:after="0" w:line="234"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 in advertising and subscription demand;</w:t>
      </w:r>
    </w:p>
    <w:p>
      <w:pPr>
        <w:ind w:left="820" w:hanging="326"/>
        <w:spacing w:after="0" w:line="234"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technology that impact our ability to deliver digital advertising;</w:t>
      </w:r>
    </w:p>
    <w:p>
      <w:pPr>
        <w:ind w:left="820" w:hanging="326"/>
        <w:spacing w:after="0" w:line="234"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changes in newsprint, other commodities and energy costs;</w:t>
      </w:r>
    </w:p>
    <w:p>
      <w:pPr>
        <w:ind w:left="820" w:hanging="326"/>
        <w:spacing w:after="0" w:line="234"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Interest rates;</w:t>
      </w:r>
    </w:p>
    <w:p>
      <w:pPr>
        <w:ind w:left="820" w:hanging="326"/>
        <w:spacing w:after="0" w:line="234"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Labor costs;</w:t>
      </w:r>
    </w:p>
    <w:p>
      <w:pPr>
        <w:ind w:left="820" w:hanging="326"/>
        <w:spacing w:after="0" w:line="234"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Legislative and regulatory rulings;</w:t>
      </w:r>
    </w:p>
    <w:p>
      <w:pPr>
        <w:ind w:left="820" w:hanging="326"/>
        <w:spacing w:after="0" w:line="234"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achieve planned expense reductions;</w:t>
      </w:r>
    </w:p>
    <w:p>
      <w:pPr>
        <w:ind w:left="820" w:hanging="326"/>
        <w:spacing w:after="0" w:line="234"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employee and customer relationships;</w:t>
      </w:r>
    </w:p>
    <w:p>
      <w:pPr>
        <w:ind w:left="820" w:hanging="326"/>
        <w:spacing w:after="0" w:line="234"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manage increased capital costs;</w:t>
      </w:r>
    </w:p>
    <w:p>
      <w:pPr>
        <w:ind w:left="820" w:hanging="326"/>
        <w:spacing w:after="0" w:line="234"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our listing status on the NYSE;</w:t>
      </w:r>
    </w:p>
    <w:p>
      <w:pPr>
        <w:ind w:left="820" w:hanging="326"/>
        <w:spacing w:after="0" w:line="234"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Competition; and</w:t>
      </w:r>
    </w:p>
    <w:p>
      <w:pPr>
        <w:ind w:left="820" w:hanging="326"/>
        <w:spacing w:after="0" w:line="246"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risks detailed from time to time in our publicly filed documents, including this Annual Report and particularly in "Risk Factors", Part I, Item 1A herein.</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Any statements that are not statements of historical fact (including statements containing the words “may”, “will”, “would”, “could”, “believes”, “expects”, “anticipates”, “intends”, “plans”, “projects”, “considers” and similar expressions) generally should be considered forward-looking statements. Readers are cautioned not to place undue reliance on such forward-looking statements, which are made as of the date of this Annual Report. We do not undertake to publicly update or revise our forward-looking statements, except as required by law.</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220" w:lineRule="exact"/>
        <w:rPr>
          <w:sz w:val="20"/>
          <w:szCs w:val="20"/>
          <w:color w:val="auto"/>
        </w:rPr>
      </w:pPr>
    </w:p>
    <w:p>
      <w:pPr>
        <w:ind w:left="140" w:right="140" w:hanging="161"/>
        <w:spacing w:after="0" w:line="246" w:lineRule="auto"/>
        <w:rPr>
          <w:sz w:val="20"/>
          <w:szCs w:val="20"/>
          <w:color w:val="auto"/>
        </w:rPr>
      </w:pPr>
      <w:r>
        <w:rPr>
          <w:rFonts w:ascii="Arial" w:cs="Arial" w:eastAsia="Arial" w:hAnsi="Arial"/>
          <w:sz w:val="18"/>
          <w:szCs w:val="18"/>
          <w:color w:val="auto"/>
        </w:rPr>
        <w:t>The following material risk factors pertain to matters to which there is a substantial likelihood that a potential investor would attach importance in determining whether to purchase the Company’s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advertising revenues may decline due to weakness in the brick and mortar retail sector.</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 significant portion of our revenue is derived from advertising. The demand for advertising is sensitive to the overall level of economic strength, both in the markets in which we operate and nationally. Additionally, the decline in the financial or economic conditions of our advertisers could alter discretionary spending by advertisers. Certain segments of the economy have been challenged in recent years, particularly in the brick and mortar retail sector, and total advertising revenues have declined as a result. Advertising revenues may worsen if advertisers reduce their budgets, shift their spending priorities, are forced to consolidate or cease operations.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2" w:name="page13"/>
    <w:bookmarkEnd w:id="12"/>
    <w:p>
      <w:pPr>
        <w:jc w:val="both"/>
        <w:spacing w:after="0" w:line="253" w:lineRule="auto"/>
        <w:rPr>
          <w:sz w:val="20"/>
          <w:szCs w:val="20"/>
          <w:color w:val="auto"/>
        </w:rPr>
      </w:pPr>
      <w:r>
        <w:rPr>
          <w:rFonts w:ascii="Arial" w:cs="Arial" w:eastAsia="Arial" w:hAnsi="Arial"/>
          <w:sz w:val="18"/>
          <w:szCs w:val="18"/>
          <w:b w:val="1"/>
          <w:bCs w:val="1"/>
          <w:i w:val="1"/>
          <w:iCs w:val="1"/>
          <w:color w:val="auto"/>
        </w:rPr>
        <w:t>Our operating revenue may be materially adversely affected if we do not successfully respond to the shift in newspaper readership and advertising expenditures away from traditional print media and towards digital media. Significant capital investments may be needed to respond to this shift.</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Currently, our primary source of revenue is from advertising and marketing services, which accounts for 52% of our revenue. Subscription revenue accounts for more than 36% of our revenue. The media publishing industry has experienced rapid evolution in consumer demands and expectations due to advances in technology, which have led to a proliferation of delivery methods for news and information. The number of consumers who access online services through devices other than personal computers, such as tablets and mobile devices, has increased dramatically in recent years and likely will continue to increase. The media publishing industry also continues to be affected by demographic shifts, with older generations preferring more traditional print newspaper delivery and younger generations developing the habit of consuming news through digital media. In addition, the revenues generated by media publishing companies have been affected significantly by the shift in advertising expenditures towards digital media.</w:t>
      </w:r>
    </w:p>
    <w:p>
      <w:pPr>
        <w:spacing w:after="0" w:line="19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future revenue performance of our digital business depends to a significant degree upon the growth development and management of our subscriber and advertising audiences. The growth of our digital business over the long term depends on various factors, including, among other things, the ability to:</w:t>
      </w:r>
    </w:p>
    <w:p>
      <w:pPr>
        <w:spacing w:after="0" w:line="189" w:lineRule="exact"/>
        <w:rPr>
          <w:sz w:val="20"/>
          <w:szCs w:val="20"/>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to increase digital audiences;</w:t>
      </w:r>
    </w:p>
    <w:p>
      <w:pPr>
        <w:spacing w:after="0" w:line="238"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Attract advertisers to our digital platforms;</w:t>
      </w:r>
    </w:p>
    <w:p>
      <w:pPr>
        <w:spacing w:after="0" w:line="238"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Tailor our products to efficiently and effectively deliver content and advertising on mobile devices;</w:t>
      </w:r>
    </w:p>
    <w:p>
      <w:pPr>
        <w:spacing w:after="0" w:line="238"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or increase the advertising rates on our digital platforms;</w:t>
      </w:r>
    </w:p>
    <w:p>
      <w:pPr>
        <w:spacing w:after="0" w:line="238" w:lineRule="exact"/>
        <w:rPr>
          <w:rFonts w:ascii="Arial" w:cs="Arial" w:eastAsia="Arial" w:hAnsi="Arial"/>
          <w:sz w:val="18"/>
          <w:szCs w:val="18"/>
          <w:color w:val="auto"/>
        </w:rPr>
      </w:pPr>
    </w:p>
    <w:p>
      <w:pPr>
        <w:ind w:left="820" w:right="20" w:hanging="326"/>
        <w:spacing w:after="0" w:line="246"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Exploit new and existing technologies to distinguish our products and services from those of competitors and develop new content, products and services;</w:t>
      </w:r>
    </w:p>
    <w:p>
      <w:pPr>
        <w:spacing w:after="0" w:line="183"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Invest funds and resources in digital opportunities;</w:t>
      </w:r>
    </w:p>
    <w:p>
      <w:pPr>
        <w:spacing w:after="0" w:line="238"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Partner with, or use services from, providers that can assist us in effectively growing our digital business; and</w:t>
      </w:r>
    </w:p>
    <w:p>
      <w:pPr>
        <w:spacing w:after="0" w:line="238"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Create digital content and platforms that attracts and engages audiences in our markets.</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we are unable to grow our digital audience, distinguish our products and services from those of our competitors or develop compelling new products and services that engage users across multiple platforms, then our business, financial condition, and results of operations may be adversely affected. Responding to the changes described above may require us to make significant capital investments and incur significant research and development costs related to building, maintaining, and evolving our technology infrastructure, and our ability to make the level of investments required may be limited.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See "Audiences” in Item 1, included herein, for additional information on about our print and digital audiences.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significant financial risk as a result of our $444 million in total consolidated debt.</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have $443.6 million of debt outstanding as of September 29, 2019, as discussed more fully below (and certain capitalized terms used below defined) in Item 7,"Liquidity" and Note 5 of the Notes to Consolidated Financial Statements, included herein.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29, 2019, our debt consists of the following:</w:t>
      </w:r>
    </w:p>
    <w:p>
      <w:pPr>
        <w:spacing w:after="0" w:line="198" w:lineRule="exact"/>
        <w:rPr>
          <w:sz w:val="20"/>
          <w:szCs w:val="20"/>
          <w:color w:val="auto"/>
        </w:rPr>
      </w:pPr>
    </w:p>
    <w:p>
      <w:pPr>
        <w:ind w:left="820" w:hanging="326"/>
        <w:spacing w:after="0" w:line="246"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$400,000,000 aggregate principal amount of 9.5% Senior Secured Notes (the "Notes") due March 2022, pursuant to an Indenture dated as of March 31, 2014 (the "Indenture"), of which $363,420,000 is outstanding;</w:t>
      </w:r>
    </w:p>
    <w:p>
      <w:pPr>
        <w:spacing w:after="0" w:line="183" w:lineRule="exact"/>
        <w:rPr>
          <w:rFonts w:ascii="Arial" w:cs="Arial" w:eastAsia="Arial" w:hAnsi="Arial"/>
          <w:sz w:val="18"/>
          <w:szCs w:val="18"/>
          <w:color w:val="auto"/>
        </w:rPr>
      </w:pPr>
    </w:p>
    <w:p>
      <w:pPr>
        <w:ind w:left="820" w:hanging="326"/>
        <w:spacing w:after="0" w:line="246"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$23,120,000 revolving credit facility (the "Revolving Facility") under a First Lien Credit Agreement dated as of March 31, 2014 (as amended November 1, 2019, the “1st Lien Credit Facility”), which is undrawn; and</w:t>
      </w:r>
    </w:p>
    <w:p>
      <w:pPr>
        <w:spacing w:after="0" w:line="183" w:lineRule="exact"/>
        <w:rPr>
          <w:rFonts w:ascii="Arial" w:cs="Arial" w:eastAsia="Arial" w:hAnsi="Arial"/>
          <w:sz w:val="18"/>
          <w:szCs w:val="18"/>
          <w:color w:val="auto"/>
        </w:rPr>
      </w:pPr>
    </w:p>
    <w:p>
      <w:pPr>
        <w:ind w:left="820" w:hanging="326"/>
        <w:spacing w:after="0" w:line="246"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$150,000,000 12.0% second lien term loan under a Second Lien Loan Agreement dated as of March 31, 2014 (the “2nd Lien Term Loan”) due December 2022, of which $80,207,000 is outstanding.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3" w:name="page14"/>
    <w:bookmarkEnd w:id="13"/>
    <w:p>
      <w:pPr>
        <w:jc w:val="both"/>
        <w:spacing w:after="0" w:line="239" w:lineRule="auto"/>
        <w:rPr>
          <w:sz w:val="20"/>
          <w:szCs w:val="20"/>
          <w:color w:val="auto"/>
        </w:rPr>
      </w:pPr>
      <w:r>
        <w:rPr>
          <w:rFonts w:ascii="Arial" w:cs="Arial" w:eastAsia="Arial" w:hAnsi="Arial"/>
          <w:sz w:val="18"/>
          <w:szCs w:val="18"/>
          <w:color w:val="auto"/>
        </w:rPr>
        <w:t>We have reduced debt by $41.2 million in 2019 and $173.5 million over the last three fiscal years. Despite the significant reduction, our debt, net of cash, is 3.6 times adjusted EBITDA of $121.5 million in 2019. This level of debt increases our vulnerability to general adverse economic and industry conditions. Higher leverage ratios, our economic performance, our credit ratings, adverse financial markets or other factors could adversely affect our future ability to refinance our maturing debt on commercially acceptable terms, or at all.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insufficient earnings or liquidity to meet our future debt obligations.</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At September 29, 2019, after consideration of letters of credit, we had approximately $17,644,000 available for future use under our Revolving Facility. Including cash, our liquidity at September 29, 2019 totaled $26,289,000. This liquidity amount excludes any future cash flows. Our Adjusted EBITDA has been strong and has exceeded $121 million in each year from 2011 through 2019, but there can be no assurance that such results will continue.</w:t>
      </w:r>
    </w:p>
    <w:p>
      <w:pPr>
        <w:spacing w:after="0" w:line="18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At September 29, 2019, the principal amount of our outstanding debt totaled $443,627,000. At September 29, 2019 and September 30, 2018 our debt, net of cash, was 3.6 times our Adjusted EBITDA in both years.</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1st Lien Term Loan, entered into on March 31, 2014, was paid in full in November 2018 ahead of the original due date of March 2019. Final maturities of our other debt range from March 2022 through December 2022. The Revolving Facility matures on December 28, 2020. We expect to amend and extend our Revolving Facility prior to its maturity.</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There are numerous potential consequences under the Notes, 1st Lien Credit Facility and 2nd Lien Term Loan if an event of default, as defined in the respective debt agreements, occurs and is not remedied. Many of those consequences are beyond our control. The occurrence of one or more events of default would give rise to the right of the applicable lenders to exercise their remedies under the Notes, 1st Lien Credit Facility and 2nd Lien Term Loan, respectively, including, without limitation, the right to accelerate the repayment of all outstanding debt and take actions authorized in such circumstances under applicable collateral security documents.</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ability to operate as a going concern is dependent on our ability to remain in compliance with debt covenants and to refinance or amend our debt agreements as they become due, if necessary. The Notes, 1st Lien Credit Facility and 2nd Lien Term Loan have only limited affirmative covenants with which we are required to maintain compliance. We are in compliance with our debt covenants as of September 29, 2019. The ability to make payments on our indebtedness or refinance our indebtedness prior to when it comes due may be affected by events beyond our control, including prevailing economic, financial, competitive, business, legislative, regulatory and industry conditions.</w:t>
      </w:r>
    </w:p>
    <w:p>
      <w:pPr>
        <w:spacing w:after="0" w:line="208"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b w:val="1"/>
          <w:bCs w:val="1"/>
          <w:i w:val="1"/>
          <w:iCs w:val="1"/>
          <w:color w:val="auto"/>
        </w:rPr>
        <w:t>The Notes, 1st Lien Credit Facility and 2nd Lien Term Loan each contain restrictive covenants that limit our ability to grow our business or return capital to our stockholders.</w:t>
      </w:r>
    </w:p>
    <w:p>
      <w:pPr>
        <w:spacing w:after="0" w:line="16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Notes, 1st Lien Credit Facility and 2nd Lien Term Loan each contain various restrictions, covenants and representations and warranties. If we fail to comply with any of these covenants or breach these representations or warranties in any material respect, such noncompliance would constitute a default, and the lenders could elect to declare all amounts outstanding under the agreements related thereto to be immediately due and payable and enforce their respective interests against collateral pledged under such agreements.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Subject to certain exceptions, these covenants limit and/or restrict our ability to, among other things:</w:t>
      </w:r>
    </w:p>
    <w:p>
      <w:pPr>
        <w:spacing w:after="0" w:line="198" w:lineRule="exact"/>
        <w:rPr>
          <w:sz w:val="20"/>
          <w:szCs w:val="20"/>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or guarantee additional debt;</w:t>
      </w:r>
    </w:p>
    <w:p>
      <w:pPr>
        <w:spacing w:after="0" w:line="238"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certain investments, loans or acquisitions;</w:t>
      </w:r>
    </w:p>
    <w:p>
      <w:pPr>
        <w:spacing w:after="0" w:line="238"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transfer or sell assets; and</w:t>
      </w:r>
    </w:p>
    <w:p>
      <w:pPr>
        <w:spacing w:after="0" w:line="238"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certain restricted payments, including repurchases of outstanding common stock and dividends.</w:t>
      </w:r>
    </w:p>
    <w:p>
      <w:pPr>
        <w:spacing w:after="0" w:line="239"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restrictions described above may interfere with our ability to obtain new or additional financing or engage in other business activities, which may significantly limit or harm our results of operations, financial condition and liquidity.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4" w:name="page15"/>
    <w:bookmarkEnd w:id="14"/>
    <w:p>
      <w:pPr>
        <w:jc w:val="both"/>
        <w:spacing w:after="0" w:line="271" w:lineRule="auto"/>
        <w:rPr>
          <w:sz w:val="20"/>
          <w:szCs w:val="20"/>
          <w:color w:val="auto"/>
        </w:rPr>
      </w:pPr>
      <w:r>
        <w:rPr>
          <w:rFonts w:ascii="Arial" w:cs="Arial" w:eastAsia="Arial" w:hAnsi="Arial"/>
          <w:sz w:val="18"/>
          <w:szCs w:val="18"/>
          <w:b w:val="1"/>
          <w:bCs w:val="1"/>
          <w:i w:val="1"/>
          <w:iCs w:val="1"/>
          <w:color w:val="auto"/>
        </w:rPr>
        <w:t>The Company may face risk associated with the discontinuation of and transition from London Interbank Offered Rate (LIBOR) as a benchmark interest rate.</w:t>
      </w:r>
    </w:p>
    <w:p>
      <w:pPr>
        <w:spacing w:after="0" w:line="16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It is anticipated that LIBOR will be discontinued as of the year ending 2021. The expected discontinuation of LIBOR will require lenders and their borrowers to transition from LIBOR to an alternative benchmark interest rate, which could have an impact on and risk to the Company if not completed in a timely manner. The Company has already begun to address this risk by amending its loan documents to include an alternative benchmark interest rate.</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compete with a large number of companies in the local media industry; if we are unable to compete effectively, our advertising and subscription revenues may decline.</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compete for audiences and advertising revenue with newspapers and other media such as the internet, magazines, broadcast, cable and satellite television, radio, direct mail, outdoor billboards and yellow pages. For example, as the use of the internet and mobile devices has increased, we have lost some classified advertising and subscribers to online advertising businesses and our free Internet sites that contain abbreviated versions of our publications. Some of our current and potential competitors have greater financial and other resources than we do. If we fail to compete effectively with competing newspapers and other media, our results of operations may be materially adversely affected.</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As digital revenues increase as a proportion of our total revenues, we will become increasingly subject to risks associated with digital media operations.</w:t>
      </w:r>
    </w:p>
    <w:p>
      <w:pPr>
        <w:spacing w:after="0" w:line="16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central component to our business strategy involves transitioning from traditional print businesses to digital media businesses and, accordingly, we expect our digital revenues to increase as a percentage of our total revenues in future periods. That transition comes with additional risk of operating mainly as a digital media company, including:</w:t>
      </w:r>
    </w:p>
    <w:p>
      <w:pPr>
        <w:spacing w:after="0" w:line="189" w:lineRule="exact"/>
        <w:rPr>
          <w:sz w:val="20"/>
          <w:szCs w:val="20"/>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Rates we achieve in the marketplace for the advertising inventory on our digital platforms may be adversely affected by:</w:t>
      </w:r>
    </w:p>
    <w:p>
      <w:pPr>
        <w:spacing w:after="0" w:line="238" w:lineRule="exact"/>
        <w:rPr>
          <w:rFonts w:ascii="Arial" w:cs="Arial" w:eastAsia="Arial" w:hAnsi="Arial"/>
          <w:sz w:val="18"/>
          <w:szCs w:val="18"/>
          <w:color w:val="auto"/>
        </w:rPr>
      </w:pPr>
    </w:p>
    <w:p>
      <w:pPr>
        <w:ind w:left="1300" w:right="20" w:hanging="320"/>
        <w:spacing w:after="0" w:line="246"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Customized news feeds and news aggregation websites, which are often free to users, may reduce our traffic levels by creating a disincentive for users to visit our websites or use our digital products;</w:t>
      </w:r>
    </w:p>
    <w:p>
      <w:pPr>
        <w:spacing w:after="0" w:line="183" w:lineRule="exact"/>
        <w:rPr>
          <w:rFonts w:ascii="Arial" w:cs="Arial" w:eastAsia="Arial" w:hAnsi="Arial"/>
          <w:sz w:val="18"/>
          <w:szCs w:val="18"/>
          <w:color w:val="auto"/>
        </w:rPr>
      </w:pPr>
    </w:p>
    <w:p>
      <w:pPr>
        <w:ind w:left="130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Our inability to increase our digital presence and visibility, which also may reduce our traffic levels;</w:t>
      </w:r>
    </w:p>
    <w:p>
      <w:pPr>
        <w:spacing w:after="0" w:line="238" w:lineRule="exact"/>
        <w:rPr>
          <w:rFonts w:ascii="Arial" w:cs="Arial" w:eastAsia="Arial" w:hAnsi="Arial"/>
          <w:sz w:val="18"/>
          <w:szCs w:val="18"/>
          <w:color w:val="auto"/>
        </w:rPr>
      </w:pPr>
    </w:p>
    <w:p>
      <w:pPr>
        <w:ind w:left="130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Our inability to maintain and improve the performance of our customers' advertising on our digital properties; and</w:t>
      </w:r>
    </w:p>
    <w:p>
      <w:pPr>
        <w:spacing w:after="0" w:line="238" w:lineRule="exact"/>
        <w:rPr>
          <w:rFonts w:ascii="Arial" w:cs="Arial" w:eastAsia="Arial" w:hAnsi="Arial"/>
          <w:sz w:val="18"/>
          <w:szCs w:val="18"/>
          <w:color w:val="auto"/>
        </w:rPr>
      </w:pPr>
    </w:p>
    <w:p>
      <w:pPr>
        <w:ind w:left="1300" w:right="20" w:hanging="320"/>
        <w:spacing w:after="0" w:line="246"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Technology developed to block the display of advertising on websites could proliferate, impairing our ability to generate digital revenues;</w:t>
      </w:r>
    </w:p>
    <w:p>
      <w:pPr>
        <w:spacing w:after="0" w:line="183"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Mobile devices, including smartphones and tablets, may present challenges for traditional display advertising;</w:t>
      </w:r>
    </w:p>
    <w:p>
      <w:pPr>
        <w:spacing w:after="0" w:line="238" w:lineRule="exact"/>
        <w:rPr>
          <w:rFonts w:ascii="Arial" w:cs="Arial" w:eastAsia="Arial" w:hAnsi="Arial"/>
          <w:sz w:val="18"/>
          <w:szCs w:val="18"/>
          <w:color w:val="auto"/>
        </w:rPr>
      </w:pPr>
    </w:p>
    <w:p>
      <w:pPr>
        <w:jc w:val="both"/>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use of subscription models (which may require users to pay for content after accessing a limited number of pages or news articles for free on our websites each month) may cause consumers to opt out of subscription offers in greater numbers than anticipated or result in fewer page views or unique visitors to our websites than projected;</w:t>
      </w:r>
    </w:p>
    <w:p>
      <w:pPr>
        <w:spacing w:after="0" w:line="189"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delivery platforms may lead to pricing restrictions, loss of distribution control, or loss of direct relationships with consumers;</w:t>
      </w:r>
    </w:p>
    <w:p>
      <w:pPr>
        <w:spacing w:after="0" w:line="238" w:lineRule="exact"/>
        <w:rPr>
          <w:rFonts w:ascii="Arial" w:cs="Arial" w:eastAsia="Arial" w:hAnsi="Arial"/>
          <w:sz w:val="18"/>
          <w:szCs w:val="18"/>
          <w:color w:val="auto"/>
        </w:rPr>
      </w:pPr>
    </w:p>
    <w:p>
      <w:pPr>
        <w:ind w:left="820" w:hanging="326"/>
        <w:spacing w:after="0" w:line="246"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Technical or other problems could prevent us from delivering our products in a rapid and reliable manner or otherwise affect the user experience, and users could develop negative views about the quality or usefulness of our products; and</w:t>
      </w:r>
    </w:p>
    <w:p>
      <w:pPr>
        <w:spacing w:after="0" w:line="183" w:lineRule="exact"/>
        <w:rPr>
          <w:rFonts w:ascii="Arial" w:cs="Arial" w:eastAsia="Arial" w:hAnsi="Arial"/>
          <w:sz w:val="18"/>
          <w:szCs w:val="18"/>
          <w:color w:val="auto"/>
        </w:rPr>
      </w:pPr>
    </w:p>
    <w:p>
      <w:pPr>
        <w:ind w:left="820" w:right="20" w:hanging="326"/>
        <w:spacing w:after="0" w:line="246"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respond successfully to these or similar challenges could materially adversely impact our ability to maintain and grow our digital revenues.</w:t>
      </w:r>
    </w:p>
    <w:p>
      <w:pPr>
        <w:spacing w:after="0" w:line="161"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Our business, reputation and results of operations could be negatively affected if we become subject to significant data security breaches or if our information technology systems fail to perform adequately.</w:t>
      </w:r>
    </w:p>
    <w:p>
      <w:pPr>
        <w:spacing w:after="0" w:line="16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In the 13-weeks ended September 29, 2019, 29.3% of our revenue was obtained from digital sources, including advertising and one of our businesses, TownNews, that provides digital infrastructure and digital publishing services for us and other companies.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5" w:name="page16"/>
    <w:bookmarkEnd w:id="15"/>
    <w:p>
      <w:pPr>
        <w:jc w:val="both"/>
        <w:spacing w:after="0" w:line="238" w:lineRule="auto"/>
        <w:rPr>
          <w:sz w:val="20"/>
          <w:szCs w:val="20"/>
          <w:color w:val="auto"/>
        </w:rPr>
      </w:pPr>
      <w:r>
        <w:rPr>
          <w:rFonts w:ascii="Arial" w:cs="Arial" w:eastAsia="Arial" w:hAnsi="Arial"/>
          <w:sz w:val="18"/>
          <w:szCs w:val="18"/>
          <w:color w:val="auto"/>
        </w:rPr>
        <w:t>We use technology in substantially all aspects of our business operations. Such uses give rise to cybersecurity risks, including the misappropriation of personally identifiable information that we store and manage and disabling or taking over our websites, which contain our breaking news stories. The techniques used to obtain unauthorized access and to disable systems and websites change frequently and may be difficult to detect for long periods of time. There can be no assurance that we, or the security systems we implement, will protect against all of these rapidly changing risks.</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addition, attempts to compromise information technology systems occur regularly across many industries and sectors, and the techniques used to perpetrate such compromises are constantly changing. Maintaining the security of our systems is critically important both due to our reliance on those systems and because they store and process confidential subscriber, employee, and other sensitive personal data. Although we and our third-party service providers have implemented security measures and other controls designed to prevent breaches, these precautions might fail to defend against future cyber-attacks or prevent breaches or other disruptions to our systems or those of our third-party providers. Because cyber-attacks evolve quickly and often are not recognized until after they are launched, we may be unable to anticipate them or implement adequate measures to prevent a breach. A significant breach could result in, among other things:</w:t>
      </w:r>
    </w:p>
    <w:p>
      <w:pPr>
        <w:spacing w:after="0" w:line="226" w:lineRule="exact"/>
        <w:rPr>
          <w:sz w:val="20"/>
          <w:szCs w:val="20"/>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Taking down our websites, as media companies have been a target of their websites being disabled;</w:t>
      </w:r>
    </w:p>
    <w:p>
      <w:pPr>
        <w:ind w:left="820" w:hanging="326"/>
        <w:spacing w:after="0" w:line="234"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Improper disclosures of personal data or confidential information;</w:t>
      </w:r>
    </w:p>
    <w:p>
      <w:pPr>
        <w:ind w:left="820" w:hanging="326"/>
        <w:spacing w:after="0" w:line="234"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Expenditures of significant resources to remedy the breach and defend against further attacks;</w:t>
      </w:r>
    </w:p>
    <w:p>
      <w:pPr>
        <w:ind w:left="820" w:hanging="326"/>
        <w:spacing w:after="0" w:line="234"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management's attention and resources;</w:t>
      </w:r>
    </w:p>
    <w:p>
      <w:pPr>
        <w:ind w:left="820" w:hanging="326"/>
        <w:spacing w:after="0" w:line="234"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Liability under laws that protect personal data; and</w:t>
      </w: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customer trust and, as a result, revenues.</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Consequences of these actions could result in harm to our reputation, loss of revenue, increased operating costs, lead to legal exposure to customers and employees as well as subject us to liability under laws and regulations that protect our customers and employees personal data. We maintain insurance coverage against certain of such risks, but cannot guarantee that such coverage will be applicable or sufficient with respect to any given incident.</w:t>
      </w:r>
    </w:p>
    <w:p>
      <w:pPr>
        <w:spacing w:after="0" w:line="20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rely on revenue from printing and distribution of third-party publications and digital services that may be subject to many of the same business and industry risks facing us.</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generate a portion of our revenue from printing and distributing third-party publications, and our relationships with these third parties are generally through short-term contracts. Typically, these third parties are operating in the same industry and a similar geographical location as us. In addition, digital services revenue is derived primarily from third-party businesses in the same industry as us. As a result, revenue from these third parties is subject to the same macroeconomic and industry trends affecting our operations. If their businesses are adversely affected by these trends, our associated revenue would be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reduce future expenses to offset potential revenue declines.</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a result of adverse general business conditions in our industry and our operating results, we have reduced cash costs of our operations significantly since 2011 by reducing workforce, centralizing or regionalizing operations and implementing cost-control measures. If we do not achieve expected savings from these initiatives, or if our operating costs increase, our total operating costs may be greater than anticipated and our profitability may be lower than anticipated.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additional non-cash impairment charges.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significant amounts of goodwill and identified intangible assets. Since 2007 we have recorded impairment charges totaling almost $1.3 billion to reflect the reduced value of these assets. Should general economic, market or business conditions decline, and cause a negative impact on our stock price or projected future cash flows, we may need to record additional impairment charges in the future. Such charges would not impact our cash flows or debt covenant compliance. See “Critical Accounting Policies” in Item 7, included herein, for additional information on the risks associated with such assets.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6" w:name="page17"/>
    <w:bookmarkEnd w:id="16"/>
    <w:p>
      <w:pPr>
        <w:ind w:left="20"/>
        <w:spacing w:after="0"/>
        <w:rPr>
          <w:sz w:val="20"/>
          <w:szCs w:val="20"/>
          <w:color w:val="auto"/>
        </w:rPr>
      </w:pPr>
      <w:r>
        <w:rPr>
          <w:rFonts w:ascii="Arial" w:cs="Arial" w:eastAsia="Arial" w:hAnsi="Arial"/>
          <w:sz w:val="18"/>
          <w:szCs w:val="18"/>
          <w:b w:val="1"/>
          <w:bCs w:val="1"/>
          <w:i w:val="1"/>
          <w:iCs w:val="1"/>
          <w:color w:val="auto"/>
        </w:rPr>
        <w:t>A decrease in our stock price may limit the ability to trade our stock or for the Company to raise equity capital.</w:t>
      </w:r>
    </w:p>
    <w:p>
      <w:pPr>
        <w:spacing w:after="0" w:line="220" w:lineRule="exact"/>
        <w:rPr>
          <w:sz w:val="20"/>
          <w:szCs w:val="20"/>
          <w:color w:val="auto"/>
        </w:rPr>
      </w:pPr>
    </w:p>
    <w:p>
      <w:pPr>
        <w:jc w:val="both"/>
        <w:ind w:left="20"/>
        <w:spacing w:after="0" w:line="236" w:lineRule="auto"/>
        <w:rPr>
          <w:sz w:val="20"/>
          <w:szCs w:val="20"/>
          <w:color w:val="auto"/>
        </w:rPr>
      </w:pPr>
      <w:r>
        <w:rPr>
          <w:rFonts w:ascii="Arial" w:cs="Arial" w:eastAsia="Arial" w:hAnsi="Arial"/>
          <w:sz w:val="18"/>
          <w:szCs w:val="18"/>
          <w:color w:val="auto"/>
        </w:rPr>
        <w:t>Under the NYSE listing standards, if our common stock fails to maintain an adequate per share price and our total market capitalization falls below $50.0 million, our common stock could be removed from the NYSE and traded in the over-the-counter market. In July 2011, the NYSE notified us that our common stock did not meet the NYSE continued listing standards due to the failure to maintain an adequate share price. Under the NYSE rules, our common stock was allowed to continue to be listed during a cure period. In February 2012, after completing our debt refinancing, the NYSE notified us that we were again in compliance with the minimum closing price standard. In January 2013, the NYSE notified us that we had returned to full compliance with all continued listing standards. However, there can be no assurance that we will continue to be able to meet these listing standards, and the removal of our common stock from the NYSE could adversely affect our ability to raise equity capital.</w:t>
      </w:r>
    </w:p>
    <w:p>
      <w:pPr>
        <w:spacing w:after="0" w:line="173"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b w:val="1"/>
          <w:bCs w:val="1"/>
          <w:i w:val="1"/>
          <w:iCs w:val="1"/>
          <w:color w:val="auto"/>
        </w:rPr>
        <w:t>Sustained increases in funding requirements of our pension and postretirement obligations may reduce the cash available for our business.</w:t>
      </w:r>
    </w:p>
    <w:p>
      <w:pPr>
        <w:spacing w:after="0" w:line="162"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Pension liabilities, net of plan assets, totaled $47 million at September 29, 2019, an increase of $20.3 million from September 30, 2018 primarily due to unfavorable changes to discount rates used to determine our pension obligations and an increase in pension contributions.</w:t>
      </w:r>
    </w:p>
    <w:p>
      <w:pPr>
        <w:spacing w:after="0" w:line="396" w:lineRule="exact"/>
        <w:rPr>
          <w:sz w:val="20"/>
          <w:szCs w:val="20"/>
          <w:color w:val="auto"/>
        </w:rPr>
      </w:pPr>
    </w:p>
    <w:p>
      <w:pPr>
        <w:jc w:val="both"/>
        <w:ind w:left="20"/>
        <w:spacing w:after="0" w:line="238" w:lineRule="auto"/>
        <w:rPr>
          <w:sz w:val="20"/>
          <w:szCs w:val="20"/>
          <w:color w:val="auto"/>
        </w:rPr>
      </w:pPr>
      <w:r>
        <w:rPr>
          <w:rFonts w:ascii="Arial" w:cs="Arial" w:eastAsia="Arial" w:hAnsi="Arial"/>
          <w:sz w:val="18"/>
          <w:szCs w:val="18"/>
          <w:color w:val="auto"/>
        </w:rPr>
        <w:t>Our pension and postretirement plans invest in a variety of equity and debt securities. Future volatility and disruption in the securities markets could cause declines in the asset values of our pension and postretirement plans. In addition, a decrease in the discount rates or changes to mortality estimates and other assumptions used to determine the liability could increase the benefit obligation of the plans. Unfavorable changes to the plan assets and/or the benefit obligations could increase the level of required contributions above what is currently estimated, which could reduce the cash available for our business and debt service.</w:t>
      </w:r>
    </w:p>
    <w:p>
      <w:pPr>
        <w:spacing w:after="0" w:line="189" w:lineRule="exact"/>
        <w:rPr>
          <w:sz w:val="20"/>
          <w:szCs w:val="20"/>
          <w:color w:val="auto"/>
        </w:rPr>
      </w:pPr>
    </w:p>
    <w:p>
      <w:pPr>
        <w:jc w:val="both"/>
        <w:ind w:left="20"/>
        <w:spacing w:after="0" w:line="246" w:lineRule="auto"/>
        <w:rPr>
          <w:sz w:val="20"/>
          <w:szCs w:val="20"/>
          <w:color w:val="auto"/>
        </w:rPr>
      </w:pPr>
      <w:r>
        <w:rPr>
          <w:rFonts w:ascii="Arial" w:cs="Arial" w:eastAsia="Arial" w:hAnsi="Arial"/>
          <w:sz w:val="18"/>
          <w:szCs w:val="18"/>
          <w:color w:val="auto"/>
        </w:rPr>
        <w:t>Over the last several years, federal legislation has provided for pension funding relief, temporarily reducing our pension contributions. Even with funding relief, we expect to have to make additional contributions to our plans in the future.</w:t>
      </w:r>
    </w:p>
    <w:p>
      <w:pPr>
        <w:spacing w:after="0" w:line="161"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b w:val="1"/>
          <w:bCs w:val="1"/>
          <w:i w:val="1"/>
          <w:iCs w:val="1"/>
          <w:color w:val="auto"/>
        </w:rPr>
        <w:t>We expect to be subject to withdrawal liability in connection with one multiemployer pension plan and may be subject to additional withdrawal liabilities in connection with other multiemployer pension plans, which may reduce the cash available for our business.</w:t>
      </w:r>
    </w:p>
    <w:p>
      <w:pPr>
        <w:spacing w:after="0" w:line="162" w:lineRule="exact"/>
        <w:rPr>
          <w:sz w:val="20"/>
          <w:szCs w:val="20"/>
          <w:color w:val="auto"/>
        </w:rPr>
      </w:pPr>
    </w:p>
    <w:p>
      <w:pPr>
        <w:jc w:val="both"/>
        <w:ind w:right="140"/>
        <w:spacing w:after="0" w:line="239" w:lineRule="auto"/>
        <w:rPr>
          <w:sz w:val="20"/>
          <w:szCs w:val="20"/>
          <w:color w:val="auto"/>
        </w:rPr>
      </w:pPr>
      <w:r>
        <w:rPr>
          <w:rFonts w:ascii="Arial" w:cs="Arial" w:eastAsia="Arial" w:hAnsi="Arial"/>
          <w:sz w:val="18"/>
          <w:szCs w:val="18"/>
          <w:color w:val="auto"/>
        </w:rPr>
        <w:t>We contributed to three multiemployer defined benefit pension plans during the year under the terms of collective-bargaining agreements ("CBAs"). Based on the most recent communications from the plans’ administrators, two of these plans are currently in “critical” status, as that term is used in relation to such plans under the Pension Protection Act of 2006. For plans that are in critical status, benefit reductions may apply and/or we could be required to make additional contributions.</w:t>
      </w:r>
    </w:p>
    <w:p>
      <w:pPr>
        <w:spacing w:after="0" w:line="188" w:lineRule="exact"/>
        <w:rPr>
          <w:sz w:val="20"/>
          <w:szCs w:val="20"/>
          <w:color w:val="auto"/>
        </w:rPr>
      </w:pPr>
    </w:p>
    <w:p>
      <w:pPr>
        <w:jc w:val="both"/>
        <w:ind w:right="140"/>
        <w:spacing w:after="0" w:line="239" w:lineRule="auto"/>
        <w:rPr>
          <w:sz w:val="20"/>
          <w:szCs w:val="20"/>
          <w:color w:val="auto"/>
        </w:rPr>
      </w:pPr>
      <w:r>
        <w:rPr>
          <w:rFonts w:ascii="Arial" w:cs="Arial" w:eastAsia="Arial" w:hAnsi="Arial"/>
          <w:sz w:val="18"/>
          <w:szCs w:val="18"/>
          <w:color w:val="auto"/>
        </w:rPr>
        <w:t>In 2019, we effectuated a total withdrawal from our CWA/ITU multiemployer pension plan and as a result we are subject to a claim from the multiemployer pension plan for a withdrawal liability. The amount of such liability will be dependent on actions taken, or not taken, by the pension plan, as well as the future investment performance and funding status of the pension plan. The withdrawal liability is expected to be funded over a 20 year period.</w:t>
      </w:r>
    </w:p>
    <w:p>
      <w:pPr>
        <w:spacing w:after="0" w:line="188" w:lineRule="exact"/>
        <w:rPr>
          <w:sz w:val="20"/>
          <w:szCs w:val="20"/>
          <w:color w:val="auto"/>
        </w:rPr>
      </w:pPr>
    </w:p>
    <w:p>
      <w:pPr>
        <w:jc w:val="both"/>
        <w:ind w:right="140"/>
        <w:spacing w:after="0" w:line="246" w:lineRule="auto"/>
        <w:rPr>
          <w:sz w:val="20"/>
          <w:szCs w:val="20"/>
          <w:color w:val="auto"/>
        </w:rPr>
      </w:pPr>
      <w:r>
        <w:rPr>
          <w:rFonts w:ascii="Arial" w:cs="Arial" w:eastAsia="Arial" w:hAnsi="Arial"/>
          <w:sz w:val="18"/>
          <w:szCs w:val="18"/>
          <w:color w:val="auto"/>
        </w:rPr>
        <w:t>In 2019, we received the final assessment for the partial withdrawal liability associated with our GCIU plan. The withdrawal liability is expected to be funded over a 20 year period.</w:t>
      </w:r>
    </w:p>
    <w:p>
      <w:pPr>
        <w:spacing w:after="0" w:line="161" w:lineRule="exact"/>
        <w:rPr>
          <w:sz w:val="20"/>
          <w:szCs w:val="20"/>
          <w:color w:val="auto"/>
        </w:rPr>
      </w:pPr>
    </w:p>
    <w:p>
      <w:pPr>
        <w:jc w:val="both"/>
        <w:ind w:right="140"/>
        <w:spacing w:after="0" w:line="271" w:lineRule="auto"/>
        <w:rPr>
          <w:sz w:val="20"/>
          <w:szCs w:val="20"/>
          <w:color w:val="auto"/>
        </w:rPr>
      </w:pPr>
      <w:r>
        <w:rPr>
          <w:rFonts w:ascii="Arial" w:cs="Arial" w:eastAsia="Arial" w:hAnsi="Arial"/>
          <w:sz w:val="18"/>
          <w:szCs w:val="18"/>
          <w:b w:val="1"/>
          <w:bCs w:val="1"/>
          <w:i w:val="1"/>
          <w:iCs w:val="1"/>
          <w:color w:val="auto"/>
        </w:rPr>
        <w:t>A portion of our employees are members of unions, and if we experience labor unrest, our ability to produce and deliver newspapers could be impaired.</w:t>
      </w:r>
    </w:p>
    <w:p>
      <w:pPr>
        <w:spacing w:after="0" w:line="162"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Our ability to produce and deliver newspapers could be impaired in some markets, if we experience labor unrest. In addition, the results of future labor negotiations could harm our operating results as a result of higher overall compensation costs. While we have not had a history of labor strikes, we cannot ensure that a strike will not occur in one or more of our markets in the future. As of September 30, 2019, approximately 11.0% of full-time and part-time employees were represented by unions. Most of our union-represented employees are currently working under labor agreements, with expiration dates through September 2021.</w:t>
      </w:r>
    </w:p>
    <w:p>
      <w:pPr>
        <w:spacing w:after="0" w:line="167" w:lineRule="exact"/>
        <w:rPr>
          <w:sz w:val="20"/>
          <w:szCs w:val="20"/>
          <w:color w:val="auto"/>
        </w:rPr>
      </w:pPr>
    </w:p>
    <w:p>
      <w:pPr>
        <w:jc w:val="both"/>
        <w:ind w:right="140"/>
        <w:spacing w:after="0" w:line="271" w:lineRule="auto"/>
        <w:rPr>
          <w:sz w:val="20"/>
          <w:szCs w:val="20"/>
          <w:color w:val="auto"/>
        </w:rPr>
      </w:pPr>
      <w:r>
        <w:rPr>
          <w:rFonts w:ascii="Arial" w:cs="Arial" w:eastAsia="Arial" w:hAnsi="Arial"/>
          <w:sz w:val="18"/>
          <w:szCs w:val="18"/>
          <w:b w:val="1"/>
          <w:bCs w:val="1"/>
          <w:i w:val="1"/>
          <w:iCs w:val="1"/>
          <w:color w:val="auto"/>
        </w:rPr>
        <w:t>We are dependent upon newsprint for our products and we may experience additional price increases which could affect our earnings.</w:t>
      </w:r>
    </w:p>
    <w:p>
      <w:pPr>
        <w:spacing w:after="0" w:line="162" w:lineRule="exact"/>
        <w:rPr>
          <w:sz w:val="20"/>
          <w:szCs w:val="20"/>
          <w:color w:val="auto"/>
        </w:rPr>
      </w:pPr>
    </w:p>
    <w:p>
      <w:pPr>
        <w:jc w:val="both"/>
        <w:ind w:right="140"/>
        <w:spacing w:after="0" w:line="237" w:lineRule="auto"/>
        <w:rPr>
          <w:sz w:val="20"/>
          <w:szCs w:val="20"/>
          <w:color w:val="auto"/>
        </w:rPr>
      </w:pPr>
      <w:r>
        <w:rPr>
          <w:rFonts w:ascii="Arial" w:cs="Arial" w:eastAsia="Arial" w:hAnsi="Arial"/>
          <w:sz w:val="18"/>
          <w:szCs w:val="18"/>
          <w:color w:val="auto"/>
        </w:rPr>
        <w:t>The raw material of newspapers, and our other print publications, is newsprint. We purchase newsprint from U.S. and Canadian producers. We believe we will continue to receive a supply of newsprint adequate for our needs and consider our relationships with newsprint producers to be good. Newsprint purchase prices can be volatile and fluctuate based upon factors that include foreign currency exchange rates, tariffs and both foreign and domestic production capacity and consumption. Price fluctuations can affect our results of operations. We have not entered into derivative contracts for newsprint. For the quantitative impacts of these fluctuations, see Item 7A, “Quantitative and Qualitative Disclosures about Market Risk”, included herein.</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66040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576"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ITEM 1B. UNRESOLVED STAFF COMMENTS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 PROPERTIES</w:t>
      </w:r>
    </w:p>
    <w:p>
      <w:pPr>
        <w:spacing w:after="0" w:line="220"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Our executive offices are located in leased facilities at 4600 E. 53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Street, Davenport, Iowa. The initial lease term expires August 1, 2029.</w:t>
      </w:r>
    </w:p>
    <w:p>
      <w:pPr>
        <w:spacing w:after="0" w:line="124" w:lineRule="exact"/>
        <w:rPr>
          <w:sz w:val="20"/>
          <w:szCs w:val="20"/>
          <w:color w:val="auto"/>
        </w:rPr>
      </w:pPr>
    </w:p>
    <w:p>
      <w:pPr>
        <w:jc w:val="both"/>
        <w:spacing w:after="0"/>
        <w:rPr>
          <w:sz w:val="20"/>
          <w:szCs w:val="20"/>
          <w:color w:val="auto"/>
        </w:rPr>
      </w:pPr>
      <w:r>
        <w:rPr>
          <w:rFonts w:ascii="Arial" w:cs="Arial" w:eastAsia="Arial" w:hAnsi="Arial"/>
          <w:sz w:val="18"/>
          <w:szCs w:val="18"/>
          <w:color w:val="auto"/>
        </w:rPr>
        <w:t>All of our principal printing facilities are owned, except for leased land for the Helena, Montana plant. Additionally, property is leased for Madison, Wisconsin (which is owned by MNI) and Tucson, Arizona (which is jointly owned by Star Publishing and Citizen). All facilities are well maintained, in good condition, suitable for existing office and publishing operations, as applicable, and adequately equipped.</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More than 67% of our daily newspapers, as well as many of our nearly 180 other publications, are printed at either another one of our print locations or outsourced to a third party, to enhance operating efficiency. We are continuing to evaluate additional insourcing and outsourcing opportunities in order to more effectively manage our operating and capital costs and monetize real estate.</w:t>
      </w:r>
    </w:p>
    <w:p>
      <w:pPr>
        <w:spacing w:after="0" w:line="18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Our newspapers and other publications have formal or informal backup arrangements for printing in the event of a disruption in production capability.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LEGAL PROCEEDINGS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not have a material adverse effect on our Consolidated Financial Statements, taken as a whole.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MINE SAFETY DISCLOSURES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5. MARKET FOR THE REGISTRANT'S COMMON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RELATED STOCKHOLDER MATTERS AND ISSUER PURCHASES OF EQUITY SECURITIES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Common Stock is listed on the NYSE. In March 2011, in accordance with sunset provisions established in 1986, we effected conversion of all outstanding shares of Class B Common Stock to Common Stock. The table below includes the high and low prices of Common Stock for each calendar quarter during the past three years and the closing price at the end of each quarter.</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500" w:type="dxa"/>
            <w:vAlign w:val="bottom"/>
            <w:tcBorders>
              <w:top w:val="single" w:sz="8" w:color="auto"/>
            </w:tcBorders>
          </w:tcPr>
          <w:p>
            <w:pPr>
              <w:spacing w:after="0"/>
              <w:rPr>
                <w:sz w:val="18"/>
                <w:szCs w:val="18"/>
                <w:color w:val="auto"/>
              </w:rPr>
            </w:pPr>
          </w:p>
        </w:tc>
        <w:tc>
          <w:tcPr>
            <w:tcW w:w="4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Quarter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Borders>
              <w:bottom w:val="single" w:sz="8" w:color="auto"/>
            </w:tcBorders>
          </w:tcPr>
          <w:p>
            <w:pPr>
              <w:spacing w:after="0"/>
              <w:rPr>
                <w:sz w:val="17"/>
                <w:szCs w:val="17"/>
                <w:color w:val="auto"/>
              </w:rPr>
            </w:pPr>
          </w:p>
        </w:tc>
        <w:tc>
          <w:tcPr>
            <w:tcW w:w="4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Ended</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w:t>
            </w:r>
          </w:p>
        </w:tc>
        <w:tc>
          <w:tcPr>
            <w:tcW w:w="416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December</w:t>
            </w:r>
          </w:p>
        </w:tc>
        <w:tc>
          <w:tcPr>
            <w:tcW w:w="142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March</w:t>
            </w:r>
          </w:p>
        </w:tc>
        <w:tc>
          <w:tcPr>
            <w:tcW w:w="110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June</w:t>
            </w:r>
          </w:p>
        </w:tc>
        <w:tc>
          <w:tcPr>
            <w:tcW w:w="1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September</w:t>
            </w:r>
          </w:p>
        </w:tc>
        <w:tc>
          <w:tcPr>
            <w:tcW w:w="0" w:type="dxa"/>
            <w:vAlign w:val="bottom"/>
          </w:tcPr>
          <w:p>
            <w:pPr>
              <w:spacing w:after="0"/>
              <w:rPr>
                <w:sz w:val="1"/>
                <w:szCs w:val="1"/>
                <w:color w:val="auto"/>
              </w:rPr>
            </w:pPr>
          </w:p>
        </w:tc>
      </w:tr>
      <w:tr>
        <w:trPr>
          <w:trHeight w:val="399"/>
        </w:trPr>
        <w:tc>
          <w:tcPr>
            <w:tcW w:w="3520" w:type="dxa"/>
            <w:vAlign w:val="bottom"/>
            <w:gridSpan w:val="2"/>
          </w:tcPr>
          <w:p>
            <w:pPr>
              <w:spacing w:after="0"/>
              <w:rPr>
                <w:sz w:val="20"/>
                <w:szCs w:val="20"/>
                <w:color w:val="auto"/>
              </w:rPr>
            </w:pPr>
            <w:r>
              <w:rPr>
                <w:rFonts w:ascii="Arial" w:cs="Arial" w:eastAsia="Arial" w:hAnsi="Arial"/>
                <w:sz w:val="18"/>
                <w:szCs w:val="18"/>
                <w:color w:val="auto"/>
              </w:rPr>
              <w:t>2019</w:t>
            </w:r>
          </w:p>
        </w:tc>
        <w:tc>
          <w:tcPr>
            <w:tcW w:w="4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High</w:t>
            </w:r>
          </w:p>
        </w:tc>
        <w:tc>
          <w:tcPr>
            <w:tcW w:w="4160" w:type="dxa"/>
            <w:vAlign w:val="bottom"/>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3.05</w:t>
            </w:r>
          </w:p>
        </w:tc>
        <w:tc>
          <w:tcPr>
            <w:tcW w:w="142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3.68</w:t>
            </w:r>
          </w:p>
        </w:tc>
        <w:tc>
          <w:tcPr>
            <w:tcW w:w="110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3.49</w:t>
            </w:r>
          </w:p>
        </w:tc>
        <w:tc>
          <w:tcPr>
            <w:tcW w:w="1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Pr>
          <w:p>
            <w:pPr>
              <w:spacing w:after="0" w:line="202" w:lineRule="exact"/>
              <w:rPr>
                <w:sz w:val="20"/>
                <w:szCs w:val="20"/>
                <w:color w:val="auto"/>
              </w:rPr>
            </w:pPr>
            <w:r>
              <w:rPr>
                <w:rFonts w:ascii="Arial" w:cs="Arial" w:eastAsia="Arial" w:hAnsi="Arial"/>
                <w:sz w:val="18"/>
                <w:szCs w:val="18"/>
                <w:color w:val="auto"/>
              </w:rPr>
              <w:t>Low</w:t>
            </w:r>
          </w:p>
        </w:tc>
        <w:tc>
          <w:tcPr>
            <w:tcW w:w="416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1.84</w:t>
            </w:r>
          </w:p>
        </w:tc>
        <w:tc>
          <w:tcPr>
            <w:tcW w:w="142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2.02</w:t>
            </w:r>
          </w:p>
        </w:tc>
        <w:tc>
          <w:tcPr>
            <w:tcW w:w="11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2.12</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Closing</w:t>
            </w:r>
          </w:p>
        </w:tc>
        <w:tc>
          <w:tcPr>
            <w:tcW w:w="4160" w:type="dxa"/>
            <w:vAlign w:val="bottom"/>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2.13</w:t>
            </w:r>
          </w:p>
        </w:tc>
        <w:tc>
          <w:tcPr>
            <w:tcW w:w="142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3.30</w:t>
            </w:r>
          </w:p>
        </w:tc>
        <w:tc>
          <w:tcPr>
            <w:tcW w:w="110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2.24</w:t>
            </w:r>
          </w:p>
        </w:tc>
        <w:tc>
          <w:tcPr>
            <w:tcW w:w="1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50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2018</w:t>
            </w:r>
          </w:p>
        </w:tc>
        <w:tc>
          <w:tcPr>
            <w:tcW w:w="4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Pr>
          <w:p>
            <w:pPr>
              <w:spacing w:after="0" w:line="202" w:lineRule="exact"/>
              <w:rPr>
                <w:sz w:val="20"/>
                <w:szCs w:val="20"/>
                <w:color w:val="auto"/>
              </w:rPr>
            </w:pPr>
            <w:r>
              <w:rPr>
                <w:rFonts w:ascii="Arial" w:cs="Arial" w:eastAsia="Arial" w:hAnsi="Arial"/>
                <w:sz w:val="18"/>
                <w:szCs w:val="18"/>
                <w:color w:val="auto"/>
              </w:rPr>
              <w:t>High</w:t>
            </w:r>
          </w:p>
        </w:tc>
        <w:tc>
          <w:tcPr>
            <w:tcW w:w="416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2.50</w:t>
            </w:r>
          </w:p>
        </w:tc>
        <w:tc>
          <w:tcPr>
            <w:tcW w:w="142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2.70</w:t>
            </w:r>
          </w:p>
        </w:tc>
        <w:tc>
          <w:tcPr>
            <w:tcW w:w="11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3.30</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Low</w:t>
            </w:r>
          </w:p>
        </w:tc>
        <w:tc>
          <w:tcPr>
            <w:tcW w:w="4160" w:type="dxa"/>
            <w:vAlign w:val="bottom"/>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2.15</w:t>
            </w:r>
          </w:p>
        </w:tc>
        <w:tc>
          <w:tcPr>
            <w:tcW w:w="142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1.95</w:t>
            </w:r>
          </w:p>
        </w:tc>
        <w:tc>
          <w:tcPr>
            <w:tcW w:w="110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2.00</w:t>
            </w:r>
          </w:p>
        </w:tc>
        <w:tc>
          <w:tcPr>
            <w:tcW w:w="1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Pr>
          <w:p>
            <w:pPr>
              <w:spacing w:after="0" w:line="202" w:lineRule="exact"/>
              <w:rPr>
                <w:sz w:val="20"/>
                <w:szCs w:val="20"/>
                <w:color w:val="auto"/>
              </w:rPr>
            </w:pPr>
            <w:r>
              <w:rPr>
                <w:rFonts w:ascii="Arial" w:cs="Arial" w:eastAsia="Arial" w:hAnsi="Arial"/>
                <w:sz w:val="18"/>
                <w:szCs w:val="18"/>
                <w:color w:val="auto"/>
              </w:rPr>
              <w:t>Closing</w:t>
            </w:r>
          </w:p>
        </w:tc>
        <w:tc>
          <w:tcPr>
            <w:tcW w:w="416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2.35</w:t>
            </w:r>
          </w:p>
        </w:tc>
        <w:tc>
          <w:tcPr>
            <w:tcW w:w="142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1.95</w:t>
            </w:r>
          </w:p>
        </w:tc>
        <w:tc>
          <w:tcPr>
            <w:tcW w:w="11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2.85</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500" w:type="dxa"/>
            <w:vAlign w:val="bottom"/>
            <w:shd w:val="clear" w:color="auto" w:fill="CCEEFF"/>
          </w:tcPr>
          <w:p>
            <w:pPr>
              <w:spacing w:after="0"/>
              <w:rPr>
                <w:sz w:val="17"/>
                <w:szCs w:val="17"/>
                <w:color w:val="auto"/>
              </w:rPr>
            </w:pPr>
          </w:p>
        </w:tc>
        <w:tc>
          <w:tcPr>
            <w:tcW w:w="4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00" w:type="dxa"/>
            <w:vAlign w:val="bottom"/>
          </w:tcPr>
          <w:p>
            <w:pPr>
              <w:spacing w:after="0" w:line="202" w:lineRule="exact"/>
              <w:rPr>
                <w:sz w:val="20"/>
                <w:szCs w:val="20"/>
                <w:color w:val="auto"/>
              </w:rPr>
            </w:pPr>
            <w:r>
              <w:rPr>
                <w:rFonts w:ascii="Arial" w:cs="Arial" w:eastAsia="Arial" w:hAnsi="Arial"/>
                <w:sz w:val="18"/>
                <w:szCs w:val="18"/>
                <w:color w:val="auto"/>
              </w:rPr>
              <w:t>2017</w:t>
            </w:r>
          </w:p>
        </w:tc>
        <w:tc>
          <w:tcPr>
            <w:tcW w:w="4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High</w:t>
            </w:r>
          </w:p>
        </w:tc>
        <w:tc>
          <w:tcPr>
            <w:tcW w:w="4160" w:type="dxa"/>
            <w:vAlign w:val="bottom"/>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3.76</w:t>
            </w:r>
          </w:p>
        </w:tc>
        <w:tc>
          <w:tcPr>
            <w:tcW w:w="142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3.30</w:t>
            </w:r>
          </w:p>
        </w:tc>
        <w:tc>
          <w:tcPr>
            <w:tcW w:w="110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3.10</w:t>
            </w:r>
          </w:p>
        </w:tc>
        <w:tc>
          <w:tcPr>
            <w:tcW w:w="1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Pr>
          <w:p>
            <w:pPr>
              <w:spacing w:after="0" w:line="202" w:lineRule="exact"/>
              <w:rPr>
                <w:sz w:val="20"/>
                <w:szCs w:val="20"/>
                <w:color w:val="auto"/>
              </w:rPr>
            </w:pPr>
            <w:r>
              <w:rPr>
                <w:rFonts w:ascii="Arial" w:cs="Arial" w:eastAsia="Arial" w:hAnsi="Arial"/>
                <w:sz w:val="18"/>
                <w:szCs w:val="18"/>
                <w:color w:val="auto"/>
              </w:rPr>
              <w:t>Low</w:t>
            </w:r>
          </w:p>
        </w:tc>
        <w:tc>
          <w:tcPr>
            <w:tcW w:w="416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2.40</w:t>
            </w:r>
          </w:p>
        </w:tc>
        <w:tc>
          <w:tcPr>
            <w:tcW w:w="142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2.40</w:t>
            </w:r>
          </w:p>
        </w:tc>
        <w:tc>
          <w:tcPr>
            <w:tcW w:w="11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1.75</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Closing</w:t>
            </w:r>
          </w:p>
        </w:tc>
        <w:tc>
          <w:tcPr>
            <w:tcW w:w="41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2.90</w:t>
            </w:r>
          </w:p>
        </w:tc>
        <w:tc>
          <w:tcPr>
            <w:tcW w:w="142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2.60</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1.90</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At September 29, 2019, we had 5,777 registered holders of record of our Common Stock.</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debt agreements generally limit our ability to pay dividends and repurchase Common Stock unless in each case no default has occurred and we have satisfied certain financial measurements. See Note 5 of the Notes to Consolidated Financial Statements, included herein.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PERFORMANCE PRESENTATION</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following graph compares the percentage change in the cumulative total return of the Company, the Standard &amp; Poor's ("S&amp;P") 500 Stock Index, and a peer group index, in each case for the five years ended September 29, 2019 (with September 30, 2014 as the measurement point). Total return is measured by dividing (a) the sum of (i) the cumulative amount of dividends declared for the measurement period, assuming dividend reinvestment and (ii) the difference between the issuer's share price at the end and the beginning of the measurement period, by (b) the share price at the beginning of the measurement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120650</wp:posOffset>
            </wp:positionV>
            <wp:extent cx="5951855" cy="32245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51855" cy="322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Copyright© 2019 Standard &amp; Poor's, a division of S&amp;P Global. All rights reserved.</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value of $100 invested on September 30, 2014 in stock of the Company, the Peer Group Index and in the S&amp;P 500 Stock Index, including reinvestment of dividends, is summarized in the table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September 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i w:val="1"/>
                <w:iCs w:val="1"/>
                <w:color w:val="auto"/>
              </w:rPr>
              <w:t>(Dollars)</w:t>
            </w:r>
          </w:p>
        </w:tc>
        <w:tc>
          <w:tcPr>
            <w:tcW w:w="238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rPr>
              <w:t>2015</w:t>
            </w:r>
          </w:p>
        </w:tc>
        <w:tc>
          <w:tcPr>
            <w:tcW w:w="138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2016</w:t>
            </w:r>
          </w:p>
        </w:tc>
        <w:tc>
          <w:tcPr>
            <w:tcW w:w="136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2017</w:t>
            </w:r>
          </w:p>
        </w:tc>
        <w:tc>
          <w:tcPr>
            <w:tcW w:w="10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2018</w:t>
            </w:r>
          </w:p>
        </w:tc>
        <w:tc>
          <w:tcPr>
            <w:tcW w:w="13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8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Lee Enterprises, Incorporated</w:t>
            </w:r>
          </w:p>
        </w:tc>
        <w:tc>
          <w:tcPr>
            <w:tcW w:w="238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61.54</w:t>
            </w:r>
          </w:p>
        </w:tc>
        <w:tc>
          <w:tcPr>
            <w:tcW w:w="138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110.95</w:t>
            </w:r>
          </w:p>
        </w:tc>
        <w:tc>
          <w:tcPr>
            <w:tcW w:w="136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65.09</w:t>
            </w:r>
          </w:p>
        </w:tc>
        <w:tc>
          <w:tcPr>
            <w:tcW w:w="10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78.40</w:t>
            </w:r>
          </w:p>
        </w:tc>
        <w:tc>
          <w:tcPr>
            <w:tcW w:w="13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60.36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tcPr>
          <w:p>
            <w:pPr>
              <w:spacing w:after="0" w:line="202" w:lineRule="exact"/>
              <w:rPr>
                <w:sz w:val="20"/>
                <w:szCs w:val="20"/>
                <w:color w:val="auto"/>
              </w:rPr>
            </w:pPr>
            <w:r>
              <w:rPr>
                <w:rFonts w:ascii="Arial" w:cs="Arial" w:eastAsia="Arial" w:hAnsi="Arial"/>
                <w:sz w:val="18"/>
                <w:szCs w:val="18"/>
                <w:color w:val="auto"/>
              </w:rPr>
              <w:t>Peer Group Index</w:t>
            </w:r>
          </w:p>
        </w:tc>
        <w:tc>
          <w:tcPr>
            <w:tcW w:w="238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94.68</w:t>
            </w:r>
          </w:p>
        </w:tc>
        <w:tc>
          <w:tcPr>
            <w:tcW w:w="13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98.78</w:t>
            </w:r>
          </w:p>
        </w:tc>
        <w:tc>
          <w:tcPr>
            <w:tcW w:w="136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116.93</w:t>
            </w:r>
          </w:p>
        </w:tc>
        <w:tc>
          <w:tcPr>
            <w:tcW w:w="10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137.73</w:t>
            </w: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148.49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S&amp;P 500 Stock Index</w:t>
            </w:r>
          </w:p>
        </w:tc>
        <w:tc>
          <w:tcPr>
            <w:tcW w:w="2380" w:type="dxa"/>
            <w:vAlign w:val="bottom"/>
            <w:tcBorders>
              <w:bottom w:val="single" w:sz="8" w:color="auto"/>
            </w:tcBorders>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99.39</w:t>
            </w:r>
          </w:p>
        </w:tc>
        <w:tc>
          <w:tcPr>
            <w:tcW w:w="138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114.72</w:t>
            </w:r>
          </w:p>
        </w:tc>
        <w:tc>
          <w:tcPr>
            <w:tcW w:w="136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136.07</w:t>
            </w:r>
          </w:p>
        </w:tc>
        <w:tc>
          <w:tcPr>
            <w:tcW w:w="106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160.44</w:t>
            </w:r>
          </w:p>
        </w:tc>
        <w:tc>
          <w:tcPr>
            <w:tcW w:w="13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167.27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S&amp;P 500 Stock Index includes 500 U.S. companies in the industrial, transportation, utilities and financial sectors and is weighted by market capitalization. The Peer Group Index is comprised of six U.S. publicly traded companies with significant newspaper publishing operations (excluding the Company) and is weighted by market capitalization. The Peer Group Index includes A.H. Belo Corp., Gannett Co. Inc, The McClatchy Company, New Media Investment Group Inc., The New York Times Company and Tribune Publishing Co.</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ITEM 6. SELECTED FINANCIAL DATA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data is as follows: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6"/>
                <w:szCs w:val="16"/>
                <w:i w:val="1"/>
                <w:iCs w:val="1"/>
                <w:color w:val="auto"/>
              </w:rPr>
              <w:t>(Thousands of Dollars and Shares, Except Per Share Data)</w:t>
            </w:r>
          </w:p>
        </w:tc>
        <w:tc>
          <w:tcPr>
            <w:tcW w:w="1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3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13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2017</w:t>
            </w:r>
          </w:p>
        </w:tc>
        <w:tc>
          <w:tcPr>
            <w:tcW w:w="13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2016</w:t>
            </w:r>
          </w:p>
        </w:tc>
        <w:tc>
          <w:tcPr>
            <w:tcW w:w="11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399"/>
        </w:trPr>
        <w:tc>
          <w:tcPr>
            <w:tcW w:w="4740" w:type="dxa"/>
            <w:vAlign w:val="bottom"/>
            <w:gridSpan w:val="2"/>
          </w:tcPr>
          <w:p>
            <w:pPr>
              <w:spacing w:after="0"/>
              <w:rPr>
                <w:sz w:val="20"/>
                <w:szCs w:val="20"/>
                <w:color w:val="auto"/>
              </w:rPr>
            </w:pPr>
            <w:r>
              <w:rPr>
                <w:rFonts w:ascii="Arial" w:cs="Arial" w:eastAsia="Arial" w:hAnsi="Arial"/>
                <w:sz w:val="18"/>
                <w:szCs w:val="18"/>
                <w:color w:val="auto"/>
              </w:rPr>
              <w:t>OPERATING RESULTS</w:t>
            </w:r>
          </w:p>
        </w:tc>
        <w:tc>
          <w:tcPr>
            <w:tcW w:w="1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w:t>
            </w:r>
          </w:p>
        </w:tc>
        <w:tc>
          <w:tcPr>
            <w:tcW w:w="152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509,854</w:t>
            </w:r>
          </w:p>
        </w:tc>
        <w:tc>
          <w:tcPr>
            <w:tcW w:w="138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543,955</w:t>
            </w:r>
          </w:p>
        </w:tc>
        <w:tc>
          <w:tcPr>
            <w:tcW w:w="132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566,943</w:t>
            </w:r>
          </w:p>
        </w:tc>
        <w:tc>
          <w:tcPr>
            <w:tcW w:w="136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614,364</w:t>
            </w: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648,543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spacing w:after="0" w:line="202" w:lineRule="exact"/>
              <w:rPr>
                <w:sz w:val="20"/>
                <w:szCs w:val="20"/>
                <w:color w:val="auto"/>
              </w:rPr>
            </w:pPr>
            <w:r>
              <w:rPr>
                <w:rFonts w:ascii="Arial" w:cs="Arial" w:eastAsia="Arial" w:hAnsi="Arial"/>
                <w:sz w:val="18"/>
                <w:szCs w:val="18"/>
                <w:color w:val="auto"/>
              </w:rPr>
              <w:t>Cash Costs (1) (3)</w:t>
            </w:r>
          </w:p>
        </w:tc>
        <w:tc>
          <w:tcPr>
            <w:tcW w:w="15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398,815</w:t>
            </w:r>
          </w:p>
        </w:tc>
        <w:tc>
          <w:tcPr>
            <w:tcW w:w="13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423,766</w:t>
            </w:r>
          </w:p>
        </w:tc>
        <w:tc>
          <w:tcPr>
            <w:tcW w:w="13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437,767</w:t>
            </w:r>
          </w:p>
        </w:tc>
        <w:tc>
          <w:tcPr>
            <w:tcW w:w="13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477,857</w:t>
            </w: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501,629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52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29,332</w:t>
            </w:r>
          </w:p>
        </w:tc>
        <w:tc>
          <w:tcPr>
            <w:tcW w:w="138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31,766</w:t>
            </w:r>
          </w:p>
        </w:tc>
        <w:tc>
          <w:tcPr>
            <w:tcW w:w="132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41,282</w:t>
            </w:r>
          </w:p>
        </w:tc>
        <w:tc>
          <w:tcPr>
            <w:tcW w:w="136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43,441</w:t>
            </w: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45,563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spacing w:after="0" w:line="202" w:lineRule="exact"/>
              <w:rPr>
                <w:sz w:val="20"/>
                <w:szCs w:val="20"/>
                <w:color w:val="auto"/>
              </w:rPr>
            </w:pPr>
            <w:r>
              <w:rPr>
                <w:rFonts w:ascii="Arial" w:cs="Arial" w:eastAsia="Arial" w:hAnsi="Arial"/>
                <w:sz w:val="18"/>
                <w:szCs w:val="18"/>
                <w:color w:val="auto"/>
              </w:rPr>
              <w:t>Assets loss (gain) on sales, impairments and other</w:t>
            </w:r>
          </w:p>
        </w:tc>
        <w:tc>
          <w:tcPr>
            <w:tcW w:w="15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2,464</w:t>
            </w:r>
          </w:p>
        </w:tc>
        <w:tc>
          <w:tcPr>
            <w:tcW w:w="13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6,429</w:t>
            </w:r>
          </w:p>
        </w:tc>
        <w:tc>
          <w:tcPr>
            <w:tcW w:w="13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(1,150)</w:t>
            </w:r>
          </w:p>
        </w:tc>
        <w:tc>
          <w:tcPr>
            <w:tcW w:w="13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(954)</w:t>
            </w: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Restructuring costs and other</w:t>
            </w:r>
          </w:p>
        </w:tc>
        <w:tc>
          <w:tcPr>
            <w:tcW w:w="152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11,635</w:t>
            </w:r>
          </w:p>
        </w:tc>
        <w:tc>
          <w:tcPr>
            <w:tcW w:w="138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5,550</w:t>
            </w:r>
          </w:p>
        </w:tc>
        <w:tc>
          <w:tcPr>
            <w:tcW w:w="132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7,523</w:t>
            </w:r>
          </w:p>
        </w:tc>
        <w:tc>
          <w:tcPr>
            <w:tcW w:w="136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1,825</w:t>
            </w: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3,304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Equity in earnings of associated companies</w:t>
            </w:r>
          </w:p>
        </w:tc>
        <w:tc>
          <w:tcPr>
            <w:tcW w:w="152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7,121</w:t>
            </w:r>
          </w:p>
        </w:tc>
        <w:tc>
          <w:tcPr>
            <w:tcW w:w="138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9,249</w:t>
            </w:r>
          </w:p>
        </w:tc>
        <w:tc>
          <w:tcPr>
            <w:tcW w:w="1320" w:type="dxa"/>
            <w:vAlign w:val="bottom"/>
            <w:tcBorders>
              <w:bottom w:val="single" w:sz="8" w:color="auto"/>
            </w:tcBorders>
          </w:tcPr>
          <w:p>
            <w:pPr>
              <w:jc w:val="right"/>
              <w:ind w:right="250"/>
              <w:spacing w:after="0" w:line="202" w:lineRule="exact"/>
              <w:rPr>
                <w:sz w:val="20"/>
                <w:szCs w:val="20"/>
                <w:color w:val="auto"/>
              </w:rPr>
            </w:pPr>
            <w:r>
              <w:rPr>
                <w:rFonts w:ascii="Arial" w:cs="Arial" w:eastAsia="Arial" w:hAnsi="Arial"/>
                <w:sz w:val="18"/>
                <w:szCs w:val="18"/>
                <w:color w:val="auto"/>
              </w:rPr>
              <w:t>7,609</w:t>
            </w:r>
          </w:p>
        </w:tc>
        <w:tc>
          <w:tcPr>
            <w:tcW w:w="136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8,533</w:t>
            </w:r>
          </w:p>
        </w:tc>
        <w:tc>
          <w:tcPr>
            <w:tcW w:w="11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8,254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income (3)</w:t>
            </w:r>
          </w:p>
        </w:tc>
        <w:tc>
          <w:tcPr>
            <w:tcW w:w="1520" w:type="dxa"/>
            <w:vAlign w:val="bottom"/>
            <w:tcBorders>
              <w:bottom w:val="single" w:sz="8" w:color="auto"/>
            </w:tcBorders>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74,729</w:t>
            </w:r>
          </w:p>
        </w:tc>
        <w:tc>
          <w:tcPr>
            <w:tcW w:w="138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85,693</w:t>
            </w:r>
          </w:p>
        </w:tc>
        <w:tc>
          <w:tcPr>
            <w:tcW w:w="132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rPr>
              <w:t>89,130</w:t>
            </w:r>
          </w:p>
        </w:tc>
        <w:tc>
          <w:tcPr>
            <w:tcW w:w="136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100,728</w:t>
            </w:r>
          </w:p>
        </w:tc>
        <w:tc>
          <w:tcPr>
            <w:tcW w:w="1100" w:type="dxa"/>
            <w:vAlign w:val="bottom"/>
            <w:tcBorders>
              <w:bottom w:val="single" w:sz="8" w:color="auto"/>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106,195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Pr>
          <w:p>
            <w:pPr>
              <w:spacing w:after="0" w:line="196" w:lineRule="exact"/>
              <w:rPr>
                <w:sz w:val="20"/>
                <w:szCs w:val="20"/>
                <w:color w:val="auto"/>
              </w:rPr>
            </w:pPr>
            <w:r>
              <w:rPr>
                <w:rFonts w:ascii="Arial" w:cs="Arial" w:eastAsia="Arial" w:hAnsi="Arial"/>
                <w:sz w:val="18"/>
                <w:szCs w:val="18"/>
                <w:color w:val="auto"/>
              </w:rPr>
              <w:t>Interest expense</w:t>
            </w:r>
          </w:p>
        </w:tc>
        <w:tc>
          <w:tcPr>
            <w:tcW w:w="152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(47,488)</w:t>
            </w:r>
          </w:p>
        </w:tc>
        <w:tc>
          <w:tcPr>
            <w:tcW w:w="138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(52,842)</w:t>
            </w:r>
          </w:p>
        </w:tc>
        <w:tc>
          <w:tcPr>
            <w:tcW w:w="1320" w:type="dxa"/>
            <w:vAlign w:val="bottom"/>
          </w:tcPr>
          <w:p>
            <w:pPr>
              <w:jc w:val="right"/>
              <w:ind w:right="190"/>
              <w:spacing w:after="0" w:line="196" w:lineRule="exact"/>
              <w:rPr>
                <w:sz w:val="20"/>
                <w:szCs w:val="20"/>
                <w:color w:val="auto"/>
              </w:rPr>
            </w:pPr>
            <w:r>
              <w:rPr>
                <w:rFonts w:ascii="Arial" w:cs="Arial" w:eastAsia="Arial" w:hAnsi="Arial"/>
                <w:sz w:val="18"/>
                <w:szCs w:val="18"/>
                <w:color w:val="auto"/>
              </w:rPr>
              <w:t>(57,573)</w:t>
            </w:r>
          </w:p>
        </w:tc>
        <w:tc>
          <w:tcPr>
            <w:tcW w:w="136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(64,233)</w:t>
            </w:r>
          </w:p>
        </w:tc>
        <w:tc>
          <w:tcPr>
            <w:tcW w:w="11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(72,409)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Debt financing and administration costs</w:t>
            </w:r>
          </w:p>
        </w:tc>
        <w:tc>
          <w:tcPr>
            <w:tcW w:w="152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(7,214)</w:t>
            </w:r>
          </w:p>
        </w:tc>
        <w:tc>
          <w:tcPr>
            <w:tcW w:w="13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(5,311)</w:t>
            </w:r>
          </w:p>
        </w:tc>
        <w:tc>
          <w:tcPr>
            <w:tcW w:w="132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(4,818)</w:t>
            </w:r>
          </w:p>
        </w:tc>
        <w:tc>
          <w:tcPr>
            <w:tcW w:w="13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(5,947)</w:t>
            </w: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(5,433)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spacing w:after="0" w:line="202" w:lineRule="exact"/>
              <w:rPr>
                <w:sz w:val="20"/>
                <w:szCs w:val="20"/>
                <w:color w:val="auto"/>
              </w:rPr>
            </w:pPr>
            <w:r>
              <w:rPr>
                <w:rFonts w:ascii="Arial" w:cs="Arial" w:eastAsia="Arial" w:hAnsi="Arial"/>
                <w:sz w:val="18"/>
                <w:szCs w:val="18"/>
                <w:color w:val="auto"/>
              </w:rPr>
              <w:t>Gain on insurance settlement</w:t>
            </w:r>
          </w:p>
        </w:tc>
        <w:tc>
          <w:tcPr>
            <w:tcW w:w="15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30,646</w:t>
            </w: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net (3)</w:t>
            </w:r>
          </w:p>
        </w:tc>
        <w:tc>
          <w:tcPr>
            <w:tcW w:w="152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3,813</w:t>
            </w:r>
          </w:p>
        </w:tc>
        <w:tc>
          <w:tcPr>
            <w:tcW w:w="138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3,280</w:t>
            </w:r>
          </w:p>
        </w:tc>
        <w:tc>
          <w:tcPr>
            <w:tcW w:w="132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13,477</w:t>
            </w:r>
          </w:p>
        </w:tc>
        <w:tc>
          <w:tcPr>
            <w:tcW w:w="13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(9,537)</w:t>
            </w: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3,213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72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7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52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15,909</w:t>
            </w:r>
          </w:p>
        </w:tc>
        <w:tc>
          <w:tcPr>
            <w:tcW w:w="138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47,048</w:t>
            </w:r>
          </w:p>
        </w:tc>
        <w:tc>
          <w:tcPr>
            <w:tcW w:w="1320" w:type="dxa"/>
            <w:vAlign w:val="bottom"/>
            <w:tcBorders>
              <w:bottom w:val="single" w:sz="8" w:color="auto"/>
            </w:tcBorders>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28,605</w:t>
            </w:r>
          </w:p>
        </w:tc>
        <w:tc>
          <w:tcPr>
            <w:tcW w:w="136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36,019</w:t>
            </w:r>
          </w:p>
        </w:tc>
        <w:tc>
          <w:tcPr>
            <w:tcW w:w="11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24,318</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7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7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Income attributable to Lee Enterprises, Incorporated</w:t>
            </w:r>
          </w:p>
        </w:tc>
        <w:tc>
          <w:tcPr>
            <w:tcW w:w="152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14,268</w:t>
            </w:r>
          </w:p>
        </w:tc>
        <w:tc>
          <w:tcPr>
            <w:tcW w:w="138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45,766</w:t>
            </w:r>
          </w:p>
        </w:tc>
        <w:tc>
          <w:tcPr>
            <w:tcW w:w="1320" w:type="dxa"/>
            <w:vAlign w:val="bottom"/>
            <w:tcBorders>
              <w:bottom w:val="single" w:sz="8" w:color="auto"/>
            </w:tcBorders>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27,481</w:t>
            </w:r>
          </w:p>
        </w:tc>
        <w:tc>
          <w:tcPr>
            <w:tcW w:w="136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34,961</w:t>
            </w:r>
          </w:p>
        </w:tc>
        <w:tc>
          <w:tcPr>
            <w:tcW w:w="11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23,316</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7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per common share:</w:t>
            </w:r>
          </w:p>
        </w:tc>
        <w:tc>
          <w:tcPr>
            <w:tcW w:w="15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ind w:left="160"/>
              <w:spacing w:after="0" w:line="202" w:lineRule="exact"/>
              <w:rPr>
                <w:sz w:val="20"/>
                <w:szCs w:val="20"/>
                <w:color w:val="auto"/>
              </w:rPr>
            </w:pPr>
            <w:r>
              <w:rPr>
                <w:rFonts w:ascii="Arial" w:cs="Arial" w:eastAsia="Arial" w:hAnsi="Arial"/>
                <w:sz w:val="18"/>
                <w:szCs w:val="18"/>
                <w:color w:val="auto"/>
              </w:rPr>
              <w:t>Basic</w:t>
            </w:r>
          </w:p>
        </w:tc>
        <w:tc>
          <w:tcPr>
            <w:tcW w:w="15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0.26</w:t>
            </w:r>
          </w:p>
        </w:tc>
        <w:tc>
          <w:tcPr>
            <w:tcW w:w="13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0.84</w:t>
            </w:r>
          </w:p>
        </w:tc>
        <w:tc>
          <w:tcPr>
            <w:tcW w:w="13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0.51</w:t>
            </w:r>
          </w:p>
        </w:tc>
        <w:tc>
          <w:tcPr>
            <w:tcW w:w="13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0.66</w:t>
            </w: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20" w:type="dxa"/>
            <w:vAlign w:val="bottom"/>
            <w:tcBorders>
              <w:bottom w:val="single" w:sz="8" w:color="auto"/>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Diluted</w:t>
            </w:r>
          </w:p>
        </w:tc>
        <w:tc>
          <w:tcPr>
            <w:tcW w:w="152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0.25</w:t>
            </w:r>
          </w:p>
        </w:tc>
        <w:tc>
          <w:tcPr>
            <w:tcW w:w="138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0.82</w:t>
            </w:r>
          </w:p>
        </w:tc>
        <w:tc>
          <w:tcPr>
            <w:tcW w:w="1320" w:type="dxa"/>
            <w:vAlign w:val="bottom"/>
            <w:tcBorders>
              <w:bottom w:val="single" w:sz="8" w:color="auto"/>
            </w:tcBorders>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0.50</w:t>
            </w:r>
          </w:p>
        </w:tc>
        <w:tc>
          <w:tcPr>
            <w:tcW w:w="136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0.64</w:t>
            </w:r>
          </w:p>
        </w:tc>
        <w:tc>
          <w:tcPr>
            <w:tcW w:w="11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7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common shares:</w:t>
            </w:r>
          </w:p>
        </w:tc>
        <w:tc>
          <w:tcPr>
            <w:tcW w:w="15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ind w:left="160"/>
              <w:spacing w:after="0" w:line="202" w:lineRule="exact"/>
              <w:rPr>
                <w:sz w:val="20"/>
                <w:szCs w:val="20"/>
                <w:color w:val="auto"/>
              </w:rPr>
            </w:pPr>
            <w:r>
              <w:rPr>
                <w:rFonts w:ascii="Arial" w:cs="Arial" w:eastAsia="Arial" w:hAnsi="Arial"/>
                <w:sz w:val="18"/>
                <w:szCs w:val="18"/>
                <w:color w:val="auto"/>
              </w:rPr>
              <w:t>Basic</w:t>
            </w:r>
          </w:p>
        </w:tc>
        <w:tc>
          <w:tcPr>
            <w:tcW w:w="15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55,565</w:t>
            </w:r>
          </w:p>
        </w:tc>
        <w:tc>
          <w:tcPr>
            <w:tcW w:w="13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54,702</w:t>
            </w:r>
          </w:p>
        </w:tc>
        <w:tc>
          <w:tcPr>
            <w:tcW w:w="13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53,990</w:t>
            </w:r>
          </w:p>
        </w:tc>
        <w:tc>
          <w:tcPr>
            <w:tcW w:w="13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53,198</w:t>
            </w: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52,640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20" w:type="dxa"/>
            <w:vAlign w:val="bottom"/>
            <w:tcBorders>
              <w:bottom w:val="single" w:sz="8" w:color="auto"/>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Diluted</w:t>
            </w:r>
          </w:p>
        </w:tc>
        <w:tc>
          <w:tcPr>
            <w:tcW w:w="152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56,884</w:t>
            </w:r>
          </w:p>
        </w:tc>
        <w:tc>
          <w:tcPr>
            <w:tcW w:w="138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55,948</w:t>
            </w:r>
          </w:p>
        </w:tc>
        <w:tc>
          <w:tcPr>
            <w:tcW w:w="1320" w:type="dxa"/>
            <w:vAlign w:val="bottom"/>
            <w:tcBorders>
              <w:bottom w:val="single" w:sz="8" w:color="auto"/>
            </w:tcBorders>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55,392</w:t>
            </w:r>
          </w:p>
        </w:tc>
        <w:tc>
          <w:tcPr>
            <w:tcW w:w="136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54,224</w:t>
            </w:r>
          </w:p>
        </w:tc>
        <w:tc>
          <w:tcPr>
            <w:tcW w:w="11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53,931</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7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152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555,202</w:t>
            </w:r>
          </w:p>
        </w:tc>
        <w:tc>
          <w:tcPr>
            <w:tcW w:w="138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575,411</w:t>
            </w:r>
          </w:p>
        </w:tc>
        <w:tc>
          <w:tcPr>
            <w:tcW w:w="132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620,850</w:t>
            </w:r>
          </w:p>
        </w:tc>
        <w:tc>
          <w:tcPr>
            <w:tcW w:w="136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662,855</w:t>
            </w: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747,825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spacing w:after="0" w:line="202" w:lineRule="exact"/>
              <w:rPr>
                <w:sz w:val="20"/>
                <w:szCs w:val="20"/>
                <w:color w:val="auto"/>
              </w:rPr>
            </w:pPr>
            <w:r>
              <w:rPr>
                <w:rFonts w:ascii="Arial" w:cs="Arial" w:eastAsia="Arial" w:hAnsi="Arial"/>
                <w:sz w:val="18"/>
                <w:szCs w:val="18"/>
                <w:color w:val="auto"/>
              </w:rPr>
              <w:t>Debt, including current maturities (2)</w:t>
            </w:r>
          </w:p>
        </w:tc>
        <w:tc>
          <w:tcPr>
            <w:tcW w:w="15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443,627</w:t>
            </w:r>
          </w:p>
        </w:tc>
        <w:tc>
          <w:tcPr>
            <w:tcW w:w="13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484,859</w:t>
            </w:r>
          </w:p>
        </w:tc>
        <w:tc>
          <w:tcPr>
            <w:tcW w:w="13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548,385</w:t>
            </w:r>
          </w:p>
        </w:tc>
        <w:tc>
          <w:tcPr>
            <w:tcW w:w="13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617,167</w:t>
            </w: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725,872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Debt, net of cash and restricted cash (2)</w:t>
            </w:r>
          </w:p>
        </w:tc>
        <w:tc>
          <w:tcPr>
            <w:tcW w:w="152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434,982</w:t>
            </w:r>
          </w:p>
        </w:tc>
        <w:tc>
          <w:tcPr>
            <w:tcW w:w="138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479,479</w:t>
            </w:r>
          </w:p>
        </w:tc>
        <w:tc>
          <w:tcPr>
            <w:tcW w:w="132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537,764</w:t>
            </w:r>
          </w:p>
        </w:tc>
        <w:tc>
          <w:tcPr>
            <w:tcW w:w="136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600,183</w:t>
            </w: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714,738</w:t>
            </w:r>
          </w:p>
        </w:tc>
        <w:tc>
          <w:tcPr>
            <w:tcW w:w="0" w:type="dxa"/>
            <w:vAlign w:val="bottom"/>
          </w:tcPr>
          <w:p>
            <w:pPr>
              <w:spacing w:after="0"/>
              <w:rPr>
                <w:sz w:val="1"/>
                <w:szCs w:val="1"/>
                <w:color w:val="auto"/>
              </w:rPr>
            </w:pPr>
          </w:p>
        </w:tc>
      </w:tr>
      <w:tr>
        <w:trPr>
          <w:trHeight w:val="203"/>
        </w:trPr>
        <w:tc>
          <w:tcPr>
            <w:tcW w:w="20" w:type="dxa"/>
            <w:vAlign w:val="bottom"/>
            <w:tcBorders>
              <w:bottom w:val="single" w:sz="8" w:color="auto"/>
            </w:tcBorders>
          </w:tcPr>
          <w:p>
            <w:pPr>
              <w:spacing w:after="0"/>
              <w:rPr>
                <w:sz w:val="17"/>
                <w:szCs w:val="17"/>
                <w:color w:val="auto"/>
              </w:rPr>
            </w:pPr>
          </w:p>
        </w:tc>
        <w:tc>
          <w:tcPr>
            <w:tcW w:w="47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Stockholders' deficit</w:t>
            </w:r>
          </w:p>
        </w:tc>
        <w:tc>
          <w:tcPr>
            <w:tcW w:w="1520" w:type="dxa"/>
            <w:vAlign w:val="bottom"/>
            <w:tcBorders>
              <w:bottom w:val="single" w:sz="8" w:color="auto"/>
            </w:tcBorders>
          </w:tcPr>
          <w:p>
            <w:pPr>
              <w:jc w:val="right"/>
              <w:ind w:right="250"/>
              <w:spacing w:after="0" w:line="202" w:lineRule="exact"/>
              <w:rPr>
                <w:sz w:val="20"/>
                <w:szCs w:val="20"/>
                <w:color w:val="auto"/>
              </w:rPr>
            </w:pPr>
            <w:r>
              <w:rPr>
                <w:rFonts w:ascii="Arial" w:cs="Arial" w:eastAsia="Arial" w:hAnsi="Arial"/>
                <w:sz w:val="18"/>
                <w:szCs w:val="18"/>
                <w:color w:val="auto"/>
              </w:rPr>
              <w:t>(38,484)</w:t>
            </w:r>
          </w:p>
        </w:tc>
        <w:tc>
          <w:tcPr>
            <w:tcW w:w="138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(37,354)</w:t>
            </w:r>
          </w:p>
        </w:tc>
        <w:tc>
          <w:tcPr>
            <w:tcW w:w="132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(92,235)</w:t>
            </w:r>
          </w:p>
        </w:tc>
        <w:tc>
          <w:tcPr>
            <w:tcW w:w="136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(128,485)</w:t>
            </w:r>
          </w:p>
        </w:tc>
        <w:tc>
          <w:tcPr>
            <w:tcW w:w="1100" w:type="dxa"/>
            <w:vAlign w:val="bottom"/>
            <w:tcBorders>
              <w:bottom w:val="single" w:sz="8" w:color="auto"/>
            </w:tcBorders>
            <w:gridSpan w:val="2"/>
          </w:tcPr>
          <w:p>
            <w:pPr>
              <w:jc w:val="right"/>
              <w:ind w:right="40"/>
              <w:spacing w:after="0" w:line="202" w:lineRule="exact"/>
              <w:rPr>
                <w:sz w:val="20"/>
                <w:szCs w:val="20"/>
                <w:color w:val="auto"/>
              </w:rPr>
            </w:pPr>
            <w:r>
              <w:rPr>
                <w:rFonts w:ascii="Arial" w:cs="Arial" w:eastAsia="Arial" w:hAnsi="Arial"/>
                <w:sz w:val="18"/>
                <w:szCs w:val="18"/>
                <w:color w:val="auto"/>
              </w:rPr>
              <w:t>(159,393)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360" w:hanging="253"/>
        <w:spacing w:after="0"/>
        <w:tabs>
          <w:tab w:leader="none" w:pos="3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Cash costs is a non GAAP financial measure. See Item 7.</w:t>
      </w:r>
    </w:p>
    <w:p>
      <w:pPr>
        <w:spacing w:after="0" w:line="167" w:lineRule="exact"/>
        <w:rPr>
          <w:rFonts w:ascii="Arial" w:cs="Arial" w:eastAsia="Arial" w:hAnsi="Arial"/>
          <w:sz w:val="16"/>
          <w:szCs w:val="16"/>
          <w:color w:val="auto"/>
        </w:rPr>
      </w:pPr>
    </w:p>
    <w:p>
      <w:pPr>
        <w:ind w:left="360" w:hanging="253"/>
        <w:spacing w:after="0"/>
        <w:tabs>
          <w:tab w:leader="none" w:pos="3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Principal amount of debt. See Note 5 of the Notes to Consolidated Financial Statements, included herein.</w:t>
      </w:r>
    </w:p>
    <w:p>
      <w:pPr>
        <w:spacing w:after="0" w:line="167" w:lineRule="exact"/>
        <w:rPr>
          <w:rFonts w:ascii="Arial" w:cs="Arial" w:eastAsia="Arial" w:hAnsi="Arial"/>
          <w:sz w:val="16"/>
          <w:szCs w:val="16"/>
          <w:color w:val="auto"/>
        </w:rPr>
      </w:pPr>
    </w:p>
    <w:p>
      <w:pPr>
        <w:ind w:left="300" w:right="180" w:hanging="193"/>
        <w:spacing w:after="0" w:line="260" w:lineRule="auto"/>
        <w:tabs>
          <w:tab w:leader="none" w:pos="345"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2019 we reclassified all components of pension expense, except services costs, from compensation to other non-operating income. See Note 1 of the Consolidated Financial Statements, included herein.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1" w:name="page22"/>
    <w:bookmarkEnd w:id="21"/>
    <w:p>
      <w:pPr>
        <w:ind w:left="3220"/>
        <w:spacing w:after="0"/>
        <w:rPr>
          <w:sz w:val="20"/>
          <w:szCs w:val="20"/>
          <w:color w:val="auto"/>
        </w:rPr>
      </w:pPr>
      <w:r>
        <w:rPr>
          <w:rFonts w:ascii="Arial" w:cs="Arial" w:eastAsia="Arial" w:hAnsi="Arial"/>
          <w:sz w:val="18"/>
          <w:szCs w:val="18"/>
          <w:b w:val="1"/>
          <w:bCs w:val="1"/>
          <w:color w:val="auto"/>
        </w:rPr>
        <w:t>ITEM 7. MANAGEMENT'S DISCUSSION AND ANALYSIS OF</w:t>
      </w:r>
    </w:p>
    <w:p>
      <w:pPr>
        <w:spacing w:after="0" w:line="18"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following discussion includes comments and analysis relating to our results of operations and financial condition as of September 29, 2019 and for 2018 and 2017. This discussion should be read in conjunction with the Consolidated Financial Statements and related Notes thereto, included herein.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use non-GAAP financial performance measures to supplement the financial information presented on a GAAP basis. These non-GAAP financial measures should not be considered in isolation or as a substitute for the relevant GAAP measures and should be read in conjunction with information presented on a GAAP basis.</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this report, we present Adjusted EBITDA, adjusted income (loss), adjusted earnings (loss) per common share (EPS), and cash costs, which are non-GAAP financial performance measures that exclude from our reported GAAP results the impact of certain items consisting primarily of restructuring charges and non-cash charges. We believe such expenses, charges, and gains are not indicative of normal, ongoing operations, and their inclusion in results makes for more difficult comparisons between years and with peer group companies. In the future, however, we are likely to incur expenses, charges, and gains similar to the items for which the applicable GAAP financial measures have been adjusted and to report non-GAAP financial measures excluding such items. Accordingly, exclusion of those or similar items in our non-GAAP presentations should not be interpreted as implying the items are non-recurring, infrequent, or unusual.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We define our non-GAAP measures, which may not be comparable to similarly titled measures reported by other companies, as follows:</w:t>
      </w:r>
    </w:p>
    <w:p>
      <w:pPr>
        <w:spacing w:after="0" w:line="180" w:lineRule="exact"/>
        <w:rPr>
          <w:sz w:val="20"/>
          <w:szCs w:val="20"/>
          <w:color w:val="auto"/>
        </w:rPr>
      </w:pPr>
    </w:p>
    <w:p>
      <w:pPr>
        <w:jc w:val="both"/>
        <w:ind w:left="500"/>
        <w:spacing w:after="0" w:line="238"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is a non-GAAP financial performance measure that enhances financial statement users overall understanding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performance of the Company. The measure isolates unusual, infrequent or non-cash transactions from the operating performance of the business. This allows users to easily compare operating performance among various fiscal periods and how management measures the performance of the business. This measure also provides users with a benchmark that can be used when forecasting future operating performance of the Company that excludes unusual, nonrecurring or one time transactions. Adjusted EBITDA is also a component of the calculation used by stockholders and analysts to determine the value of our business when using the market approach, which applies a market multiple to financial metrics. It is also a measure used to calculate the leverage ratio of the Company, which is a key financial ratio monitored and used by the Company and its investors. Adjusted EBITDA is defined as net income (loss), plus non-operating expenses, income tax expense (benefit), depreciation and amortization, assets loss (gain) on sales, impairments and other, restructuring costs and other, stock compensation and our 50% share of EBITDA from TNI and MNI, minus equity in earnings of TNI and MNI and curtailment gains.</w:t>
      </w:r>
    </w:p>
    <w:p>
      <w:pPr>
        <w:spacing w:after="0" w:line="173" w:lineRule="exact"/>
        <w:rPr>
          <w:sz w:val="20"/>
          <w:szCs w:val="20"/>
          <w:color w:val="auto"/>
        </w:rPr>
      </w:pPr>
    </w:p>
    <w:p>
      <w:pPr>
        <w:jc w:val="both"/>
        <w:ind w:left="500"/>
        <w:spacing w:after="0" w:line="241" w:lineRule="auto"/>
        <w:rPr>
          <w:sz w:val="20"/>
          <w:szCs w:val="20"/>
          <w:color w:val="auto"/>
        </w:rPr>
      </w:pPr>
      <w:r>
        <w:rPr>
          <w:rFonts w:ascii="Arial" w:cs="Arial" w:eastAsia="Arial" w:hAnsi="Arial"/>
          <w:sz w:val="18"/>
          <w:szCs w:val="18"/>
          <w:i w:val="1"/>
          <w:iCs w:val="1"/>
          <w:color w:val="auto"/>
        </w:rPr>
        <w:t xml:space="preserve">Adjusted Income (Loss) and Adjusted Earnings (Loss) Per Common Share </w:t>
      </w:r>
      <w:r>
        <w:rPr>
          <w:rFonts w:ascii="Arial" w:cs="Arial" w:eastAsia="Arial" w:hAnsi="Arial"/>
          <w:sz w:val="18"/>
          <w:szCs w:val="18"/>
          <w:color w:val="auto"/>
        </w:rPr>
        <w:t>are non-GAAP financial performance measures that we</w:t>
      </w:r>
      <w:r>
        <w:rPr>
          <w:rFonts w:ascii="Arial" w:cs="Arial" w:eastAsia="Arial" w:hAnsi="Arial"/>
          <w:sz w:val="18"/>
          <w:szCs w:val="18"/>
          <w:i w:val="1"/>
          <w:iCs w:val="1"/>
          <w:color w:val="auto"/>
        </w:rPr>
        <w:t xml:space="preserve"> </w:t>
      </w:r>
      <w:r>
        <w:rPr>
          <w:rFonts w:ascii="Arial" w:cs="Arial" w:eastAsia="Arial" w:hAnsi="Arial"/>
          <w:sz w:val="18"/>
          <w:szCs w:val="18"/>
          <w:color w:val="auto"/>
        </w:rPr>
        <w:t>believe offer a useful metric to evaluate overall performance of the Company by providing financial statement users the operating performance of the Company excluding the impact of changes in the warrant valuation, which are non-cash transactions, and the impact of the Tax Cuts and Jobs Act (the "2017 Tax Act"). It is defined as income (loss) attributable to Lee Enterprises, Incorporated and diluted earnings (loss) per common share adjusted to exclude the impact of the warrant valuation, the impact of the 2017 Tax Act, and the gain on insurance settlement.</w:t>
      </w:r>
    </w:p>
    <w:p>
      <w:pPr>
        <w:spacing w:after="0" w:line="171" w:lineRule="exact"/>
        <w:rPr>
          <w:sz w:val="20"/>
          <w:szCs w:val="20"/>
          <w:color w:val="auto"/>
        </w:rPr>
      </w:pPr>
    </w:p>
    <w:p>
      <w:pPr>
        <w:jc w:val="both"/>
        <w:ind w:left="500"/>
        <w:spacing w:after="0" w:line="241" w:lineRule="auto"/>
        <w:rPr>
          <w:sz w:val="20"/>
          <w:szCs w:val="20"/>
          <w:color w:val="auto"/>
        </w:rPr>
      </w:pPr>
      <w:r>
        <w:rPr>
          <w:rFonts w:ascii="Arial" w:cs="Arial" w:eastAsia="Arial" w:hAnsi="Arial"/>
          <w:sz w:val="18"/>
          <w:szCs w:val="18"/>
          <w:i w:val="1"/>
          <w:iCs w:val="1"/>
          <w:color w:val="auto"/>
        </w:rPr>
        <w:t xml:space="preserve">Cash Costs </w:t>
      </w:r>
      <w:r>
        <w:rPr>
          <w:rFonts w:ascii="Arial" w:cs="Arial" w:eastAsia="Arial" w:hAnsi="Arial"/>
          <w:sz w:val="18"/>
          <w:szCs w:val="18"/>
          <w:color w:val="auto"/>
        </w:rPr>
        <w:t>represent a non-GAAP financial performance measure of operating expenses which are measured on an accrual basis and</w:t>
      </w:r>
      <w:r>
        <w:rPr>
          <w:rFonts w:ascii="Arial" w:cs="Arial" w:eastAsia="Arial" w:hAnsi="Arial"/>
          <w:sz w:val="18"/>
          <w:szCs w:val="18"/>
          <w:i w:val="1"/>
          <w:iCs w:val="1"/>
          <w:color w:val="auto"/>
        </w:rPr>
        <w:t xml:space="preserve"> </w:t>
      </w:r>
      <w:r>
        <w:rPr>
          <w:rFonts w:ascii="Arial" w:cs="Arial" w:eastAsia="Arial" w:hAnsi="Arial"/>
          <w:sz w:val="18"/>
          <w:szCs w:val="18"/>
          <w:color w:val="auto"/>
        </w:rPr>
        <w:t>settled in cash. This measure is useful to investors in understanding the components of the Company’s cash-settled operating costs. Generally, the Company provides forward-looking guidance of Cash Costs, which can be used by financial statement users to assess the Company's ability to manage and control its operating cost structure. Cash Costs are defined as compensation, newsprint and ink and other operating expenses. Depreciation and amortization, assets loss (gain) on sales, impairments and other, other non-cash operating expenses and other expenses are excluded. Cash Costs also exclude restructuring costs and other, which are typically settled in cash.</w:t>
      </w:r>
    </w:p>
    <w:p>
      <w:pPr>
        <w:spacing w:after="0" w:line="171" w:lineRule="exact"/>
        <w:rPr>
          <w:sz w:val="20"/>
          <w:szCs w:val="20"/>
          <w:color w:val="auto"/>
        </w:rPr>
      </w:pPr>
    </w:p>
    <w:p>
      <w:pPr>
        <w:jc w:val="both"/>
        <w:ind w:left="460" w:right="140"/>
        <w:spacing w:after="0" w:line="245" w:lineRule="auto"/>
        <w:rPr>
          <w:sz w:val="20"/>
          <w:szCs w:val="20"/>
          <w:color w:val="auto"/>
        </w:rPr>
      </w:pPr>
      <w:r>
        <w:rPr>
          <w:rFonts w:ascii="Arial" w:cs="Arial" w:eastAsia="Arial" w:hAnsi="Arial"/>
          <w:sz w:val="18"/>
          <w:szCs w:val="18"/>
          <w:i w:val="1"/>
          <w:iCs w:val="1"/>
          <w:color w:val="auto"/>
        </w:rPr>
        <w:t>Total Operating Revenue Less Cash Costs</w:t>
      </w:r>
      <w:r>
        <w:rPr>
          <w:rFonts w:ascii="Arial" w:cs="Arial" w:eastAsia="Arial" w:hAnsi="Arial"/>
          <w:sz w:val="18"/>
          <w:szCs w:val="18"/>
          <w:color w:val="auto"/>
        </w:rPr>
        <w:t>, or “margin”, represents a non-GAAP financial performance measure of revenue less total</w:t>
      </w:r>
      <w:r>
        <w:rPr>
          <w:rFonts w:ascii="Arial" w:cs="Arial" w:eastAsia="Arial" w:hAnsi="Arial"/>
          <w:sz w:val="18"/>
          <w:szCs w:val="18"/>
          <w:i w:val="1"/>
          <w:iCs w:val="1"/>
          <w:color w:val="auto"/>
        </w:rPr>
        <w:t xml:space="preserve"> </w:t>
      </w:r>
      <w:r>
        <w:rPr>
          <w:rFonts w:ascii="Arial" w:cs="Arial" w:eastAsia="Arial" w:hAnsi="Arial"/>
          <w:sz w:val="18"/>
          <w:szCs w:val="18"/>
          <w:color w:val="auto"/>
        </w:rPr>
        <w:t>cash costs, also a non-GAAP financial measure. This measure is useful to investors in understanding the profitability of the Company after direct cash costs related to the production and delivery of products are paid. Margin is also useful in developing opinions and expectations about the Company’s ability to manage and control its operating cost structure in relation to its peers.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19" w:right="239" w:bottom="1440" w:gutter="0" w:footer="0" w:header="0"/>
        </w:sectPr>
      </w:pPr>
    </w:p>
    <w:bookmarkStart w:id="22" w:name="page23"/>
    <w:bookmarkEnd w:id="22"/>
    <w:p>
      <w:pPr>
        <w:jc w:val="both"/>
        <w:ind w:left="20"/>
        <w:spacing w:after="0" w:line="239" w:lineRule="auto"/>
        <w:rPr>
          <w:sz w:val="20"/>
          <w:szCs w:val="20"/>
          <w:color w:val="auto"/>
        </w:rPr>
      </w:pPr>
      <w:r>
        <w:rPr>
          <w:rFonts w:ascii="Arial" w:cs="Arial" w:eastAsia="Arial" w:hAnsi="Arial"/>
          <w:sz w:val="18"/>
          <w:szCs w:val="18"/>
          <w:color w:val="auto"/>
        </w:rPr>
        <w:t>A table reconciling Adjusted EBITDA to net income, the most directly comparable measure under GAAP, is set forth below under the caption "Reconciliation of Non-GAAP Financial Measures". Reconciliations of adjusted income (loss) and adjusted earnings (loss) per diluted common share to income (loss) attributable to Lee Enterprises, Incorporated and earnings (loss) per diluted common share, respectively, the most directly comparable measures under GAAP, are set forth in Item 7, included herein, under the caption “Net Income and Earnings Per Share”.</w:t>
      </w:r>
    </w:p>
    <w:p>
      <w:pPr>
        <w:spacing w:after="0" w:line="188"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The subtotals of operating expenses representing cash costs and total operating revenue less cash costs can be found in tables in Item 7, included herein, under the caption “Continuing Operations”.</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table below reconciles the non-GAAP financial performance measure of Adjusted EBITDA to net income, the most directly comparable</w:t>
      </w:r>
    </w:p>
    <w:p>
      <w:pPr>
        <w:ind w:left="20"/>
        <w:spacing w:after="0"/>
        <w:rPr>
          <w:sz w:val="20"/>
          <w:szCs w:val="20"/>
          <w:color w:val="auto"/>
        </w:rPr>
      </w:pPr>
      <w:r>
        <w:rPr>
          <w:rFonts w:ascii="Arial" w:cs="Arial" w:eastAsia="Arial" w:hAnsi="Arial"/>
          <w:sz w:val="18"/>
          <w:szCs w:val="18"/>
          <w:color w:val="auto"/>
        </w:rPr>
        <w:t>GAAP measure:</w:t>
      </w: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740" w:type="dxa"/>
            <w:vAlign w:val="bottom"/>
            <w:gridSpan w:val="2"/>
          </w:tcPr>
          <w:p>
            <w:pPr>
              <w:spacing w:after="0"/>
              <w:rPr>
                <w:sz w:val="20"/>
                <w:szCs w:val="20"/>
                <w:color w:val="auto"/>
              </w:rPr>
            </w:pPr>
            <w:r>
              <w:rPr>
                <w:rFonts w:ascii="Arial" w:cs="Arial" w:eastAsia="Arial" w:hAnsi="Arial"/>
                <w:sz w:val="16"/>
                <w:szCs w:val="16"/>
                <w:i w:val="1"/>
                <w:iCs w:val="1"/>
                <w:color w:val="auto"/>
              </w:rPr>
              <w:t>(Thousands of Dollars)</w:t>
            </w:r>
          </w:p>
        </w:tc>
        <w:tc>
          <w:tcPr>
            <w:tcW w:w="2740" w:type="dxa"/>
            <w:vAlign w:val="bottom"/>
          </w:tcPr>
          <w:p>
            <w:pPr>
              <w:jc w:val="right"/>
              <w:ind w:right="490"/>
              <w:spacing w:after="0"/>
              <w:rPr>
                <w:sz w:val="20"/>
                <w:szCs w:val="20"/>
                <w:color w:val="auto"/>
              </w:rPr>
            </w:pPr>
            <w:r>
              <w:rPr>
                <w:rFonts w:ascii="Arial" w:cs="Arial" w:eastAsia="Arial" w:hAnsi="Arial"/>
                <w:sz w:val="18"/>
                <w:szCs w:val="18"/>
                <w:color w:val="auto"/>
              </w:rPr>
              <w:t>2019</w:t>
            </w:r>
          </w:p>
        </w:tc>
        <w:tc>
          <w:tcPr>
            <w:tcW w:w="170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720" w:type="dxa"/>
            <w:vAlign w:val="bottom"/>
            <w:tcBorders>
              <w:top w:val="single" w:sz="8" w:color="auto"/>
            </w:tcBorders>
          </w:tcPr>
          <w:p>
            <w:pPr>
              <w:spacing w:after="0"/>
              <w:rPr>
                <w:sz w:val="17"/>
                <w:szCs w:val="17"/>
                <w:color w:val="auto"/>
              </w:rPr>
            </w:pPr>
          </w:p>
        </w:tc>
        <w:tc>
          <w:tcPr>
            <w:tcW w:w="274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740" w:type="dxa"/>
            <w:vAlign w:val="bottom"/>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rPr>
              <w:t>15,909</w:t>
            </w:r>
          </w:p>
        </w:tc>
        <w:tc>
          <w:tcPr>
            <w:tcW w:w="170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47,048</w:t>
            </w:r>
          </w:p>
        </w:tc>
        <w:tc>
          <w:tcPr>
            <w:tcW w:w="12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28,605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spacing w:after="0" w:line="202" w:lineRule="exact"/>
              <w:rPr>
                <w:sz w:val="20"/>
                <w:szCs w:val="20"/>
                <w:color w:val="auto"/>
              </w:rPr>
            </w:pPr>
            <w:r>
              <w:rPr>
                <w:rFonts w:ascii="Arial" w:cs="Arial" w:eastAsia="Arial" w:hAnsi="Arial"/>
                <w:sz w:val="18"/>
                <w:szCs w:val="18"/>
                <w:color w:val="auto"/>
              </w:rPr>
              <w:t>Adjusted to exclude</w:t>
            </w:r>
          </w:p>
        </w:tc>
        <w:tc>
          <w:tcPr>
            <w:tcW w:w="27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Income tax expense (benefit)</w:t>
            </w:r>
          </w:p>
        </w:tc>
        <w:tc>
          <w:tcPr>
            <w:tcW w:w="2740" w:type="dxa"/>
            <w:vAlign w:val="bottom"/>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rPr>
              <w:t>7,931</w:t>
            </w:r>
          </w:p>
        </w:tc>
        <w:tc>
          <w:tcPr>
            <w:tcW w:w="1700" w:type="dxa"/>
            <w:vAlign w:val="bottom"/>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(16,228)</w:t>
            </w:r>
          </w:p>
        </w:tc>
        <w:tc>
          <w:tcPr>
            <w:tcW w:w="12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11,611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ind w:left="160"/>
              <w:spacing w:after="0" w:line="202" w:lineRule="exact"/>
              <w:rPr>
                <w:sz w:val="20"/>
                <w:szCs w:val="20"/>
                <w:color w:val="auto"/>
              </w:rPr>
            </w:pPr>
            <w:r>
              <w:rPr>
                <w:rFonts w:ascii="Arial" w:cs="Arial" w:eastAsia="Arial" w:hAnsi="Arial"/>
                <w:sz w:val="18"/>
                <w:szCs w:val="18"/>
                <w:color w:val="auto"/>
              </w:rPr>
              <w:t>Non-operating expenses, net</w:t>
            </w:r>
          </w:p>
        </w:tc>
        <w:tc>
          <w:tcPr>
            <w:tcW w:w="274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50,889</w:t>
            </w:r>
          </w:p>
        </w:tc>
        <w:tc>
          <w:tcPr>
            <w:tcW w:w="170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54,873</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48,914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Equity in earnings of TNI and MNI</w:t>
            </w:r>
          </w:p>
        </w:tc>
        <w:tc>
          <w:tcPr>
            <w:tcW w:w="2740" w:type="dxa"/>
            <w:vAlign w:val="bottom"/>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(7,121)</w:t>
            </w:r>
          </w:p>
        </w:tc>
        <w:tc>
          <w:tcPr>
            <w:tcW w:w="1700" w:type="dxa"/>
            <w:vAlign w:val="bottom"/>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(9,249)</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ind w:left="160"/>
              <w:spacing w:after="0" w:line="202" w:lineRule="exact"/>
              <w:rPr>
                <w:sz w:val="20"/>
                <w:szCs w:val="20"/>
                <w:color w:val="auto"/>
              </w:rPr>
            </w:pPr>
            <w:r>
              <w:rPr>
                <w:rFonts w:ascii="Arial" w:cs="Arial" w:eastAsia="Arial" w:hAnsi="Arial"/>
                <w:sz w:val="18"/>
                <w:szCs w:val="18"/>
                <w:color w:val="auto"/>
              </w:rPr>
              <w:t>Assets loss (gain) on sales, impairments and other</w:t>
            </w:r>
          </w:p>
        </w:tc>
        <w:tc>
          <w:tcPr>
            <w:tcW w:w="274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2,464</w:t>
            </w:r>
          </w:p>
        </w:tc>
        <w:tc>
          <w:tcPr>
            <w:tcW w:w="170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6,429</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Depreciation and amortization</w:t>
            </w:r>
          </w:p>
        </w:tc>
        <w:tc>
          <w:tcPr>
            <w:tcW w:w="2740" w:type="dxa"/>
            <w:vAlign w:val="bottom"/>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rPr>
              <w:t>29,332</w:t>
            </w:r>
          </w:p>
        </w:tc>
        <w:tc>
          <w:tcPr>
            <w:tcW w:w="170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31,766</w:t>
            </w:r>
          </w:p>
        </w:tc>
        <w:tc>
          <w:tcPr>
            <w:tcW w:w="12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41,282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ind w:left="160"/>
              <w:spacing w:after="0" w:line="202" w:lineRule="exact"/>
              <w:rPr>
                <w:sz w:val="20"/>
                <w:szCs w:val="20"/>
                <w:color w:val="auto"/>
              </w:rPr>
            </w:pPr>
            <w:r>
              <w:rPr>
                <w:rFonts w:ascii="Arial" w:cs="Arial" w:eastAsia="Arial" w:hAnsi="Arial"/>
                <w:sz w:val="18"/>
                <w:szCs w:val="18"/>
                <w:color w:val="auto"/>
              </w:rPr>
              <w:t>Restructuring costs and other</w:t>
            </w:r>
          </w:p>
        </w:tc>
        <w:tc>
          <w:tcPr>
            <w:tcW w:w="274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11,635</w:t>
            </w:r>
          </w:p>
        </w:tc>
        <w:tc>
          <w:tcPr>
            <w:tcW w:w="170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5,550</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7,523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Stock compensation</w:t>
            </w:r>
          </w:p>
        </w:tc>
        <w:tc>
          <w:tcPr>
            <w:tcW w:w="2740" w:type="dxa"/>
            <w:vAlign w:val="bottom"/>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rPr>
              <w:t>1,638</w:t>
            </w:r>
          </w:p>
        </w:tc>
        <w:tc>
          <w:tcPr>
            <w:tcW w:w="170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1,857</w:t>
            </w:r>
          </w:p>
        </w:tc>
        <w:tc>
          <w:tcPr>
            <w:tcW w:w="12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spacing w:after="0" w:line="202" w:lineRule="exact"/>
              <w:rPr>
                <w:sz w:val="20"/>
                <w:szCs w:val="20"/>
                <w:color w:val="auto"/>
              </w:rPr>
            </w:pPr>
            <w:r>
              <w:rPr>
                <w:rFonts w:ascii="Arial" w:cs="Arial" w:eastAsia="Arial" w:hAnsi="Arial"/>
                <w:sz w:val="18"/>
                <w:szCs w:val="18"/>
                <w:color w:val="auto"/>
              </w:rPr>
              <w:t>Add:</w:t>
            </w:r>
          </w:p>
        </w:tc>
        <w:tc>
          <w:tcPr>
            <w:tcW w:w="27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Borders>
              <w:bottom w:val="single" w:sz="8" w:color="auto"/>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Ownership share of TNI and MNI EBITDA (50%)</w:t>
            </w:r>
          </w:p>
        </w:tc>
        <w:tc>
          <w:tcPr>
            <w:tcW w:w="2740" w:type="dxa"/>
            <w:vAlign w:val="bottom"/>
            <w:tcBorders>
              <w:bottom w:val="single" w:sz="8" w:color="auto"/>
            </w:tcBorders>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rPr>
              <w:t>8,811</w:t>
            </w:r>
          </w:p>
        </w:tc>
        <w:tc>
          <w:tcPr>
            <w:tcW w:w="1700" w:type="dxa"/>
            <w:vAlign w:val="bottom"/>
            <w:tcBorders>
              <w:bottom w:val="single" w:sz="8" w:color="auto"/>
            </w:tcBorders>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9,883</w:t>
            </w:r>
          </w:p>
        </w:tc>
        <w:tc>
          <w:tcPr>
            <w:tcW w:w="12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9,927</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7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Adjusted EBITDA</w:t>
            </w:r>
          </w:p>
        </w:tc>
        <w:tc>
          <w:tcPr>
            <w:tcW w:w="274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color w:val="auto"/>
              </w:rPr>
              <w:t>121,488</w:t>
            </w:r>
          </w:p>
        </w:tc>
        <w:tc>
          <w:tcPr>
            <w:tcW w:w="170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131,929</w:t>
            </w:r>
          </w:p>
        </w:tc>
        <w:tc>
          <w:tcPr>
            <w:tcW w:w="1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141,191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CRITICAL ACCOUNTING POLICIES</w:t>
      </w:r>
    </w:p>
    <w:p>
      <w:pPr>
        <w:spacing w:after="0" w:line="220" w:lineRule="exact"/>
        <w:rPr>
          <w:sz w:val="20"/>
          <w:szCs w:val="20"/>
          <w:color w:val="auto"/>
        </w:rPr>
      </w:pPr>
    </w:p>
    <w:p>
      <w:pPr>
        <w:jc w:val="both"/>
        <w:ind w:left="20"/>
        <w:spacing w:after="0" w:line="238"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about future events that affect the amounts reported in the financial statements and accompanying notes. Actual results could differ significantly from those estimates. We believe the following discussion addresses our most critical accounting policies, which are those that are important to the presentation of our financial condition and results of operations and require management's most subjective and complex judgments.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Intangible Assets, Other Than Goodwill</w:t>
      </w:r>
    </w:p>
    <w:p>
      <w:pPr>
        <w:spacing w:after="0" w:line="220"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Local mastheads (e.g., publishing periodical titles and web site domain names) are not subject to amortization. Non-amortized intangible assets are tested for impairment annually on the first day of the fourth fiscal quarter or more frequently if events or changes in circumstances suggest the asset might be impaired.</w:t>
      </w:r>
    </w:p>
    <w:p>
      <w:pPr>
        <w:spacing w:after="0" w:line="189" w:lineRule="exact"/>
        <w:rPr>
          <w:sz w:val="20"/>
          <w:szCs w:val="20"/>
          <w:color w:val="auto"/>
        </w:rPr>
      </w:pPr>
    </w:p>
    <w:p>
      <w:pPr>
        <w:jc w:val="both"/>
        <w:ind w:left="20"/>
        <w:spacing w:after="0" w:line="237" w:lineRule="auto"/>
        <w:rPr>
          <w:sz w:val="20"/>
          <w:szCs w:val="20"/>
          <w:color w:val="auto"/>
        </w:rPr>
      </w:pPr>
      <w:r>
        <w:rPr>
          <w:rFonts w:ascii="Arial" w:cs="Arial" w:eastAsia="Arial" w:hAnsi="Arial"/>
          <w:sz w:val="18"/>
          <w:szCs w:val="18"/>
          <w:color w:val="auto"/>
        </w:rPr>
        <w:t>The quantitative impairment test consists of comparing the fair value of each masthead or domain name with its carrying amount. We use a relief from royalty approach which utilizes a discounted cash flow model to determine the fair value of each masthead, domain name, or trade name. Management's judgments and estimates of future operating results in determining the intangibles fair values are consistently applied to each underlying business in determining the fair value of each intangible asset. No impairment was recorded in 2019 or 2018. In 2017, we recognized impairment charges of $2.0 million. These charges were to bring the recorded indefinite lived intangibles equal to their implied fair values based on future projections.</w:t>
      </w:r>
    </w:p>
    <w:p>
      <w:pPr>
        <w:spacing w:after="0" w:line="192" w:lineRule="exact"/>
        <w:rPr>
          <w:sz w:val="20"/>
          <w:szCs w:val="20"/>
          <w:color w:val="auto"/>
        </w:rPr>
      </w:pPr>
    </w:p>
    <w:p>
      <w:pPr>
        <w:jc w:val="both"/>
        <w:ind w:left="20"/>
        <w:spacing w:after="0" w:line="238" w:lineRule="auto"/>
        <w:rPr>
          <w:sz w:val="20"/>
          <w:szCs w:val="20"/>
          <w:color w:val="auto"/>
        </w:rPr>
      </w:pPr>
      <w:r>
        <w:rPr>
          <w:rFonts w:ascii="Arial" w:cs="Arial" w:eastAsia="Arial" w:hAnsi="Arial"/>
          <w:sz w:val="18"/>
          <w:szCs w:val="18"/>
          <w:color w:val="auto"/>
        </w:rPr>
        <w:t>Our amortizable intangible assets consist mainly of customer relationships including subscriber lists and advertiser relationships. These asset values are amortized systematically over their estimated useful lives. Intangible assets subject to amortization are tested for recoverability whenever events or changes in circumstances indicate that their carrying amounts may not be recoverable. The carrying amount of each asset group is not recoverable if it exceeds the sum of the undiscounted cash flows expected to result from the use of such asset group. There were no indicators of impairment on intangible assets subject to amortization in 2019, 2018 or 2017.</w:t>
      </w:r>
    </w:p>
    <w:p>
      <w:pPr>
        <w:spacing w:after="0" w:line="189" w:lineRule="exact"/>
        <w:rPr>
          <w:sz w:val="20"/>
          <w:szCs w:val="20"/>
          <w:color w:val="auto"/>
        </w:rPr>
      </w:pPr>
    </w:p>
    <w:p>
      <w:pPr>
        <w:jc w:val="both"/>
        <w:ind w:left="20" w:right="20"/>
        <w:spacing w:after="0" w:line="246" w:lineRule="auto"/>
        <w:rPr>
          <w:sz w:val="20"/>
          <w:szCs w:val="20"/>
          <w:color w:val="auto"/>
        </w:rPr>
      </w:pPr>
      <w:r>
        <w:rPr>
          <w:rFonts w:ascii="Arial" w:cs="Arial" w:eastAsia="Arial" w:hAnsi="Arial"/>
          <w:sz w:val="18"/>
          <w:szCs w:val="18"/>
          <w:color w:val="auto"/>
        </w:rPr>
        <w:t>Future decreases in our market value, or significant differences in revenue, expenses or cash flows from estimates used to determine fair value, could result in additional impairment charges in the future.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66040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598" w:right="2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Pension, Postretirement and Postemployment Benefit Plans</w:t>
      </w:r>
    </w:p>
    <w:p>
      <w:pPr>
        <w:spacing w:after="0" w:line="220" w:lineRule="exact"/>
        <w:rPr>
          <w:sz w:val="20"/>
          <w:szCs w:val="20"/>
          <w:color w:val="auto"/>
        </w:rPr>
      </w:pPr>
    </w:p>
    <w:p>
      <w:pPr>
        <w:jc w:val="both"/>
        <w:ind w:left="20" w:right="20"/>
        <w:spacing w:after="0" w:line="246" w:lineRule="auto"/>
        <w:rPr>
          <w:sz w:val="20"/>
          <w:szCs w:val="20"/>
          <w:color w:val="auto"/>
        </w:rPr>
      </w:pPr>
      <w:r>
        <w:rPr>
          <w:rFonts w:ascii="Arial" w:cs="Arial" w:eastAsia="Arial" w:hAnsi="Arial"/>
          <w:sz w:val="18"/>
          <w:szCs w:val="18"/>
          <w:color w:val="auto"/>
        </w:rPr>
        <w:t>We, along with our subsidiaries, have various defined benefit retirement plans, postretirement plans and postemployment plans, under which substantially all of the benefits have been frozen in previous years.</w:t>
      </w:r>
    </w:p>
    <w:p>
      <w:pPr>
        <w:spacing w:after="0" w:line="183" w:lineRule="exact"/>
        <w:rPr>
          <w:sz w:val="20"/>
          <w:szCs w:val="20"/>
          <w:color w:val="auto"/>
        </w:rPr>
      </w:pPr>
    </w:p>
    <w:p>
      <w:pPr>
        <w:jc w:val="both"/>
        <w:ind w:left="20"/>
        <w:spacing w:after="0" w:line="238" w:lineRule="auto"/>
        <w:rPr>
          <w:sz w:val="20"/>
          <w:szCs w:val="20"/>
          <w:color w:val="auto"/>
        </w:rPr>
      </w:pPr>
      <w:r>
        <w:rPr>
          <w:rFonts w:ascii="Arial" w:cs="Arial" w:eastAsia="Arial" w:hAnsi="Arial"/>
          <w:sz w:val="18"/>
          <w:szCs w:val="18"/>
          <w:color w:val="auto"/>
        </w:rPr>
        <w:t>We account for our pension, postretirement and postemployment plans in accordance with the applicable accounting guidance, which requires us to include the funded status of our pension plans in our balance sheets and to recognize, as a component of other comprehensive income (loss), the gains or losses that arise during the period but are not recognized in pension expense. The service cost component of net period benefit cost is reported on the Consolidated Statements of Income and Comprehensive Income and included in Compensation while all other components are included in other non-operating income/expense.</w:t>
      </w:r>
    </w:p>
    <w:p>
      <w:pPr>
        <w:spacing w:after="0" w:line="189"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The determination of pension and postretirement plan obligations and expense is based on a number of actuarial assumptions. Two critical assumptions are the discount rates applied to pension and postretirement plan obligations and the expected long-term rate of return on plan assets.</w:t>
      </w:r>
    </w:p>
    <w:p>
      <w:pPr>
        <w:spacing w:after="0" w:line="189" w:lineRule="exact"/>
        <w:rPr>
          <w:sz w:val="20"/>
          <w:szCs w:val="20"/>
          <w:color w:val="auto"/>
        </w:rPr>
      </w:pPr>
    </w:p>
    <w:p>
      <w:pPr>
        <w:jc w:val="both"/>
        <w:ind w:left="20"/>
        <w:spacing w:after="0" w:line="238" w:lineRule="auto"/>
        <w:rPr>
          <w:sz w:val="20"/>
          <w:szCs w:val="20"/>
          <w:color w:val="auto"/>
        </w:rPr>
      </w:pPr>
      <w:r>
        <w:rPr>
          <w:rFonts w:ascii="Arial" w:cs="Arial" w:eastAsia="Arial" w:hAnsi="Arial"/>
          <w:sz w:val="18"/>
          <w:szCs w:val="18"/>
          <w:color w:val="auto"/>
        </w:rPr>
        <w:t>The discount rate assumption is based on investment yields available at year-end on corporate bonds rated AA and above with a maturity to match the expected benefit payment stream. To determine the expected long-term rate of return on pension plan assets, we consider the current and expected asset allocations, as well as historical and expected returns on various categories of plan assets, input from the actuaries and investment consultants and long- term inflation assumptions. We used an assumption of 5.5% for 2019 for our expected return on pension plan assets and a 4.5% for 2019 for our postretirement and postemployment benefits.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60" w:type="dxa"/>
            <w:vAlign w:val="bottom"/>
            <w:gridSpan w:val="2"/>
          </w:tcPr>
          <w:p>
            <w:pPr>
              <w:spacing w:after="0"/>
              <w:rPr>
                <w:sz w:val="20"/>
                <w:szCs w:val="20"/>
                <w:color w:val="auto"/>
              </w:rPr>
            </w:pPr>
            <w:r>
              <w:rPr>
                <w:rFonts w:ascii="Arial" w:cs="Arial" w:eastAsia="Arial" w:hAnsi="Arial"/>
                <w:sz w:val="18"/>
                <w:szCs w:val="18"/>
                <w:color w:val="auto"/>
              </w:rPr>
              <w:t>The following table illustrates the sensitivity to a 50 basis point change in:</w:t>
            </w:r>
          </w:p>
        </w:tc>
        <w:tc>
          <w:tcPr>
            <w:tcW w:w="8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391"/>
        </w:trPr>
        <w:tc>
          <w:tcPr>
            <w:tcW w:w="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jc w:val="center"/>
              <w:ind w:right="150"/>
              <w:spacing w:after="0"/>
              <w:rPr>
                <w:sz w:val="20"/>
                <w:szCs w:val="20"/>
                <w:color w:val="auto"/>
              </w:rPr>
            </w:pPr>
            <w:r>
              <w:rPr>
                <w:rFonts w:ascii="Arial" w:cs="Arial" w:eastAsia="Arial" w:hAnsi="Arial"/>
                <w:sz w:val="18"/>
                <w:szCs w:val="18"/>
                <w:color w:val="auto"/>
                <w:w w:val="99"/>
              </w:rPr>
              <w:t>Effect on September</w:t>
            </w:r>
          </w:p>
        </w:tc>
      </w:tr>
      <w:tr>
        <w:trPr>
          <w:trHeight w:val="203"/>
        </w:trPr>
        <w:tc>
          <w:tcPr>
            <w:tcW w:w="20" w:type="dxa"/>
            <w:vAlign w:val="bottom"/>
          </w:tcPr>
          <w:p>
            <w:pPr>
              <w:spacing w:after="0"/>
              <w:rPr>
                <w:sz w:val="17"/>
                <w:szCs w:val="17"/>
                <w:color w:val="auto"/>
              </w:rPr>
            </w:pPr>
          </w:p>
        </w:tc>
        <w:tc>
          <w:tcPr>
            <w:tcW w:w="6740" w:type="dxa"/>
            <w:vAlign w:val="bottom"/>
          </w:tcPr>
          <w:p>
            <w:pPr>
              <w:spacing w:after="0"/>
              <w:rPr>
                <w:sz w:val="17"/>
                <w:szCs w:val="17"/>
                <w:color w:val="auto"/>
              </w:rPr>
            </w:pPr>
          </w:p>
        </w:tc>
        <w:tc>
          <w:tcPr>
            <w:tcW w:w="25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Effect on 2019 Pension</w:t>
            </w:r>
          </w:p>
        </w:tc>
        <w:tc>
          <w:tcPr>
            <w:tcW w:w="220" w:type="dxa"/>
            <w:vAlign w:val="bottom"/>
          </w:tcPr>
          <w:p>
            <w:pPr>
              <w:spacing w:after="0"/>
              <w:rPr>
                <w:sz w:val="17"/>
                <w:szCs w:val="17"/>
                <w:color w:val="auto"/>
              </w:rPr>
            </w:pPr>
          </w:p>
        </w:tc>
        <w:tc>
          <w:tcPr>
            <w:tcW w:w="1920" w:type="dxa"/>
            <w:vAlign w:val="bottom"/>
          </w:tcPr>
          <w:p>
            <w:pPr>
              <w:jc w:val="center"/>
              <w:ind w:right="130"/>
              <w:spacing w:after="0" w:line="202" w:lineRule="exact"/>
              <w:rPr>
                <w:sz w:val="20"/>
                <w:szCs w:val="20"/>
                <w:color w:val="auto"/>
              </w:rPr>
            </w:pPr>
            <w:r>
              <w:rPr>
                <w:rFonts w:ascii="Arial" w:cs="Arial" w:eastAsia="Arial" w:hAnsi="Arial"/>
                <w:sz w:val="18"/>
                <w:szCs w:val="18"/>
                <w:color w:val="auto"/>
                <w:w w:val="99"/>
              </w:rPr>
              <w:t>29, 2019</w:t>
            </w:r>
          </w:p>
        </w:tc>
      </w:tr>
      <w:tr>
        <w:trPr>
          <w:trHeight w:val="203"/>
        </w:trPr>
        <w:tc>
          <w:tcPr>
            <w:tcW w:w="20" w:type="dxa"/>
            <w:vAlign w:val="bottom"/>
          </w:tcPr>
          <w:p>
            <w:pPr>
              <w:spacing w:after="0"/>
              <w:rPr>
                <w:sz w:val="17"/>
                <w:szCs w:val="17"/>
                <w:color w:val="auto"/>
              </w:rPr>
            </w:pPr>
          </w:p>
        </w:tc>
        <w:tc>
          <w:tcPr>
            <w:tcW w:w="67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650"/>
              <w:spacing w:after="0" w:line="203" w:lineRule="exact"/>
              <w:rPr>
                <w:sz w:val="20"/>
                <w:szCs w:val="20"/>
                <w:color w:val="auto"/>
              </w:rPr>
            </w:pPr>
            <w:r>
              <w:rPr>
                <w:rFonts w:ascii="Arial" w:cs="Arial" w:eastAsia="Arial" w:hAnsi="Arial"/>
                <w:sz w:val="18"/>
                <w:szCs w:val="18"/>
                <w:color w:val="auto"/>
              </w:rPr>
              <w:t>Expense</w:t>
            </w:r>
          </w:p>
        </w:tc>
        <w:tc>
          <w:tcPr>
            <w:tcW w:w="2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center"/>
              <w:ind w:right="150"/>
              <w:spacing w:after="0" w:line="203" w:lineRule="exact"/>
              <w:rPr>
                <w:sz w:val="20"/>
                <w:szCs w:val="20"/>
                <w:color w:val="auto"/>
              </w:rPr>
            </w:pPr>
            <w:r>
              <w:rPr>
                <w:rFonts w:ascii="Arial" w:cs="Arial" w:eastAsia="Arial" w:hAnsi="Arial"/>
                <w:sz w:val="18"/>
                <w:szCs w:val="18"/>
                <w:color w:val="auto"/>
                <w:w w:val="99"/>
              </w:rPr>
              <w:t>Liability</w:t>
            </w:r>
          </w:p>
        </w:tc>
      </w:tr>
      <w:tr>
        <w:trPr>
          <w:trHeight w:val="196"/>
        </w:trPr>
        <w:tc>
          <w:tcPr>
            <w:tcW w:w="20" w:type="dxa"/>
            <w:vAlign w:val="bottom"/>
          </w:tcPr>
          <w:p>
            <w:pPr>
              <w:spacing w:after="0"/>
              <w:rPr>
                <w:sz w:val="17"/>
                <w:szCs w:val="17"/>
                <w:color w:val="auto"/>
              </w:rPr>
            </w:pPr>
          </w:p>
        </w:tc>
        <w:tc>
          <w:tcPr>
            <w:tcW w:w="6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Pension discount rate(1)</w:t>
            </w:r>
          </w:p>
        </w:tc>
        <w:tc>
          <w:tcPr>
            <w:tcW w:w="840" w:type="dxa"/>
            <w:vAlign w:val="bottom"/>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11,200,000</w:t>
            </w:r>
          </w:p>
        </w:tc>
      </w:tr>
      <w:tr>
        <w:trPr>
          <w:trHeight w:val="203"/>
        </w:trPr>
        <w:tc>
          <w:tcPr>
            <w:tcW w:w="20" w:type="dxa"/>
            <w:vAlign w:val="bottom"/>
          </w:tcPr>
          <w:p>
            <w:pPr>
              <w:spacing w:after="0"/>
              <w:rPr>
                <w:sz w:val="17"/>
                <w:szCs w:val="17"/>
                <w:color w:val="auto"/>
              </w:rPr>
            </w:pPr>
          </w:p>
        </w:tc>
        <w:tc>
          <w:tcPr>
            <w:tcW w:w="6740" w:type="dxa"/>
            <w:vAlign w:val="bottom"/>
          </w:tcPr>
          <w:p>
            <w:pPr>
              <w:spacing w:after="0" w:line="202" w:lineRule="exact"/>
              <w:rPr>
                <w:sz w:val="20"/>
                <w:szCs w:val="20"/>
                <w:color w:val="auto"/>
              </w:rPr>
            </w:pPr>
            <w:r>
              <w:rPr>
                <w:rFonts w:ascii="Arial" w:cs="Arial" w:eastAsia="Arial" w:hAnsi="Arial"/>
                <w:sz w:val="18"/>
                <w:szCs w:val="18"/>
                <w:color w:val="auto"/>
              </w:rPr>
              <w:t>Postretirement and postemployment benefits discount rate(1)</w:t>
            </w:r>
          </w:p>
        </w:tc>
        <w:tc>
          <w:tcPr>
            <w:tcW w:w="8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7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500,000</w:t>
            </w: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Pension expected rate of return on assets</w:t>
            </w:r>
          </w:p>
        </w:tc>
        <w:tc>
          <w:tcPr>
            <w:tcW w:w="84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710,000</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Borders>
              <w:bottom w:val="single" w:sz="8" w:color="auto"/>
            </w:tcBorders>
          </w:tcPr>
          <w:p>
            <w:pPr>
              <w:spacing w:after="0"/>
              <w:rPr>
                <w:sz w:val="17"/>
                <w:szCs w:val="17"/>
                <w:color w:val="auto"/>
              </w:rPr>
            </w:pPr>
          </w:p>
        </w:tc>
        <w:tc>
          <w:tcPr>
            <w:tcW w:w="67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Postretirement and postemployment benefits expected rate of return on assets</w:t>
            </w:r>
          </w:p>
        </w:tc>
        <w:tc>
          <w:tcPr>
            <w:tcW w:w="84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118,000</w:t>
            </w:r>
          </w:p>
        </w:tc>
        <w:tc>
          <w:tcPr>
            <w:tcW w:w="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r>
    </w:tbl>
    <w:p>
      <w:pPr>
        <w:spacing w:after="0" w:line="204" w:lineRule="exact"/>
        <w:rPr>
          <w:sz w:val="20"/>
          <w:szCs w:val="20"/>
          <w:color w:val="auto"/>
        </w:rPr>
      </w:pPr>
    </w:p>
    <w:p>
      <w:pPr>
        <w:ind w:left="680" w:right="200" w:hanging="328"/>
        <w:spacing w:after="0" w:line="260" w:lineRule="auto"/>
        <w:tabs>
          <w:tab w:leader="none" w:pos="6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Company's Pension and Other Postretirement Plans have been frozen as of September 29, 2019. As a result, changes in discount rates do not meaningfully impact net periodic pension expense.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Income Taxes</w:t>
      </w:r>
    </w:p>
    <w:p>
      <w:pPr>
        <w:spacing w:after="0" w:line="220" w:lineRule="exact"/>
        <w:rPr>
          <w:sz w:val="20"/>
          <w:szCs w:val="20"/>
          <w:color w:val="auto"/>
        </w:rPr>
      </w:pPr>
    </w:p>
    <w:p>
      <w:pPr>
        <w:jc w:val="both"/>
        <w:ind w:left="20"/>
        <w:spacing w:after="0" w:line="239" w:lineRule="auto"/>
        <w:rPr>
          <w:sz w:val="20"/>
          <w:szCs w:val="20"/>
          <w:color w:val="auto"/>
        </w:rPr>
      </w:pPr>
      <w:r>
        <w:rPr>
          <w:rFonts w:ascii="Arial" w:cs="Arial" w:eastAsia="Arial" w:hAnsi="Arial"/>
          <w:sz w:val="18"/>
          <w:szCs w:val="18"/>
          <w:color w:val="auto"/>
        </w:rPr>
        <w:t>We are subject to income taxes in the U.S. and record our tax provision for the anticipated tax consequences in our reported results of operations. Tax laws are complex and subject to different interpretations by the taxpayer and respective government taxing authorities. Significant management judgment is required in determining our provision for income taxes, deferred tax assets and liabilities, and the valuation allowance recorded against our net deferred tax assets, if any.</w:t>
      </w:r>
    </w:p>
    <w:p>
      <w:pPr>
        <w:spacing w:after="0" w:line="188"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Our current and deferred income tax provisions are calculated based on estimates and assumptions that could differ from the actual results reflected in income tax returns filed during the subsequent year. These estimates are reviewed and adjusted, if needed, throughout the year. Adjustments between our estimates and the actual results of filed returns are recorded when identified.</w:t>
      </w:r>
    </w:p>
    <w:p>
      <w:pPr>
        <w:spacing w:after="0" w:line="189" w:lineRule="exact"/>
        <w:rPr>
          <w:sz w:val="20"/>
          <w:szCs w:val="20"/>
          <w:color w:val="auto"/>
        </w:rPr>
      </w:pPr>
    </w:p>
    <w:p>
      <w:pPr>
        <w:jc w:val="both"/>
        <w:ind w:left="20"/>
        <w:spacing w:after="0" w:line="237" w:lineRule="auto"/>
        <w:rPr>
          <w:sz w:val="20"/>
          <w:szCs w:val="20"/>
          <w:color w:val="auto"/>
        </w:rPr>
      </w:pPr>
      <w:r>
        <w:rPr>
          <w:rFonts w:ascii="Arial" w:cs="Arial" w:eastAsia="Arial" w:hAnsi="Arial"/>
          <w:sz w:val="18"/>
          <w:szCs w:val="18"/>
          <w:color w:val="auto"/>
        </w:rPr>
        <w:t>Deferred tax assets and liabilities are determined based on the difference between the financial statement and tax basis of assets and liabilities using currently enacted tax rates. Deferred income tax assets are recognized for deductible temporary differences and loss carryforwards and deferred income tax liabilities are recognized for taxable temporary differences. Temporary differences are the difference between the reported amounts of assets and liabilities and their tax basis. Deferred income tax assets are reduced by a valuation allowance when, in our opinion, it is more likely than not that some portion or all of the deferred income tax assets will not be realized. Deferred income tax assets and liabilities are adjusted for the effects of changes in tax laws and rates on the date of enactment.</w:t>
      </w:r>
    </w:p>
    <w:p>
      <w:pPr>
        <w:spacing w:after="0" w:line="192" w:lineRule="exact"/>
        <w:rPr>
          <w:sz w:val="20"/>
          <w:szCs w:val="20"/>
          <w:color w:val="auto"/>
        </w:rPr>
      </w:pPr>
    </w:p>
    <w:p>
      <w:pPr>
        <w:jc w:val="both"/>
        <w:ind w:left="20"/>
        <w:spacing w:after="0" w:line="239" w:lineRule="auto"/>
        <w:rPr>
          <w:sz w:val="20"/>
          <w:szCs w:val="20"/>
          <w:color w:val="auto"/>
        </w:rPr>
      </w:pPr>
      <w:r>
        <w:rPr>
          <w:rFonts w:ascii="Arial" w:cs="Arial" w:eastAsia="Arial" w:hAnsi="Arial"/>
          <w:sz w:val="18"/>
          <w:szCs w:val="18"/>
          <w:color w:val="auto"/>
        </w:rPr>
        <w:t>We recognize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We record interest and penalties related to unrecognized tax benefits as a component of income tax expense.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66040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576"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IMPACT OF RECENTLY ISSUED ACCOUNTING STANDARDS</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February 2016, the FASB issued a new standard for the accounting treatment of leases. The new standard is based on the principle that entities should recognize assets and liabilities arising from leases. The new standard's primary change is the requirement for entities to recognize a lease liability for payments and a right of use asset representing the right to use the leased asset during the term on most operating lease arrangements. Lessees are permitted to make an accounting policy election to not recognize the asset and liability for leases with a term of twelve months or less. In addition, the new standard expands the disclosure requirements of lease arrangements. Lessees have the option to use a modified retrospective transition approach, which includes a number of practical expedients. As a result of utilizing the modified retrospective transition approach, we will not restate prior year financial statements to conform to the new guidance. We expect to elect the package of practical expedients, which permits the Company to not reassess under the new standard the prior conclusions about lease identification, lease classification, or initial direct costs. In addition, we will not reassess whether existing land easements which were previously not accounted for as leases are or contain leases under the new guidance.</w:t>
      </w:r>
    </w:p>
    <w:p>
      <w:pPr>
        <w:spacing w:after="0" w:line="19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To date, we reviewed all existing leases and contracts, completed data entry for in-scope leases into our selected software solution which is compatible with our current financial reporting and control environment and quantified a range of expected financial impacts. We are required to and will adopt the new standard effective September 30, 2019, the first day of fiscal year 2020. We expect to recognize upon adoption, lease liabilities and right of use assets ranging from $9,600,000 to $12,600,000. Right-of-use assets have been adjusted for lease incentives and initial direct costs. We are still evaluating for potential embedded leases relating to our outsourced printing contracts, which could result in material additional lease obligations and right-of-use assets. We do not expect the adoption of the new standard will have a material impact on our Consolidated Statements of Income or Consolidated Statement of Cash Flows.</w:t>
      </w:r>
    </w:p>
    <w:p>
      <w:pPr>
        <w:spacing w:after="0" w:line="19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June 2016, the FASB issued a new standard to replace the incurred loss impairment methodology under current GAAP with a methodology that reflects expected credit losses and requires consideration of a wider array of reasonable and supportable information to inform and develop credit loss estimates. We will be required to use a forward-looking expected credit loss model for both accounts receivables and other financial instruments. The new standard will be adopted beginning September 29, 2020 using a modified retrospective approach through a cumulative-effect adjustment to retained earnings as of the effective date to align our credit loss methodology with the new standard. We are currently evaluating the impact of this standard on our consolidated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5" w:name="page26"/>
    <w:bookmarkEnd w:id="25"/>
    <w:p>
      <w:pPr>
        <w:ind w:left="20"/>
        <w:spacing w:after="0"/>
        <w:rPr>
          <w:sz w:val="20"/>
          <w:szCs w:val="20"/>
          <w:color w:val="auto"/>
        </w:rPr>
      </w:pPr>
      <w:r>
        <w:rPr>
          <w:rFonts w:ascii="Arial" w:cs="Arial" w:eastAsia="Arial" w:hAnsi="Arial"/>
          <w:sz w:val="18"/>
          <w:szCs w:val="18"/>
          <w:b w:val="1"/>
          <w:bCs w:val="1"/>
          <w:color w:val="auto"/>
        </w:rPr>
        <w:t>CONTINUING OPERATIONS</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results, as reported in the Consolidated Financial Statements, are summarized below:</w:t>
      </w:r>
    </w:p>
    <w:p>
      <w:pPr>
        <w:spacing w:after="0" w:line="38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8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Percent</w:t>
            </w:r>
          </w:p>
        </w:tc>
        <w:tc>
          <w:tcPr>
            <w:tcW w:w="13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Percent</w:t>
            </w:r>
          </w:p>
        </w:tc>
        <w:tc>
          <w:tcPr>
            <w:tcW w:w="0" w:type="dxa"/>
            <w:vAlign w:val="bottom"/>
          </w:tcPr>
          <w:p>
            <w:pPr>
              <w:spacing w:after="0"/>
              <w:rPr>
                <w:sz w:val="1"/>
                <w:szCs w:val="1"/>
                <w:color w:val="auto"/>
              </w:rPr>
            </w:pPr>
          </w:p>
        </w:tc>
      </w:tr>
      <w:tr>
        <w:trPr>
          <w:trHeight w:val="203"/>
        </w:trPr>
        <w:tc>
          <w:tcPr>
            <w:tcW w:w="4860" w:type="dxa"/>
            <w:vAlign w:val="bottom"/>
            <w:gridSpan w:val="2"/>
          </w:tcPr>
          <w:p>
            <w:pPr>
              <w:spacing w:after="0"/>
              <w:rPr>
                <w:sz w:val="20"/>
                <w:szCs w:val="20"/>
                <w:color w:val="auto"/>
              </w:rPr>
            </w:pPr>
            <w:r>
              <w:rPr>
                <w:rFonts w:ascii="Arial" w:cs="Arial" w:eastAsia="Arial" w:hAnsi="Arial"/>
                <w:sz w:val="16"/>
                <w:szCs w:val="16"/>
                <w:i w:val="1"/>
                <w:iCs w:val="1"/>
                <w:color w:val="auto"/>
              </w:rPr>
              <w:t>(Thousands of Dollars and Shares, Except Per Share Data)</w:t>
            </w:r>
          </w:p>
        </w:tc>
        <w:tc>
          <w:tcPr>
            <w:tcW w:w="1400" w:type="dxa"/>
            <w:vAlign w:val="bottom"/>
          </w:tcPr>
          <w:p>
            <w:pPr>
              <w:jc w:val="right"/>
              <w:ind w:right="310"/>
              <w:spacing w:after="0" w:line="203" w:lineRule="exact"/>
              <w:rPr>
                <w:sz w:val="20"/>
                <w:szCs w:val="20"/>
                <w:color w:val="auto"/>
              </w:rPr>
            </w:pPr>
            <w:r>
              <w:rPr>
                <w:rFonts w:ascii="Arial" w:cs="Arial" w:eastAsia="Arial" w:hAnsi="Arial"/>
                <w:sz w:val="18"/>
                <w:szCs w:val="18"/>
                <w:color w:val="auto"/>
              </w:rPr>
              <w:t>2019</w:t>
            </w:r>
          </w:p>
        </w:tc>
        <w:tc>
          <w:tcPr>
            <w:tcW w:w="1400" w:type="dxa"/>
            <w:vAlign w:val="bottom"/>
          </w:tcPr>
          <w:p>
            <w:pPr>
              <w:jc w:val="right"/>
              <w:ind w:right="310"/>
              <w:spacing w:after="0" w:line="203" w:lineRule="exact"/>
              <w:rPr>
                <w:sz w:val="20"/>
                <w:szCs w:val="20"/>
                <w:color w:val="auto"/>
              </w:rPr>
            </w:pPr>
            <w:r>
              <w:rPr>
                <w:rFonts w:ascii="Arial" w:cs="Arial" w:eastAsia="Arial" w:hAnsi="Arial"/>
                <w:sz w:val="18"/>
                <w:szCs w:val="18"/>
                <w:color w:val="auto"/>
              </w:rPr>
              <w:t>2018</w:t>
            </w:r>
          </w:p>
        </w:tc>
        <w:tc>
          <w:tcPr>
            <w:tcW w:w="1340" w:type="dxa"/>
            <w:vAlign w:val="bottom"/>
          </w:tcPr>
          <w:p>
            <w:pPr>
              <w:jc w:val="right"/>
              <w:ind w:right="290"/>
              <w:spacing w:after="0" w:line="203" w:lineRule="exact"/>
              <w:rPr>
                <w:sz w:val="20"/>
                <w:szCs w:val="20"/>
                <w:color w:val="auto"/>
              </w:rPr>
            </w:pPr>
            <w:r>
              <w:rPr>
                <w:rFonts w:ascii="Arial" w:cs="Arial" w:eastAsia="Arial" w:hAnsi="Arial"/>
                <w:sz w:val="18"/>
                <w:szCs w:val="18"/>
                <w:color w:val="auto"/>
              </w:rPr>
              <w:t>Change</w:t>
            </w:r>
          </w:p>
        </w:tc>
        <w:tc>
          <w:tcPr>
            <w:tcW w:w="1360" w:type="dxa"/>
            <w:vAlign w:val="bottom"/>
          </w:tcPr>
          <w:p>
            <w:pPr>
              <w:jc w:val="right"/>
              <w:ind w:right="310"/>
              <w:spacing w:after="0" w:line="203" w:lineRule="exact"/>
              <w:rPr>
                <w:sz w:val="20"/>
                <w:szCs w:val="20"/>
                <w:color w:val="auto"/>
              </w:rPr>
            </w:pPr>
            <w:r>
              <w:rPr>
                <w:rFonts w:ascii="Arial" w:cs="Arial" w:eastAsia="Arial" w:hAnsi="Arial"/>
                <w:sz w:val="18"/>
                <w:szCs w:val="18"/>
                <w:color w:val="auto"/>
              </w:rPr>
              <w:t>2017</w:t>
            </w:r>
          </w:p>
        </w:tc>
        <w:tc>
          <w:tcPr>
            <w:tcW w:w="106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Advertising and marketing services revenue</w:t>
            </w:r>
          </w:p>
        </w:tc>
        <w:tc>
          <w:tcPr>
            <w:tcW w:w="1400" w:type="dxa"/>
            <w:vAlign w:val="bottom"/>
            <w:tcBorders>
              <w:top w:val="single" w:sz="8" w:color="auto"/>
            </w:tcBorders>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265,933</w:t>
            </w:r>
          </w:p>
        </w:tc>
        <w:tc>
          <w:tcPr>
            <w:tcW w:w="1400" w:type="dxa"/>
            <w:vAlign w:val="bottom"/>
            <w:tcBorders>
              <w:top w:val="single" w:sz="8" w:color="auto"/>
            </w:tcBorders>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303,446</w:t>
            </w:r>
          </w:p>
        </w:tc>
        <w:tc>
          <w:tcPr>
            <w:tcW w:w="1340" w:type="dxa"/>
            <w:vAlign w:val="bottom"/>
            <w:tcBorders>
              <w:top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(12.4)</w:t>
            </w:r>
          </w:p>
        </w:tc>
        <w:tc>
          <w:tcPr>
            <w:tcW w:w="1360" w:type="dxa"/>
            <w:vAlign w:val="bottom"/>
            <w:tcBorders>
              <w:top w:val="single" w:sz="8" w:color="auto"/>
            </w:tcBorders>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331,360</w:t>
            </w:r>
          </w:p>
        </w:tc>
        <w:tc>
          <w:tcPr>
            <w:tcW w:w="1060" w:type="dxa"/>
            <w:vAlign w:val="bottom"/>
            <w:tcBorders>
              <w:top w:val="single" w:sz="8" w:color="auto"/>
            </w:tcBorders>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spacing w:after="0" w:line="202" w:lineRule="exact"/>
              <w:rPr>
                <w:sz w:val="20"/>
                <w:szCs w:val="20"/>
                <w:color w:val="auto"/>
              </w:rPr>
            </w:pPr>
            <w:r>
              <w:rPr>
                <w:rFonts w:ascii="Arial" w:cs="Arial" w:eastAsia="Arial" w:hAnsi="Arial"/>
                <w:sz w:val="18"/>
                <w:szCs w:val="18"/>
                <w:color w:val="auto"/>
              </w:rPr>
              <w:t>Subscription</w:t>
            </w:r>
          </w:p>
        </w:tc>
        <w:tc>
          <w:tcPr>
            <w:tcW w:w="140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186,691</w:t>
            </w:r>
          </w:p>
        </w:tc>
        <w:tc>
          <w:tcPr>
            <w:tcW w:w="140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195,108</w:t>
            </w:r>
          </w:p>
        </w:tc>
        <w:tc>
          <w:tcPr>
            <w:tcW w:w="13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(4.3)</w:t>
            </w:r>
          </w:p>
        </w:tc>
        <w:tc>
          <w:tcPr>
            <w:tcW w:w="136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191,922</w:t>
            </w: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40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57,230</w:t>
            </w:r>
          </w:p>
        </w:tc>
        <w:tc>
          <w:tcPr>
            <w:tcW w:w="140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45,401</w:t>
            </w:r>
          </w:p>
        </w:tc>
        <w:tc>
          <w:tcPr>
            <w:tcW w:w="134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26.1</w:t>
            </w:r>
          </w:p>
        </w:tc>
        <w:tc>
          <w:tcPr>
            <w:tcW w:w="136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43,661</w:t>
            </w:r>
          </w:p>
        </w:tc>
        <w:tc>
          <w:tcPr>
            <w:tcW w:w="106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operating revenue</w:t>
            </w:r>
          </w:p>
        </w:tc>
        <w:tc>
          <w:tcPr>
            <w:tcW w:w="14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509,854</w:t>
            </w:r>
          </w:p>
        </w:tc>
        <w:tc>
          <w:tcPr>
            <w:tcW w:w="14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543,955</w:t>
            </w:r>
          </w:p>
        </w:tc>
        <w:tc>
          <w:tcPr>
            <w:tcW w:w="13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(6.3)</w:t>
            </w:r>
          </w:p>
        </w:tc>
        <w:tc>
          <w:tcPr>
            <w:tcW w:w="136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566,943</w:t>
            </w:r>
          </w:p>
        </w:tc>
        <w:tc>
          <w:tcPr>
            <w:tcW w:w="1060" w:type="dxa"/>
            <w:vAlign w:val="bottom"/>
            <w:tcBorders>
              <w:bottom w:val="single" w:sz="8" w:color="auto"/>
            </w:tcBorders>
            <w:gridSpan w:val="2"/>
          </w:tcPr>
          <w:p>
            <w:pPr>
              <w:jc w:val="right"/>
              <w:ind w:right="4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4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160"/>
              <w:spacing w:after="0" w:line="202" w:lineRule="exact"/>
              <w:rPr>
                <w:sz w:val="20"/>
                <w:szCs w:val="20"/>
                <w:color w:val="auto"/>
              </w:rPr>
            </w:pPr>
            <w:r>
              <w:rPr>
                <w:rFonts w:ascii="Arial" w:cs="Arial" w:eastAsia="Arial" w:hAnsi="Arial"/>
                <w:sz w:val="18"/>
                <w:szCs w:val="18"/>
                <w:color w:val="auto"/>
              </w:rPr>
              <w:t>Compensation</w:t>
            </w:r>
          </w:p>
        </w:tc>
        <w:tc>
          <w:tcPr>
            <w:tcW w:w="140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182,869</w:t>
            </w:r>
          </w:p>
        </w:tc>
        <w:tc>
          <w:tcPr>
            <w:tcW w:w="140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199,164</w:t>
            </w:r>
          </w:p>
        </w:tc>
        <w:tc>
          <w:tcPr>
            <w:tcW w:w="13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(8.2)</w:t>
            </w:r>
          </w:p>
        </w:tc>
        <w:tc>
          <w:tcPr>
            <w:tcW w:w="136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213,109</w:t>
            </w: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Newsprint and ink</w:t>
            </w:r>
          </w:p>
        </w:tc>
        <w:tc>
          <w:tcPr>
            <w:tcW w:w="140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22,237</w:t>
            </w:r>
          </w:p>
        </w:tc>
        <w:tc>
          <w:tcPr>
            <w:tcW w:w="140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24,949</w:t>
            </w:r>
          </w:p>
        </w:tc>
        <w:tc>
          <w:tcPr>
            <w:tcW w:w="134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(10.9)</w:t>
            </w:r>
          </w:p>
        </w:tc>
        <w:tc>
          <w:tcPr>
            <w:tcW w:w="136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24,904</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Borders>
              <w:bottom w:val="single" w:sz="8" w:color="auto"/>
            </w:tcBorders>
          </w:tcPr>
          <w:p>
            <w:pPr>
              <w:ind w:left="160"/>
              <w:spacing w:after="0" w:line="202" w:lineRule="exact"/>
              <w:rPr>
                <w:sz w:val="20"/>
                <w:szCs w:val="20"/>
                <w:color w:val="auto"/>
              </w:rPr>
            </w:pPr>
            <w:r>
              <w:rPr>
                <w:rFonts w:ascii="Arial" w:cs="Arial" w:eastAsia="Arial" w:hAnsi="Arial"/>
                <w:sz w:val="18"/>
                <w:szCs w:val="18"/>
                <w:color w:val="auto"/>
              </w:rPr>
              <w:t>Other operating expenses</w:t>
            </w:r>
          </w:p>
        </w:tc>
        <w:tc>
          <w:tcPr>
            <w:tcW w:w="140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193,709</w:t>
            </w:r>
          </w:p>
        </w:tc>
        <w:tc>
          <w:tcPr>
            <w:tcW w:w="140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199,653</w:t>
            </w:r>
          </w:p>
        </w:tc>
        <w:tc>
          <w:tcPr>
            <w:tcW w:w="134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(3.0)</w:t>
            </w:r>
          </w:p>
        </w:tc>
        <w:tc>
          <w:tcPr>
            <w:tcW w:w="136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199,754</w:t>
            </w:r>
          </w:p>
        </w:tc>
        <w:tc>
          <w:tcPr>
            <w:tcW w:w="1060" w:type="dxa"/>
            <w:vAlign w:val="bottom"/>
            <w:tcBorders>
              <w:bottom w:val="single" w:sz="8" w:color="auto"/>
            </w:tcBorders>
            <w:gridSpan w:val="2"/>
          </w:tcPr>
          <w:p>
            <w:pPr>
              <w:jc w:val="right"/>
              <w:ind w:right="40"/>
              <w:spacing w:after="0" w:line="202" w:lineRule="exact"/>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Cash costs</w:t>
            </w:r>
          </w:p>
        </w:tc>
        <w:tc>
          <w:tcPr>
            <w:tcW w:w="1400" w:type="dxa"/>
            <w:vAlign w:val="bottom"/>
            <w:tcBorders>
              <w:bottom w:val="single" w:sz="8" w:color="auto"/>
            </w:tcBorders>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398,815</w:t>
            </w:r>
          </w:p>
        </w:tc>
        <w:tc>
          <w:tcPr>
            <w:tcW w:w="1400" w:type="dxa"/>
            <w:vAlign w:val="bottom"/>
            <w:tcBorders>
              <w:bottom w:val="single" w:sz="8" w:color="auto"/>
            </w:tcBorders>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423,766</w:t>
            </w:r>
          </w:p>
        </w:tc>
        <w:tc>
          <w:tcPr>
            <w:tcW w:w="134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(5.9)</w:t>
            </w:r>
          </w:p>
        </w:tc>
        <w:tc>
          <w:tcPr>
            <w:tcW w:w="1360" w:type="dxa"/>
            <w:vAlign w:val="bottom"/>
            <w:tcBorders>
              <w:bottom w:val="single" w:sz="8" w:color="auto"/>
            </w:tcBorders>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437,767</w:t>
            </w:r>
          </w:p>
        </w:tc>
        <w:tc>
          <w:tcPr>
            <w:tcW w:w="1060" w:type="dxa"/>
            <w:vAlign w:val="bottom"/>
            <w:tcBorders>
              <w:bottom w:val="single" w:sz="8" w:color="auto"/>
            </w:tcBorders>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color w:val="auto"/>
              </w:rPr>
              <w:t>Total operating revenue less cash costs</w:t>
            </w:r>
          </w:p>
        </w:tc>
        <w:tc>
          <w:tcPr>
            <w:tcW w:w="14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111,039</w:t>
            </w:r>
          </w:p>
        </w:tc>
        <w:tc>
          <w:tcPr>
            <w:tcW w:w="14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120,189</w:t>
            </w:r>
          </w:p>
        </w:tc>
        <w:tc>
          <w:tcPr>
            <w:tcW w:w="13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(7.6)</w:t>
            </w:r>
          </w:p>
        </w:tc>
        <w:tc>
          <w:tcPr>
            <w:tcW w:w="136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129,176</w:t>
            </w:r>
          </w:p>
        </w:tc>
        <w:tc>
          <w:tcPr>
            <w:tcW w:w="1060" w:type="dxa"/>
            <w:vAlign w:val="bottom"/>
            <w:tcBorders>
              <w:bottom w:val="single" w:sz="8" w:color="auto"/>
            </w:tcBorders>
            <w:gridSpan w:val="2"/>
          </w:tcPr>
          <w:p>
            <w:pPr>
              <w:jc w:val="right"/>
              <w:ind w:right="4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Depreciation and amortization</w:t>
            </w:r>
          </w:p>
        </w:tc>
        <w:tc>
          <w:tcPr>
            <w:tcW w:w="1400" w:type="dxa"/>
            <w:vAlign w:val="bottom"/>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29,332</w:t>
            </w:r>
          </w:p>
        </w:tc>
        <w:tc>
          <w:tcPr>
            <w:tcW w:w="1400" w:type="dxa"/>
            <w:vAlign w:val="bottom"/>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31,766</w:t>
            </w:r>
          </w:p>
        </w:tc>
        <w:tc>
          <w:tcPr>
            <w:tcW w:w="1340" w:type="dxa"/>
            <w:vAlign w:val="bottom"/>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(7.7)</w:t>
            </w:r>
          </w:p>
        </w:tc>
        <w:tc>
          <w:tcPr>
            <w:tcW w:w="1360" w:type="dxa"/>
            <w:vAlign w:val="bottom"/>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41,282</w:t>
            </w:r>
          </w:p>
        </w:tc>
        <w:tc>
          <w:tcPr>
            <w:tcW w:w="106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spacing w:after="0" w:line="202" w:lineRule="exact"/>
              <w:rPr>
                <w:sz w:val="20"/>
                <w:szCs w:val="20"/>
                <w:color w:val="auto"/>
              </w:rPr>
            </w:pPr>
            <w:r>
              <w:rPr>
                <w:rFonts w:ascii="Arial" w:cs="Arial" w:eastAsia="Arial" w:hAnsi="Arial"/>
                <w:sz w:val="18"/>
                <w:szCs w:val="18"/>
                <w:color w:val="auto"/>
              </w:rPr>
              <w:t>Assets loss (gain) on sales, impairments and other</w:t>
            </w:r>
          </w:p>
        </w:tc>
        <w:tc>
          <w:tcPr>
            <w:tcW w:w="140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2,464</w:t>
            </w:r>
          </w:p>
        </w:tc>
        <w:tc>
          <w:tcPr>
            <w:tcW w:w="140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6,429</w:t>
            </w:r>
          </w:p>
        </w:tc>
        <w:tc>
          <w:tcPr>
            <w:tcW w:w="13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(61.7)</w:t>
            </w:r>
          </w:p>
        </w:tc>
        <w:tc>
          <w:tcPr>
            <w:tcW w:w="13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(1,150)</w:t>
            </w: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Restructuring costs and other</w:t>
            </w:r>
          </w:p>
        </w:tc>
        <w:tc>
          <w:tcPr>
            <w:tcW w:w="140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11,635</w:t>
            </w:r>
          </w:p>
        </w:tc>
        <w:tc>
          <w:tcPr>
            <w:tcW w:w="140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5,550</w:t>
            </w:r>
          </w:p>
        </w:tc>
        <w:tc>
          <w:tcPr>
            <w:tcW w:w="13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NM</w:t>
            </w:r>
          </w:p>
        </w:tc>
        <w:tc>
          <w:tcPr>
            <w:tcW w:w="136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7,523</w:t>
            </w: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8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Operating expenses</w:t>
            </w:r>
          </w:p>
        </w:tc>
        <w:tc>
          <w:tcPr>
            <w:tcW w:w="14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442,246</w:t>
            </w:r>
          </w:p>
        </w:tc>
        <w:tc>
          <w:tcPr>
            <w:tcW w:w="14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467,511</w:t>
            </w:r>
          </w:p>
        </w:tc>
        <w:tc>
          <w:tcPr>
            <w:tcW w:w="13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(5.4)</w:t>
            </w:r>
          </w:p>
        </w:tc>
        <w:tc>
          <w:tcPr>
            <w:tcW w:w="136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485,422</w:t>
            </w:r>
          </w:p>
        </w:tc>
        <w:tc>
          <w:tcPr>
            <w:tcW w:w="1060" w:type="dxa"/>
            <w:vAlign w:val="bottom"/>
            <w:tcBorders>
              <w:bottom w:val="single" w:sz="8" w:color="auto"/>
            </w:tcBorders>
            <w:gridSpan w:val="2"/>
          </w:tcPr>
          <w:p>
            <w:pPr>
              <w:jc w:val="right"/>
              <w:ind w:right="4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Equity in earnings of associated companies</w:t>
            </w:r>
          </w:p>
        </w:tc>
        <w:tc>
          <w:tcPr>
            <w:tcW w:w="1400" w:type="dxa"/>
            <w:vAlign w:val="bottom"/>
            <w:tcBorders>
              <w:bottom w:val="single" w:sz="8" w:color="auto"/>
            </w:tcBorders>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7,121</w:t>
            </w:r>
          </w:p>
        </w:tc>
        <w:tc>
          <w:tcPr>
            <w:tcW w:w="1400" w:type="dxa"/>
            <w:vAlign w:val="bottom"/>
            <w:tcBorders>
              <w:bottom w:val="single" w:sz="8" w:color="auto"/>
            </w:tcBorders>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9,249</w:t>
            </w:r>
          </w:p>
        </w:tc>
        <w:tc>
          <w:tcPr>
            <w:tcW w:w="134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(23.0)</w:t>
            </w:r>
          </w:p>
        </w:tc>
        <w:tc>
          <w:tcPr>
            <w:tcW w:w="1360" w:type="dxa"/>
            <w:vAlign w:val="bottom"/>
            <w:tcBorders>
              <w:bottom w:val="single" w:sz="8" w:color="auto"/>
            </w:tcBorders>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7,609</w:t>
            </w:r>
          </w:p>
        </w:tc>
        <w:tc>
          <w:tcPr>
            <w:tcW w:w="1060" w:type="dxa"/>
            <w:vAlign w:val="bottom"/>
            <w:tcBorders>
              <w:bottom w:val="single" w:sz="8" w:color="auto"/>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Operating income</w:t>
            </w:r>
          </w:p>
        </w:tc>
        <w:tc>
          <w:tcPr>
            <w:tcW w:w="14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74,729</w:t>
            </w:r>
          </w:p>
        </w:tc>
        <w:tc>
          <w:tcPr>
            <w:tcW w:w="14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85,693</w:t>
            </w:r>
          </w:p>
        </w:tc>
        <w:tc>
          <w:tcPr>
            <w:tcW w:w="13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(12.8)</w:t>
            </w:r>
          </w:p>
        </w:tc>
        <w:tc>
          <w:tcPr>
            <w:tcW w:w="136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89,130</w:t>
            </w:r>
          </w:p>
        </w:tc>
        <w:tc>
          <w:tcPr>
            <w:tcW w:w="1060" w:type="dxa"/>
            <w:vAlign w:val="bottom"/>
            <w:tcBorders>
              <w:bottom w:val="single" w:sz="8" w:color="auto"/>
            </w:tcBorders>
            <w:gridSpan w:val="2"/>
          </w:tcPr>
          <w:p>
            <w:pPr>
              <w:jc w:val="right"/>
              <w:ind w:right="4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Non-operating income (expense):</w:t>
            </w:r>
          </w:p>
        </w:tc>
        <w:tc>
          <w:tcPr>
            <w:tcW w:w="14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160"/>
              <w:spacing w:after="0" w:line="202" w:lineRule="exact"/>
              <w:rPr>
                <w:sz w:val="20"/>
                <w:szCs w:val="20"/>
                <w:color w:val="auto"/>
              </w:rPr>
            </w:pPr>
            <w:r>
              <w:rPr>
                <w:rFonts w:ascii="Arial" w:cs="Arial" w:eastAsia="Arial" w:hAnsi="Arial"/>
                <w:sz w:val="18"/>
                <w:szCs w:val="18"/>
                <w:color w:val="auto"/>
              </w:rPr>
              <w:t>Interest expense</w:t>
            </w:r>
          </w:p>
        </w:tc>
        <w:tc>
          <w:tcPr>
            <w:tcW w:w="140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(47,488)</w:t>
            </w:r>
          </w:p>
        </w:tc>
        <w:tc>
          <w:tcPr>
            <w:tcW w:w="140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(52,842)</w:t>
            </w:r>
          </w:p>
        </w:tc>
        <w:tc>
          <w:tcPr>
            <w:tcW w:w="13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(10.1)</w:t>
            </w:r>
          </w:p>
        </w:tc>
        <w:tc>
          <w:tcPr>
            <w:tcW w:w="13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(57,573)</w:t>
            </w: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Debt financing and administrative cost</w:t>
            </w:r>
          </w:p>
        </w:tc>
        <w:tc>
          <w:tcPr>
            <w:tcW w:w="140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(7,214)</w:t>
            </w:r>
          </w:p>
        </w:tc>
        <w:tc>
          <w:tcPr>
            <w:tcW w:w="140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(5,311)</w:t>
            </w:r>
          </w:p>
        </w:tc>
        <w:tc>
          <w:tcPr>
            <w:tcW w:w="13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35.8</w:t>
            </w:r>
          </w:p>
        </w:tc>
        <w:tc>
          <w:tcPr>
            <w:tcW w:w="136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(4,818)</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spacing w:after="0" w:line="202" w:lineRule="exact"/>
              <w:rPr>
                <w:sz w:val="20"/>
                <w:szCs w:val="20"/>
                <w:color w:val="auto"/>
              </w:rPr>
            </w:pPr>
            <w:r>
              <w:rPr>
                <w:rFonts w:ascii="Arial" w:cs="Arial" w:eastAsia="Arial" w:hAnsi="Arial"/>
                <w:sz w:val="18"/>
                <w:szCs w:val="18"/>
                <w:color w:val="auto"/>
              </w:rPr>
              <w:t>Other, net</w:t>
            </w:r>
          </w:p>
        </w:tc>
        <w:tc>
          <w:tcPr>
            <w:tcW w:w="140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3,813</w:t>
            </w:r>
          </w:p>
        </w:tc>
        <w:tc>
          <w:tcPr>
            <w:tcW w:w="140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3,280</w:t>
            </w:r>
          </w:p>
        </w:tc>
        <w:tc>
          <w:tcPr>
            <w:tcW w:w="13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16.3</w:t>
            </w:r>
          </w:p>
        </w:tc>
        <w:tc>
          <w:tcPr>
            <w:tcW w:w="136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13,477</w:t>
            </w: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Non-operating expenses, net</w:t>
            </w:r>
          </w:p>
        </w:tc>
        <w:tc>
          <w:tcPr>
            <w:tcW w:w="1400" w:type="dxa"/>
            <w:vAlign w:val="bottom"/>
            <w:tcBorders>
              <w:top w:val="single" w:sz="8" w:color="auto"/>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rPr>
              <w:t>(50,889)</w:t>
            </w:r>
          </w:p>
        </w:tc>
        <w:tc>
          <w:tcPr>
            <w:tcW w:w="1400" w:type="dxa"/>
            <w:vAlign w:val="bottom"/>
            <w:tcBorders>
              <w:top w:val="single" w:sz="8" w:color="auto"/>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rPr>
              <w:t>(54,873)</w:t>
            </w:r>
          </w:p>
        </w:tc>
        <w:tc>
          <w:tcPr>
            <w:tcW w:w="1340" w:type="dxa"/>
            <w:vAlign w:val="bottom"/>
            <w:tcBorders>
              <w:top w:val="single" w:sz="8" w:color="auto"/>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(7.3)</w:t>
            </w:r>
          </w:p>
        </w:tc>
        <w:tc>
          <w:tcPr>
            <w:tcW w:w="1360" w:type="dxa"/>
            <w:vAlign w:val="bottom"/>
            <w:tcBorders>
              <w:top w:val="single" w:sz="8" w:color="auto"/>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rPr>
              <w:t>(48,914)</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12.2</w:t>
            </w:r>
          </w:p>
        </w:tc>
        <w:tc>
          <w:tcPr>
            <w:tcW w:w="1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tcPr>
          <w:p>
            <w:pPr>
              <w:spacing w:after="0" w:line="196" w:lineRule="exact"/>
              <w:rPr>
                <w:sz w:val="20"/>
                <w:szCs w:val="20"/>
                <w:color w:val="auto"/>
              </w:rPr>
            </w:pPr>
            <w:r>
              <w:rPr>
                <w:rFonts w:ascii="Arial" w:cs="Arial" w:eastAsia="Arial" w:hAnsi="Arial"/>
                <w:sz w:val="18"/>
                <w:szCs w:val="18"/>
                <w:color w:val="auto"/>
              </w:rPr>
              <w:t>Income before income taxes</w:t>
            </w:r>
          </w:p>
        </w:tc>
        <w:tc>
          <w:tcPr>
            <w:tcW w:w="140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23,840</w:t>
            </w:r>
          </w:p>
        </w:tc>
        <w:tc>
          <w:tcPr>
            <w:tcW w:w="140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30,820</w:t>
            </w:r>
          </w:p>
        </w:tc>
        <w:tc>
          <w:tcPr>
            <w:tcW w:w="134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(22.6)</w:t>
            </w:r>
          </w:p>
        </w:tc>
        <w:tc>
          <w:tcPr>
            <w:tcW w:w="136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40,216</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Borders>
              <w:bottom w:val="single" w:sz="8" w:color="auto"/>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Income tax expense (benefit)</w:t>
            </w:r>
          </w:p>
        </w:tc>
        <w:tc>
          <w:tcPr>
            <w:tcW w:w="140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7,931</w:t>
            </w:r>
          </w:p>
        </w:tc>
        <w:tc>
          <w:tcPr>
            <w:tcW w:w="1400" w:type="dxa"/>
            <w:vAlign w:val="bottom"/>
            <w:tcBorders>
              <w:bottom w:val="single" w:sz="8" w:color="auto"/>
            </w:tcBorders>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(16,228)</w:t>
            </w:r>
          </w:p>
        </w:tc>
        <w:tc>
          <w:tcPr>
            <w:tcW w:w="134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NM</w:t>
            </w:r>
          </w:p>
        </w:tc>
        <w:tc>
          <w:tcPr>
            <w:tcW w:w="136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11,611</w:t>
            </w: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tcPr>
          <w:p>
            <w:pPr>
              <w:spacing w:after="0" w:line="196" w:lineRule="exact"/>
              <w:rPr>
                <w:sz w:val="20"/>
                <w:szCs w:val="20"/>
                <w:color w:val="auto"/>
              </w:rPr>
            </w:pPr>
            <w:r>
              <w:rPr>
                <w:rFonts w:ascii="Arial" w:cs="Arial" w:eastAsia="Arial" w:hAnsi="Arial"/>
                <w:sz w:val="18"/>
                <w:szCs w:val="18"/>
                <w:color w:val="auto"/>
              </w:rPr>
              <w:t>Net income</w:t>
            </w:r>
          </w:p>
        </w:tc>
        <w:tc>
          <w:tcPr>
            <w:tcW w:w="140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15,909</w:t>
            </w:r>
          </w:p>
        </w:tc>
        <w:tc>
          <w:tcPr>
            <w:tcW w:w="140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47,048</w:t>
            </w:r>
          </w:p>
        </w:tc>
        <w:tc>
          <w:tcPr>
            <w:tcW w:w="134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(66.2)</w:t>
            </w:r>
          </w:p>
        </w:tc>
        <w:tc>
          <w:tcPr>
            <w:tcW w:w="136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28,605</w:t>
            </w:r>
          </w:p>
        </w:tc>
        <w:tc>
          <w:tcPr>
            <w:tcW w:w="10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1400" w:type="dxa"/>
            <w:vAlign w:val="bottom"/>
            <w:tcBorders>
              <w:bottom w:val="single" w:sz="8" w:color="auto"/>
            </w:tcBorders>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(1,641)</w:t>
            </w:r>
          </w:p>
        </w:tc>
        <w:tc>
          <w:tcPr>
            <w:tcW w:w="1400" w:type="dxa"/>
            <w:vAlign w:val="bottom"/>
            <w:tcBorders>
              <w:bottom w:val="single" w:sz="8" w:color="auto"/>
            </w:tcBorders>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(1,282)</w:t>
            </w:r>
          </w:p>
        </w:tc>
        <w:tc>
          <w:tcPr>
            <w:tcW w:w="134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28.0</w:t>
            </w:r>
          </w:p>
        </w:tc>
        <w:tc>
          <w:tcPr>
            <w:tcW w:w="1360" w:type="dxa"/>
            <w:vAlign w:val="bottom"/>
            <w:tcBorders>
              <w:bottom w:val="single" w:sz="8" w:color="auto"/>
            </w:tcBorders>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(1,124)</w:t>
            </w:r>
          </w:p>
        </w:tc>
        <w:tc>
          <w:tcPr>
            <w:tcW w:w="106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tcPr>
          <w:p>
            <w:pPr>
              <w:spacing w:after="0" w:line="196" w:lineRule="exact"/>
              <w:rPr>
                <w:sz w:val="20"/>
                <w:szCs w:val="20"/>
                <w:color w:val="auto"/>
              </w:rPr>
            </w:pPr>
            <w:r>
              <w:rPr>
                <w:rFonts w:ascii="Arial" w:cs="Arial" w:eastAsia="Arial" w:hAnsi="Arial"/>
                <w:sz w:val="18"/>
                <w:szCs w:val="18"/>
                <w:color w:val="auto"/>
              </w:rPr>
              <w:t>Income attributable to Lee Enterprises, Incorporated</w:t>
            </w:r>
          </w:p>
        </w:tc>
        <w:tc>
          <w:tcPr>
            <w:tcW w:w="140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14,268</w:t>
            </w:r>
          </w:p>
        </w:tc>
        <w:tc>
          <w:tcPr>
            <w:tcW w:w="140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45,766</w:t>
            </w:r>
          </w:p>
        </w:tc>
        <w:tc>
          <w:tcPr>
            <w:tcW w:w="134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(68.8)</w:t>
            </w:r>
          </w:p>
        </w:tc>
        <w:tc>
          <w:tcPr>
            <w:tcW w:w="136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27,481</w:t>
            </w:r>
          </w:p>
        </w:tc>
        <w:tc>
          <w:tcPr>
            <w:tcW w:w="10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(loss) income, net of income taxes</w:t>
            </w:r>
          </w:p>
        </w:tc>
        <w:tc>
          <w:tcPr>
            <w:tcW w:w="1400" w:type="dxa"/>
            <w:vAlign w:val="bottom"/>
            <w:tcBorders>
              <w:bottom w:val="single" w:sz="8" w:color="auto"/>
            </w:tcBorders>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(17,368)</w:t>
            </w:r>
          </w:p>
        </w:tc>
        <w:tc>
          <w:tcPr>
            <w:tcW w:w="140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4,322</w:t>
            </w:r>
          </w:p>
        </w:tc>
        <w:tc>
          <w:tcPr>
            <w:tcW w:w="134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NM</w:t>
            </w:r>
          </w:p>
        </w:tc>
        <w:tc>
          <w:tcPr>
            <w:tcW w:w="136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6,710</w:t>
            </w:r>
          </w:p>
        </w:tc>
        <w:tc>
          <w:tcPr>
            <w:tcW w:w="106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Comprehensive (loss) income attributable to Lee</w:t>
            </w:r>
          </w:p>
        </w:tc>
        <w:tc>
          <w:tcPr>
            <w:tcW w:w="1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60" w:type="dxa"/>
            <w:vAlign w:val="bottom"/>
            <w:gridSpan w:val="2"/>
          </w:tcPr>
          <w:p>
            <w:pPr>
              <w:spacing w:after="0" w:line="203" w:lineRule="exact"/>
              <w:rPr>
                <w:sz w:val="20"/>
                <w:szCs w:val="20"/>
                <w:color w:val="auto"/>
              </w:rPr>
            </w:pPr>
            <w:r>
              <w:rPr>
                <w:rFonts w:ascii="Arial" w:cs="Arial" w:eastAsia="Arial" w:hAnsi="Arial"/>
                <w:sz w:val="18"/>
                <w:szCs w:val="18"/>
                <w:color w:val="auto"/>
              </w:rPr>
              <w:t>Enterprises, Incorporated</w:t>
            </w:r>
          </w:p>
        </w:tc>
        <w:tc>
          <w:tcPr>
            <w:tcW w:w="1400" w:type="dxa"/>
            <w:vAlign w:val="bottom"/>
          </w:tcPr>
          <w:p>
            <w:pPr>
              <w:jc w:val="right"/>
              <w:ind w:right="250"/>
              <w:spacing w:after="0" w:line="203" w:lineRule="exact"/>
              <w:rPr>
                <w:sz w:val="20"/>
                <w:szCs w:val="20"/>
                <w:color w:val="auto"/>
              </w:rPr>
            </w:pPr>
            <w:r>
              <w:rPr>
                <w:rFonts w:ascii="Arial" w:cs="Arial" w:eastAsia="Arial" w:hAnsi="Arial"/>
                <w:sz w:val="18"/>
                <w:szCs w:val="18"/>
                <w:color w:val="auto"/>
              </w:rPr>
              <w:t>(3,100)</w:t>
            </w:r>
          </w:p>
        </w:tc>
        <w:tc>
          <w:tcPr>
            <w:tcW w:w="1400" w:type="dxa"/>
            <w:vAlign w:val="bottom"/>
          </w:tcPr>
          <w:p>
            <w:pPr>
              <w:jc w:val="right"/>
              <w:ind w:right="310"/>
              <w:spacing w:after="0" w:line="203" w:lineRule="exact"/>
              <w:rPr>
                <w:sz w:val="20"/>
                <w:szCs w:val="20"/>
                <w:color w:val="auto"/>
              </w:rPr>
            </w:pPr>
            <w:r>
              <w:rPr>
                <w:rFonts w:ascii="Arial" w:cs="Arial" w:eastAsia="Arial" w:hAnsi="Arial"/>
                <w:sz w:val="18"/>
                <w:szCs w:val="18"/>
                <w:color w:val="auto"/>
              </w:rPr>
              <w:t>50,088</w:t>
            </w:r>
          </w:p>
        </w:tc>
        <w:tc>
          <w:tcPr>
            <w:tcW w:w="1340" w:type="dxa"/>
            <w:vAlign w:val="bottom"/>
          </w:tcPr>
          <w:p>
            <w:pPr>
              <w:jc w:val="right"/>
              <w:ind w:right="290"/>
              <w:spacing w:after="0" w:line="203" w:lineRule="exact"/>
              <w:rPr>
                <w:sz w:val="20"/>
                <w:szCs w:val="20"/>
                <w:color w:val="auto"/>
              </w:rPr>
            </w:pPr>
            <w:r>
              <w:rPr>
                <w:rFonts w:ascii="Arial" w:cs="Arial" w:eastAsia="Arial" w:hAnsi="Arial"/>
                <w:sz w:val="18"/>
                <w:szCs w:val="18"/>
                <w:color w:val="auto"/>
              </w:rPr>
              <w:t>NM</w:t>
            </w:r>
          </w:p>
        </w:tc>
        <w:tc>
          <w:tcPr>
            <w:tcW w:w="1360" w:type="dxa"/>
            <w:vAlign w:val="bottom"/>
          </w:tcPr>
          <w:p>
            <w:pPr>
              <w:jc w:val="right"/>
              <w:ind w:right="310"/>
              <w:spacing w:after="0" w:line="203" w:lineRule="exact"/>
              <w:rPr>
                <w:sz w:val="20"/>
                <w:szCs w:val="20"/>
                <w:color w:val="auto"/>
              </w:rPr>
            </w:pPr>
            <w:r>
              <w:rPr>
                <w:rFonts w:ascii="Arial" w:cs="Arial" w:eastAsia="Arial" w:hAnsi="Arial"/>
                <w:sz w:val="18"/>
                <w:szCs w:val="18"/>
                <w:color w:val="auto"/>
              </w:rPr>
              <w:t>34,191</w:t>
            </w:r>
          </w:p>
        </w:tc>
        <w:tc>
          <w:tcPr>
            <w:tcW w:w="106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8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40" w:type="dxa"/>
            <w:vAlign w:val="bottom"/>
          </w:tcPr>
          <w:p>
            <w:pPr>
              <w:spacing w:after="0" w:line="202" w:lineRule="exact"/>
              <w:rPr>
                <w:sz w:val="20"/>
                <w:szCs w:val="20"/>
                <w:color w:val="auto"/>
              </w:rPr>
            </w:pPr>
            <w:r>
              <w:rPr>
                <w:rFonts w:ascii="Arial" w:cs="Arial" w:eastAsia="Arial" w:hAnsi="Arial"/>
                <w:sz w:val="18"/>
                <w:szCs w:val="18"/>
                <w:color w:val="auto"/>
              </w:rPr>
              <w:t>Earnings per common share:</w:t>
            </w:r>
          </w:p>
        </w:tc>
        <w:tc>
          <w:tcPr>
            <w:tcW w:w="1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Basic</w:t>
            </w:r>
          </w:p>
        </w:tc>
        <w:tc>
          <w:tcPr>
            <w:tcW w:w="140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0.26</w:t>
            </w:r>
          </w:p>
        </w:tc>
        <w:tc>
          <w:tcPr>
            <w:tcW w:w="140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0.84</w:t>
            </w:r>
          </w:p>
        </w:tc>
        <w:tc>
          <w:tcPr>
            <w:tcW w:w="134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(69.3)</w:t>
            </w:r>
          </w:p>
        </w:tc>
        <w:tc>
          <w:tcPr>
            <w:tcW w:w="136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0.51</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Borders>
              <w:bottom w:val="single" w:sz="8" w:color="auto"/>
            </w:tcBorders>
          </w:tcPr>
          <w:p>
            <w:pPr>
              <w:ind w:left="160"/>
              <w:spacing w:after="0" w:line="202" w:lineRule="exact"/>
              <w:rPr>
                <w:sz w:val="20"/>
                <w:szCs w:val="20"/>
                <w:color w:val="auto"/>
              </w:rPr>
            </w:pPr>
            <w:r>
              <w:rPr>
                <w:rFonts w:ascii="Arial" w:cs="Arial" w:eastAsia="Arial" w:hAnsi="Arial"/>
                <w:sz w:val="18"/>
                <w:szCs w:val="18"/>
                <w:color w:val="auto"/>
              </w:rPr>
              <w:t>Diluted</w:t>
            </w:r>
          </w:p>
        </w:tc>
        <w:tc>
          <w:tcPr>
            <w:tcW w:w="140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0.25</w:t>
            </w:r>
          </w:p>
        </w:tc>
        <w:tc>
          <w:tcPr>
            <w:tcW w:w="140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0.82</w:t>
            </w:r>
          </w:p>
        </w:tc>
        <w:tc>
          <w:tcPr>
            <w:tcW w:w="134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(69.5)</w:t>
            </w:r>
          </w:p>
        </w:tc>
        <w:tc>
          <w:tcPr>
            <w:tcW w:w="136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0.50</w:t>
            </w:r>
          </w:p>
        </w:tc>
        <w:tc>
          <w:tcPr>
            <w:tcW w:w="106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Due to our fiscal calendar, 2019 was comprised of 52 weeks, 2018 was comprised of 53 weeks and 2017 was comprised of 52 weeks.</w:t>
      </w:r>
    </w:p>
    <w:p>
      <w:pPr>
        <w:spacing w:after="0"/>
        <w:rPr>
          <w:sz w:val="20"/>
          <w:szCs w:val="20"/>
          <w:color w:val="auto"/>
        </w:rPr>
      </w:pPr>
      <w:r>
        <w:rPr>
          <w:rFonts w:ascii="Arial" w:cs="Arial" w:eastAsia="Arial" w:hAnsi="Arial"/>
          <w:sz w:val="18"/>
          <w:szCs w:val="18"/>
          <w:color w:val="auto"/>
        </w:rPr>
        <w:t>Additionally, we acquired or disposed of certain properties in each of 2019, 2018 and 2017.</w:t>
      </w:r>
    </w:p>
    <w:p>
      <w:pPr>
        <w:spacing w:after="0" w:line="198"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To facilitate a comparison of our results to prior periods, certain revenue and expense trends, as described below, are presented on a same property basis and exclude the impact of acquisitions, dispositions and the 53rd week of revenues and expenses in the computation of the trends.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66040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576" w:right="239" w:bottom="1440" w:gutter="0" w:footer="0" w:header="0"/>
        </w:sectPr>
      </w:pPr>
    </w:p>
    <w:bookmarkStart w:id="26" w:name="page27"/>
    <w:bookmarkEnd w:id="26"/>
    <w:p>
      <w:pPr>
        <w:ind w:left="20"/>
        <w:spacing w:after="0"/>
        <w:rPr>
          <w:sz w:val="20"/>
          <w:szCs w:val="20"/>
          <w:color w:val="auto"/>
        </w:rPr>
      </w:pPr>
      <w:r>
        <w:rPr>
          <w:rFonts w:ascii="Arial" w:cs="Arial" w:eastAsia="Arial" w:hAnsi="Arial"/>
          <w:sz w:val="18"/>
          <w:szCs w:val="18"/>
          <w:b w:val="1"/>
          <w:bCs w:val="1"/>
          <w:color w:val="auto"/>
        </w:rPr>
        <w:t>OPERATING REVENUE</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Revenue Comparison 2019-2018</w:t>
      </w:r>
    </w:p>
    <w:p>
      <w:pPr>
        <w:spacing w:after="0" w:line="220"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Total operating revenue totaled $509,854,000 in 2019, down $34,101,000, or 6.3%, attributed to a decline in same property operating revenue of 6.1% due to continued softness in the demand for print advertising, reductions in print subscription volumes reflecting general industry</w:t>
      </w:r>
    </w:p>
    <w:p>
      <w:pPr>
        <w:spacing w:after="0" w:line="2" w:lineRule="exact"/>
        <w:rPr>
          <w:sz w:val="20"/>
          <w:szCs w:val="20"/>
          <w:color w:val="auto"/>
        </w:rPr>
      </w:pPr>
    </w:p>
    <w:p>
      <w:pPr>
        <w:jc w:val="both"/>
        <w:ind w:right="20"/>
        <w:spacing w:after="0" w:line="199" w:lineRule="auto"/>
        <w:rPr>
          <w:sz w:val="20"/>
          <w:szCs w:val="20"/>
          <w:color w:val="auto"/>
        </w:rPr>
      </w:pPr>
      <w:r>
        <w:rPr>
          <w:rFonts w:ascii="Arial" w:cs="Arial" w:eastAsia="Arial" w:hAnsi="Arial"/>
          <w:sz w:val="18"/>
          <w:szCs w:val="18"/>
          <w:color w:val="auto"/>
        </w:rPr>
        <w:t>trends, and $7,954,000 of operating revenue from the 53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week of operations in 2018. Increases in digital revenue, especially from TownNews, revenue from acquisitions and incremental revenue from our management agreement with BHMG helped offset the declines.</w:t>
      </w:r>
    </w:p>
    <w:p>
      <w:pPr>
        <w:spacing w:after="0" w:line="190"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Advertising and marketing services revenue was $265,933,000 in 2019, down 12.4%, due to a same property basis decrease of 12.0% due to continued decline in print advertising demand, specifically among national retailers, big box stores and classifieds. Digital advertising and marketing services totaled $100,007,000 in 2019 and represented 37.6% of 2019 total advertising and marketing services revenue, partially offsetting print declines.</w:t>
      </w:r>
    </w:p>
    <w:p>
      <w:pPr>
        <w:spacing w:after="0" w:line="188"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Subscription revenue totaled $186,691,000 in 2019, or down 4.3%, due to same property basis decrease of 4.3%, in 2019. The decrease is attributed to volume declines in full access subscriptions reflecting general industry trends, partially offset by strategic pricing initiatives due to our premium content and a 79.1% increase in digital only subscribers. As of September 2019, we now have 91,000 digital only subscribers.</w:t>
      </w:r>
    </w:p>
    <w:p>
      <w:pPr>
        <w:spacing w:after="0" w:line="189"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Other revenue increased $11,829,000, or 26.1%, in 2019. Management agreement revenue totaled $12,589,000 in 2019 compared to $1,331,000 in 2018 due to a full year under the agreement with BHMG. Digital services revenue, which is predominately TownNews, increased 20.3% in 2019 due to product expansion and market share gains. The increases were partially offset by revenue declines in commercial printing and third party delivery due to a reduction in print volume.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On a stand-alone basis, revenue at TownNews totaled $22,627,000, an increase of 20.1%, excluding the 53rd week of operations in 2018.</w:t>
      </w:r>
    </w:p>
    <w:p>
      <w:pPr>
        <w:spacing w:after="0" w:line="234" w:lineRule="auto"/>
        <w:rPr>
          <w:sz w:val="20"/>
          <w:szCs w:val="20"/>
          <w:color w:val="auto"/>
        </w:rPr>
      </w:pPr>
      <w:r>
        <w:rPr>
          <w:rFonts w:ascii="Arial" w:cs="Arial" w:eastAsia="Arial" w:hAnsi="Arial"/>
          <w:sz w:val="18"/>
          <w:szCs w:val="18"/>
          <w:color w:val="auto"/>
        </w:rPr>
        <w:t>Investments in video and streaming technology increased product offerings that helped gain market share in publishing and broadcast.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Excluding intercompany activity, revenue at TownNews increased 24.0% in 2019.</w:t>
      </w:r>
    </w:p>
    <w:p>
      <w:pPr>
        <w:spacing w:after="0" w:line="19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Total digital revenue including digital advertising revenue, digital subscription revenue and digital services revenue totaled $144,646,000 in 2019, an increase of 4.0% over 2018, and represented 28.4% of our total operating revenue in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Equity in earnings of TNI and MNI decreased $2,128,000 in 2019.</w:t>
      </w:r>
    </w:p>
    <w:p>
      <w:pPr>
        <w:spacing w:after="0" w:line="176"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Revenue Comparison 2018-2017</w:t>
      </w:r>
    </w:p>
    <w:p>
      <w:pPr>
        <w:spacing w:after="0" w:line="220"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Total operating revenue was $543,955,000 in 2018 and was down $22,988,000, or 4.1%, attributed to a decline in same property operating revenue of 7.0% due to continued softness in the demand for print advertising. Increases in digital revenue, especially TownNews, and $7,954,000 of operating revenue from the 53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week of operations in 2018 helped offset the declines.</w:t>
      </w:r>
    </w:p>
    <w:p>
      <w:pPr>
        <w:spacing w:after="0" w:line="54"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Advertising and marketing services revenue was down $27,914,000, or 8.4%, attributed to an 11.4% decline in same property revenue due to continued decline in print advertising demand, specifically among national retailers, big box stores and classifieds. Digital advertising and marketing services totaled $96,498,000 in 2018, an increase of 4.7% compared to 2017, partially offsetting print declines.</w:t>
      </w:r>
    </w:p>
    <w:p>
      <w:pPr>
        <w:spacing w:after="0" w:line="18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Subscription revenue increased $3,186,000, or 1.7%, in 2018. On a same property basis, subscription revenue decreased 1.7% as strategic pricing initiatives helped partially offset volume declines in full access subscriptions, reflecting general industry trends.</w:t>
      </w:r>
    </w:p>
    <w:p>
      <w:pPr>
        <w:spacing w:after="0" w:line="183"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Other revenue increased $1,740,000, or 4.0%, in 2018 and increased 2.7% on a same property basis. Digital services revenue, which is predominately TownNews, increased $2,320,000, or 16.6%, in 2018 due to an increase in customers, including broadcast, and monetizing digital audience with programmatic digital advertising. On a stand-alone basis, revenue at TownNews increased 16.0% to $18,900,000 and excluding intercompany activity, revenue at TownNews increased 19.8% in 2018. We entered into a management agreement with BHMG in July of 2018 and earned $1,331,000 in revenue from this agreement in 2018. Increases in digital services and management agreement revenue were partially offset by revenue declines in commercial printing and third party delivery due to a reduction in print volume.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Equity in earnings of TNI and MNI increased $1,640,000 in 2018.</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66040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20" w:top="576" w:right="359" w:bottom="1440" w:gutter="0" w:footer="0" w:header="0"/>
        </w:sectPr>
      </w:pPr>
    </w:p>
    <w:bookmarkStart w:id="27" w:name="page28"/>
    <w:bookmarkEnd w:id="27"/>
    <w:p>
      <w:pPr>
        <w:ind w:left="20"/>
        <w:spacing w:after="0"/>
        <w:rPr>
          <w:sz w:val="20"/>
          <w:szCs w:val="20"/>
          <w:color w:val="auto"/>
        </w:rPr>
      </w:pPr>
      <w:r>
        <w:rPr>
          <w:rFonts w:ascii="Arial" w:cs="Arial" w:eastAsia="Arial" w:hAnsi="Arial"/>
          <w:sz w:val="18"/>
          <w:szCs w:val="18"/>
          <w:b w:val="1"/>
          <w:bCs w:val="1"/>
          <w:color w:val="auto"/>
        </w:rPr>
        <w:t>OPERATING EXPENSES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Expense Comparison 2019-2018</w:t>
      </w:r>
    </w:p>
    <w:p>
      <w:pPr>
        <w:spacing w:after="0" w:line="220" w:lineRule="exact"/>
        <w:rPr>
          <w:sz w:val="20"/>
          <w:szCs w:val="20"/>
          <w:color w:val="auto"/>
        </w:rPr>
      </w:pPr>
    </w:p>
    <w:p>
      <w:pPr>
        <w:jc w:val="both"/>
        <w:ind w:right="20"/>
        <w:spacing w:after="0" w:line="214" w:lineRule="auto"/>
        <w:rPr>
          <w:sz w:val="20"/>
          <w:szCs w:val="20"/>
          <w:color w:val="auto"/>
        </w:rPr>
      </w:pPr>
      <w:r>
        <w:rPr>
          <w:rFonts w:ascii="Arial" w:cs="Arial" w:eastAsia="Arial" w:hAnsi="Arial"/>
          <w:sz w:val="18"/>
          <w:szCs w:val="18"/>
          <w:color w:val="auto"/>
        </w:rPr>
        <w:t>Operating expenses decreased $25,265,000, or 5.4%, in 2019 due to business transformation projects, outsourcing of certain production operations and reductions in legacy print expenses. The 53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week of operations added $6,875,000 of operating expenses in 2018. Partially offsetting these declines were operating expenses related to acquisitions in 2019. Cash Costs on a same property basis decreased of 5.9% compared to 2018.</w:t>
      </w:r>
    </w:p>
    <w:p>
      <w:pPr>
        <w:spacing w:after="0" w:line="192"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Compensation expense was down $16,295,000, or 8.2%, due to a 7.8% decline on a same property basis due to a 10.9% reduction in FTE's with compensation increases offsetting the declines in headcount. Business transformation projects and outsourcing helped drive efficiencies and reduced headcount and compensation expense.</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Newsprint and ink costs were down $2,712,000, or 10.9%, attributed to a same property basis decrease of 8.9% due to a 12.3% reduction in newsprint volume from print volume declines partially offset by higher average prices. Average newsprint prices increased the first half of 2019 and declined the second half ending the year with prices ending 2019 at their lowest levels. See Item 7A, “Commodities”, included herein, for further discussion and analysis of the impact of newsprint on our business.</w:t>
      </w:r>
    </w:p>
    <w:p>
      <w:pPr>
        <w:spacing w:after="0" w:line="188"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Other operating expenses were down $5,944,000, or 3.0%, due to a 3.7% decline on same property basis. Other operating expenses include all operating costs not considered to be compensation, newsprint, depreciation and amortization, or restructuring costs and other. The largest components are costs associated with printing and distribution of our printed products, digital cost of goods sold and facility expenses. Cost reductions were primarily related to lower delivery and other print-related costs due to lower volumes of our print editions, offset in part by higher costs associated with growing digital revenue.</w:t>
      </w:r>
    </w:p>
    <w:p>
      <w:pPr>
        <w:spacing w:after="0" w:line="189"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Restructuring costs and other totaled $11,635,000 and $5,550,000 in 2019 and 2018, respectively. In 2019, restructuring costs and other include an estimate of costs related to withdrawals from certain of our multiemployer pension plans totaling $3,836,010. The remaining restructuring costs in 2019 and 2018 are predominately severance.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decreased $2,049,000, or 14.1%, in 2019. Amortization expense decreased $385,000, or 2.2%, in 2019.</w:t>
      </w:r>
    </w:p>
    <w:p>
      <w:pPr>
        <w:spacing w:after="0" w:line="198" w:lineRule="exact"/>
        <w:rPr>
          <w:sz w:val="20"/>
          <w:szCs w:val="20"/>
          <w:color w:val="auto"/>
        </w:rPr>
      </w:pPr>
    </w:p>
    <w:p>
      <w:pPr>
        <w:jc w:val="both"/>
        <w:ind w:right="20"/>
        <w:spacing w:after="0" w:line="261" w:lineRule="auto"/>
        <w:rPr>
          <w:sz w:val="20"/>
          <w:szCs w:val="20"/>
          <w:color w:val="auto"/>
        </w:rPr>
      </w:pPr>
      <w:r>
        <w:rPr>
          <w:rFonts w:ascii="Arial" w:cs="Arial" w:eastAsia="Arial" w:hAnsi="Arial"/>
          <w:sz w:val="17"/>
          <w:szCs w:val="17"/>
          <w:color w:val="auto"/>
        </w:rPr>
        <w:t>Assets loss (gain) on sales, impairments and other was a net expense of $2,464,000 in 2019 compared to $6,429,000 in 2018. We recognized a $2,464,000 loss on sale of assets in 2019 compared to an $8,193,000 loss in 2018. We recorded $267,000 of non-cash impairment charges in 2018, and also in 2018, we recognized curtailment gains of $2,031,000 from the elimination of an unfunded employee benefit plan.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factors noted above resulted in operating income of $74,729,000 in 2019 compared to $85,693,000 in 2018.</w:t>
      </w:r>
    </w:p>
    <w:p>
      <w:pPr>
        <w:spacing w:after="0" w:line="198"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In 2020, we expect Cash Costs to decline between 5.5% and 6.5% due to the flow through impact of actions taken throughout 2019, additional business transformation projects, lower production and distribution costs of our printed editions due to volume declines, and lower newsprint prices.</w:t>
      </w:r>
    </w:p>
    <w:p>
      <w:pPr>
        <w:spacing w:after="0" w:line="16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Operating Expense Comparison 2018-2017</w:t>
      </w:r>
    </w:p>
    <w:p>
      <w:pPr>
        <w:spacing w:after="0" w:line="220"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Operating expenses decreased $17,911,000, or 3.7%, in 2018 due to business transformation projects, outsourcing of certain production operations and our consumer sales call center and reductions in legacy print expenses. Partially offsetting these declines were $6,875,000 of operating expenses related to the 53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week of operations. Cash Costs were down 6.2% on a same property basis compared to 2017.</w:t>
      </w:r>
    </w:p>
    <w:p>
      <w:pPr>
        <w:spacing w:after="0" w:line="54"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Compensation expense was down 13,945,000, or 6.5%, attributed to a same property decrease of 9.5% due to a 12.0% reduction in full time equivalents partially offset by higher costs associated with our self-insured medial plan. Business transformation projects and outsourcing helped drive efficiencies and reduce headcount.</w:t>
      </w:r>
    </w:p>
    <w:p>
      <w:pPr>
        <w:spacing w:after="0" w:line="189"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Newsprint and ink costs were flat for 2018 and down 1.8% on a same property basis, due to a 17.9% reduction in newsprint volume from print volume declines and using a lower basis weight newsprint partially offset by significantly higher average prices. Average newsprint prices increased throughout 2018 due to significant reductions in supply by North American newsprint producers. See Item 7A, “Commodities”, included herein, for further discussion and analysis of the impact of newsprint on our business.</w:t>
      </w:r>
    </w:p>
    <w:p>
      <w:pPr>
        <w:spacing w:after="0" w:line="18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66040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20" w:top="576" w:right="359" w:bottom="1440" w:gutter="0" w:footer="0" w:header="0"/>
        </w:sectPr>
      </w:pPr>
    </w:p>
    <w:bookmarkStart w:id="28" w:name="page29"/>
    <w:bookmarkEnd w:id="28"/>
    <w:p>
      <w:pPr>
        <w:jc w:val="both"/>
        <w:spacing w:after="0" w:line="238" w:lineRule="auto"/>
        <w:rPr>
          <w:sz w:val="20"/>
          <w:szCs w:val="20"/>
          <w:color w:val="auto"/>
        </w:rPr>
      </w:pPr>
      <w:r>
        <w:rPr>
          <w:rFonts w:ascii="Arial" w:cs="Arial" w:eastAsia="Arial" w:hAnsi="Arial"/>
          <w:sz w:val="18"/>
          <w:szCs w:val="18"/>
          <w:color w:val="auto"/>
        </w:rPr>
        <w:t>Other operating expenses for 2018 decreased $101,000, or 0.1%, due to a same property basis decrease of 3.3%. Other operating expenses include all operating costs not considered to be compensation, newsprint, depreciation and amortization, or restructuring costs and other. The largest components are costs associated with printing and distribution of our printed products, digital cost of goods sold and facility expenses. Cost reductions were primarily related to lower delivery and other print-related costs due to lower volumes of our print editions, offset in part by costs associated with outsourcing.</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Restructuring costs and other totaled $ 5,550,000 and $7,523,000 in 2018 and 2017, respectively. 2017 restructuring costs and other includes $2,600,000 related to the withdrawal from one of our multiemployer plans. The remaining restructuring costs in 2018 and 2017 are predominately severance.</w:t>
      </w:r>
    </w:p>
    <w:p>
      <w:pPr>
        <w:spacing w:after="0" w:line="18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Depreciation expense decreased $1,482,000, or 9.2%. Amortization expense decreased $8,034,000, or 31.8%, in 2018 as certain intangible assets became fully amortized.</w:t>
      </w:r>
    </w:p>
    <w:p>
      <w:pPr>
        <w:spacing w:after="0" w:line="183"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Assets loss (gain) on sales, impairments and other was a net expense of $6,429,000 in 2018 compared to a net benefit of $1,150,000 in 2017. We recognized an $8,193,000 loss on sale of assets in 2018 compared to a $74,000 loss in 2017. We recorded $267,000 of non-cash impairment charges in 2018 compared to $2,517,000 in 2017. Curtailment gains totaled $2,031,000 and $3,741,000 in 2018 and 2017, respectively, from the elimination of an unfunded employee benefit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factors noted above resulted in operating income of $85,693,000 in 2018 compared to $89,130,000 in 2017.</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NON-OPERATING INCOME AND EXPENSES</w:t>
      </w:r>
    </w:p>
    <w:p>
      <w:pPr>
        <w:spacing w:after="0" w:line="198"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Non-operating Income and Expense Comparison 2019-2018</w:t>
      </w:r>
    </w:p>
    <w:p>
      <w:pPr>
        <w:spacing w:after="0" w:line="220"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Interest expense decreased $5,354,000, or 10.1%, to $47,488,000 in 2019 due to lower debt balances. Our weighted average cost of debt, excluding amortization of debt financing cost, was 10.0% in 2019 and 2018. We recognized $7,214,000 of debt financing and administrative costs in 2019 compared to $5,311,000 in 2018. The majority of costs represent amortization of refinancing costs paid in 2014, as well as an adjustment of $1,309,000 as discussed in Note 5 of the Notes to the Consolidated Financial Statements, included herein.</w:t>
      </w:r>
    </w:p>
    <w:p>
      <w:pPr>
        <w:spacing w:after="0" w:line="18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Included in other non-operating income and expense is income related to our defined benefit pension plans and other post-employment benefit plans, which totaled $2,847,000 and $2,830,000 in 2019 and 2018, respectively.</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Other non-operating income/expense also includes a fair value adjustment related to the Warrants. As more fully discussed in Note 5 of the Notes to the Consolidated Financial Statements, included herein, we recorded a liability for the Warrants, issued in connection with the Warrant Agreement. We measure the liability to fair value each reporting period, with changes reported in other non-operating income (expenses). Due to the fluctuation in the price of our Common Stock and changes in interest rates, the estimated fair value of the warrant liability can change each period. We recorded non-operating income of $612,000 in 2019 and non-operating expense of $226,000 in 2018 due to the change in fair value of the Warrants.</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Non-operating Income and Expense Comparison 2018-2017</w:t>
      </w:r>
    </w:p>
    <w:p>
      <w:pPr>
        <w:spacing w:after="0" w:line="220"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Interest expense decreased $ 4,731,000, or 8.2%, to $52,842,000 in 2018 due to lower debt balances. Our weighted average cost of debt, excluding amortization of debt financing cost, increased to 10.0% in 2018 compared to 9.9% in 2017, as the majority of our debt repayments were made on our lowest cost debt.</w:t>
      </w:r>
    </w:p>
    <w:p>
      <w:pPr>
        <w:spacing w:after="0" w:line="18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recognized $5,311,000 of debt financing and administrative costs in 2018 compared to $4,818,000 in 2017. The majority of costs represent amortization of refinancing costs paid in 2014.</w:t>
      </w:r>
    </w:p>
    <w:p>
      <w:pPr>
        <w:spacing w:after="0" w:line="18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Included in other non-operating income and expense is income related to our defined benefit pension plans and other post-retirement benefit plans, which totaled $2,830,000 and $3,417,000 in 2018 and 2017, respectively.</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more fully discussed in Note 5 of the Notes to the Consolidated Financial Statements, included herein, we recorded a liability for the Warrants, issued in connection with the Warrant Agreement. We re-measure the liability to fair value each reporting period, with changes reported in other non-operating income (expenses). Due to the fluctuation in the price of our Common Stock, and changes in interest rates, the estimated fair value of the warrant liability can change each period. We recorded non-operating expense of $226,000 in 2018 and non-operating income of $10,181,000, in 2017, due to the change in fair value of the Warrants.</w:t>
      </w:r>
    </w:p>
    <w:p>
      <w:pPr>
        <w:spacing w:after="0" w:line="18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66040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20" w:top="598"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INCOME TAX EXPENSES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December 22, 2017, comprehensive tax legislation commonly referred to as the 2017 Tax Act was signed into law. Among other provisions, the 2017 Tax Act reduces the federal statutory corporate income tax rate from 35% to 21%. The reduction of the corporate tax rate caused us to re-measure our deferred tax assets and liabilities to the lower federal base rate of 21%. We reported a discrete adjustment from revaluing our deferred tax assets and liabilities resulting in a net decrease in income tax expense of $24,872,000 for the 53 weeks ended September 30, 2018.</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2019, we recorded income tax expense of $7,931,000, or 33.3% of pretax income and in 2018, we recorded an income tax benefit of $16,228,000, or 52.7% of pretax income. Excluding the impact from the 2017 Tax Act, the effective income tax rate for 2018 was 28.0%. In 2017, we recognized income tax expense of $11,611,000, resulting in an effective tax rate of 28.9%. See Note 10 of the Notes to the Consolidated Financial Statements, included herein, for a discussion of the difference between the expected federal income tax rate and the actual tax rates.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EARNINGS PER SHARE</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following table summarizes the impact from the warrant fair value adjustments and the 2017 Tax Act on income attributable to Lee Enterprises, Incorporated and earnings per diluted common share. Per share amounts may not add due to rounding.</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13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12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60" w:type="dxa"/>
            <w:vAlign w:val="bottom"/>
          </w:tcPr>
          <w:p>
            <w:pPr>
              <w:spacing w:after="0" w:line="168" w:lineRule="exact"/>
              <w:rPr>
                <w:sz w:val="20"/>
                <w:szCs w:val="20"/>
                <w:color w:val="auto"/>
              </w:rPr>
            </w:pPr>
            <w:r>
              <w:rPr>
                <w:rFonts w:ascii="Arial" w:cs="Arial" w:eastAsia="Arial" w:hAnsi="Arial"/>
                <w:sz w:val="16"/>
                <w:szCs w:val="16"/>
                <w:i w:val="1"/>
                <w:iCs w:val="1"/>
                <w:color w:val="auto"/>
              </w:rPr>
              <w:t>(Thousands of Dollars, Except Per Share</w:t>
            </w:r>
          </w:p>
        </w:tc>
        <w:tc>
          <w:tcPr>
            <w:tcW w:w="1340" w:type="dxa"/>
            <w:vAlign w:val="bottom"/>
            <w:vMerge w:val="restart"/>
          </w:tcPr>
          <w:p>
            <w:pPr>
              <w:jc w:val="right"/>
              <w:ind w:right="230"/>
              <w:spacing w:after="0"/>
              <w:rPr>
                <w:sz w:val="20"/>
                <w:szCs w:val="20"/>
                <w:color w:val="auto"/>
              </w:rPr>
            </w:pPr>
            <w:r>
              <w:rPr>
                <w:rFonts w:ascii="Arial" w:cs="Arial" w:eastAsia="Arial" w:hAnsi="Arial"/>
                <w:sz w:val="18"/>
                <w:szCs w:val="18"/>
                <w:color w:val="auto"/>
              </w:rPr>
              <w:t>Amount</w:t>
            </w:r>
          </w:p>
        </w:tc>
        <w:tc>
          <w:tcPr>
            <w:tcW w:w="1440" w:type="dxa"/>
            <w:vAlign w:val="bottom"/>
            <w:vMerge w:val="restart"/>
          </w:tcPr>
          <w:p>
            <w:pPr>
              <w:jc w:val="right"/>
              <w:ind w:right="270"/>
              <w:spacing w:after="0"/>
              <w:rPr>
                <w:sz w:val="20"/>
                <w:szCs w:val="20"/>
                <w:color w:val="auto"/>
              </w:rPr>
            </w:pPr>
            <w:r>
              <w:rPr>
                <w:rFonts w:ascii="Arial" w:cs="Arial" w:eastAsia="Arial" w:hAnsi="Arial"/>
                <w:sz w:val="18"/>
                <w:szCs w:val="18"/>
                <w:color w:val="auto"/>
              </w:rPr>
              <w:t>Per Share</w:t>
            </w:r>
          </w:p>
        </w:tc>
        <w:tc>
          <w:tcPr>
            <w:tcW w:w="1300" w:type="dxa"/>
            <w:vAlign w:val="bottom"/>
            <w:vMerge w:val="restart"/>
          </w:tcPr>
          <w:p>
            <w:pPr>
              <w:jc w:val="right"/>
              <w:ind w:right="210"/>
              <w:spacing w:after="0"/>
              <w:rPr>
                <w:sz w:val="20"/>
                <w:szCs w:val="20"/>
                <w:color w:val="auto"/>
              </w:rPr>
            </w:pPr>
            <w:r>
              <w:rPr>
                <w:rFonts w:ascii="Arial" w:cs="Arial" w:eastAsia="Arial" w:hAnsi="Arial"/>
                <w:sz w:val="18"/>
                <w:szCs w:val="18"/>
                <w:color w:val="auto"/>
              </w:rPr>
              <w:t>Amount</w:t>
            </w:r>
          </w:p>
        </w:tc>
        <w:tc>
          <w:tcPr>
            <w:tcW w:w="1440" w:type="dxa"/>
            <w:vAlign w:val="bottom"/>
            <w:vMerge w:val="restart"/>
          </w:tcPr>
          <w:p>
            <w:pPr>
              <w:jc w:val="right"/>
              <w:ind w:right="290"/>
              <w:spacing w:after="0"/>
              <w:rPr>
                <w:sz w:val="20"/>
                <w:szCs w:val="20"/>
                <w:color w:val="auto"/>
              </w:rPr>
            </w:pPr>
            <w:r>
              <w:rPr>
                <w:rFonts w:ascii="Arial" w:cs="Arial" w:eastAsia="Arial" w:hAnsi="Arial"/>
                <w:sz w:val="18"/>
                <w:szCs w:val="18"/>
                <w:color w:val="auto"/>
              </w:rPr>
              <w:t>Per Share</w:t>
            </w:r>
          </w:p>
        </w:tc>
        <w:tc>
          <w:tcPr>
            <w:tcW w:w="1260" w:type="dxa"/>
            <w:vAlign w:val="bottom"/>
            <w:vMerge w:val="restart"/>
          </w:tcPr>
          <w:p>
            <w:pPr>
              <w:jc w:val="right"/>
              <w:ind w:right="210"/>
              <w:spacing w:after="0"/>
              <w:rPr>
                <w:sz w:val="20"/>
                <w:szCs w:val="20"/>
                <w:color w:val="auto"/>
              </w:rPr>
            </w:pPr>
            <w:r>
              <w:rPr>
                <w:rFonts w:ascii="Arial" w:cs="Arial" w:eastAsia="Arial" w:hAnsi="Arial"/>
                <w:sz w:val="18"/>
                <w:szCs w:val="18"/>
                <w:color w:val="auto"/>
              </w:rPr>
              <w:t>Amount</w:t>
            </w:r>
          </w:p>
        </w:tc>
        <w:tc>
          <w:tcPr>
            <w:tcW w:w="11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Per Share</w:t>
            </w:r>
          </w:p>
        </w:tc>
        <w:tc>
          <w:tcPr>
            <w:tcW w:w="0" w:type="dxa"/>
            <w:vAlign w:val="bottom"/>
          </w:tcPr>
          <w:p>
            <w:pPr>
              <w:spacing w:after="0"/>
              <w:rPr>
                <w:sz w:val="1"/>
                <w:szCs w:val="1"/>
                <w:color w:val="auto"/>
              </w:rPr>
            </w:pPr>
          </w:p>
        </w:tc>
      </w:tr>
      <w:tr>
        <w:trPr>
          <w:trHeight w:val="203"/>
        </w:trPr>
        <w:tc>
          <w:tcPr>
            <w:tcW w:w="3480" w:type="dxa"/>
            <w:vAlign w:val="bottom"/>
            <w:gridSpan w:val="2"/>
          </w:tcPr>
          <w:p>
            <w:pPr>
              <w:spacing w:after="0"/>
              <w:rPr>
                <w:sz w:val="20"/>
                <w:szCs w:val="20"/>
                <w:color w:val="auto"/>
              </w:rPr>
            </w:pPr>
            <w:r>
              <w:rPr>
                <w:rFonts w:ascii="Arial" w:cs="Arial" w:eastAsia="Arial" w:hAnsi="Arial"/>
                <w:sz w:val="16"/>
                <w:szCs w:val="16"/>
                <w:i w:val="1"/>
                <w:iCs w:val="1"/>
                <w:color w:val="auto"/>
              </w:rPr>
              <w:t>Data)</w:t>
            </w:r>
          </w:p>
        </w:tc>
        <w:tc>
          <w:tcPr>
            <w:tcW w:w="134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4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attributable to Lee Enterprises,</w:t>
            </w:r>
          </w:p>
        </w:tc>
        <w:tc>
          <w:tcPr>
            <w:tcW w:w="13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Incorporated, as reported</w:t>
            </w:r>
          </w:p>
        </w:tc>
        <w:tc>
          <w:tcPr>
            <w:tcW w:w="1340" w:type="dxa"/>
            <w:vAlign w:val="bottom"/>
            <w:shd w:val="clear" w:color="auto" w:fill="CCEEFF"/>
          </w:tcPr>
          <w:p>
            <w:pPr>
              <w:jc w:val="right"/>
              <w:ind w:right="230"/>
              <w:spacing w:after="0" w:line="203" w:lineRule="exact"/>
              <w:rPr>
                <w:sz w:val="20"/>
                <w:szCs w:val="20"/>
                <w:color w:val="auto"/>
              </w:rPr>
            </w:pPr>
            <w:r>
              <w:rPr>
                <w:rFonts w:ascii="Arial" w:cs="Arial" w:eastAsia="Arial" w:hAnsi="Arial"/>
                <w:sz w:val="18"/>
                <w:szCs w:val="18"/>
                <w:color w:val="auto"/>
              </w:rPr>
              <w:t>14,268</w:t>
            </w:r>
          </w:p>
        </w:tc>
        <w:tc>
          <w:tcPr>
            <w:tcW w:w="1440" w:type="dxa"/>
            <w:vAlign w:val="bottom"/>
            <w:shd w:val="clear" w:color="auto" w:fill="CCEEFF"/>
          </w:tcPr>
          <w:p>
            <w:pPr>
              <w:jc w:val="right"/>
              <w:ind w:right="270"/>
              <w:spacing w:after="0" w:line="203" w:lineRule="exact"/>
              <w:rPr>
                <w:sz w:val="20"/>
                <w:szCs w:val="20"/>
                <w:color w:val="auto"/>
              </w:rPr>
            </w:pPr>
            <w:r>
              <w:rPr>
                <w:rFonts w:ascii="Arial" w:cs="Arial" w:eastAsia="Arial" w:hAnsi="Arial"/>
                <w:sz w:val="18"/>
                <w:szCs w:val="18"/>
                <w:color w:val="auto"/>
              </w:rPr>
              <w:t>0.25</w:t>
            </w:r>
          </w:p>
        </w:tc>
        <w:tc>
          <w:tcPr>
            <w:tcW w:w="1300" w:type="dxa"/>
            <w:vAlign w:val="bottom"/>
            <w:shd w:val="clear" w:color="auto" w:fill="CCEEFF"/>
          </w:tcPr>
          <w:p>
            <w:pPr>
              <w:jc w:val="right"/>
              <w:ind w:right="210"/>
              <w:spacing w:after="0" w:line="203" w:lineRule="exact"/>
              <w:rPr>
                <w:sz w:val="20"/>
                <w:szCs w:val="20"/>
                <w:color w:val="auto"/>
              </w:rPr>
            </w:pPr>
            <w:r>
              <w:rPr>
                <w:rFonts w:ascii="Arial" w:cs="Arial" w:eastAsia="Arial" w:hAnsi="Arial"/>
                <w:sz w:val="18"/>
                <w:szCs w:val="18"/>
                <w:color w:val="auto"/>
              </w:rPr>
              <w:t>45,766</w:t>
            </w:r>
          </w:p>
        </w:tc>
        <w:tc>
          <w:tcPr>
            <w:tcW w:w="1440" w:type="dxa"/>
            <w:vAlign w:val="bottom"/>
            <w:shd w:val="clear" w:color="auto" w:fill="CCEEFF"/>
          </w:tcPr>
          <w:p>
            <w:pPr>
              <w:jc w:val="right"/>
              <w:ind w:right="290"/>
              <w:spacing w:after="0" w:line="203" w:lineRule="exact"/>
              <w:rPr>
                <w:sz w:val="20"/>
                <w:szCs w:val="20"/>
                <w:color w:val="auto"/>
              </w:rPr>
            </w:pPr>
            <w:r>
              <w:rPr>
                <w:rFonts w:ascii="Arial" w:cs="Arial" w:eastAsia="Arial" w:hAnsi="Arial"/>
                <w:sz w:val="18"/>
                <w:szCs w:val="18"/>
                <w:color w:val="auto"/>
              </w:rPr>
              <w:t>0.82</w:t>
            </w:r>
          </w:p>
        </w:tc>
        <w:tc>
          <w:tcPr>
            <w:tcW w:w="1260" w:type="dxa"/>
            <w:vAlign w:val="bottom"/>
            <w:shd w:val="clear" w:color="auto" w:fill="CCEEFF"/>
          </w:tcPr>
          <w:p>
            <w:pPr>
              <w:jc w:val="right"/>
              <w:ind w:right="210"/>
              <w:spacing w:after="0" w:line="203" w:lineRule="exact"/>
              <w:rPr>
                <w:sz w:val="20"/>
                <w:szCs w:val="20"/>
                <w:color w:val="auto"/>
              </w:rPr>
            </w:pPr>
            <w:r>
              <w:rPr>
                <w:rFonts w:ascii="Arial" w:cs="Arial" w:eastAsia="Arial" w:hAnsi="Arial"/>
                <w:sz w:val="18"/>
                <w:szCs w:val="18"/>
                <w:color w:val="auto"/>
              </w:rPr>
              <w:t>27,481</w:t>
            </w:r>
          </w:p>
        </w:tc>
        <w:tc>
          <w:tcPr>
            <w:tcW w:w="116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tcPr>
          <w:p>
            <w:pPr>
              <w:spacing w:after="0" w:line="202" w:lineRule="exact"/>
              <w:rPr>
                <w:sz w:val="20"/>
                <w:szCs w:val="20"/>
                <w:color w:val="auto"/>
              </w:rPr>
            </w:pPr>
            <w:r>
              <w:rPr>
                <w:rFonts w:ascii="Arial" w:cs="Arial" w:eastAsia="Arial" w:hAnsi="Arial"/>
                <w:sz w:val="18"/>
                <w:szCs w:val="18"/>
                <w:color w:val="auto"/>
              </w:rPr>
              <w:t>Adjustments:</w:t>
            </w:r>
          </w:p>
        </w:tc>
        <w:tc>
          <w:tcPr>
            <w:tcW w:w="1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Warrants fair value adjustment</w:t>
            </w:r>
          </w:p>
        </w:tc>
        <w:tc>
          <w:tcPr>
            <w:tcW w:w="134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(612)</w:t>
            </w:r>
          </w:p>
        </w:tc>
        <w:tc>
          <w:tcPr>
            <w:tcW w:w="144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0.01</w:t>
            </w:r>
          </w:p>
        </w:tc>
        <w:tc>
          <w:tcPr>
            <w:tcW w:w="130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226</w:t>
            </w:r>
          </w:p>
        </w:tc>
        <w:tc>
          <w:tcPr>
            <w:tcW w:w="14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(10,181)</w:t>
            </w:r>
          </w:p>
        </w:tc>
        <w:tc>
          <w:tcPr>
            <w:tcW w:w="11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Adjusted income before income tax</w:t>
            </w:r>
          </w:p>
        </w:tc>
        <w:tc>
          <w:tcPr>
            <w:tcW w:w="13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80" w:type="dxa"/>
            <w:vAlign w:val="bottom"/>
            <w:gridSpan w:val="2"/>
          </w:tcPr>
          <w:p>
            <w:pPr>
              <w:spacing w:after="0" w:line="203" w:lineRule="exact"/>
              <w:rPr>
                <w:sz w:val="20"/>
                <w:szCs w:val="20"/>
                <w:color w:val="auto"/>
              </w:rPr>
            </w:pPr>
            <w:r>
              <w:rPr>
                <w:rFonts w:ascii="Arial" w:cs="Arial" w:eastAsia="Arial" w:hAnsi="Arial"/>
                <w:sz w:val="18"/>
                <w:szCs w:val="18"/>
                <w:color w:val="auto"/>
              </w:rPr>
              <w:t>impacts</w:t>
            </w:r>
          </w:p>
        </w:tc>
        <w:tc>
          <w:tcPr>
            <w:tcW w:w="1340" w:type="dxa"/>
            <w:vAlign w:val="bottom"/>
          </w:tcPr>
          <w:p>
            <w:pPr>
              <w:jc w:val="right"/>
              <w:ind w:right="230"/>
              <w:spacing w:after="0" w:line="203" w:lineRule="exact"/>
              <w:rPr>
                <w:sz w:val="20"/>
                <w:szCs w:val="20"/>
                <w:color w:val="auto"/>
              </w:rPr>
            </w:pPr>
            <w:r>
              <w:rPr>
                <w:rFonts w:ascii="Arial" w:cs="Arial" w:eastAsia="Arial" w:hAnsi="Arial"/>
                <w:sz w:val="18"/>
                <w:szCs w:val="18"/>
                <w:color w:val="auto"/>
              </w:rPr>
              <w:t>13,656</w:t>
            </w:r>
          </w:p>
        </w:tc>
        <w:tc>
          <w:tcPr>
            <w:tcW w:w="1440" w:type="dxa"/>
            <w:vAlign w:val="bottom"/>
          </w:tcPr>
          <w:p>
            <w:pPr>
              <w:jc w:val="right"/>
              <w:ind w:right="270"/>
              <w:spacing w:after="0" w:line="203" w:lineRule="exact"/>
              <w:rPr>
                <w:sz w:val="20"/>
                <w:szCs w:val="20"/>
                <w:color w:val="auto"/>
              </w:rPr>
            </w:pPr>
            <w:r>
              <w:rPr>
                <w:rFonts w:ascii="Arial" w:cs="Arial" w:eastAsia="Arial" w:hAnsi="Arial"/>
                <w:sz w:val="18"/>
                <w:szCs w:val="18"/>
                <w:color w:val="auto"/>
              </w:rPr>
              <w:t>0.24</w:t>
            </w:r>
          </w:p>
        </w:tc>
        <w:tc>
          <w:tcPr>
            <w:tcW w:w="1300" w:type="dxa"/>
            <w:vAlign w:val="bottom"/>
          </w:tcPr>
          <w:p>
            <w:pPr>
              <w:jc w:val="right"/>
              <w:ind w:right="210"/>
              <w:spacing w:after="0" w:line="203" w:lineRule="exact"/>
              <w:rPr>
                <w:sz w:val="20"/>
                <w:szCs w:val="20"/>
                <w:color w:val="auto"/>
              </w:rPr>
            </w:pPr>
            <w:r>
              <w:rPr>
                <w:rFonts w:ascii="Arial" w:cs="Arial" w:eastAsia="Arial" w:hAnsi="Arial"/>
                <w:sz w:val="18"/>
                <w:szCs w:val="18"/>
                <w:color w:val="auto"/>
              </w:rPr>
              <w:t>45,992</w:t>
            </w:r>
          </w:p>
        </w:tc>
        <w:tc>
          <w:tcPr>
            <w:tcW w:w="1440" w:type="dxa"/>
            <w:vAlign w:val="bottom"/>
          </w:tcPr>
          <w:p>
            <w:pPr>
              <w:jc w:val="right"/>
              <w:ind w:right="290"/>
              <w:spacing w:after="0" w:line="203" w:lineRule="exact"/>
              <w:rPr>
                <w:sz w:val="20"/>
                <w:szCs w:val="20"/>
                <w:color w:val="auto"/>
              </w:rPr>
            </w:pPr>
            <w:r>
              <w:rPr>
                <w:rFonts w:ascii="Arial" w:cs="Arial" w:eastAsia="Arial" w:hAnsi="Arial"/>
                <w:sz w:val="18"/>
                <w:szCs w:val="18"/>
                <w:color w:val="auto"/>
              </w:rPr>
              <w:t>0.82</w:t>
            </w:r>
          </w:p>
        </w:tc>
        <w:tc>
          <w:tcPr>
            <w:tcW w:w="1260" w:type="dxa"/>
            <w:vAlign w:val="bottom"/>
          </w:tcPr>
          <w:p>
            <w:pPr>
              <w:jc w:val="right"/>
              <w:ind w:right="210"/>
              <w:spacing w:after="0" w:line="203" w:lineRule="exact"/>
              <w:rPr>
                <w:sz w:val="20"/>
                <w:szCs w:val="20"/>
                <w:color w:val="auto"/>
              </w:rPr>
            </w:pPr>
            <w:r>
              <w:rPr>
                <w:rFonts w:ascii="Arial" w:cs="Arial" w:eastAsia="Arial" w:hAnsi="Arial"/>
                <w:sz w:val="18"/>
                <w:szCs w:val="18"/>
                <w:color w:val="auto"/>
              </w:rPr>
              <w:t>17,300</w:t>
            </w:r>
          </w:p>
        </w:tc>
        <w:tc>
          <w:tcPr>
            <w:tcW w:w="116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Income tax effect of 2017 Tax Act</w:t>
            </w:r>
          </w:p>
        </w:tc>
        <w:tc>
          <w:tcPr>
            <w:tcW w:w="134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(24,872)</w:t>
            </w:r>
          </w:p>
        </w:tc>
        <w:tc>
          <w:tcPr>
            <w:tcW w:w="144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(0.44)</w:t>
            </w:r>
          </w:p>
        </w:tc>
        <w:tc>
          <w:tcPr>
            <w:tcW w:w="126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60" w:type="dxa"/>
            <w:vAlign w:val="bottom"/>
          </w:tcPr>
          <w:p>
            <w:pPr>
              <w:spacing w:after="0" w:line="195" w:lineRule="exact"/>
              <w:rPr>
                <w:sz w:val="20"/>
                <w:szCs w:val="20"/>
                <w:color w:val="auto"/>
              </w:rPr>
            </w:pPr>
            <w:r>
              <w:rPr>
                <w:rFonts w:ascii="Arial" w:cs="Arial" w:eastAsia="Arial" w:hAnsi="Arial"/>
                <w:sz w:val="18"/>
                <w:szCs w:val="18"/>
                <w:color w:val="auto"/>
              </w:rPr>
              <w:t>Income attributable to Lee Enterprises,</w:t>
            </w:r>
          </w:p>
        </w:tc>
        <w:tc>
          <w:tcPr>
            <w:tcW w:w="1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8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Incorporated, as adjusted</w:t>
            </w:r>
          </w:p>
        </w:tc>
        <w:tc>
          <w:tcPr>
            <w:tcW w:w="13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13,656</w:t>
            </w:r>
          </w:p>
        </w:tc>
        <w:tc>
          <w:tcPr>
            <w:tcW w:w="144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0.24</w:t>
            </w:r>
          </w:p>
        </w:tc>
        <w:tc>
          <w:tcPr>
            <w:tcW w:w="130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21,120</w:t>
            </w:r>
          </w:p>
        </w:tc>
        <w:tc>
          <w:tcPr>
            <w:tcW w:w="144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0.38</w:t>
            </w:r>
          </w:p>
        </w:tc>
        <w:tc>
          <w:tcPr>
            <w:tcW w:w="126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17,300</w:t>
            </w:r>
          </w:p>
        </w:tc>
        <w:tc>
          <w:tcPr>
            <w:tcW w:w="1160" w:type="dxa"/>
            <w:vAlign w:val="bottom"/>
            <w:tcBorders>
              <w:bottom w:val="single" w:sz="8" w:color="auto"/>
            </w:tcBorders>
            <w:gridSpan w:val="2"/>
          </w:tcPr>
          <w:p>
            <w:pPr>
              <w:jc w:val="right"/>
              <w:ind w:right="100"/>
              <w:spacing w:after="0" w:line="203" w:lineRule="exact"/>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Activities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Cash provided by operating activities totaled $57,676,000 in 2019 compared to $59,296,000 in 2018 due to a decline in net income to $15,909,000 in 2019 from $22,176,000 in 2018, after adjusting 2018 for the 2017 Tax Act impact of $24,872,000. The decline in net income is primarily the result of continued softening of the print advertising environment.</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Cash provided by operating activities totaled $59,296,000 in 2018 compared to $72,281,000 in 2017 due to a decline in net income to $22,176,000 in 2018 from $28,605,000 in 2017, after adjusting for the 2017 Tax Act impact of $24,872,000. The decline in net income is primarily a result of the continued softening of the print advertising environment. Operating cash flows were also impacted by pension contributions.</w:t>
      </w:r>
    </w:p>
    <w:p>
      <w:pPr>
        <w:spacing w:after="0" w:line="18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Pension liabilities, net of plan assets, totaled $47,037,000 as of September 29, 2019. Contributions to pension plans are expected to total $6,718,000 in 2020.</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Investing Activities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Cash required for investing activities totaled $10,933,000 in 2019 and $72,000 in 2018. Capital spending totaled $5,901,000 and $6,025,000 in 2019 and 2018, respectively. Proceeds from sales of assets totaled $1,501,000 and $6,623,000 in 2019 and 2018, respectively. 2019 included $6,543,000 in spending related to acquisitions.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0" w:name="page31"/>
    <w:bookmarkEnd w:id="30"/>
    <w:p>
      <w:pPr>
        <w:jc w:val="both"/>
        <w:ind w:right="20"/>
        <w:spacing w:after="0"/>
        <w:rPr>
          <w:sz w:val="20"/>
          <w:szCs w:val="20"/>
          <w:color w:val="auto"/>
        </w:rPr>
      </w:pPr>
      <w:r>
        <w:rPr>
          <w:rFonts w:ascii="Arial" w:cs="Arial" w:eastAsia="Arial" w:hAnsi="Arial"/>
          <w:sz w:val="18"/>
          <w:szCs w:val="18"/>
          <w:color w:val="auto"/>
        </w:rPr>
        <w:t>Cash required for investing activities totaled $72,000 in 2018 and $9,455,000 in 2017. Capital spending totaled $6,025,000 and $4,078,000 in 2018 and 2017, respectively. Proceeds from sales of assets totaled $6,623,000 in 2018 and $2,582,000 in 2017, respectively. 2017 included $7,450,000 in spending related to the acquisition of local media operations.</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anticipate that funds necessary for capital expenditures, which are expected to be $7,800,000 in 2020, and other requirements, will be available from internally generated funds, or available under our Revolving Facility.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Financing Activities</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Cash required for financing activities totaled $43,478,000 in 2019, $64,465,000 in 2018 and $69,189,000 in 2017. Debt reduction accounted for the majority of the usage of funds in all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Debt is summarized as follows: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80" w:type="dxa"/>
            <w:vAlign w:val="bottom"/>
            <w:tcBorders>
              <w:top w:val="single" w:sz="8" w:color="auto"/>
              <w:bottom w:val="single" w:sz="8" w:color="auto"/>
            </w:tcBorders>
          </w:tcPr>
          <w:p>
            <w:pPr>
              <w:spacing w:after="0"/>
              <w:rPr>
                <w:sz w:val="18"/>
                <w:szCs w:val="18"/>
                <w:color w:val="auto"/>
              </w:rPr>
            </w:pPr>
          </w:p>
        </w:tc>
        <w:tc>
          <w:tcPr>
            <w:tcW w:w="324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Interest Rates (%)</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3240" w:type="dxa"/>
            <w:vAlign w:val="bottom"/>
          </w:tcPr>
          <w:p>
            <w:pPr>
              <w:jc w:val="right"/>
              <w:ind w:right="250"/>
              <w:spacing w:after="0" w:line="195" w:lineRule="exact"/>
              <w:rPr>
                <w:sz w:val="20"/>
                <w:szCs w:val="20"/>
                <w:color w:val="auto"/>
              </w:rPr>
            </w:pPr>
            <w:r>
              <w:rPr>
                <w:rFonts w:ascii="Arial" w:cs="Arial" w:eastAsia="Arial" w:hAnsi="Arial"/>
                <w:sz w:val="18"/>
                <w:szCs w:val="18"/>
                <w:color w:val="auto"/>
              </w:rPr>
              <w:t>September 29</w:t>
            </w:r>
          </w:p>
        </w:tc>
        <w:tc>
          <w:tcPr>
            <w:tcW w:w="1540" w:type="dxa"/>
            <w:vAlign w:val="bottom"/>
          </w:tcPr>
          <w:p>
            <w:pPr>
              <w:jc w:val="right"/>
              <w:ind w:right="70"/>
              <w:spacing w:after="0" w:line="195" w:lineRule="exact"/>
              <w:rPr>
                <w:sz w:val="20"/>
                <w:szCs w:val="20"/>
                <w:color w:val="auto"/>
              </w:rPr>
            </w:pPr>
            <w:r>
              <w:rPr>
                <w:rFonts w:ascii="Arial" w:cs="Arial" w:eastAsia="Arial" w:hAnsi="Arial"/>
                <w:sz w:val="18"/>
                <w:szCs w:val="18"/>
                <w:color w:val="auto"/>
              </w:rPr>
              <w:t>September 30</w:t>
            </w:r>
          </w:p>
        </w:tc>
        <w:tc>
          <w:tcPr>
            <w:tcW w:w="16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September 29</w:t>
            </w:r>
          </w:p>
        </w:tc>
        <w:tc>
          <w:tcPr>
            <w:tcW w:w="0" w:type="dxa"/>
            <w:vAlign w:val="bottom"/>
          </w:tcPr>
          <w:p>
            <w:pPr>
              <w:spacing w:after="0"/>
              <w:rPr>
                <w:sz w:val="1"/>
                <w:szCs w:val="1"/>
                <w:color w:val="auto"/>
              </w:rPr>
            </w:pPr>
          </w:p>
        </w:tc>
      </w:tr>
      <w:tr>
        <w:trPr>
          <w:trHeight w:val="203"/>
        </w:trPr>
        <w:tc>
          <w:tcPr>
            <w:tcW w:w="5000" w:type="dxa"/>
            <w:vAlign w:val="bottom"/>
            <w:gridSpan w:val="2"/>
          </w:tcPr>
          <w:p>
            <w:pPr>
              <w:spacing w:after="0"/>
              <w:rPr>
                <w:sz w:val="20"/>
                <w:szCs w:val="20"/>
                <w:color w:val="auto"/>
              </w:rPr>
            </w:pPr>
            <w:r>
              <w:rPr>
                <w:rFonts w:ascii="Arial" w:cs="Arial" w:eastAsia="Arial" w:hAnsi="Arial"/>
                <w:sz w:val="16"/>
                <w:szCs w:val="16"/>
                <w:i w:val="1"/>
                <w:iCs w:val="1"/>
                <w:color w:val="auto"/>
              </w:rPr>
              <w:t>(Thousands of Dollars)</w:t>
            </w:r>
          </w:p>
        </w:tc>
        <w:tc>
          <w:tcPr>
            <w:tcW w:w="3240" w:type="dxa"/>
            <w:vAlign w:val="bottom"/>
          </w:tcPr>
          <w:p>
            <w:pPr>
              <w:jc w:val="right"/>
              <w:ind w:right="250"/>
              <w:spacing w:after="0" w:line="203" w:lineRule="exact"/>
              <w:rPr>
                <w:sz w:val="20"/>
                <w:szCs w:val="20"/>
                <w:color w:val="auto"/>
              </w:rPr>
            </w:pPr>
            <w:r>
              <w:rPr>
                <w:rFonts w:ascii="Arial" w:cs="Arial" w:eastAsia="Arial" w:hAnsi="Arial"/>
                <w:sz w:val="18"/>
                <w:szCs w:val="18"/>
                <w:color w:val="auto"/>
              </w:rPr>
              <w:t>2019</w:t>
            </w:r>
          </w:p>
        </w:tc>
        <w:tc>
          <w:tcPr>
            <w:tcW w:w="1540" w:type="dxa"/>
            <w:vAlign w:val="bottom"/>
          </w:tcPr>
          <w:p>
            <w:pPr>
              <w:jc w:val="right"/>
              <w:ind w:right="70"/>
              <w:spacing w:after="0" w:line="203" w:lineRule="exact"/>
              <w:rPr>
                <w:sz w:val="20"/>
                <w:szCs w:val="20"/>
                <w:color w:val="auto"/>
              </w:rPr>
            </w:pPr>
            <w:r>
              <w:rPr>
                <w:rFonts w:ascii="Arial" w:cs="Arial" w:eastAsia="Arial" w:hAnsi="Arial"/>
                <w:sz w:val="18"/>
                <w:szCs w:val="18"/>
                <w:color w:val="auto"/>
              </w:rPr>
              <w:t>2018</w:t>
            </w:r>
          </w:p>
        </w:tc>
        <w:tc>
          <w:tcPr>
            <w:tcW w:w="1640" w:type="dxa"/>
            <w:vAlign w:val="bottom"/>
          </w:tcPr>
          <w:p>
            <w:pPr>
              <w:jc w:val="right"/>
              <w:ind w:right="10"/>
              <w:spacing w:after="0" w:line="203"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980" w:type="dxa"/>
            <w:vAlign w:val="bottom"/>
            <w:tcBorders>
              <w:top w:val="single" w:sz="8" w:color="auto"/>
            </w:tcBorders>
          </w:tcPr>
          <w:p>
            <w:pPr>
              <w:spacing w:after="0"/>
              <w:rPr>
                <w:sz w:val="17"/>
                <w:szCs w:val="17"/>
                <w:color w:val="auto"/>
              </w:rPr>
            </w:pPr>
          </w:p>
        </w:tc>
        <w:tc>
          <w:tcPr>
            <w:tcW w:w="32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Revolving Facility</w:t>
            </w:r>
          </w:p>
        </w:tc>
        <w:tc>
          <w:tcPr>
            <w:tcW w:w="324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spacing w:after="0" w:line="202" w:lineRule="exact"/>
              <w:rPr>
                <w:sz w:val="20"/>
                <w:szCs w:val="20"/>
                <w:color w:val="auto"/>
              </w:rPr>
            </w:pPr>
            <w:r>
              <w:rPr>
                <w:rFonts w:ascii="Arial" w:cs="Arial" w:eastAsia="Arial" w:hAnsi="Arial"/>
                <w:sz w:val="18"/>
                <w:szCs w:val="18"/>
                <w:color w:val="auto"/>
              </w:rPr>
              <w:t>1st Lien Term Loan</w:t>
            </w:r>
          </w:p>
        </w:tc>
        <w:tc>
          <w:tcPr>
            <w:tcW w:w="32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6,303</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Notes</w:t>
            </w:r>
          </w:p>
        </w:tc>
        <w:tc>
          <w:tcPr>
            <w:tcW w:w="324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363,420</w:t>
            </w:r>
          </w:p>
        </w:tc>
        <w:tc>
          <w:tcPr>
            <w:tcW w:w="154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385,000</w:t>
            </w:r>
          </w:p>
        </w:tc>
        <w:tc>
          <w:tcPr>
            <w:tcW w:w="16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2nd Lien Term Loan</w:t>
            </w:r>
          </w:p>
        </w:tc>
        <w:tc>
          <w:tcPr>
            <w:tcW w:w="3240" w:type="dxa"/>
            <w:vAlign w:val="bottom"/>
            <w:tcBorders>
              <w:bottom w:val="single" w:sz="8" w:color="auto"/>
            </w:tcBorders>
          </w:tcPr>
          <w:p>
            <w:pPr>
              <w:jc w:val="right"/>
              <w:ind w:right="250"/>
              <w:spacing w:after="0" w:line="202" w:lineRule="exact"/>
              <w:rPr>
                <w:sz w:val="20"/>
                <w:szCs w:val="20"/>
                <w:color w:val="auto"/>
              </w:rPr>
            </w:pPr>
            <w:r>
              <w:rPr>
                <w:rFonts w:ascii="Arial" w:cs="Arial" w:eastAsia="Arial" w:hAnsi="Arial"/>
                <w:sz w:val="18"/>
                <w:szCs w:val="18"/>
                <w:color w:val="auto"/>
              </w:rPr>
              <w:t>80,207</w:t>
            </w:r>
          </w:p>
        </w:tc>
        <w:tc>
          <w:tcPr>
            <w:tcW w:w="154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93,556</w:t>
            </w:r>
          </w:p>
        </w:tc>
        <w:tc>
          <w:tcPr>
            <w:tcW w:w="16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shd w:val="clear" w:color="auto" w:fill="CCEEFF"/>
          </w:tcPr>
          <w:p>
            <w:pPr>
              <w:spacing w:after="0"/>
              <w:rPr>
                <w:sz w:val="17"/>
                <w:szCs w:val="17"/>
                <w:color w:val="auto"/>
              </w:rPr>
            </w:pPr>
          </w:p>
        </w:tc>
        <w:tc>
          <w:tcPr>
            <w:tcW w:w="3240" w:type="dxa"/>
            <w:vAlign w:val="bottom"/>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rPr>
              <w:t>443,627</w:t>
            </w:r>
          </w:p>
        </w:tc>
        <w:tc>
          <w:tcPr>
            <w:tcW w:w="154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484,859</w:t>
            </w: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spacing w:after="0" w:line="202" w:lineRule="exact"/>
              <w:rPr>
                <w:sz w:val="20"/>
                <w:szCs w:val="20"/>
                <w:color w:val="auto"/>
              </w:rPr>
            </w:pPr>
            <w:r>
              <w:rPr>
                <w:rFonts w:ascii="Arial" w:cs="Arial" w:eastAsia="Arial" w:hAnsi="Arial"/>
                <w:sz w:val="18"/>
                <w:szCs w:val="18"/>
                <w:color w:val="auto"/>
              </w:rPr>
              <w:t>Unamortized debt issue costs</w:t>
            </w:r>
          </w:p>
        </w:tc>
        <w:tc>
          <w:tcPr>
            <w:tcW w:w="32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(11,282)</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(17,055)</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Less current maturities of long-term debt</w:t>
            </w:r>
          </w:p>
        </w:tc>
        <w:tc>
          <w:tcPr>
            <w:tcW w:w="3240" w:type="dxa"/>
            <w:vAlign w:val="bottom"/>
            <w:tcBorders>
              <w:bottom w:val="single" w:sz="8" w:color="auto"/>
            </w:tcBorders>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2,954</w:t>
            </w:r>
          </w:p>
        </w:tc>
        <w:tc>
          <w:tcPr>
            <w:tcW w:w="154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7,027</w:t>
            </w:r>
          </w:p>
        </w:tc>
        <w:tc>
          <w:tcPr>
            <w:tcW w:w="16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9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long-term debt</w:t>
            </w:r>
          </w:p>
        </w:tc>
        <w:tc>
          <w:tcPr>
            <w:tcW w:w="32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429,391</w:t>
            </w:r>
          </w:p>
        </w:tc>
        <w:tc>
          <w:tcPr>
            <w:tcW w:w="15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460,777</w:t>
            </w:r>
          </w:p>
        </w:tc>
        <w:tc>
          <w:tcPr>
            <w:tcW w:w="1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At September 29, 2019, our weighted average cost of debt, excluding amortization of debt financing costs, is 10.0%.</w:t>
      </w:r>
    </w:p>
    <w:p>
      <w:pPr>
        <w:spacing w:after="0" w:line="19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At September 29, 2019, aggregate minimum required maturities of debt excluding amounts required to be paid from future excess cash flow computations total $2,954,000 in 2020, zero in 2021, $363,420,000 in 2022 and $77,253,000 in 2023.</w:t>
      </w:r>
    </w:p>
    <w:p>
      <w:pPr>
        <w:spacing w:after="0" w:line="184" w:lineRule="exact"/>
        <w:rPr>
          <w:sz w:val="20"/>
          <w:szCs w:val="20"/>
          <w:color w:val="auto"/>
        </w:rPr>
      </w:pPr>
    </w:p>
    <w:p>
      <w:pPr>
        <w:jc w:val="both"/>
        <w:spacing w:after="0" w:line="199" w:lineRule="auto"/>
        <w:rPr>
          <w:sz w:val="20"/>
          <w:szCs w:val="20"/>
          <w:color w:val="auto"/>
        </w:rPr>
      </w:pPr>
      <w:r>
        <w:rPr>
          <w:rFonts w:ascii="Arial" w:cs="Arial" w:eastAsia="Arial" w:hAnsi="Arial"/>
          <w:sz w:val="18"/>
          <w:szCs w:val="18"/>
          <w:color w:val="auto"/>
        </w:rPr>
        <w:t>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requires excess cash flow payments based on calculations defined in the credit agreements. See Note 5 of the Notes to the Consolidated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maintain a Revolving Facility pursuant to which we may borrow up to $23,120,000. At September 29, 2019, after consideration of letters of credit, we have approximately $17,644,000 available for future use under our Revolving Facility. The Revolving Facility contains a maintenance covenant in order to borrow on the Revolving Facility. At September 29, 2019, we are in compliance with this covenant. The Revolving Facility matures on December 28, 2020. We expect to amend and extend our Revolving Facility prior to its maturity.</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Including cash, our liquidity at September 29, 2019 totals $26,289,000. This liquidity amount excludes any future cash flows. We expect all interest and principal payments due in the next twelve months will be satisfied by our cash flows, which will allow us to maintain an adequate level of liquidity. The Warrants, if and when exercised, would provide additional liquidity in an amount up to $25,140,000.</w:t>
      </w:r>
    </w:p>
    <w:p>
      <w:pPr>
        <w:spacing w:after="0" w:line="18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At September 29, 2019, the principal amount of our outstanding debt totals $443,627,000. For the last twelve months ending September 29, 2019, the principal amount of our debt, net of cash, is 3.58 times our Adjusted EBITDA.</w:t>
      </w:r>
    </w:p>
    <w:p>
      <w:pPr>
        <w:spacing w:after="0" w:line="18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2014 Refinancing significantly extended our debt maturity profile with final maturity of the majority of our debt in 2022. We expect to refinance our debt prior to maturity.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31" w:name="page32"/>
    <w:bookmarkEnd w:id="31"/>
    <w:p>
      <w:pPr>
        <w:jc w:val="both"/>
        <w:spacing w:after="0" w:line="189" w:lineRule="auto"/>
        <w:rPr>
          <w:sz w:val="20"/>
          <w:szCs w:val="20"/>
          <w:color w:val="auto"/>
        </w:rPr>
      </w:pPr>
      <w:r>
        <w:rPr>
          <w:rFonts w:ascii="Arial" w:cs="Arial" w:eastAsia="Arial" w:hAnsi="Arial"/>
          <w:sz w:val="18"/>
          <w:szCs w:val="18"/>
          <w:color w:val="auto"/>
        </w:rPr>
        <w:t>There are numerous potential consequences under the Notes,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Lien Credit Facility,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Lien Term Loan, if an event of default, as defined in the respective debt agreements, occurs and is not remedied. Many of those consequences are beyond our control. The occurrence of one or more events of default would give rise to the right of the applicable lender(s) to exercise their remedies under the Notes,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Lien Credit Facility,</w:t>
      </w:r>
    </w:p>
    <w:p>
      <w:pPr>
        <w:spacing w:after="0" w:line="1" w:lineRule="exact"/>
        <w:rPr>
          <w:sz w:val="20"/>
          <w:szCs w:val="20"/>
          <w:color w:val="auto"/>
        </w:rPr>
      </w:pPr>
    </w:p>
    <w:p>
      <w:pPr>
        <w:jc w:val="both"/>
        <w:spacing w:after="0" w:line="199" w:lineRule="auto"/>
        <w:rPr>
          <w:sz w:val="20"/>
          <w:szCs w:val="20"/>
          <w:color w:val="auto"/>
        </w:rPr>
      </w:pPr>
      <w:r>
        <w:rPr>
          <w:rFonts w:ascii="Arial" w:cs="Arial" w:eastAsia="Arial" w:hAnsi="Arial"/>
          <w:sz w:val="18"/>
          <w:szCs w:val="18"/>
          <w:color w:val="auto"/>
        </w:rPr>
        <w:t>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respectively, including, without limitation, the right to accelerate all outstanding debt and take actions authorized in such circumstances under applicable collateral security documents.</w:t>
      </w:r>
    </w:p>
    <w:p>
      <w:pPr>
        <w:spacing w:after="0" w:line="190"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Our ability to operate as a going concern is dependent on our ability to remain in compliance with debt covenants and repay, refinance or amend our debt agreements as they become due, or earlier if liquidity is available. The Notes,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and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have only limited affirmative covenants with which we are required to maintain compliance. We are in compliance with our debt covenants at September 29, 2019.</w:t>
      </w:r>
    </w:p>
    <w:p>
      <w:pPr>
        <w:spacing w:after="0" w:line="19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February 2017 our filing of a replacement Form S-3 registration statement ("Shelf") with the SEC was declared effective and expires February 2020. Maintaining an effective shelf is required under our credit agreements. The Shelf registration gives us the flexibility to issue and publicly distribute various types of securities, including preferred stock, common stock, warrants, secured or unsecured debt securities, purchase contracts and units consisting of any combination of such securities, from time to time, in one or more offerings, up to an aggregate amount of $750,000,000. SEC issuer eligibility rules require us to have a public float of at least $75,000,000 in order to use the Shelf. Subject to maintenance of the minimum level of equity market float and the conditions of our existing debt agreements, the Shelf may enable us to sell securities quickly and efficiently when market conditions are favorable or financing needs arise. Under our existing debt agreements, net proceeds from the sale of any securities may be used generally to reduce debt.</w:t>
      </w:r>
    </w:p>
    <w:p>
      <w:pPr>
        <w:spacing w:after="0" w:line="173"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Other Matters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increased $3,265,000 in 2019, decreased $5,241,000 in 2018 and decreased $6,363,000 in 2017.</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largest source of publishing revenue, retail advertising, is seasonal and tends to fluctuate with retail sales in markets served. Historically, retail advertising is higher in the December and June quarters. Advertising and marketing services revenue is lowest in the March quarter.</w:t>
      </w:r>
    </w:p>
    <w:p>
      <w:pPr>
        <w:spacing w:after="0" w:line="183" w:lineRule="exact"/>
        <w:rPr>
          <w:sz w:val="20"/>
          <w:szCs w:val="20"/>
          <w:color w:val="auto"/>
        </w:rPr>
      </w:pPr>
    </w:p>
    <w:p>
      <w:pPr>
        <w:ind w:right="1360"/>
        <w:spacing w:after="0" w:line="469" w:lineRule="auto"/>
        <w:rPr>
          <w:sz w:val="20"/>
          <w:szCs w:val="20"/>
          <w:color w:val="auto"/>
        </w:rPr>
      </w:pPr>
      <w:r>
        <w:rPr>
          <w:rFonts w:ascii="Arial" w:cs="Arial" w:eastAsia="Arial" w:hAnsi="Arial"/>
          <w:sz w:val="18"/>
          <w:szCs w:val="18"/>
          <w:color w:val="auto"/>
        </w:rPr>
        <w:t xml:space="preserve">Quarterly results of operations are summarized in Note 17 of the Notes to Consolidated Financial Statements, included herein. </w:t>
      </w:r>
      <w:r>
        <w:rPr>
          <w:rFonts w:ascii="Arial" w:cs="Arial" w:eastAsia="Arial" w:hAnsi="Arial"/>
          <w:sz w:val="18"/>
          <w:szCs w:val="18"/>
          <w:b w:val="1"/>
          <w:bCs w:val="1"/>
          <w:color w:val="auto"/>
        </w:rPr>
        <w:t>INFLATION</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Price increases (or decreases) for our products are implemented when deemed appropriate by us. We continuously evaluate price increases, productivity improvements, sourcing efficiencies and other cost reductions to mitigate the impact of inflation.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CONTRACTUAL OBLIGATIONS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significant contractual obligations at September 29, 2019:</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Borders>
              <w:top w:val="single" w:sz="8" w:color="auto"/>
            </w:tcBorders>
            <w:gridSpan w:val="2"/>
          </w:tcPr>
          <w:p>
            <w:pPr>
              <w:spacing w:after="0"/>
              <w:rPr>
                <w:sz w:val="20"/>
                <w:szCs w:val="20"/>
                <w:color w:val="auto"/>
              </w:rPr>
            </w:pPr>
            <w:r>
              <w:rPr>
                <w:rFonts w:ascii="Arial" w:cs="Arial" w:eastAsia="Arial" w:hAnsi="Arial"/>
                <w:sz w:val="16"/>
                <w:szCs w:val="16"/>
                <w:i w:val="1"/>
                <w:iCs w:val="1"/>
                <w:color w:val="auto"/>
              </w:rPr>
              <w:t>(Thousands of Dollars)</w:t>
            </w:r>
          </w:p>
        </w:tc>
        <w:tc>
          <w:tcPr>
            <w:tcW w:w="23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80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i w:val="1"/>
                <w:iCs w:val="1"/>
                <w:color w:val="auto"/>
              </w:rPr>
              <w:t>Payments (or Commitments) Due (Years)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20" w:type="dxa"/>
            <w:vAlign w:val="bottom"/>
            <w:tcBorders>
              <w:top w:val="single" w:sz="8" w:color="auto"/>
            </w:tcBorders>
          </w:tcPr>
          <w:p>
            <w:pPr>
              <w:spacing w:after="0"/>
              <w:rPr>
                <w:sz w:val="16"/>
                <w:szCs w:val="16"/>
                <w:color w:val="auto"/>
              </w:rPr>
            </w:pPr>
          </w:p>
        </w:tc>
        <w:tc>
          <w:tcPr>
            <w:tcW w:w="23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270"/>
              <w:spacing w:after="0" w:line="195" w:lineRule="exact"/>
              <w:rPr>
                <w:sz w:val="20"/>
                <w:szCs w:val="20"/>
                <w:color w:val="auto"/>
              </w:rPr>
            </w:pPr>
            <w:r>
              <w:rPr>
                <w:rFonts w:ascii="Arial" w:cs="Arial" w:eastAsia="Arial" w:hAnsi="Arial"/>
                <w:sz w:val="18"/>
                <w:szCs w:val="18"/>
                <w:color w:val="auto"/>
              </w:rPr>
              <w:t>Less</w:t>
            </w:r>
          </w:p>
        </w:tc>
        <w:tc>
          <w:tcPr>
            <w:tcW w:w="14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More</w:t>
            </w:r>
          </w:p>
        </w:tc>
        <w:tc>
          <w:tcPr>
            <w:tcW w:w="0" w:type="dxa"/>
            <w:vAlign w:val="bottom"/>
          </w:tcPr>
          <w:p>
            <w:pPr>
              <w:spacing w:after="0"/>
              <w:rPr>
                <w:sz w:val="1"/>
                <w:szCs w:val="1"/>
                <w:color w:val="auto"/>
              </w:rPr>
            </w:pPr>
          </w:p>
        </w:tc>
      </w:tr>
      <w:tr>
        <w:trPr>
          <w:trHeight w:val="203"/>
        </w:trPr>
        <w:tc>
          <w:tcPr>
            <w:tcW w:w="3940" w:type="dxa"/>
            <w:vAlign w:val="bottom"/>
            <w:gridSpan w:val="2"/>
          </w:tcPr>
          <w:p>
            <w:pPr>
              <w:spacing w:after="0" w:line="203" w:lineRule="exact"/>
              <w:rPr>
                <w:sz w:val="20"/>
                <w:szCs w:val="20"/>
                <w:color w:val="auto"/>
              </w:rPr>
            </w:pPr>
            <w:r>
              <w:rPr>
                <w:rFonts w:ascii="Arial" w:cs="Arial" w:eastAsia="Arial" w:hAnsi="Arial"/>
                <w:sz w:val="18"/>
                <w:szCs w:val="18"/>
                <w:color w:val="auto"/>
              </w:rPr>
              <w:t>Nature of Obligation</w:t>
            </w:r>
          </w:p>
        </w:tc>
        <w:tc>
          <w:tcPr>
            <w:tcW w:w="2340" w:type="dxa"/>
            <w:vAlign w:val="bottom"/>
          </w:tcPr>
          <w:p>
            <w:pPr>
              <w:jc w:val="right"/>
              <w:ind w:right="330"/>
              <w:spacing w:after="0" w:line="203" w:lineRule="exact"/>
              <w:rPr>
                <w:sz w:val="20"/>
                <w:szCs w:val="20"/>
                <w:color w:val="auto"/>
              </w:rPr>
            </w:pPr>
            <w:r>
              <w:rPr>
                <w:rFonts w:ascii="Arial" w:cs="Arial" w:eastAsia="Arial" w:hAnsi="Arial"/>
                <w:sz w:val="18"/>
                <w:szCs w:val="18"/>
                <w:color w:val="auto"/>
              </w:rPr>
              <w:t>Total</w:t>
            </w:r>
          </w:p>
        </w:tc>
        <w:tc>
          <w:tcPr>
            <w:tcW w:w="1340" w:type="dxa"/>
            <w:vAlign w:val="bottom"/>
          </w:tcPr>
          <w:p>
            <w:pPr>
              <w:jc w:val="right"/>
              <w:ind w:right="270"/>
              <w:spacing w:after="0" w:line="203" w:lineRule="exact"/>
              <w:rPr>
                <w:sz w:val="20"/>
                <w:szCs w:val="20"/>
                <w:color w:val="auto"/>
              </w:rPr>
            </w:pPr>
            <w:r>
              <w:rPr>
                <w:rFonts w:ascii="Arial" w:cs="Arial" w:eastAsia="Arial" w:hAnsi="Arial"/>
                <w:sz w:val="18"/>
                <w:szCs w:val="18"/>
                <w:color w:val="auto"/>
              </w:rPr>
              <w:t>Than 1</w:t>
            </w:r>
          </w:p>
        </w:tc>
        <w:tc>
          <w:tcPr>
            <w:tcW w:w="1440" w:type="dxa"/>
            <w:vAlign w:val="bottom"/>
          </w:tcPr>
          <w:p>
            <w:pPr>
              <w:jc w:val="right"/>
              <w:ind w:right="350"/>
              <w:spacing w:after="0" w:line="203" w:lineRule="exact"/>
              <w:rPr>
                <w:sz w:val="20"/>
                <w:szCs w:val="20"/>
                <w:color w:val="auto"/>
              </w:rPr>
            </w:pPr>
            <w:r>
              <w:rPr>
                <w:rFonts w:ascii="Arial" w:cs="Arial" w:eastAsia="Arial" w:hAnsi="Arial"/>
                <w:sz w:val="18"/>
                <w:szCs w:val="18"/>
                <w:color w:val="auto"/>
              </w:rPr>
              <w:t>1-3</w:t>
            </w:r>
          </w:p>
        </w:tc>
        <w:tc>
          <w:tcPr>
            <w:tcW w:w="1300" w:type="dxa"/>
            <w:vAlign w:val="bottom"/>
          </w:tcPr>
          <w:p>
            <w:pPr>
              <w:jc w:val="right"/>
              <w:ind w:right="310"/>
              <w:spacing w:after="0" w:line="203" w:lineRule="exact"/>
              <w:rPr>
                <w:sz w:val="20"/>
                <w:szCs w:val="20"/>
                <w:color w:val="auto"/>
              </w:rPr>
            </w:pPr>
            <w:r>
              <w:rPr>
                <w:rFonts w:ascii="Arial" w:cs="Arial" w:eastAsia="Arial" w:hAnsi="Arial"/>
                <w:sz w:val="18"/>
                <w:szCs w:val="18"/>
                <w:color w:val="auto"/>
              </w:rPr>
              <w:t>3-5</w:t>
            </w:r>
          </w:p>
        </w:tc>
        <w:tc>
          <w:tcPr>
            <w:tcW w:w="1060" w:type="dxa"/>
            <w:vAlign w:val="bottom"/>
          </w:tcPr>
          <w:p>
            <w:pPr>
              <w:jc w:val="right"/>
              <w:ind w:right="10"/>
              <w:spacing w:after="0" w:line="203" w:lineRule="exact"/>
              <w:rPr>
                <w:sz w:val="20"/>
                <w:szCs w:val="20"/>
                <w:color w:val="auto"/>
              </w:rPr>
            </w:pPr>
            <w:r>
              <w:rPr>
                <w:rFonts w:ascii="Arial" w:cs="Arial" w:eastAsia="Arial" w:hAnsi="Arial"/>
                <w:sz w:val="18"/>
                <w:szCs w:val="18"/>
                <w:color w:val="auto"/>
              </w:rPr>
              <w:t>Than 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920" w:type="dxa"/>
            <w:vAlign w:val="bottom"/>
            <w:tcBorders>
              <w:top w:val="single" w:sz="8" w:color="auto"/>
            </w:tcBorders>
          </w:tcPr>
          <w:p>
            <w:pPr>
              <w:spacing w:after="0"/>
              <w:rPr>
                <w:sz w:val="17"/>
                <w:szCs w:val="17"/>
                <w:color w:val="auto"/>
              </w:rPr>
            </w:pPr>
          </w:p>
        </w:tc>
        <w:tc>
          <w:tcPr>
            <w:tcW w:w="23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20" w:type="dxa"/>
            <w:vAlign w:val="bottom"/>
            <w:shd w:val="clear" w:color="auto" w:fill="CCEEFF"/>
          </w:tcPr>
          <w:p>
            <w:pPr>
              <w:spacing w:after="0" w:line="243" w:lineRule="exact"/>
              <w:rPr>
                <w:sz w:val="20"/>
                <w:szCs w:val="20"/>
                <w:color w:val="auto"/>
              </w:rPr>
            </w:pPr>
            <w:r>
              <w:rPr>
                <w:rFonts w:ascii="Arial" w:cs="Arial" w:eastAsia="Arial" w:hAnsi="Arial"/>
                <w:sz w:val="17"/>
                <w:szCs w:val="17"/>
                <w:i w:val="1"/>
                <w:iCs w:val="1"/>
                <w:color w:val="auto"/>
              </w:rPr>
              <w:t xml:space="preserve">Debt (Principal Amount) </w:t>
            </w:r>
            <w:r>
              <w:rPr>
                <w:rFonts w:ascii="Arial" w:cs="Arial" w:eastAsia="Arial" w:hAnsi="Arial"/>
                <w:sz w:val="28"/>
                <w:szCs w:val="28"/>
                <w:i w:val="1"/>
                <w:iCs w:val="1"/>
                <w:color w:val="auto"/>
                <w:vertAlign w:val="superscript"/>
              </w:rPr>
              <w:t>(1)</w:t>
            </w:r>
          </w:p>
        </w:tc>
        <w:tc>
          <w:tcPr>
            <w:tcW w:w="23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443,627</w:t>
            </w:r>
          </w:p>
        </w:tc>
        <w:tc>
          <w:tcPr>
            <w:tcW w:w="13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2,954</w:t>
            </w:r>
          </w:p>
        </w:tc>
        <w:tc>
          <w:tcPr>
            <w:tcW w:w="14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440,673</w:t>
            </w:r>
          </w:p>
        </w:tc>
        <w:tc>
          <w:tcPr>
            <w:tcW w:w="13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tcPr>
          <w:p>
            <w:pPr>
              <w:spacing w:after="0" w:line="243" w:lineRule="exact"/>
              <w:rPr>
                <w:sz w:val="20"/>
                <w:szCs w:val="20"/>
                <w:color w:val="auto"/>
              </w:rPr>
            </w:pPr>
            <w:r>
              <w:rPr>
                <w:rFonts w:ascii="Arial" w:cs="Arial" w:eastAsia="Arial" w:hAnsi="Arial"/>
                <w:sz w:val="17"/>
                <w:szCs w:val="17"/>
                <w:color w:val="auto"/>
              </w:rPr>
              <w:t xml:space="preserve">Interest expense </w:t>
            </w:r>
            <w:r>
              <w:rPr>
                <w:rFonts w:ascii="Arial" w:cs="Arial" w:eastAsia="Arial" w:hAnsi="Arial"/>
                <w:sz w:val="28"/>
                <w:szCs w:val="28"/>
                <w:color w:val="auto"/>
                <w:vertAlign w:val="superscript"/>
              </w:rPr>
              <w:t>(2)(3)</w:t>
            </w:r>
          </w:p>
        </w:tc>
        <w:tc>
          <w:tcPr>
            <w:tcW w:w="2340" w:type="dxa"/>
            <w:vAlign w:val="bottom"/>
          </w:tcPr>
          <w:p>
            <w:pPr>
              <w:jc w:val="right"/>
              <w:ind w:right="330"/>
              <w:spacing w:after="0"/>
              <w:rPr>
                <w:sz w:val="20"/>
                <w:szCs w:val="20"/>
                <w:color w:val="auto"/>
              </w:rPr>
            </w:pPr>
            <w:r>
              <w:rPr>
                <w:rFonts w:ascii="Arial" w:cs="Arial" w:eastAsia="Arial" w:hAnsi="Arial"/>
                <w:sz w:val="18"/>
                <w:szCs w:val="18"/>
                <w:color w:val="auto"/>
              </w:rPr>
              <w:t>111,093</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43,840</w:t>
            </w:r>
          </w:p>
        </w:tc>
        <w:tc>
          <w:tcPr>
            <w:tcW w:w="1440" w:type="dxa"/>
            <w:vAlign w:val="bottom"/>
          </w:tcPr>
          <w:p>
            <w:pPr>
              <w:jc w:val="right"/>
              <w:ind w:right="350"/>
              <w:spacing w:after="0"/>
              <w:rPr>
                <w:sz w:val="20"/>
                <w:szCs w:val="20"/>
                <w:color w:val="auto"/>
              </w:rPr>
            </w:pPr>
            <w:r>
              <w:rPr>
                <w:rFonts w:ascii="Arial" w:cs="Arial" w:eastAsia="Arial" w:hAnsi="Arial"/>
                <w:sz w:val="18"/>
                <w:szCs w:val="18"/>
                <w:color w:val="auto"/>
              </w:rPr>
              <w:t>67,253</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obligations</w:t>
            </w:r>
          </w:p>
        </w:tc>
        <w:tc>
          <w:tcPr>
            <w:tcW w:w="234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15,925</w:t>
            </w:r>
          </w:p>
        </w:tc>
        <w:tc>
          <w:tcPr>
            <w:tcW w:w="134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3,402</w:t>
            </w:r>
          </w:p>
        </w:tc>
        <w:tc>
          <w:tcPr>
            <w:tcW w:w="1440" w:type="dxa"/>
            <w:vAlign w:val="bottom"/>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4,528</w:t>
            </w:r>
          </w:p>
        </w:tc>
        <w:tc>
          <w:tcPr>
            <w:tcW w:w="130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3,003</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4,992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Capital expenditure commitments</w:t>
            </w:r>
          </w:p>
        </w:tc>
        <w:tc>
          <w:tcPr>
            <w:tcW w:w="2340" w:type="dxa"/>
            <w:vAlign w:val="bottom"/>
            <w:tcBorders>
              <w:bottom w:val="single" w:sz="8" w:color="auto"/>
            </w:tcBorders>
          </w:tcPr>
          <w:p>
            <w:pPr>
              <w:jc w:val="right"/>
              <w:ind w:right="330"/>
              <w:spacing w:after="0" w:line="202" w:lineRule="exact"/>
              <w:rPr>
                <w:sz w:val="20"/>
                <w:szCs w:val="20"/>
                <w:color w:val="auto"/>
              </w:rPr>
            </w:pPr>
            <w:r>
              <w:rPr>
                <w:rFonts w:ascii="Arial" w:cs="Arial" w:eastAsia="Arial" w:hAnsi="Arial"/>
                <w:sz w:val="18"/>
                <w:szCs w:val="18"/>
                <w:color w:val="auto"/>
              </w:rPr>
              <w:t>1,642</w:t>
            </w:r>
          </w:p>
        </w:tc>
        <w:tc>
          <w:tcPr>
            <w:tcW w:w="134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1,642</w:t>
            </w:r>
          </w:p>
        </w:tc>
        <w:tc>
          <w:tcPr>
            <w:tcW w:w="1440" w:type="dxa"/>
            <w:vAlign w:val="bottom"/>
            <w:tcBorders>
              <w:bottom w:val="single" w:sz="8" w:color="auto"/>
            </w:tcBorders>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920" w:type="dxa"/>
            <w:vAlign w:val="bottom"/>
            <w:tcBorders>
              <w:bottom w:val="single" w:sz="8" w:color="auto"/>
            </w:tcBorders>
            <w:shd w:val="clear" w:color="auto" w:fill="CCEEFF"/>
          </w:tcPr>
          <w:p>
            <w:pPr>
              <w:spacing w:after="0"/>
              <w:rPr>
                <w:sz w:val="20"/>
                <w:szCs w:val="20"/>
                <w:color w:val="auto"/>
              </w:rPr>
            </w:pPr>
          </w:p>
        </w:tc>
        <w:tc>
          <w:tcPr>
            <w:tcW w:w="2340" w:type="dxa"/>
            <w:vAlign w:val="bottom"/>
            <w:tcBorders>
              <w:bottom w:val="single" w:sz="8" w:color="auto"/>
            </w:tcBorders>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rPr>
              <w:t>572,287</w:t>
            </w:r>
          </w:p>
        </w:tc>
        <w:tc>
          <w:tcPr>
            <w:tcW w:w="134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51,838</w:t>
            </w:r>
          </w:p>
        </w:tc>
        <w:tc>
          <w:tcPr>
            <w:tcW w:w="1440" w:type="dxa"/>
            <w:vAlign w:val="bottom"/>
            <w:tcBorders>
              <w:bottom w:val="single" w:sz="8" w:color="auto"/>
            </w:tcBorders>
            <w:shd w:val="clear" w:color="auto" w:fill="CCEEFF"/>
          </w:tcPr>
          <w:p>
            <w:pPr>
              <w:jc w:val="right"/>
              <w:ind w:right="350"/>
              <w:spacing w:after="0" w:line="196" w:lineRule="exact"/>
              <w:rPr>
                <w:sz w:val="20"/>
                <w:szCs w:val="20"/>
                <w:color w:val="auto"/>
              </w:rPr>
            </w:pPr>
            <w:r>
              <w:rPr>
                <w:rFonts w:ascii="Arial" w:cs="Arial" w:eastAsia="Arial" w:hAnsi="Arial"/>
                <w:sz w:val="18"/>
                <w:szCs w:val="18"/>
                <w:color w:val="auto"/>
              </w:rPr>
              <w:t>512,454</w:t>
            </w:r>
          </w:p>
        </w:tc>
        <w:tc>
          <w:tcPr>
            <w:tcW w:w="1300" w:type="dxa"/>
            <w:vAlign w:val="bottom"/>
            <w:tcBorders>
              <w:bottom w:val="single" w:sz="8" w:color="auto"/>
            </w:tcBorders>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3,003</w:t>
            </w:r>
          </w:p>
        </w:tc>
        <w:tc>
          <w:tcPr>
            <w:tcW w:w="10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4,992</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left="660" w:hanging="328"/>
        <w:spacing w:after="0" w:line="246"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Maturities of long-term debt are limited to mandatory payments and, accordingly, exclude excess cash flow, asset sale and other payments under the Notes and the 2nd Lien Term Loan. While excess cash flow payments are based on actual performance, we expect to make voluntary and excess cash flow payments on the 2nd lien term loan currently outstanding, in the next four years. See Note 5 of the Notes to the Consolidated Financial Statements, included herein.</w:t>
      </w:r>
    </w:p>
    <w:p>
      <w:pPr>
        <w:spacing w:after="0" w:line="1" w:lineRule="exact"/>
        <w:rPr>
          <w:rFonts w:ascii="Arial" w:cs="Arial" w:eastAsia="Arial" w:hAnsi="Arial"/>
          <w:sz w:val="16"/>
          <w:szCs w:val="16"/>
          <w:color w:val="auto"/>
        </w:rPr>
      </w:pPr>
    </w:p>
    <w:p>
      <w:pPr>
        <w:jc w:val="both"/>
        <w:ind w:left="660" w:hanging="328"/>
        <w:spacing w:after="0" w:line="246"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Interest expense includes an estimate of interest expense for the Notes, 1st Lien Credit Facility, and 2nd Lien Term Loan until their maturities in March 2022, March 2019, and December 2022, respectively. Interest expense under the Notes is estimated using the 9.5% contractual rate applied to the outstanding balance as reduced by future contractual maturities of such debt. Interest expense under the Revolving Facility is estimated based on the one month LIBOR at September 29, 2019 of 1.82% as increased by our applicable margin of 5.5% applied to the outstanding balance, as reduced by future contractual maturities of such debt. Interest expense under the 2nd Lien Term Loan is estimated using the 12.0% contractual rate applied to the outstanding balance during each period. Changes in interest rates in excess of current LIBOR levels, use of borrowing rates not based on LIBOR, use of interest rate hedging instruments, and/or principal payments in excess of contractual maturities or based on other requirements of the Notes, 1st Lien Credit Facility or 2nd Lien Term Loan could significantly change this estimate. See Note 5 of the Notes to Consolidated Financial Statements, included herein.</w:t>
      </w:r>
    </w:p>
    <w:p>
      <w:pPr>
        <w:spacing w:after="0" w:line="4"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Interest expense excludes non-cash present value adjustments and amortization of debt financing costs previously paid. See Note 5 of the Notes to Consolidated Financial Statements, included herein.</w:t>
      </w:r>
    </w:p>
    <w:p>
      <w:pPr>
        <w:spacing w:after="0" w:line="17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table above excludes future cash requirements for pension, postretirement and postemployment obligations. The periods in which these obligations will be settled in cash are not readily determinable and are subject to numerous future events and assumptions. See Notes 6 and 7 of the Notes to the Consolidated Financial Statements, included herein.</w:t>
      </w:r>
    </w:p>
    <w:p>
      <w:pPr>
        <w:spacing w:after="0" w:line="17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 xml:space="preserve">The contractual obligations above exclude unrecognized tax benefits to be recorded in accordance with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We are unable to reasonably estimate the ultimate amount or timing of cash settlements with the respective taxing authorities for such matters. A substantial amount of our deferred income tax liabilities will not result in future cash payments. See Note 11 of the Notes to the Consolidated Financial Statements, included herein.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exposed to market risk stemming from changes in interest rates and commodity prices. Changes in these factors could cause fluctuations in earnings and cash flows. In the normal course of business, exposure to certain of these market risks is managed as described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RATES ON DEBT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Our debt structure is entirely fixed rate as of September 29,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regularly evaluate alternatives to hedge our interest rate risk, but have no hedging instruments in place.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COMMODITIES</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After experiencing a peak in the second half of 2018, newsprint prices began to decline during the 13 weeks ended March 31, 2019 and continued throughout the balance of the year. As a reaction to the 2018 North American producers’ significant capacity reduction and tight supply conditions of newsprint, consumers maintained aggressive ordering patterns despite accelerated declines in demand. High inventories combined with conservation efforts to reduce paper usage and costs caused most newsprint users to start 2019 with excess inventories leading to reduced replacement supply orders and declining supply prices. Favorable exchange rates between the U.S. dollar and the Canadian dollar likely prevented additional production capacity reduction in North American, particularly at Canadian sources, further aggravating oversupply and accelerating price declines.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3" w:name="page34"/>
    <w:bookmarkEnd w:id="33"/>
    <w:p>
      <w:pPr>
        <w:jc w:val="both"/>
        <w:spacing w:after="0"/>
        <w:rPr>
          <w:sz w:val="20"/>
          <w:szCs w:val="20"/>
          <w:color w:val="auto"/>
        </w:rPr>
      </w:pPr>
      <w:r>
        <w:rPr>
          <w:rFonts w:ascii="Arial" w:cs="Arial" w:eastAsia="Arial" w:hAnsi="Arial"/>
          <w:sz w:val="18"/>
          <w:szCs w:val="18"/>
          <w:color w:val="auto"/>
        </w:rPr>
        <w:t>Our long term supply strategy continues to align and concentrate the Company purchases with those cost effective suppliers most likely to continue producing and supplying newsprint to the North American market. Where possible the Company will align supply with the lowest cost material.</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 $10 per tonne price increase for 27.7 pound newsprint would result in an annualized reduction in income before taxes of approximately $213,000 based on anticipated consumption in 2020, excluding consumption of TNI and MNI and the impact of LIFO accounting.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SENSITIVITY TO CHANGES IN VALUE</w:t>
      </w:r>
    </w:p>
    <w:p>
      <w:pPr>
        <w:spacing w:after="0" w:line="220"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Our fixed rate debt consists of $363,420,000 principal amount of the Notes and $80,207,000 principal amount under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At September 29, 2019, based on an average of private market price quotations, the fair values were $364,328,550 and $80,207,214 for the Notes and 2nd Lien Term Loan, respectively.</w:t>
      </w:r>
    </w:p>
    <w:p>
      <w:pPr>
        <w:spacing w:after="0" w:line="200" w:lineRule="exact"/>
        <w:rPr>
          <w:sz w:val="20"/>
          <w:szCs w:val="20"/>
          <w:color w:val="auto"/>
        </w:rPr>
      </w:pPr>
    </w:p>
    <w:p>
      <w:pPr>
        <w:spacing w:after="0" w:line="211"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Information with respect to this Item is included herein under the caption “Consolidated Financial Statements”.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9. CHANGES IN AND DISAGREEMENTS WITH ACCOUNTANTS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 ACCOUNTING AND FINANCIAL DISCLOSURE</w:t>
      </w:r>
    </w:p>
    <w:p>
      <w:pPr>
        <w:spacing w:after="0" w:line="19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Information with respect to this Item is included in our Proxy Statement to be filed in January 2020, which is incorporated herein by reference, under the caption “Relationship with Independent Registered Public Accounting Firm”.</w:t>
      </w:r>
    </w:p>
    <w:p>
      <w:pPr>
        <w:spacing w:after="0" w:line="200" w:lineRule="exact"/>
        <w:rPr>
          <w:sz w:val="20"/>
          <w:szCs w:val="20"/>
          <w:color w:val="auto"/>
        </w:rPr>
      </w:pPr>
    </w:p>
    <w:p>
      <w:pPr>
        <w:spacing w:after="0" w:line="205"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ITEM 9A.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 -15(e) under the Exchange Act, as of September 29, 2019, the end of the period covered by this Annual Report (the “Evaluation Date”). Based on this evaluation, our chief executive officer and chief financial officer concluded as of the Evaluation Date that our disclosure controls and procedures were effective such that the information relating to the Company, including our consolidated subsidiaries, required to be disclosed in our SEC reports (i) is recorded, processed, summarized and reported within the time periods specified in SEC rules and forms, and (ii) is accumulated and communicated to our management, including our chief executive officer and chief financial officer, as appropriate to allow timely decisions regarding required disclosure.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as such term is defined in Rule 13a-15(f) of the Exchange Act. Any internal control system, no matter how well designed, has inherent limitations and may not prevent or detect misstatements. Accordingly, even those systems determined to be effective can provide only reasonable assurance with respect to financial statement preparation and presentation.</w:t>
      </w:r>
    </w:p>
    <w:p>
      <w:pPr>
        <w:spacing w:after="0" w:line="18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Under the supervision and with the participation of our senior management, including our chief executive officer and chief financial officer, we assessed the effectiveness of our internal control over financial reporting as of the Evaluation Date, using the criteria set forth in the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Control-Integrated Framework </w:t>
      </w:r>
      <w:r>
        <w:rPr>
          <w:rFonts w:ascii="Arial" w:cs="Arial" w:eastAsia="Arial" w:hAnsi="Arial"/>
          <w:sz w:val="18"/>
          <w:szCs w:val="18"/>
          <w:color w:val="auto"/>
        </w:rPr>
        <w:t>(2013) issued by the Committee of Sponsoring Organizations of the Treadway Commission. Based on this</w:t>
      </w:r>
      <w:r>
        <w:rPr>
          <w:rFonts w:ascii="Arial" w:cs="Arial" w:eastAsia="Arial" w:hAnsi="Arial"/>
          <w:sz w:val="18"/>
          <w:szCs w:val="18"/>
          <w:i w:val="1"/>
          <w:iCs w:val="1"/>
          <w:color w:val="auto"/>
        </w:rPr>
        <w:t xml:space="preserve"> </w:t>
      </w:r>
      <w:r>
        <w:rPr>
          <w:rFonts w:ascii="Arial" w:cs="Arial" w:eastAsia="Arial" w:hAnsi="Arial"/>
          <w:sz w:val="18"/>
          <w:szCs w:val="18"/>
          <w:color w:val="auto"/>
        </w:rPr>
        <w:t>assessment, management has concluded that our internal control over financial reporting is effective as of the Evaluation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independent registered public accounting firm, KPMG LLP, has issued a report on the Company's internal control over financial reporting.</w:t>
      </w:r>
    </w:p>
    <w:p>
      <w:pPr>
        <w:spacing w:after="0"/>
        <w:rPr>
          <w:sz w:val="20"/>
          <w:szCs w:val="20"/>
          <w:color w:val="auto"/>
        </w:rPr>
      </w:pPr>
      <w:r>
        <w:rPr>
          <w:rFonts w:ascii="Arial" w:cs="Arial" w:eastAsia="Arial" w:hAnsi="Arial"/>
          <w:sz w:val="18"/>
          <w:szCs w:val="18"/>
          <w:color w:val="auto"/>
        </w:rPr>
        <w:t>KPMG’s report on the audit of internal control over financial reporting appears in this Annual Report.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13 weeks ended September 29, 2019 that have materially affected or are reasonably likely to materially affect our internal control over financial reporting.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rPr>
          <w:sz w:val="20"/>
          <w:szCs w:val="20"/>
          <w:color w:val="auto"/>
        </w:rPr>
      </w:pPr>
      <w:r>
        <w:rPr>
          <w:rFonts w:ascii="Arial" w:cs="Arial" w:eastAsia="Arial" w:hAnsi="Arial"/>
          <w:sz w:val="18"/>
          <w:szCs w:val="18"/>
          <w:color w:val="auto"/>
        </w:rPr>
        <w:t>Lee Enterprises, Incorporated: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21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We have audited Lee Enterprises, Incorporated and subsidiaries (the Company) internal control over financial reporting as of September 29,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In our opinion, the Company maintained, in all material respects, effective internal control over financial reporting as of September 29,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89"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September 29, 2019 and September 30, 2018, the related consolidated statements of income, comprehensive income, stockholders’ equity (deficit), and cash flows for the 52-week period ended September 29, 2019, the 53-week period ended September 30, 2018 and the 52-week period ended September 24, 2017 and the related notes (collectively, the consolidated financial statements), and our report dated December 13, 2019 expressed an unqualified opinion on those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16"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1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5"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rPr>
          <w:sz w:val="20"/>
          <w:szCs w:val="20"/>
          <w:color w:val="auto"/>
        </w:rPr>
      </w:pPr>
      <w:r>
        <w:rPr>
          <w:rFonts w:ascii="Arial" w:cs="Arial" w:eastAsia="Arial" w:hAnsi="Arial"/>
          <w:sz w:val="18"/>
          <w:szCs w:val="18"/>
          <w:color w:val="auto"/>
        </w:rPr>
        <w:t>December 13, 2019</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66040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40"/>
          </w:cols>
          <w:pgMar w:left="380" w:top="576" w:right="37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ITEM 9B. OTHER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Information with respect to this Item, except for certain information related to our executive officers included under the caption “Executive Team” in Part I of this Annual Report, is included in our Proxy Statement to be filed in January 2020, which is incorporated herein by reference, under the captions “Proposal 1 - Election of Directors” and “Section 16(a) Beneficial Ownership Reporting Compliance”. Our executive officers are those elected officers whose names and certain information are set forth under the caption “Executive Team” in Part 1 of this Annual Report.</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a Code of Business Conduct and Ethics ("Code") that applies to all of our employees, including our principal executive officer, and principal financial and accounting officer. The Code is monitored by the Audit Committee of our Board of Directors and is annually affirmed by our directors and executive officers. We maintain a corporate governance page on our website which includes the Code. The corporate governance page can be found at www.lee.net by clicking on “Governance” under the "About" tab. A copy of the Code will also be provided without charge to any stockholder who requests it. Any future amendment to, or waiver granted by us from, a provision of the Code will be posted on our website.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11. EXECUTIVE COMPENSATION</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Information with respect to this Item is included in our Proxy Statement to be filed in January 2020, which is incorporated herein by reference, under the captions, “Compensation of Non-Employee Directors”, “Executive Compensation” and “Compensation Discussion and Analysis”; provided, however, that the subsection entitled “Executive Compensation - Executive Compensation Committee Report” shall not be deemed to be incorporated by reference.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12. SECURITY OWNERSHIP OF CERTAIN BENEFICIAL OWNERS AND MANAGEMENT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RELATED STOCKHOLDER MATTERS</w:t>
      </w:r>
    </w:p>
    <w:p>
      <w:pPr>
        <w:spacing w:after="0" w:line="19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Information with respect to this Item is included in our Proxy Statement to be filed in January 2020, which is incorporated herein by reference, under the captions “Voting Securities and Principal Holders Thereof” and “Equity Compensation Plan Information”.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DIRECTOR INDEPENDENCE</w:t>
      </w:r>
    </w:p>
    <w:p>
      <w:pPr>
        <w:spacing w:after="0" w:line="19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Information with respect to this Item is included in our Proxy Statement to be filed in January 2020, which is incorporated herein by reference, under the caption “Directors' Meetings and Committees of the Board of Directors”.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Information with respect to this Item is included in our Proxy Statement to be filed in January 2020, which is incorporated herein by reference, under the caption “Relationship with Independent Registered Public Accounting Firm”.</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19" w:right="239" w:bottom="1440" w:gutter="0" w:footer="0" w:header="0"/>
        </w:sectPr>
      </w:pPr>
    </w:p>
    <w:bookmarkStart w:id="36" w:name="page37"/>
    <w:bookmarkEnd w:id="36"/>
    <w:p>
      <w:pPr>
        <w:ind w:right="3020" w:firstLine="3029"/>
        <w:spacing w:after="0" w:line="469" w:lineRule="auto"/>
        <w:rPr>
          <w:sz w:val="20"/>
          <w:szCs w:val="20"/>
          <w:color w:val="auto"/>
        </w:rPr>
      </w:pPr>
      <w:r>
        <w:rPr>
          <w:rFonts w:ascii="Arial" w:cs="Arial" w:eastAsia="Arial" w:hAnsi="Arial"/>
          <w:sz w:val="18"/>
          <w:szCs w:val="18"/>
          <w:b w:val="1"/>
          <w:bCs w:val="1"/>
          <w:color w:val="auto"/>
        </w:rPr>
        <w:t xml:space="preserve">ITEM 15. EXHIBITS AND FINANCIAL STATEMENT SCHEDULES </w:t>
      </w:r>
      <w:r>
        <w:rPr>
          <w:rFonts w:ascii="Arial" w:cs="Arial" w:eastAsia="Arial" w:hAnsi="Arial"/>
          <w:sz w:val="18"/>
          <w:szCs w:val="18"/>
          <w:color w:val="auto"/>
        </w:rPr>
        <w:t>The following documents are filed as part of this Annual Report: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220" w:lineRule="exact"/>
        <w:rPr>
          <w:sz w:val="20"/>
          <w:szCs w:val="20"/>
          <w:color w:val="auto"/>
        </w:rPr>
      </w:pPr>
    </w:p>
    <w:p>
      <w:pPr>
        <w:ind w:right="220"/>
        <w:spacing w:after="0" w:line="234" w:lineRule="auto"/>
        <w:rPr>
          <w:sz w:val="20"/>
          <w:szCs w:val="20"/>
          <w:color w:val="auto"/>
        </w:rPr>
      </w:pPr>
      <w:r>
        <w:rPr>
          <w:rFonts w:ascii="Arial" w:cs="Arial" w:eastAsia="Arial" w:hAnsi="Arial"/>
          <w:sz w:val="18"/>
          <w:szCs w:val="18"/>
          <w:color w:val="auto"/>
        </w:rPr>
        <w:t>Consolidated Statements of Income and Comprehensive Income (Loss) - 52 weeks ended September 29, 2019, 53 weeks ended September 30, 2018 and 52 weeks ended September 24, 2017</w:t>
      </w:r>
    </w:p>
    <w:p>
      <w:pPr>
        <w:spacing w:after="0" w:line="236" w:lineRule="auto"/>
        <w:rPr>
          <w:sz w:val="20"/>
          <w:szCs w:val="20"/>
          <w:color w:val="auto"/>
        </w:rPr>
      </w:pPr>
      <w:r>
        <w:rPr>
          <w:rFonts w:ascii="Arial" w:cs="Arial" w:eastAsia="Arial" w:hAnsi="Arial"/>
          <w:sz w:val="18"/>
          <w:szCs w:val="18"/>
          <w:color w:val="auto"/>
        </w:rPr>
        <w:t>Consolidated Balance Sheets - September 29, 2019 and September 30, 2018</w:t>
      </w:r>
    </w:p>
    <w:p>
      <w:pPr>
        <w:spacing w:after="0" w:line="1"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Consolidated Statements of Stockholders' Equity (Deficit) - 52 weeks ended September 29, 2019, 53 weeks ended September 30, 2018 and 52 weeks ended September 24, 2017</w:t>
      </w:r>
    </w:p>
    <w:p>
      <w:pPr>
        <w:spacing w:after="0" w:line="2" w:lineRule="exact"/>
        <w:rPr>
          <w:sz w:val="20"/>
          <w:szCs w:val="20"/>
          <w:color w:val="auto"/>
        </w:rPr>
      </w:pPr>
    </w:p>
    <w:p>
      <w:pPr>
        <w:ind w:right="260"/>
        <w:spacing w:after="0" w:line="234" w:lineRule="auto"/>
        <w:rPr>
          <w:sz w:val="20"/>
          <w:szCs w:val="20"/>
          <w:color w:val="auto"/>
        </w:rPr>
      </w:pPr>
      <w:r>
        <w:rPr>
          <w:rFonts w:ascii="Arial" w:cs="Arial" w:eastAsia="Arial" w:hAnsi="Arial"/>
          <w:sz w:val="18"/>
          <w:szCs w:val="18"/>
          <w:color w:val="auto"/>
        </w:rPr>
        <w:t>Consolidated Statements of Cash Flows - 52 weeks ended September 29, 2019, 53 weeks ended September 30, 2018 and 52 weeks ended September 24, 2017</w:t>
      </w:r>
    </w:p>
    <w:p>
      <w:pPr>
        <w:spacing w:after="0" w:line="236" w:lineRule="auto"/>
        <w:rPr>
          <w:sz w:val="20"/>
          <w:szCs w:val="20"/>
          <w:color w:val="auto"/>
        </w:rPr>
      </w:pPr>
      <w:r>
        <w:rPr>
          <w:rFonts w:ascii="Arial" w:cs="Arial" w:eastAsia="Arial" w:hAnsi="Arial"/>
          <w:sz w:val="18"/>
          <w:szCs w:val="18"/>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22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All schedules have been omitted as they are not required, not applicable, not deemed material or because the information is included in the Notes to Consolidated Financial Statements, included herein.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included herein.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9"/>
        </w:trPr>
        <w:tc>
          <w:tcPr>
            <w:tcW w:w="8360" w:type="dxa"/>
            <w:vAlign w:val="bottom"/>
            <w:gridSpan w:val="7"/>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30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189"/>
        </w:trPr>
        <w:tc>
          <w:tcPr>
            <w:tcW w:w="2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tcPr>
          <w:p>
            <w:pPr>
              <w:spacing w:after="0"/>
              <w:rPr>
                <w:sz w:val="16"/>
                <w:szCs w:val="16"/>
                <w:color w:val="auto"/>
              </w:rPr>
            </w:pPr>
          </w:p>
        </w:tc>
      </w:tr>
      <w:tr>
        <w:trPr>
          <w:trHeight w:val="372"/>
        </w:trPr>
        <w:tc>
          <w:tcPr>
            <w:tcW w:w="572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39">
              <w:r>
                <w:rPr>
                  <w:rFonts w:ascii="Arial" w:cs="Arial" w:eastAsia="Arial" w:hAnsi="Arial"/>
                  <w:sz w:val="18"/>
                  <w:szCs w:val="18"/>
                  <w:color w:val="0000EE"/>
                  <w:w w:val="99"/>
                </w:rPr>
                <w:t>Consolidated Statements of Income and Comprehensive Income (Loss)</w:t>
              </w:r>
            </w:hyperlink>
          </w:p>
        </w:tc>
        <w:tc>
          <w:tcPr>
            <w:tcW w:w="2640" w:type="dxa"/>
            <w:vAlign w:val="bottom"/>
          </w:tcPr>
          <w:p>
            <w:pPr>
              <w:spacing w:after="0"/>
              <w:rPr>
                <w:sz w:val="24"/>
                <w:szCs w:val="24"/>
                <w:color w:val="auto"/>
              </w:rPr>
            </w:pPr>
          </w:p>
        </w:tc>
        <w:tc>
          <w:tcPr>
            <w:tcW w:w="30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85"/>
        </w:trPr>
        <w:tc>
          <w:tcPr>
            <w:tcW w:w="8360" w:type="dxa"/>
            <w:vAlign w:val="bottom"/>
            <w:gridSpan w:val="7"/>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Consolidated Balance Sheets</w:t>
              </w:r>
            </w:hyperlink>
          </w:p>
        </w:tc>
        <w:tc>
          <w:tcPr>
            <w:tcW w:w="30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236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385"/>
        </w:trPr>
        <w:tc>
          <w:tcPr>
            <w:tcW w:w="8360" w:type="dxa"/>
            <w:vAlign w:val="bottom"/>
            <w:gridSpan w:val="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Consolidated Statements of Stockholders' Equity (Deficit)</w:t>
              </w:r>
            </w:hyperlink>
          </w:p>
        </w:tc>
        <w:tc>
          <w:tcPr>
            <w:tcW w:w="30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85"/>
        </w:trPr>
        <w:tc>
          <w:tcPr>
            <w:tcW w:w="4560" w:type="dxa"/>
            <w:vAlign w:val="bottom"/>
            <w:tcBorders>
              <w:top w:val="single" w:sz="8" w:color="0000EE"/>
            </w:tcBorders>
            <w:gridSpan w:val="4"/>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Consolidated Statements of Cash Flows</w:t>
              </w:r>
            </w:hyperlink>
          </w:p>
        </w:tc>
        <w:tc>
          <w:tcPr>
            <w:tcW w:w="3800" w:type="dxa"/>
            <w:vAlign w:val="bottom"/>
            <w:gridSpan w:val="3"/>
          </w:tcPr>
          <w:p>
            <w:pPr>
              <w:spacing w:after="0"/>
              <w:rPr>
                <w:sz w:val="24"/>
                <w:szCs w:val="24"/>
                <w:color w:val="auto"/>
              </w:rPr>
            </w:pPr>
          </w:p>
        </w:tc>
        <w:tc>
          <w:tcPr>
            <w:tcW w:w="30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320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385"/>
        </w:trPr>
        <w:tc>
          <w:tcPr>
            <w:tcW w:w="3520" w:type="dxa"/>
            <w:vAlign w:val="bottom"/>
            <w:tcBorders>
              <w:bottom w:val="single" w:sz="8" w:color="0000EE"/>
            </w:tcBorders>
            <w:gridSpan w:val="3"/>
          </w:tcPr>
          <w:p>
            <w:pPr>
              <w:spacing w:after="0"/>
              <w:rPr>
                <w:rFonts w:ascii="Arial" w:cs="Arial" w:eastAsia="Arial" w:hAnsi="Arial"/>
                <w:sz w:val="18"/>
                <w:szCs w:val="18"/>
                <w:color w:val="0000EE"/>
                <w:w w:val="99"/>
              </w:rPr>
            </w:pPr>
            <w:hyperlink w:anchor="page44">
              <w:r>
                <w:rPr>
                  <w:rFonts w:ascii="Arial" w:cs="Arial" w:eastAsia="Arial" w:hAnsi="Arial"/>
                  <w:sz w:val="18"/>
                  <w:szCs w:val="18"/>
                  <w:color w:val="0000EE"/>
                  <w:w w:val="99"/>
                </w:rPr>
                <w:t>Notes to Consolidated Financial Statements</w:t>
              </w:r>
            </w:hyperlink>
          </w:p>
        </w:tc>
        <w:tc>
          <w:tcPr>
            <w:tcW w:w="4840" w:type="dxa"/>
            <w:vAlign w:val="bottom"/>
            <w:gridSpan w:val="4"/>
          </w:tcPr>
          <w:p>
            <w:pPr>
              <w:spacing w:after="0"/>
              <w:rPr>
                <w:sz w:val="24"/>
                <w:szCs w:val="24"/>
                <w:color w:val="auto"/>
              </w:rPr>
            </w:pPr>
          </w:p>
        </w:tc>
        <w:tc>
          <w:tcPr>
            <w:tcW w:w="30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85"/>
        </w:trPr>
        <w:tc>
          <w:tcPr>
            <w:tcW w:w="462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9"/>
              </w:rPr>
              <w:t>Report of Independent Registered Public Accounting Firm</w:t>
            </w:r>
          </w:p>
        </w:tc>
        <w:tc>
          <w:tcPr>
            <w:tcW w:w="3740" w:type="dxa"/>
            <w:vAlign w:val="bottom"/>
            <w:gridSpan w:val="2"/>
          </w:tcPr>
          <w:p>
            <w:pPr>
              <w:spacing w:after="0"/>
              <w:rPr>
                <w:sz w:val="24"/>
                <w:szCs w:val="24"/>
                <w:color w:val="auto"/>
              </w:rPr>
            </w:pPr>
          </w:p>
        </w:tc>
        <w:tc>
          <w:tcPr>
            <w:tcW w:w="30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426"/>
        </w:trPr>
        <w:tc>
          <w:tcPr>
            <w:tcW w:w="8360" w:type="dxa"/>
            <w:vAlign w:val="bottom"/>
            <w:gridSpan w:val="7"/>
          </w:tcPr>
          <w:p>
            <w:pPr>
              <w:ind w:left="5620"/>
              <w:spacing w:after="0"/>
              <w:rPr>
                <w:sz w:val="20"/>
                <w:szCs w:val="20"/>
                <w:color w:val="auto"/>
              </w:rPr>
            </w:pPr>
            <w:r>
              <w:rPr>
                <w:rFonts w:ascii="Arial" w:cs="Arial" w:eastAsia="Arial" w:hAnsi="Arial"/>
                <w:sz w:val="18"/>
                <w:szCs w:val="18"/>
                <w:color w:val="auto"/>
              </w:rPr>
              <w:t>36</w:t>
            </w:r>
          </w:p>
        </w:tc>
        <w:tc>
          <w:tcPr>
            <w:tcW w:w="3060" w:type="dxa"/>
            <w:vAlign w:val="bottom"/>
          </w:tcPr>
          <w:p>
            <w:pPr>
              <w:spacing w:after="0"/>
              <w:rPr>
                <w:sz w:val="24"/>
                <w:szCs w:val="24"/>
                <w:color w:val="auto"/>
              </w:rPr>
            </w:pPr>
          </w:p>
        </w:tc>
      </w:tr>
      <w:tr>
        <w:trPr>
          <w:trHeight w:val="102"/>
        </w:trPr>
        <w:tc>
          <w:tcPr>
            <w:tcW w:w="23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640" w:type="dxa"/>
            <w:vAlign w:val="bottom"/>
            <w:tcBorders>
              <w:bottom w:val="single" w:sz="8" w:color="auto"/>
            </w:tcBorders>
          </w:tcPr>
          <w:p>
            <w:pPr>
              <w:spacing w:after="0"/>
              <w:rPr>
                <w:sz w:val="8"/>
                <w:szCs w:val="8"/>
                <w:color w:val="auto"/>
              </w:rPr>
            </w:pPr>
          </w:p>
        </w:tc>
        <w:tc>
          <w:tcPr>
            <w:tcW w:w="306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778"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CONSOLIDATED STATEMENTS OF INCOME AND COMPREHENSIVE INCOME (LOSS)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0" w:type="dxa"/>
            <w:vAlign w:val="bottom"/>
            <w:tcBorders>
              <w:top w:val="single" w:sz="8" w:color="auto"/>
            </w:tcBorders>
            <w:gridSpan w:val="2"/>
          </w:tcPr>
          <w:p>
            <w:pPr>
              <w:spacing w:after="0"/>
              <w:rPr>
                <w:sz w:val="20"/>
                <w:szCs w:val="20"/>
                <w:color w:val="auto"/>
              </w:rPr>
            </w:pPr>
            <w:r>
              <w:rPr>
                <w:rFonts w:ascii="Arial" w:cs="Arial" w:eastAsia="Arial" w:hAnsi="Arial"/>
                <w:sz w:val="16"/>
                <w:szCs w:val="16"/>
                <w:i w:val="1"/>
                <w:iCs w:val="1"/>
                <w:color w:val="auto"/>
              </w:rPr>
              <w:t>(Thousands of Dollars, Except Per Common Share Data)</w:t>
            </w:r>
          </w:p>
        </w:tc>
        <w:tc>
          <w:tcPr>
            <w:tcW w:w="188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170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2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58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w:t>
            </w:r>
          </w:p>
        </w:tc>
        <w:tc>
          <w:tcPr>
            <w:tcW w:w="18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Pr>
          <w:p>
            <w:pPr>
              <w:ind w:left="160"/>
              <w:spacing w:after="0" w:line="202" w:lineRule="exact"/>
              <w:rPr>
                <w:sz w:val="20"/>
                <w:szCs w:val="20"/>
                <w:color w:val="auto"/>
              </w:rPr>
            </w:pPr>
            <w:r>
              <w:rPr>
                <w:rFonts w:ascii="Arial" w:cs="Arial" w:eastAsia="Arial" w:hAnsi="Arial"/>
                <w:sz w:val="18"/>
                <w:szCs w:val="18"/>
                <w:color w:val="auto"/>
              </w:rPr>
              <w:t>Advertising and marketing services</w:t>
            </w:r>
          </w:p>
        </w:tc>
        <w:tc>
          <w:tcPr>
            <w:tcW w:w="188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265,933</w:t>
            </w:r>
          </w:p>
        </w:tc>
        <w:tc>
          <w:tcPr>
            <w:tcW w:w="170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303,446</w:t>
            </w: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331,360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Subscription</w:t>
            </w:r>
          </w:p>
        </w:tc>
        <w:tc>
          <w:tcPr>
            <w:tcW w:w="1880" w:type="dxa"/>
            <w:vAlign w:val="bottom"/>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rPr>
              <w:t>186,691</w:t>
            </w:r>
          </w:p>
        </w:tc>
        <w:tc>
          <w:tcPr>
            <w:tcW w:w="170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195,108</w:t>
            </w: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191,922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Borders>
              <w:bottom w:val="single" w:sz="8" w:color="auto"/>
            </w:tcBorders>
          </w:tcPr>
          <w:p>
            <w:pPr>
              <w:ind w:left="160"/>
              <w:spacing w:after="0" w:line="202" w:lineRule="exact"/>
              <w:rPr>
                <w:sz w:val="20"/>
                <w:szCs w:val="20"/>
                <w:color w:val="auto"/>
              </w:rPr>
            </w:pPr>
            <w:r>
              <w:rPr>
                <w:rFonts w:ascii="Arial" w:cs="Arial" w:eastAsia="Arial" w:hAnsi="Arial"/>
                <w:sz w:val="18"/>
                <w:szCs w:val="18"/>
                <w:color w:val="auto"/>
              </w:rPr>
              <w:t>Other</w:t>
            </w:r>
          </w:p>
        </w:tc>
        <w:tc>
          <w:tcPr>
            <w:tcW w:w="1880" w:type="dxa"/>
            <w:vAlign w:val="bottom"/>
            <w:tcBorders>
              <w:bottom w:val="single" w:sz="8" w:color="auto"/>
            </w:tcBorders>
          </w:tcPr>
          <w:p>
            <w:pPr>
              <w:jc w:val="right"/>
              <w:ind w:right="490"/>
              <w:spacing w:after="0" w:line="202" w:lineRule="exact"/>
              <w:rPr>
                <w:sz w:val="20"/>
                <w:szCs w:val="20"/>
                <w:color w:val="auto"/>
              </w:rPr>
            </w:pPr>
            <w:r>
              <w:rPr>
                <w:rFonts w:ascii="Arial" w:cs="Arial" w:eastAsia="Arial" w:hAnsi="Arial"/>
                <w:sz w:val="18"/>
                <w:szCs w:val="18"/>
                <w:color w:val="auto"/>
              </w:rPr>
              <w:t>57,230</w:t>
            </w:r>
          </w:p>
        </w:tc>
        <w:tc>
          <w:tcPr>
            <w:tcW w:w="1700" w:type="dxa"/>
            <w:vAlign w:val="bottom"/>
            <w:tcBorders>
              <w:bottom w:val="single" w:sz="8" w:color="auto"/>
            </w:tcBorders>
          </w:tcPr>
          <w:p>
            <w:pPr>
              <w:jc w:val="right"/>
              <w:ind w:right="470"/>
              <w:spacing w:after="0" w:line="202" w:lineRule="exact"/>
              <w:rPr>
                <w:sz w:val="20"/>
                <w:szCs w:val="20"/>
                <w:color w:val="auto"/>
              </w:rPr>
            </w:pPr>
            <w:r>
              <w:rPr>
                <w:rFonts w:ascii="Arial" w:cs="Arial" w:eastAsia="Arial" w:hAnsi="Arial"/>
                <w:sz w:val="18"/>
                <w:szCs w:val="18"/>
                <w:color w:val="auto"/>
              </w:rPr>
              <w:t>45,401</w:t>
            </w:r>
          </w:p>
        </w:tc>
        <w:tc>
          <w:tcPr>
            <w:tcW w:w="124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43,661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operating revenue</w:t>
            </w:r>
          </w:p>
        </w:tc>
        <w:tc>
          <w:tcPr>
            <w:tcW w:w="1880" w:type="dxa"/>
            <w:vAlign w:val="bottom"/>
            <w:tcBorders>
              <w:bottom w:val="single" w:sz="8" w:color="auto"/>
            </w:tcBorders>
            <w:shd w:val="clear" w:color="auto" w:fill="CCEEFF"/>
          </w:tcPr>
          <w:p>
            <w:pPr>
              <w:jc w:val="right"/>
              <w:ind w:right="490"/>
              <w:spacing w:after="0" w:line="196" w:lineRule="exact"/>
              <w:rPr>
                <w:sz w:val="20"/>
                <w:szCs w:val="20"/>
                <w:color w:val="auto"/>
              </w:rPr>
            </w:pPr>
            <w:r>
              <w:rPr>
                <w:rFonts w:ascii="Arial" w:cs="Arial" w:eastAsia="Arial" w:hAnsi="Arial"/>
                <w:sz w:val="18"/>
                <w:szCs w:val="18"/>
                <w:color w:val="auto"/>
              </w:rPr>
              <w:t>509,854</w:t>
            </w:r>
          </w:p>
        </w:tc>
        <w:tc>
          <w:tcPr>
            <w:tcW w:w="1700" w:type="dxa"/>
            <w:vAlign w:val="bottom"/>
            <w:tcBorders>
              <w:bottom w:val="single" w:sz="8" w:color="auto"/>
            </w:tcBorders>
            <w:shd w:val="clear" w:color="auto" w:fill="CCEEFF"/>
          </w:tcPr>
          <w:p>
            <w:pPr>
              <w:jc w:val="right"/>
              <w:ind w:right="470"/>
              <w:spacing w:after="0" w:line="196" w:lineRule="exact"/>
              <w:rPr>
                <w:sz w:val="20"/>
                <w:szCs w:val="20"/>
                <w:color w:val="auto"/>
              </w:rPr>
            </w:pPr>
            <w:r>
              <w:rPr>
                <w:rFonts w:ascii="Arial" w:cs="Arial" w:eastAsia="Arial" w:hAnsi="Arial"/>
                <w:sz w:val="18"/>
                <w:szCs w:val="18"/>
                <w:color w:val="auto"/>
              </w:rPr>
              <w:t>543,955</w:t>
            </w:r>
          </w:p>
        </w:tc>
        <w:tc>
          <w:tcPr>
            <w:tcW w:w="1240" w:type="dxa"/>
            <w:vAlign w:val="bottom"/>
            <w:tcBorders>
              <w:bottom w:val="single" w:sz="8" w:color="auto"/>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566,943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8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18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Compensation</w:t>
            </w:r>
          </w:p>
        </w:tc>
        <w:tc>
          <w:tcPr>
            <w:tcW w:w="1880" w:type="dxa"/>
            <w:vAlign w:val="bottom"/>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rPr>
              <w:t>182,869</w:t>
            </w:r>
          </w:p>
        </w:tc>
        <w:tc>
          <w:tcPr>
            <w:tcW w:w="170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199,164</w:t>
            </w: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213,109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Pr>
          <w:p>
            <w:pPr>
              <w:ind w:left="160"/>
              <w:spacing w:after="0" w:line="202" w:lineRule="exact"/>
              <w:rPr>
                <w:sz w:val="20"/>
                <w:szCs w:val="20"/>
                <w:color w:val="auto"/>
              </w:rPr>
            </w:pPr>
            <w:r>
              <w:rPr>
                <w:rFonts w:ascii="Arial" w:cs="Arial" w:eastAsia="Arial" w:hAnsi="Arial"/>
                <w:sz w:val="18"/>
                <w:szCs w:val="18"/>
                <w:color w:val="auto"/>
              </w:rPr>
              <w:t>Newsprint and ink</w:t>
            </w:r>
          </w:p>
        </w:tc>
        <w:tc>
          <w:tcPr>
            <w:tcW w:w="188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22,237</w:t>
            </w:r>
          </w:p>
        </w:tc>
        <w:tc>
          <w:tcPr>
            <w:tcW w:w="170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24,949</w:t>
            </w: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24,904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Other operating expenses</w:t>
            </w:r>
          </w:p>
        </w:tc>
        <w:tc>
          <w:tcPr>
            <w:tcW w:w="1880" w:type="dxa"/>
            <w:vAlign w:val="bottom"/>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rPr>
              <w:t>193,709</w:t>
            </w:r>
          </w:p>
        </w:tc>
        <w:tc>
          <w:tcPr>
            <w:tcW w:w="170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199,653</w:t>
            </w: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199,754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Pr>
          <w:p>
            <w:pPr>
              <w:ind w:left="160"/>
              <w:spacing w:after="0" w:line="202" w:lineRule="exact"/>
              <w:rPr>
                <w:sz w:val="20"/>
                <w:szCs w:val="20"/>
                <w:color w:val="auto"/>
              </w:rPr>
            </w:pPr>
            <w:r>
              <w:rPr>
                <w:rFonts w:ascii="Arial" w:cs="Arial" w:eastAsia="Arial" w:hAnsi="Arial"/>
                <w:sz w:val="18"/>
                <w:szCs w:val="18"/>
                <w:color w:val="auto"/>
              </w:rPr>
              <w:t>Depreciation and amortization</w:t>
            </w:r>
          </w:p>
        </w:tc>
        <w:tc>
          <w:tcPr>
            <w:tcW w:w="188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29,332</w:t>
            </w:r>
          </w:p>
        </w:tc>
        <w:tc>
          <w:tcPr>
            <w:tcW w:w="170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31,766</w:t>
            </w: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41,282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Assets loss (gain) on sales, impairments and other</w:t>
            </w:r>
          </w:p>
        </w:tc>
        <w:tc>
          <w:tcPr>
            <w:tcW w:w="1880" w:type="dxa"/>
            <w:vAlign w:val="bottom"/>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rPr>
              <w:t>2,464</w:t>
            </w:r>
          </w:p>
        </w:tc>
        <w:tc>
          <w:tcPr>
            <w:tcW w:w="170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6,429</w:t>
            </w:r>
          </w:p>
        </w:tc>
        <w:tc>
          <w:tcPr>
            <w:tcW w:w="12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Borders>
              <w:bottom w:val="single" w:sz="8" w:color="auto"/>
            </w:tcBorders>
          </w:tcPr>
          <w:p>
            <w:pPr>
              <w:ind w:left="160"/>
              <w:spacing w:after="0" w:line="202" w:lineRule="exact"/>
              <w:rPr>
                <w:sz w:val="20"/>
                <w:szCs w:val="20"/>
                <w:color w:val="auto"/>
              </w:rPr>
            </w:pPr>
            <w:r>
              <w:rPr>
                <w:rFonts w:ascii="Arial" w:cs="Arial" w:eastAsia="Arial" w:hAnsi="Arial"/>
                <w:sz w:val="18"/>
                <w:szCs w:val="18"/>
                <w:color w:val="auto"/>
              </w:rPr>
              <w:t>Restructuring costs and other</w:t>
            </w:r>
          </w:p>
        </w:tc>
        <w:tc>
          <w:tcPr>
            <w:tcW w:w="1880" w:type="dxa"/>
            <w:vAlign w:val="bottom"/>
            <w:tcBorders>
              <w:bottom w:val="single" w:sz="8" w:color="auto"/>
            </w:tcBorders>
          </w:tcPr>
          <w:p>
            <w:pPr>
              <w:jc w:val="right"/>
              <w:ind w:right="490"/>
              <w:spacing w:after="0" w:line="202" w:lineRule="exact"/>
              <w:rPr>
                <w:sz w:val="20"/>
                <w:szCs w:val="20"/>
                <w:color w:val="auto"/>
              </w:rPr>
            </w:pPr>
            <w:r>
              <w:rPr>
                <w:rFonts w:ascii="Arial" w:cs="Arial" w:eastAsia="Arial" w:hAnsi="Arial"/>
                <w:sz w:val="18"/>
                <w:szCs w:val="18"/>
                <w:color w:val="auto"/>
              </w:rPr>
              <w:t>11,635</w:t>
            </w:r>
          </w:p>
        </w:tc>
        <w:tc>
          <w:tcPr>
            <w:tcW w:w="1700" w:type="dxa"/>
            <w:vAlign w:val="bottom"/>
            <w:tcBorders>
              <w:bottom w:val="single" w:sz="8" w:color="auto"/>
            </w:tcBorders>
          </w:tcPr>
          <w:p>
            <w:pPr>
              <w:jc w:val="right"/>
              <w:ind w:right="470"/>
              <w:spacing w:after="0" w:line="202" w:lineRule="exact"/>
              <w:rPr>
                <w:sz w:val="20"/>
                <w:szCs w:val="20"/>
                <w:color w:val="auto"/>
              </w:rPr>
            </w:pPr>
            <w:r>
              <w:rPr>
                <w:rFonts w:ascii="Arial" w:cs="Arial" w:eastAsia="Arial" w:hAnsi="Arial"/>
                <w:sz w:val="18"/>
                <w:szCs w:val="18"/>
                <w:color w:val="auto"/>
              </w:rPr>
              <w:t>5,550</w:t>
            </w:r>
          </w:p>
        </w:tc>
        <w:tc>
          <w:tcPr>
            <w:tcW w:w="124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7,523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operating expenses</w:t>
            </w:r>
          </w:p>
        </w:tc>
        <w:tc>
          <w:tcPr>
            <w:tcW w:w="1880" w:type="dxa"/>
            <w:vAlign w:val="bottom"/>
            <w:shd w:val="clear" w:color="auto" w:fill="CCEEFF"/>
          </w:tcPr>
          <w:p>
            <w:pPr>
              <w:jc w:val="right"/>
              <w:ind w:right="490"/>
              <w:spacing w:after="0" w:line="196" w:lineRule="exact"/>
              <w:rPr>
                <w:sz w:val="20"/>
                <w:szCs w:val="20"/>
                <w:color w:val="auto"/>
              </w:rPr>
            </w:pPr>
            <w:r>
              <w:rPr>
                <w:rFonts w:ascii="Arial" w:cs="Arial" w:eastAsia="Arial" w:hAnsi="Arial"/>
                <w:sz w:val="18"/>
                <w:szCs w:val="18"/>
                <w:color w:val="auto"/>
              </w:rPr>
              <w:t>442,246</w:t>
            </w:r>
          </w:p>
        </w:tc>
        <w:tc>
          <w:tcPr>
            <w:tcW w:w="1700" w:type="dxa"/>
            <w:vAlign w:val="bottom"/>
            <w:shd w:val="clear" w:color="auto" w:fill="CCEEFF"/>
          </w:tcPr>
          <w:p>
            <w:pPr>
              <w:jc w:val="right"/>
              <w:ind w:right="470"/>
              <w:spacing w:after="0" w:line="196" w:lineRule="exact"/>
              <w:rPr>
                <w:sz w:val="20"/>
                <w:szCs w:val="20"/>
                <w:color w:val="auto"/>
              </w:rPr>
            </w:pPr>
            <w:r>
              <w:rPr>
                <w:rFonts w:ascii="Arial" w:cs="Arial" w:eastAsia="Arial" w:hAnsi="Arial"/>
                <w:sz w:val="18"/>
                <w:szCs w:val="18"/>
                <w:color w:val="auto"/>
              </w:rPr>
              <w:t>467,511</w:t>
            </w:r>
          </w:p>
        </w:tc>
        <w:tc>
          <w:tcPr>
            <w:tcW w:w="12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485,422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Equity in earnings of associated companies</w:t>
            </w:r>
          </w:p>
        </w:tc>
        <w:tc>
          <w:tcPr>
            <w:tcW w:w="1880" w:type="dxa"/>
            <w:vAlign w:val="bottom"/>
            <w:tcBorders>
              <w:bottom w:val="single" w:sz="8" w:color="auto"/>
            </w:tcBorders>
          </w:tcPr>
          <w:p>
            <w:pPr>
              <w:jc w:val="right"/>
              <w:ind w:right="490"/>
              <w:spacing w:after="0" w:line="202" w:lineRule="exact"/>
              <w:rPr>
                <w:sz w:val="20"/>
                <w:szCs w:val="20"/>
                <w:color w:val="auto"/>
              </w:rPr>
            </w:pPr>
            <w:r>
              <w:rPr>
                <w:rFonts w:ascii="Arial" w:cs="Arial" w:eastAsia="Arial" w:hAnsi="Arial"/>
                <w:sz w:val="18"/>
                <w:szCs w:val="18"/>
                <w:color w:val="auto"/>
              </w:rPr>
              <w:t>7,121</w:t>
            </w:r>
          </w:p>
        </w:tc>
        <w:tc>
          <w:tcPr>
            <w:tcW w:w="1700" w:type="dxa"/>
            <w:vAlign w:val="bottom"/>
            <w:tcBorders>
              <w:bottom w:val="single" w:sz="8" w:color="auto"/>
            </w:tcBorders>
          </w:tcPr>
          <w:p>
            <w:pPr>
              <w:jc w:val="right"/>
              <w:ind w:right="470"/>
              <w:spacing w:after="0" w:line="202" w:lineRule="exact"/>
              <w:rPr>
                <w:sz w:val="20"/>
                <w:szCs w:val="20"/>
                <w:color w:val="auto"/>
              </w:rPr>
            </w:pPr>
            <w:r>
              <w:rPr>
                <w:rFonts w:ascii="Arial" w:cs="Arial" w:eastAsia="Arial" w:hAnsi="Arial"/>
                <w:sz w:val="18"/>
                <w:szCs w:val="18"/>
                <w:color w:val="auto"/>
              </w:rPr>
              <w:t>9,249</w:t>
            </w: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1880" w:type="dxa"/>
            <w:vAlign w:val="bottom"/>
            <w:tcBorders>
              <w:bottom w:val="single" w:sz="8" w:color="auto"/>
            </w:tcBorders>
            <w:shd w:val="clear" w:color="auto" w:fill="CCEEFF"/>
          </w:tcPr>
          <w:p>
            <w:pPr>
              <w:jc w:val="right"/>
              <w:ind w:right="490"/>
              <w:spacing w:after="0" w:line="196" w:lineRule="exact"/>
              <w:rPr>
                <w:sz w:val="20"/>
                <w:szCs w:val="20"/>
                <w:color w:val="auto"/>
              </w:rPr>
            </w:pPr>
            <w:r>
              <w:rPr>
                <w:rFonts w:ascii="Arial" w:cs="Arial" w:eastAsia="Arial" w:hAnsi="Arial"/>
                <w:sz w:val="18"/>
                <w:szCs w:val="18"/>
                <w:color w:val="auto"/>
              </w:rPr>
              <w:t>74,729</w:t>
            </w:r>
          </w:p>
        </w:tc>
        <w:tc>
          <w:tcPr>
            <w:tcW w:w="1700" w:type="dxa"/>
            <w:vAlign w:val="bottom"/>
            <w:tcBorders>
              <w:bottom w:val="single" w:sz="8" w:color="auto"/>
            </w:tcBorders>
            <w:shd w:val="clear" w:color="auto" w:fill="CCEEFF"/>
          </w:tcPr>
          <w:p>
            <w:pPr>
              <w:jc w:val="right"/>
              <w:ind w:right="470"/>
              <w:spacing w:after="0" w:line="196" w:lineRule="exact"/>
              <w:rPr>
                <w:sz w:val="20"/>
                <w:szCs w:val="20"/>
                <w:color w:val="auto"/>
              </w:rPr>
            </w:pPr>
            <w:r>
              <w:rPr>
                <w:rFonts w:ascii="Arial" w:cs="Arial" w:eastAsia="Arial" w:hAnsi="Arial"/>
                <w:sz w:val="18"/>
                <w:szCs w:val="18"/>
                <w:color w:val="auto"/>
              </w:rPr>
              <w:t>85,693</w:t>
            </w:r>
          </w:p>
        </w:tc>
        <w:tc>
          <w:tcPr>
            <w:tcW w:w="1240" w:type="dxa"/>
            <w:vAlign w:val="bottom"/>
            <w:tcBorders>
              <w:bottom w:val="single" w:sz="8" w:color="auto"/>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89,130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80" w:type="dxa"/>
            <w:vAlign w:val="bottom"/>
          </w:tcPr>
          <w:p>
            <w:pPr>
              <w:spacing w:after="0" w:line="196" w:lineRule="exact"/>
              <w:rPr>
                <w:sz w:val="20"/>
                <w:szCs w:val="20"/>
                <w:color w:val="auto"/>
              </w:rPr>
            </w:pPr>
            <w:r>
              <w:rPr>
                <w:rFonts w:ascii="Arial" w:cs="Arial" w:eastAsia="Arial" w:hAnsi="Arial"/>
                <w:sz w:val="18"/>
                <w:szCs w:val="18"/>
                <w:color w:val="auto"/>
              </w:rPr>
              <w:t>Non-operating income (expense):</w:t>
            </w:r>
          </w:p>
        </w:tc>
        <w:tc>
          <w:tcPr>
            <w:tcW w:w="18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Interest expense</w:t>
            </w:r>
          </w:p>
        </w:tc>
        <w:tc>
          <w:tcPr>
            <w:tcW w:w="1880" w:type="dxa"/>
            <w:vAlign w:val="bottom"/>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(47,488)</w:t>
            </w:r>
          </w:p>
        </w:tc>
        <w:tc>
          <w:tcPr>
            <w:tcW w:w="1700" w:type="dxa"/>
            <w:vAlign w:val="bottom"/>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(52,842)</w:t>
            </w:r>
          </w:p>
        </w:tc>
        <w:tc>
          <w:tcPr>
            <w:tcW w:w="12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(57,573)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Pr>
          <w:p>
            <w:pPr>
              <w:ind w:left="160"/>
              <w:spacing w:after="0" w:line="202" w:lineRule="exact"/>
              <w:rPr>
                <w:sz w:val="20"/>
                <w:szCs w:val="20"/>
                <w:color w:val="auto"/>
              </w:rPr>
            </w:pPr>
            <w:r>
              <w:rPr>
                <w:rFonts w:ascii="Arial" w:cs="Arial" w:eastAsia="Arial" w:hAnsi="Arial"/>
                <w:sz w:val="18"/>
                <w:szCs w:val="18"/>
                <w:color w:val="auto"/>
              </w:rPr>
              <w:t>Debt financing and administrative costs</w:t>
            </w:r>
          </w:p>
        </w:tc>
        <w:tc>
          <w:tcPr>
            <w:tcW w:w="188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(7,214)</w:t>
            </w:r>
          </w:p>
        </w:tc>
        <w:tc>
          <w:tcPr>
            <w:tcW w:w="170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(5,311)</w:t>
            </w:r>
          </w:p>
        </w:tc>
        <w:tc>
          <w:tcPr>
            <w:tcW w:w="1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(4,818)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 net</w:t>
            </w:r>
          </w:p>
        </w:tc>
        <w:tc>
          <w:tcPr>
            <w:tcW w:w="1880" w:type="dxa"/>
            <w:vAlign w:val="bottom"/>
            <w:tcBorders>
              <w:bottom w:val="single" w:sz="8" w:color="auto"/>
            </w:tcBorders>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rPr>
              <w:t>3,813</w:t>
            </w:r>
          </w:p>
        </w:tc>
        <w:tc>
          <w:tcPr>
            <w:tcW w:w="1700" w:type="dxa"/>
            <w:vAlign w:val="bottom"/>
            <w:tcBorders>
              <w:bottom w:val="single" w:sz="8" w:color="auto"/>
            </w:tcBorders>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3,280</w:t>
            </w: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13,477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non-operating expense, net</w:t>
            </w:r>
          </w:p>
        </w:tc>
        <w:tc>
          <w:tcPr>
            <w:tcW w:w="188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(50,889)</w:t>
            </w:r>
          </w:p>
        </w:tc>
        <w:tc>
          <w:tcPr>
            <w:tcW w:w="170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rPr>
              <w:t>(54,873)</w:t>
            </w:r>
          </w:p>
        </w:tc>
        <w:tc>
          <w:tcPr>
            <w:tcW w:w="1240" w:type="dxa"/>
            <w:vAlign w:val="bottom"/>
            <w:tcBorders>
              <w:bottom w:val="single" w:sz="8" w:color="auto"/>
            </w:tcBorders>
            <w:gridSpan w:val="2"/>
          </w:tcPr>
          <w:p>
            <w:pPr>
              <w:jc w:val="right"/>
              <w:ind w:right="40"/>
              <w:spacing w:after="0" w:line="196" w:lineRule="exact"/>
              <w:rPr>
                <w:sz w:val="20"/>
                <w:szCs w:val="20"/>
                <w:color w:val="auto"/>
              </w:rPr>
            </w:pPr>
            <w:r>
              <w:rPr>
                <w:rFonts w:ascii="Arial" w:cs="Arial" w:eastAsia="Arial" w:hAnsi="Arial"/>
                <w:sz w:val="18"/>
                <w:szCs w:val="18"/>
                <w:color w:val="auto"/>
              </w:rPr>
              <w:t>(48,914)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before income taxes</w:t>
            </w:r>
          </w:p>
        </w:tc>
        <w:tc>
          <w:tcPr>
            <w:tcW w:w="1880" w:type="dxa"/>
            <w:vAlign w:val="bottom"/>
            <w:shd w:val="clear" w:color="auto" w:fill="CCEEFF"/>
          </w:tcPr>
          <w:p>
            <w:pPr>
              <w:jc w:val="right"/>
              <w:ind w:right="490"/>
              <w:spacing w:after="0" w:line="196" w:lineRule="exact"/>
              <w:rPr>
                <w:sz w:val="20"/>
                <w:szCs w:val="20"/>
                <w:color w:val="auto"/>
              </w:rPr>
            </w:pPr>
            <w:r>
              <w:rPr>
                <w:rFonts w:ascii="Arial" w:cs="Arial" w:eastAsia="Arial" w:hAnsi="Arial"/>
                <w:sz w:val="18"/>
                <w:szCs w:val="18"/>
                <w:color w:val="auto"/>
              </w:rPr>
              <w:t>23,840</w:t>
            </w:r>
          </w:p>
        </w:tc>
        <w:tc>
          <w:tcPr>
            <w:tcW w:w="1700" w:type="dxa"/>
            <w:vAlign w:val="bottom"/>
            <w:shd w:val="clear" w:color="auto" w:fill="CCEEFF"/>
          </w:tcPr>
          <w:p>
            <w:pPr>
              <w:jc w:val="right"/>
              <w:ind w:right="470"/>
              <w:spacing w:after="0" w:line="196" w:lineRule="exact"/>
              <w:rPr>
                <w:sz w:val="20"/>
                <w:szCs w:val="20"/>
                <w:color w:val="auto"/>
              </w:rPr>
            </w:pPr>
            <w:r>
              <w:rPr>
                <w:rFonts w:ascii="Arial" w:cs="Arial" w:eastAsia="Arial" w:hAnsi="Arial"/>
                <w:sz w:val="18"/>
                <w:szCs w:val="18"/>
                <w:color w:val="auto"/>
              </w:rPr>
              <w:t>30,820</w:t>
            </w:r>
          </w:p>
        </w:tc>
        <w:tc>
          <w:tcPr>
            <w:tcW w:w="12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40,216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Income tax expense (benefit)</w:t>
            </w:r>
          </w:p>
        </w:tc>
        <w:tc>
          <w:tcPr>
            <w:tcW w:w="1880" w:type="dxa"/>
            <w:vAlign w:val="bottom"/>
            <w:tcBorders>
              <w:bottom w:val="single" w:sz="8" w:color="auto"/>
            </w:tcBorders>
          </w:tcPr>
          <w:p>
            <w:pPr>
              <w:jc w:val="right"/>
              <w:ind w:right="490"/>
              <w:spacing w:after="0" w:line="202" w:lineRule="exact"/>
              <w:rPr>
                <w:sz w:val="20"/>
                <w:szCs w:val="20"/>
                <w:color w:val="auto"/>
              </w:rPr>
            </w:pPr>
            <w:r>
              <w:rPr>
                <w:rFonts w:ascii="Arial" w:cs="Arial" w:eastAsia="Arial" w:hAnsi="Arial"/>
                <w:sz w:val="18"/>
                <w:szCs w:val="18"/>
                <w:color w:val="auto"/>
              </w:rPr>
              <w:t>7,931</w:t>
            </w:r>
          </w:p>
        </w:tc>
        <w:tc>
          <w:tcPr>
            <w:tcW w:w="170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(16,228)</w:t>
            </w:r>
          </w:p>
        </w:tc>
        <w:tc>
          <w:tcPr>
            <w:tcW w:w="124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11,611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1880" w:type="dxa"/>
            <w:vAlign w:val="bottom"/>
            <w:shd w:val="clear" w:color="auto" w:fill="CCEEFF"/>
          </w:tcPr>
          <w:p>
            <w:pPr>
              <w:jc w:val="right"/>
              <w:ind w:right="490"/>
              <w:spacing w:after="0" w:line="196" w:lineRule="exact"/>
              <w:rPr>
                <w:sz w:val="20"/>
                <w:szCs w:val="20"/>
                <w:color w:val="auto"/>
              </w:rPr>
            </w:pPr>
            <w:r>
              <w:rPr>
                <w:rFonts w:ascii="Arial" w:cs="Arial" w:eastAsia="Arial" w:hAnsi="Arial"/>
                <w:sz w:val="18"/>
                <w:szCs w:val="18"/>
                <w:color w:val="auto"/>
              </w:rPr>
              <w:t>15,909</w:t>
            </w:r>
          </w:p>
        </w:tc>
        <w:tc>
          <w:tcPr>
            <w:tcW w:w="1700" w:type="dxa"/>
            <w:vAlign w:val="bottom"/>
            <w:shd w:val="clear" w:color="auto" w:fill="CCEEFF"/>
          </w:tcPr>
          <w:p>
            <w:pPr>
              <w:jc w:val="right"/>
              <w:ind w:right="470"/>
              <w:spacing w:after="0" w:line="196" w:lineRule="exact"/>
              <w:rPr>
                <w:sz w:val="20"/>
                <w:szCs w:val="20"/>
                <w:color w:val="auto"/>
              </w:rPr>
            </w:pPr>
            <w:r>
              <w:rPr>
                <w:rFonts w:ascii="Arial" w:cs="Arial" w:eastAsia="Arial" w:hAnsi="Arial"/>
                <w:sz w:val="18"/>
                <w:szCs w:val="18"/>
                <w:color w:val="auto"/>
              </w:rPr>
              <w:t>47,048</w:t>
            </w:r>
          </w:p>
        </w:tc>
        <w:tc>
          <w:tcPr>
            <w:tcW w:w="12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28,605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1880" w:type="dxa"/>
            <w:vAlign w:val="bottom"/>
            <w:tcBorders>
              <w:bottom w:val="single" w:sz="8" w:color="auto"/>
            </w:tcBorders>
          </w:tcPr>
          <w:p>
            <w:pPr>
              <w:jc w:val="right"/>
              <w:ind w:right="430"/>
              <w:spacing w:after="0" w:line="202" w:lineRule="exact"/>
              <w:rPr>
                <w:sz w:val="20"/>
                <w:szCs w:val="20"/>
                <w:color w:val="auto"/>
              </w:rPr>
            </w:pPr>
            <w:r>
              <w:rPr>
                <w:rFonts w:ascii="Arial" w:cs="Arial" w:eastAsia="Arial" w:hAnsi="Arial"/>
                <w:sz w:val="18"/>
                <w:szCs w:val="18"/>
                <w:color w:val="auto"/>
              </w:rPr>
              <w:t>(1,641)</w:t>
            </w:r>
          </w:p>
        </w:tc>
        <w:tc>
          <w:tcPr>
            <w:tcW w:w="170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(1,282)</w:t>
            </w:r>
          </w:p>
        </w:tc>
        <w:tc>
          <w:tcPr>
            <w:tcW w:w="1240" w:type="dxa"/>
            <w:vAlign w:val="bottom"/>
            <w:tcBorders>
              <w:bottom w:val="single" w:sz="8" w:color="auto"/>
            </w:tcBorders>
            <w:gridSpan w:val="2"/>
          </w:tcPr>
          <w:p>
            <w:pPr>
              <w:jc w:val="right"/>
              <w:ind w:right="40"/>
              <w:spacing w:after="0" w:line="202" w:lineRule="exact"/>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attributable to Lee Enterprises, Incorporated</w:t>
            </w:r>
          </w:p>
        </w:tc>
        <w:tc>
          <w:tcPr>
            <w:tcW w:w="1880" w:type="dxa"/>
            <w:vAlign w:val="bottom"/>
            <w:shd w:val="clear" w:color="auto" w:fill="CCEEFF"/>
          </w:tcPr>
          <w:p>
            <w:pPr>
              <w:jc w:val="right"/>
              <w:ind w:right="490"/>
              <w:spacing w:after="0" w:line="196" w:lineRule="exact"/>
              <w:rPr>
                <w:sz w:val="20"/>
                <w:szCs w:val="20"/>
                <w:color w:val="auto"/>
              </w:rPr>
            </w:pPr>
            <w:r>
              <w:rPr>
                <w:rFonts w:ascii="Arial" w:cs="Arial" w:eastAsia="Arial" w:hAnsi="Arial"/>
                <w:sz w:val="18"/>
                <w:szCs w:val="18"/>
                <w:color w:val="auto"/>
              </w:rPr>
              <w:t>14,268</w:t>
            </w:r>
          </w:p>
        </w:tc>
        <w:tc>
          <w:tcPr>
            <w:tcW w:w="1700" w:type="dxa"/>
            <w:vAlign w:val="bottom"/>
            <w:shd w:val="clear" w:color="auto" w:fill="CCEEFF"/>
          </w:tcPr>
          <w:p>
            <w:pPr>
              <w:jc w:val="right"/>
              <w:ind w:right="470"/>
              <w:spacing w:after="0" w:line="196" w:lineRule="exact"/>
              <w:rPr>
                <w:sz w:val="20"/>
                <w:szCs w:val="20"/>
                <w:color w:val="auto"/>
              </w:rPr>
            </w:pPr>
            <w:r>
              <w:rPr>
                <w:rFonts w:ascii="Arial" w:cs="Arial" w:eastAsia="Arial" w:hAnsi="Arial"/>
                <w:sz w:val="18"/>
                <w:szCs w:val="18"/>
                <w:color w:val="auto"/>
              </w:rPr>
              <w:t>45,766</w:t>
            </w:r>
          </w:p>
        </w:tc>
        <w:tc>
          <w:tcPr>
            <w:tcW w:w="12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27,481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 comprehensive income (loss), net of income taxes</w:t>
            </w:r>
          </w:p>
        </w:tc>
        <w:tc>
          <w:tcPr>
            <w:tcW w:w="1880" w:type="dxa"/>
            <w:vAlign w:val="bottom"/>
            <w:tcBorders>
              <w:bottom w:val="single" w:sz="8" w:color="auto"/>
            </w:tcBorders>
          </w:tcPr>
          <w:p>
            <w:pPr>
              <w:jc w:val="right"/>
              <w:ind w:right="430"/>
              <w:spacing w:after="0" w:line="202" w:lineRule="exact"/>
              <w:rPr>
                <w:sz w:val="20"/>
                <w:szCs w:val="20"/>
                <w:color w:val="auto"/>
              </w:rPr>
            </w:pPr>
            <w:r>
              <w:rPr>
                <w:rFonts w:ascii="Arial" w:cs="Arial" w:eastAsia="Arial" w:hAnsi="Arial"/>
                <w:sz w:val="18"/>
                <w:szCs w:val="18"/>
                <w:color w:val="auto"/>
              </w:rPr>
              <w:t>(17,368)</w:t>
            </w:r>
          </w:p>
        </w:tc>
        <w:tc>
          <w:tcPr>
            <w:tcW w:w="1700" w:type="dxa"/>
            <w:vAlign w:val="bottom"/>
            <w:tcBorders>
              <w:bottom w:val="single" w:sz="8" w:color="auto"/>
            </w:tcBorders>
          </w:tcPr>
          <w:p>
            <w:pPr>
              <w:jc w:val="right"/>
              <w:ind w:right="470"/>
              <w:spacing w:after="0" w:line="202" w:lineRule="exact"/>
              <w:rPr>
                <w:sz w:val="20"/>
                <w:szCs w:val="20"/>
                <w:color w:val="auto"/>
              </w:rPr>
            </w:pPr>
            <w:r>
              <w:rPr>
                <w:rFonts w:ascii="Arial" w:cs="Arial" w:eastAsia="Arial" w:hAnsi="Arial"/>
                <w:sz w:val="18"/>
                <w:szCs w:val="18"/>
                <w:color w:val="auto"/>
              </w:rPr>
              <w:t>4,322</w:t>
            </w:r>
          </w:p>
        </w:tc>
        <w:tc>
          <w:tcPr>
            <w:tcW w:w="124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6,710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5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Comprehensive (loss) income attributable to Lee Enterprises, Incorporated</w:t>
            </w:r>
          </w:p>
        </w:tc>
        <w:tc>
          <w:tcPr>
            <w:tcW w:w="1880" w:type="dxa"/>
            <w:vAlign w:val="bottom"/>
            <w:tcBorders>
              <w:bottom w:val="single" w:sz="8" w:color="auto"/>
            </w:tcBorders>
            <w:shd w:val="clear" w:color="auto" w:fill="CCEEFF"/>
          </w:tcPr>
          <w:p>
            <w:pPr>
              <w:jc w:val="right"/>
              <w:ind w:right="430"/>
              <w:spacing w:after="0" w:line="196" w:lineRule="exact"/>
              <w:rPr>
                <w:sz w:val="20"/>
                <w:szCs w:val="20"/>
                <w:color w:val="auto"/>
              </w:rPr>
            </w:pPr>
            <w:r>
              <w:rPr>
                <w:rFonts w:ascii="Arial" w:cs="Arial" w:eastAsia="Arial" w:hAnsi="Arial"/>
                <w:sz w:val="18"/>
                <w:szCs w:val="18"/>
                <w:color w:val="auto"/>
              </w:rPr>
              <w:t>(3,100)</w:t>
            </w:r>
          </w:p>
        </w:tc>
        <w:tc>
          <w:tcPr>
            <w:tcW w:w="1700" w:type="dxa"/>
            <w:vAlign w:val="bottom"/>
            <w:tcBorders>
              <w:bottom w:val="single" w:sz="8" w:color="auto"/>
            </w:tcBorders>
            <w:shd w:val="clear" w:color="auto" w:fill="CCEEFF"/>
          </w:tcPr>
          <w:p>
            <w:pPr>
              <w:jc w:val="right"/>
              <w:ind w:right="470"/>
              <w:spacing w:after="0" w:line="196" w:lineRule="exact"/>
              <w:rPr>
                <w:sz w:val="20"/>
                <w:szCs w:val="20"/>
                <w:color w:val="auto"/>
              </w:rPr>
            </w:pPr>
            <w:r>
              <w:rPr>
                <w:rFonts w:ascii="Arial" w:cs="Arial" w:eastAsia="Arial" w:hAnsi="Arial"/>
                <w:sz w:val="18"/>
                <w:szCs w:val="18"/>
                <w:color w:val="auto"/>
              </w:rPr>
              <w:t>50,088</w:t>
            </w:r>
          </w:p>
        </w:tc>
        <w:tc>
          <w:tcPr>
            <w:tcW w:w="1240" w:type="dxa"/>
            <w:vAlign w:val="bottom"/>
            <w:tcBorders>
              <w:bottom w:val="single" w:sz="8" w:color="auto"/>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34,191</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5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per common share:</w:t>
            </w:r>
          </w:p>
        </w:tc>
        <w:tc>
          <w:tcPr>
            <w:tcW w:w="18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Pr>
          <w:p>
            <w:pPr>
              <w:ind w:left="160"/>
              <w:spacing w:after="0" w:line="202" w:lineRule="exact"/>
              <w:rPr>
                <w:sz w:val="20"/>
                <w:szCs w:val="20"/>
                <w:color w:val="auto"/>
              </w:rPr>
            </w:pPr>
            <w:r>
              <w:rPr>
                <w:rFonts w:ascii="Arial" w:cs="Arial" w:eastAsia="Arial" w:hAnsi="Arial"/>
                <w:sz w:val="18"/>
                <w:szCs w:val="18"/>
                <w:color w:val="auto"/>
              </w:rPr>
              <w:t>Basic:</w:t>
            </w:r>
          </w:p>
        </w:tc>
        <w:tc>
          <w:tcPr>
            <w:tcW w:w="188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0.26</w:t>
            </w:r>
          </w:p>
        </w:tc>
        <w:tc>
          <w:tcPr>
            <w:tcW w:w="170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0.84</w:t>
            </w: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Borders>
              <w:bottom w:val="single" w:sz="8" w:color="auto"/>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Diluted:</w:t>
            </w:r>
          </w:p>
        </w:tc>
        <w:tc>
          <w:tcPr>
            <w:tcW w:w="1880" w:type="dxa"/>
            <w:vAlign w:val="bottom"/>
            <w:tcBorders>
              <w:bottom w:val="single" w:sz="8" w:color="auto"/>
            </w:tcBorders>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rPr>
              <w:t>0.25</w:t>
            </w:r>
          </w:p>
        </w:tc>
        <w:tc>
          <w:tcPr>
            <w:tcW w:w="1700" w:type="dxa"/>
            <w:vAlign w:val="bottom"/>
            <w:tcBorders>
              <w:bottom w:val="single" w:sz="8" w:color="auto"/>
            </w:tcBorders>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0.82</w:t>
            </w:r>
          </w:p>
        </w:tc>
        <w:tc>
          <w:tcPr>
            <w:tcW w:w="124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19"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1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September 29</w:t>
            </w: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September 30</w:t>
            </w:r>
          </w:p>
        </w:tc>
      </w:tr>
      <w:tr>
        <w:trPr>
          <w:trHeight w:val="203"/>
        </w:trPr>
        <w:tc>
          <w:tcPr>
            <w:tcW w:w="5300" w:type="dxa"/>
            <w:vAlign w:val="bottom"/>
            <w:tcBorders>
              <w:bottom w:val="single" w:sz="8" w:color="auto"/>
            </w:tcBorders>
            <w:gridSpan w:val="2"/>
          </w:tcPr>
          <w:p>
            <w:pPr>
              <w:spacing w:after="0"/>
              <w:rPr>
                <w:sz w:val="20"/>
                <w:szCs w:val="20"/>
                <w:color w:val="auto"/>
              </w:rPr>
            </w:pPr>
            <w:r>
              <w:rPr>
                <w:rFonts w:ascii="Arial" w:cs="Arial" w:eastAsia="Arial" w:hAnsi="Arial"/>
                <w:sz w:val="16"/>
                <w:szCs w:val="16"/>
                <w:i w:val="1"/>
                <w:iCs w:val="1"/>
                <w:color w:val="auto"/>
              </w:rPr>
              <w:t>(Thousands of Dollars)</w:t>
            </w:r>
          </w:p>
        </w:tc>
        <w:tc>
          <w:tcPr>
            <w:tcW w:w="1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2019</w:t>
            </w:r>
          </w:p>
        </w:tc>
        <w:tc>
          <w:tcPr>
            <w:tcW w:w="15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2018</w:t>
            </w:r>
          </w:p>
        </w:tc>
      </w:tr>
      <w:tr>
        <w:trPr>
          <w:trHeight w:val="412"/>
        </w:trPr>
        <w:tc>
          <w:tcPr>
            <w:tcW w:w="5300" w:type="dxa"/>
            <w:vAlign w:val="bottom"/>
            <w:gridSpan w:val="2"/>
          </w:tcPr>
          <w:p>
            <w:pPr>
              <w:spacing w:after="0"/>
              <w:rPr>
                <w:sz w:val="20"/>
                <w:szCs w:val="20"/>
                <w:color w:val="auto"/>
              </w:rPr>
            </w:pPr>
            <w:r>
              <w:rPr>
                <w:rFonts w:ascii="Arial" w:cs="Arial" w:eastAsia="Arial" w:hAnsi="Arial"/>
                <w:sz w:val="18"/>
                <w:szCs w:val="18"/>
                <w:color w:val="auto"/>
              </w:rPr>
              <w:t>ASSETS</w:t>
            </w: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92"/>
        </w:trPr>
        <w:tc>
          <w:tcPr>
            <w:tcW w:w="53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Cash and cash equivalents</w:t>
            </w:r>
          </w:p>
        </w:tc>
        <w:tc>
          <w:tcPr>
            <w:tcW w:w="1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1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8,645</w:t>
            </w:r>
          </w:p>
        </w:tc>
        <w:tc>
          <w:tcPr>
            <w:tcW w:w="15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5,380</w:t>
            </w:r>
          </w:p>
        </w:tc>
      </w:tr>
      <w:tr>
        <w:trPr>
          <w:trHeight w:val="203"/>
        </w:trPr>
        <w:tc>
          <w:tcPr>
            <w:tcW w:w="20" w:type="dxa"/>
            <w:vAlign w:val="bottom"/>
          </w:tcPr>
          <w:p>
            <w:pPr>
              <w:spacing w:after="0"/>
              <w:rPr>
                <w:sz w:val="17"/>
                <w:szCs w:val="17"/>
                <w:color w:val="auto"/>
              </w:rPr>
            </w:pPr>
          </w:p>
        </w:tc>
        <w:tc>
          <w:tcPr>
            <w:tcW w:w="5280" w:type="dxa"/>
            <w:vAlign w:val="bottom"/>
          </w:tcPr>
          <w:p>
            <w:pPr>
              <w:ind w:left="160"/>
              <w:spacing w:after="0" w:line="202" w:lineRule="exact"/>
              <w:rPr>
                <w:sz w:val="20"/>
                <w:szCs w:val="20"/>
                <w:color w:val="auto"/>
              </w:rPr>
            </w:pPr>
            <w:r>
              <w:rPr>
                <w:rFonts w:ascii="Arial" w:cs="Arial" w:eastAsia="Arial" w:hAnsi="Arial"/>
                <w:sz w:val="18"/>
                <w:szCs w:val="18"/>
                <w:color w:val="auto"/>
                <w:w w:val="99"/>
              </w:rPr>
              <w:t>Accounts receivable, less allowance for doubtful accounts: 2019</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$6,434; 2018</w:t>
            </w:r>
          </w:p>
        </w:tc>
        <w:tc>
          <w:tcPr>
            <w:tcW w:w="1340" w:type="dxa"/>
            <w:vAlign w:val="bottom"/>
          </w:tcPr>
          <w:p>
            <w:pPr>
              <w:jc w:val="right"/>
              <w:ind w:right="670"/>
              <w:spacing w:after="0" w:line="202" w:lineRule="exact"/>
              <w:rPr>
                <w:sz w:val="20"/>
                <w:szCs w:val="20"/>
                <w:color w:val="auto"/>
              </w:rPr>
            </w:pPr>
            <w:r>
              <w:rPr>
                <w:rFonts w:ascii="Arial" w:cs="Arial" w:eastAsia="Arial" w:hAnsi="Arial"/>
                <w:sz w:val="18"/>
                <w:szCs w:val="18"/>
                <w:color w:val="auto"/>
              </w:rPr>
              <w:t>$4,806</w:t>
            </w:r>
          </w:p>
        </w:tc>
        <w:tc>
          <w:tcPr>
            <w:tcW w:w="21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42,536</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43,711</w:t>
            </w: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Inventories</w:t>
            </w:r>
          </w:p>
        </w:tc>
        <w:tc>
          <w:tcPr>
            <w:tcW w:w="1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1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3,769</w:t>
            </w:r>
          </w:p>
        </w:tc>
        <w:tc>
          <w:tcPr>
            <w:tcW w:w="15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5,684</w:t>
            </w:r>
          </w:p>
        </w:tc>
      </w:tr>
      <w:tr>
        <w:trPr>
          <w:trHeight w:val="203"/>
        </w:trPr>
        <w:tc>
          <w:tcPr>
            <w:tcW w:w="20" w:type="dxa"/>
            <w:vAlign w:val="bottom"/>
          </w:tcPr>
          <w:p>
            <w:pPr>
              <w:spacing w:after="0"/>
              <w:rPr>
                <w:sz w:val="17"/>
                <w:szCs w:val="17"/>
                <w:color w:val="auto"/>
              </w:rPr>
            </w:pPr>
          </w:p>
        </w:tc>
        <w:tc>
          <w:tcPr>
            <w:tcW w:w="5280" w:type="dxa"/>
            <w:vAlign w:val="bottom"/>
            <w:tcBorders>
              <w:bottom w:val="single" w:sz="8" w:color="auto"/>
            </w:tcBorders>
          </w:tcPr>
          <w:p>
            <w:pPr>
              <w:ind w:left="160"/>
              <w:spacing w:after="0" w:line="202" w:lineRule="exact"/>
              <w:rPr>
                <w:sz w:val="20"/>
                <w:szCs w:val="20"/>
                <w:color w:val="auto"/>
              </w:rPr>
            </w:pPr>
            <w:r>
              <w:rPr>
                <w:rFonts w:ascii="Arial" w:cs="Arial" w:eastAsia="Arial" w:hAnsi="Arial"/>
                <w:sz w:val="18"/>
                <w:szCs w:val="18"/>
                <w:color w:val="auto"/>
              </w:rPr>
              <w:t>Prepaids and other</w:t>
            </w:r>
          </w:p>
        </w:tc>
        <w:tc>
          <w:tcPr>
            <w:tcW w:w="1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5,353</w:t>
            </w:r>
          </w:p>
        </w:tc>
        <w:tc>
          <w:tcPr>
            <w:tcW w:w="15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4,567</w:t>
            </w:r>
          </w:p>
        </w:tc>
      </w:tr>
      <w:tr>
        <w:trPr>
          <w:trHeight w:val="196"/>
        </w:trPr>
        <w:tc>
          <w:tcPr>
            <w:tcW w:w="20" w:type="dxa"/>
            <w:vAlign w:val="bottom"/>
          </w:tcPr>
          <w:p>
            <w:pPr>
              <w:spacing w:after="0"/>
              <w:rPr>
                <w:sz w:val="17"/>
                <w:szCs w:val="17"/>
                <w:color w:val="auto"/>
              </w:rPr>
            </w:pPr>
          </w:p>
        </w:tc>
        <w:tc>
          <w:tcPr>
            <w:tcW w:w="5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current assets</w:t>
            </w:r>
          </w:p>
        </w:tc>
        <w:tc>
          <w:tcPr>
            <w:tcW w:w="11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spacing w:after="0"/>
              <w:rPr>
                <w:sz w:val="17"/>
                <w:szCs w:val="17"/>
                <w:color w:val="auto"/>
              </w:rPr>
            </w:pPr>
          </w:p>
        </w:tc>
        <w:tc>
          <w:tcPr>
            <w:tcW w:w="216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60,303</w:t>
            </w:r>
          </w:p>
        </w:tc>
        <w:tc>
          <w:tcPr>
            <w:tcW w:w="15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59,342</w:t>
            </w:r>
          </w:p>
        </w:tc>
      </w:tr>
      <w:tr>
        <w:trPr>
          <w:trHeight w:val="196"/>
        </w:trPr>
        <w:tc>
          <w:tcPr>
            <w:tcW w:w="20" w:type="dxa"/>
            <w:vAlign w:val="bottom"/>
          </w:tcPr>
          <w:p>
            <w:pPr>
              <w:spacing w:after="0"/>
              <w:rPr>
                <w:sz w:val="17"/>
                <w:szCs w:val="17"/>
                <w:color w:val="auto"/>
              </w:rPr>
            </w:pPr>
          </w:p>
        </w:tc>
        <w:tc>
          <w:tcPr>
            <w:tcW w:w="5280" w:type="dxa"/>
            <w:vAlign w:val="bottom"/>
          </w:tcPr>
          <w:p>
            <w:pPr>
              <w:spacing w:after="0" w:line="196" w:lineRule="exact"/>
              <w:rPr>
                <w:sz w:val="20"/>
                <w:szCs w:val="20"/>
                <w:color w:val="auto"/>
              </w:rPr>
            </w:pPr>
            <w:r>
              <w:rPr>
                <w:rFonts w:ascii="Arial" w:cs="Arial" w:eastAsia="Arial" w:hAnsi="Arial"/>
                <w:sz w:val="18"/>
                <w:szCs w:val="18"/>
                <w:color w:val="auto"/>
              </w:rPr>
              <w:t>Investments:</w:t>
            </w:r>
          </w:p>
        </w:tc>
        <w:tc>
          <w:tcPr>
            <w:tcW w:w="1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Associated companies</w:t>
            </w:r>
          </w:p>
        </w:tc>
        <w:tc>
          <w:tcPr>
            <w:tcW w:w="1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1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28,742</w:t>
            </w:r>
          </w:p>
        </w:tc>
        <w:tc>
          <w:tcPr>
            <w:tcW w:w="15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29,216</w:t>
            </w:r>
          </w:p>
        </w:tc>
      </w:tr>
      <w:tr>
        <w:trPr>
          <w:trHeight w:val="203"/>
        </w:trPr>
        <w:tc>
          <w:tcPr>
            <w:tcW w:w="20" w:type="dxa"/>
            <w:vAlign w:val="bottom"/>
          </w:tcPr>
          <w:p>
            <w:pPr>
              <w:spacing w:after="0"/>
              <w:rPr>
                <w:sz w:val="17"/>
                <w:szCs w:val="17"/>
                <w:color w:val="auto"/>
              </w:rPr>
            </w:pPr>
          </w:p>
        </w:tc>
        <w:tc>
          <w:tcPr>
            <w:tcW w:w="5280" w:type="dxa"/>
            <w:vAlign w:val="bottom"/>
            <w:tcBorders>
              <w:bottom w:val="single" w:sz="8" w:color="auto"/>
            </w:tcBorders>
          </w:tcPr>
          <w:p>
            <w:pPr>
              <w:ind w:left="160"/>
              <w:spacing w:after="0" w:line="202" w:lineRule="exact"/>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10,684</w:t>
            </w:r>
          </w:p>
        </w:tc>
        <w:tc>
          <w:tcPr>
            <w:tcW w:w="15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10,958</w:t>
            </w:r>
          </w:p>
        </w:tc>
      </w:tr>
      <w:tr>
        <w:trPr>
          <w:trHeight w:val="196"/>
        </w:trPr>
        <w:tc>
          <w:tcPr>
            <w:tcW w:w="20" w:type="dxa"/>
            <w:vAlign w:val="bottom"/>
          </w:tcPr>
          <w:p>
            <w:pPr>
              <w:spacing w:after="0"/>
              <w:rPr>
                <w:sz w:val="17"/>
                <w:szCs w:val="17"/>
                <w:color w:val="auto"/>
              </w:rPr>
            </w:pPr>
          </w:p>
        </w:tc>
        <w:tc>
          <w:tcPr>
            <w:tcW w:w="5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investments</w:t>
            </w:r>
          </w:p>
        </w:tc>
        <w:tc>
          <w:tcPr>
            <w:tcW w:w="11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spacing w:after="0"/>
              <w:rPr>
                <w:sz w:val="17"/>
                <w:szCs w:val="17"/>
                <w:color w:val="auto"/>
              </w:rPr>
            </w:pPr>
          </w:p>
        </w:tc>
        <w:tc>
          <w:tcPr>
            <w:tcW w:w="216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39,426</w:t>
            </w:r>
          </w:p>
        </w:tc>
        <w:tc>
          <w:tcPr>
            <w:tcW w:w="15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40,174</w:t>
            </w:r>
          </w:p>
        </w:tc>
      </w:tr>
      <w:tr>
        <w:trPr>
          <w:trHeight w:val="196"/>
        </w:trPr>
        <w:tc>
          <w:tcPr>
            <w:tcW w:w="20" w:type="dxa"/>
            <w:vAlign w:val="bottom"/>
          </w:tcPr>
          <w:p>
            <w:pPr>
              <w:spacing w:after="0"/>
              <w:rPr>
                <w:sz w:val="17"/>
                <w:szCs w:val="17"/>
                <w:color w:val="auto"/>
              </w:rPr>
            </w:pPr>
          </w:p>
        </w:tc>
        <w:tc>
          <w:tcPr>
            <w:tcW w:w="5280" w:type="dxa"/>
            <w:vAlign w:val="bottom"/>
          </w:tcPr>
          <w:p>
            <w:pPr>
              <w:spacing w:after="0" w:line="196" w:lineRule="exact"/>
              <w:rPr>
                <w:sz w:val="20"/>
                <w:szCs w:val="20"/>
                <w:color w:val="auto"/>
              </w:rPr>
            </w:pPr>
            <w:r>
              <w:rPr>
                <w:rFonts w:ascii="Arial" w:cs="Arial" w:eastAsia="Arial" w:hAnsi="Arial"/>
                <w:sz w:val="18"/>
                <w:szCs w:val="18"/>
                <w:color w:val="auto"/>
              </w:rPr>
              <w:t>Property and equipment:</w:t>
            </w:r>
          </w:p>
        </w:tc>
        <w:tc>
          <w:tcPr>
            <w:tcW w:w="1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Land and improvements</w:t>
            </w:r>
          </w:p>
        </w:tc>
        <w:tc>
          <w:tcPr>
            <w:tcW w:w="1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1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16,979</w:t>
            </w:r>
          </w:p>
        </w:tc>
        <w:tc>
          <w:tcPr>
            <w:tcW w:w="15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17,432</w:t>
            </w:r>
          </w:p>
        </w:tc>
      </w:tr>
      <w:tr>
        <w:trPr>
          <w:trHeight w:val="203"/>
        </w:trPr>
        <w:tc>
          <w:tcPr>
            <w:tcW w:w="20" w:type="dxa"/>
            <w:vAlign w:val="bottom"/>
          </w:tcPr>
          <w:p>
            <w:pPr>
              <w:spacing w:after="0"/>
              <w:rPr>
                <w:sz w:val="17"/>
                <w:szCs w:val="17"/>
                <w:color w:val="auto"/>
              </w:rPr>
            </w:pPr>
          </w:p>
        </w:tc>
        <w:tc>
          <w:tcPr>
            <w:tcW w:w="5280" w:type="dxa"/>
            <w:vAlign w:val="bottom"/>
          </w:tcPr>
          <w:p>
            <w:pPr>
              <w:ind w:left="160"/>
              <w:spacing w:after="0" w:line="202" w:lineRule="exact"/>
              <w:rPr>
                <w:sz w:val="20"/>
                <w:szCs w:val="20"/>
                <w:color w:val="auto"/>
              </w:rPr>
            </w:pPr>
            <w:r>
              <w:rPr>
                <w:rFonts w:ascii="Arial" w:cs="Arial" w:eastAsia="Arial" w:hAnsi="Arial"/>
                <w:sz w:val="18"/>
                <w:szCs w:val="18"/>
                <w:color w:val="auto"/>
              </w:rPr>
              <w:t>Buildings and improvements</w:t>
            </w:r>
          </w:p>
        </w:tc>
        <w:tc>
          <w:tcPr>
            <w:tcW w:w="1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148,514</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150,376</w:t>
            </w: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Equipment</w:t>
            </w:r>
          </w:p>
        </w:tc>
        <w:tc>
          <w:tcPr>
            <w:tcW w:w="1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1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237,289</w:t>
            </w:r>
          </w:p>
        </w:tc>
        <w:tc>
          <w:tcPr>
            <w:tcW w:w="15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276,332</w:t>
            </w:r>
          </w:p>
        </w:tc>
      </w:tr>
      <w:tr>
        <w:trPr>
          <w:trHeight w:val="203"/>
        </w:trPr>
        <w:tc>
          <w:tcPr>
            <w:tcW w:w="20" w:type="dxa"/>
            <w:vAlign w:val="bottom"/>
          </w:tcPr>
          <w:p>
            <w:pPr>
              <w:spacing w:after="0"/>
              <w:rPr>
                <w:sz w:val="17"/>
                <w:szCs w:val="17"/>
                <w:color w:val="auto"/>
              </w:rPr>
            </w:pPr>
          </w:p>
        </w:tc>
        <w:tc>
          <w:tcPr>
            <w:tcW w:w="5280" w:type="dxa"/>
            <w:vAlign w:val="bottom"/>
            <w:tcBorders>
              <w:bottom w:val="single" w:sz="8" w:color="auto"/>
            </w:tcBorders>
          </w:tcPr>
          <w:p>
            <w:pPr>
              <w:ind w:left="160"/>
              <w:spacing w:after="0" w:line="202" w:lineRule="exact"/>
              <w:rPr>
                <w:sz w:val="20"/>
                <w:szCs w:val="20"/>
                <w:color w:val="auto"/>
              </w:rPr>
            </w:pPr>
            <w:r>
              <w:rPr>
                <w:rFonts w:ascii="Arial" w:cs="Arial" w:eastAsia="Arial" w:hAnsi="Arial"/>
                <w:sz w:val="18"/>
                <w:szCs w:val="18"/>
                <w:color w:val="auto"/>
              </w:rPr>
              <w:t>Construction in process</w:t>
            </w:r>
          </w:p>
        </w:tc>
        <w:tc>
          <w:tcPr>
            <w:tcW w:w="1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1,980</w:t>
            </w:r>
          </w:p>
        </w:tc>
        <w:tc>
          <w:tcPr>
            <w:tcW w:w="15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1,710</w:t>
            </w:r>
          </w:p>
        </w:tc>
      </w:tr>
      <w:tr>
        <w:trPr>
          <w:trHeight w:val="196"/>
        </w:trPr>
        <w:tc>
          <w:tcPr>
            <w:tcW w:w="20" w:type="dxa"/>
            <w:vAlign w:val="bottom"/>
          </w:tcPr>
          <w:p>
            <w:pPr>
              <w:spacing w:after="0"/>
              <w:rPr>
                <w:sz w:val="17"/>
                <w:szCs w:val="17"/>
                <w:color w:val="auto"/>
              </w:rPr>
            </w:pPr>
          </w:p>
        </w:tc>
        <w:tc>
          <w:tcPr>
            <w:tcW w:w="5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160" w:type="dxa"/>
            <w:vAlign w:val="bottom"/>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404,762</w:t>
            </w:r>
          </w:p>
        </w:tc>
        <w:tc>
          <w:tcPr>
            <w:tcW w:w="15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445,850</w:t>
            </w:r>
          </w:p>
        </w:tc>
      </w:tr>
      <w:tr>
        <w:trPr>
          <w:trHeight w:val="203"/>
        </w:trPr>
        <w:tc>
          <w:tcPr>
            <w:tcW w:w="20" w:type="dxa"/>
            <w:vAlign w:val="bottom"/>
          </w:tcPr>
          <w:p>
            <w:pPr>
              <w:spacing w:after="0"/>
              <w:rPr>
                <w:sz w:val="17"/>
                <w:szCs w:val="17"/>
                <w:color w:val="auto"/>
              </w:rPr>
            </w:pPr>
          </w:p>
        </w:tc>
        <w:tc>
          <w:tcPr>
            <w:tcW w:w="5280" w:type="dxa"/>
            <w:vAlign w:val="bottom"/>
            <w:tcBorders>
              <w:bottom w:val="single" w:sz="8" w:color="auto"/>
            </w:tcBorders>
          </w:tcPr>
          <w:p>
            <w:pPr>
              <w:ind w:left="160"/>
              <w:spacing w:after="0" w:line="202" w:lineRule="exact"/>
              <w:rPr>
                <w:sz w:val="20"/>
                <w:szCs w:val="20"/>
                <w:color w:val="auto"/>
              </w:rPr>
            </w:pPr>
            <w:r>
              <w:rPr>
                <w:rFonts w:ascii="Arial" w:cs="Arial" w:eastAsia="Arial" w:hAnsi="Arial"/>
                <w:sz w:val="18"/>
                <w:szCs w:val="18"/>
                <w:color w:val="auto"/>
              </w:rPr>
              <w:t>Less accumulated depreciation</w:t>
            </w:r>
          </w:p>
        </w:tc>
        <w:tc>
          <w:tcPr>
            <w:tcW w:w="1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322,723</w:t>
            </w:r>
          </w:p>
        </w:tc>
        <w:tc>
          <w:tcPr>
            <w:tcW w:w="15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353,522</w:t>
            </w:r>
          </w:p>
        </w:tc>
      </w:tr>
      <w:tr>
        <w:trPr>
          <w:trHeight w:val="196"/>
        </w:trPr>
        <w:tc>
          <w:tcPr>
            <w:tcW w:w="20" w:type="dxa"/>
            <w:vAlign w:val="bottom"/>
          </w:tcPr>
          <w:p>
            <w:pPr>
              <w:spacing w:after="0"/>
              <w:rPr>
                <w:sz w:val="17"/>
                <w:szCs w:val="17"/>
                <w:color w:val="auto"/>
              </w:rPr>
            </w:pPr>
          </w:p>
        </w:tc>
        <w:tc>
          <w:tcPr>
            <w:tcW w:w="5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Property and equipment, net</w:t>
            </w:r>
          </w:p>
        </w:tc>
        <w:tc>
          <w:tcPr>
            <w:tcW w:w="11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spacing w:after="0"/>
              <w:rPr>
                <w:sz w:val="17"/>
                <w:szCs w:val="17"/>
                <w:color w:val="auto"/>
              </w:rPr>
            </w:pPr>
          </w:p>
        </w:tc>
        <w:tc>
          <w:tcPr>
            <w:tcW w:w="216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82,039</w:t>
            </w:r>
          </w:p>
        </w:tc>
        <w:tc>
          <w:tcPr>
            <w:tcW w:w="15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92,328</w:t>
            </w:r>
          </w:p>
        </w:tc>
      </w:tr>
      <w:tr>
        <w:trPr>
          <w:trHeight w:val="196"/>
        </w:trPr>
        <w:tc>
          <w:tcPr>
            <w:tcW w:w="20" w:type="dxa"/>
            <w:vAlign w:val="bottom"/>
          </w:tcPr>
          <w:p>
            <w:pPr>
              <w:spacing w:after="0"/>
              <w:rPr>
                <w:sz w:val="17"/>
                <w:szCs w:val="17"/>
                <w:color w:val="auto"/>
              </w:rPr>
            </w:pPr>
          </w:p>
        </w:tc>
        <w:tc>
          <w:tcPr>
            <w:tcW w:w="5280" w:type="dxa"/>
            <w:vAlign w:val="bottom"/>
          </w:tcPr>
          <w:p>
            <w:pPr>
              <w:spacing w:after="0" w:line="196" w:lineRule="exact"/>
              <w:rPr>
                <w:sz w:val="20"/>
                <w:szCs w:val="20"/>
                <w:color w:val="auto"/>
              </w:rPr>
            </w:pPr>
            <w:r>
              <w:rPr>
                <w:rFonts w:ascii="Arial" w:cs="Arial" w:eastAsia="Arial" w:hAnsi="Arial"/>
                <w:sz w:val="18"/>
                <w:szCs w:val="18"/>
                <w:color w:val="auto"/>
              </w:rPr>
              <w:t>Goodwill</w:t>
            </w:r>
          </w:p>
        </w:tc>
        <w:tc>
          <w:tcPr>
            <w:tcW w:w="1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60" w:type="dxa"/>
            <w:vAlign w:val="bottom"/>
          </w:tcPr>
          <w:p>
            <w:pPr>
              <w:jc w:val="right"/>
              <w:ind w:right="190"/>
              <w:spacing w:after="0" w:line="196" w:lineRule="exact"/>
              <w:rPr>
                <w:sz w:val="20"/>
                <w:szCs w:val="20"/>
                <w:color w:val="auto"/>
              </w:rPr>
            </w:pPr>
            <w:r>
              <w:rPr>
                <w:rFonts w:ascii="Arial" w:cs="Arial" w:eastAsia="Arial" w:hAnsi="Arial"/>
                <w:sz w:val="18"/>
                <w:szCs w:val="18"/>
                <w:color w:val="auto"/>
              </w:rPr>
              <w:t>250,309</w:t>
            </w:r>
          </w:p>
        </w:tc>
        <w:tc>
          <w:tcPr>
            <w:tcW w:w="1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246,176</w:t>
            </w: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intangible assets, net</w:t>
            </w:r>
          </w:p>
        </w:tc>
        <w:tc>
          <w:tcPr>
            <w:tcW w:w="1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1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107,393</w:t>
            </w:r>
          </w:p>
        </w:tc>
        <w:tc>
          <w:tcPr>
            <w:tcW w:w="15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119,819</w:t>
            </w:r>
          </w:p>
        </w:tc>
      </w:tr>
      <w:tr>
        <w:trPr>
          <w:trHeight w:val="203"/>
        </w:trPr>
        <w:tc>
          <w:tcPr>
            <w:tcW w:w="20" w:type="dxa"/>
            <w:vAlign w:val="bottom"/>
          </w:tcPr>
          <w:p>
            <w:pPr>
              <w:spacing w:after="0"/>
              <w:rPr>
                <w:sz w:val="17"/>
                <w:szCs w:val="17"/>
                <w:color w:val="auto"/>
              </w:rPr>
            </w:pPr>
          </w:p>
        </w:tc>
        <w:tc>
          <w:tcPr>
            <w:tcW w:w="5280" w:type="dxa"/>
            <w:vAlign w:val="bottom"/>
          </w:tcPr>
          <w:p>
            <w:pPr>
              <w:spacing w:after="0" w:line="202" w:lineRule="exact"/>
              <w:rPr>
                <w:sz w:val="20"/>
                <w:szCs w:val="20"/>
                <w:color w:val="auto"/>
              </w:rPr>
            </w:pPr>
            <w:r>
              <w:rPr>
                <w:rFonts w:ascii="Arial" w:cs="Arial" w:eastAsia="Arial" w:hAnsi="Arial"/>
                <w:sz w:val="18"/>
                <w:szCs w:val="18"/>
                <w:color w:val="auto"/>
              </w:rPr>
              <w:t>Medical plan assets, net</w:t>
            </w:r>
          </w:p>
        </w:tc>
        <w:tc>
          <w:tcPr>
            <w:tcW w:w="1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14,338</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16,157</w:t>
            </w: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1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1,394</w:t>
            </w:r>
          </w:p>
        </w:tc>
        <w:tc>
          <w:tcPr>
            <w:tcW w:w="15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1,415</w:t>
            </w:r>
          </w:p>
        </w:tc>
      </w:tr>
      <w:tr>
        <w:trPr>
          <w:trHeight w:val="203"/>
        </w:trPr>
        <w:tc>
          <w:tcPr>
            <w:tcW w:w="2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0" w:type="dxa"/>
            <w:vAlign w:val="bottom"/>
          </w:tcPr>
          <w:p>
            <w:pPr>
              <w:spacing w:after="0"/>
              <w:rPr>
                <w:sz w:val="22"/>
                <w:szCs w:val="22"/>
                <w:color w:val="auto"/>
              </w:rPr>
            </w:pPr>
          </w:p>
        </w:tc>
        <w:tc>
          <w:tcPr>
            <w:tcW w:w="49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518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555,202</w:t>
            </w:r>
          </w:p>
        </w:tc>
        <w:tc>
          <w:tcPr>
            <w:tcW w:w="12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575,411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19"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720" w:type="dxa"/>
            <w:vAlign w:val="bottom"/>
            <w:tcBorders>
              <w:top w:val="single" w:sz="8" w:color="auto"/>
            </w:tcBorders>
          </w:tcPr>
          <w:p>
            <w:pPr>
              <w:spacing w:after="0"/>
              <w:rPr>
                <w:sz w:val="18"/>
                <w:szCs w:val="18"/>
                <w:color w:val="auto"/>
              </w:rPr>
            </w:pPr>
          </w:p>
        </w:tc>
        <w:tc>
          <w:tcPr>
            <w:tcW w:w="22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September 29</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September 30</w:t>
            </w:r>
          </w:p>
        </w:tc>
      </w:tr>
      <w:tr>
        <w:trPr>
          <w:trHeight w:val="203"/>
        </w:trPr>
        <w:tc>
          <w:tcPr>
            <w:tcW w:w="7740" w:type="dxa"/>
            <w:vAlign w:val="bottom"/>
            <w:tcBorders>
              <w:bottom w:val="single" w:sz="8" w:color="auto"/>
            </w:tcBorders>
            <w:gridSpan w:val="2"/>
          </w:tcPr>
          <w:p>
            <w:pPr>
              <w:spacing w:after="0"/>
              <w:rPr>
                <w:sz w:val="20"/>
                <w:szCs w:val="20"/>
                <w:color w:val="auto"/>
              </w:rPr>
            </w:pPr>
            <w:r>
              <w:rPr>
                <w:rFonts w:ascii="Arial" w:cs="Arial" w:eastAsia="Arial" w:hAnsi="Arial"/>
                <w:sz w:val="16"/>
                <w:szCs w:val="16"/>
                <w:i w:val="1"/>
                <w:iCs w:val="1"/>
                <w:color w:val="auto"/>
              </w:rPr>
              <w:t>(Thousands of Dollars and Shares, Except Per Share Data)</w:t>
            </w:r>
          </w:p>
        </w:tc>
        <w:tc>
          <w:tcPr>
            <w:tcW w:w="220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2019</w:t>
            </w:r>
          </w:p>
        </w:tc>
        <w:tc>
          <w:tcPr>
            <w:tcW w:w="14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2018</w:t>
            </w:r>
          </w:p>
        </w:tc>
      </w:tr>
      <w:tr>
        <w:trPr>
          <w:trHeight w:val="412"/>
        </w:trPr>
        <w:tc>
          <w:tcPr>
            <w:tcW w:w="7740" w:type="dxa"/>
            <w:vAlign w:val="bottom"/>
            <w:gridSpan w:val="2"/>
          </w:tcPr>
          <w:p>
            <w:pPr>
              <w:spacing w:after="0"/>
              <w:rPr>
                <w:sz w:val="20"/>
                <w:szCs w:val="20"/>
                <w:color w:val="auto"/>
              </w:rPr>
            </w:pPr>
            <w:r>
              <w:rPr>
                <w:rFonts w:ascii="Arial" w:cs="Arial" w:eastAsia="Arial" w:hAnsi="Arial"/>
                <w:sz w:val="18"/>
                <w:szCs w:val="18"/>
                <w:color w:val="auto"/>
              </w:rPr>
              <w:t>LIABILITIES AND STOCKHOLDERS' EQUITY</w:t>
            </w:r>
          </w:p>
        </w:tc>
        <w:tc>
          <w:tcPr>
            <w:tcW w:w="2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92"/>
        </w:trPr>
        <w:tc>
          <w:tcPr>
            <w:tcW w:w="77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Current maturities of long-term debt</w:t>
            </w:r>
          </w:p>
        </w:tc>
        <w:tc>
          <w:tcPr>
            <w:tcW w:w="220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2,954</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7,027</w:t>
            </w:r>
          </w:p>
        </w:tc>
      </w:tr>
      <w:tr>
        <w:trPr>
          <w:trHeight w:val="203"/>
        </w:trPr>
        <w:tc>
          <w:tcPr>
            <w:tcW w:w="20" w:type="dxa"/>
            <w:vAlign w:val="bottom"/>
          </w:tcPr>
          <w:p>
            <w:pPr>
              <w:spacing w:after="0"/>
              <w:rPr>
                <w:sz w:val="17"/>
                <w:szCs w:val="17"/>
                <w:color w:val="auto"/>
              </w:rPr>
            </w:pPr>
          </w:p>
        </w:tc>
        <w:tc>
          <w:tcPr>
            <w:tcW w:w="7720" w:type="dxa"/>
            <w:vAlign w:val="bottom"/>
          </w:tcPr>
          <w:p>
            <w:pPr>
              <w:ind w:left="160"/>
              <w:spacing w:after="0" w:line="202" w:lineRule="exact"/>
              <w:rPr>
                <w:sz w:val="20"/>
                <w:szCs w:val="20"/>
                <w:color w:val="auto"/>
              </w:rPr>
            </w:pPr>
            <w:r>
              <w:rPr>
                <w:rFonts w:ascii="Arial" w:cs="Arial" w:eastAsia="Arial" w:hAnsi="Arial"/>
                <w:sz w:val="18"/>
                <w:szCs w:val="18"/>
                <w:color w:val="auto"/>
              </w:rPr>
              <w:t>Accounts payable</w:t>
            </w:r>
          </w:p>
        </w:tc>
        <w:tc>
          <w:tcPr>
            <w:tcW w:w="22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16,750</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12,747</w:t>
            </w: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Compensation and other accrued liabilities</w:t>
            </w:r>
          </w:p>
        </w:tc>
        <w:tc>
          <w:tcPr>
            <w:tcW w:w="220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17,711</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19,641</w:t>
            </w:r>
          </w:p>
        </w:tc>
      </w:tr>
      <w:tr>
        <w:trPr>
          <w:trHeight w:val="203"/>
        </w:trPr>
        <w:tc>
          <w:tcPr>
            <w:tcW w:w="20" w:type="dxa"/>
            <w:vAlign w:val="bottom"/>
          </w:tcPr>
          <w:p>
            <w:pPr>
              <w:spacing w:after="0"/>
              <w:rPr>
                <w:sz w:val="17"/>
                <w:szCs w:val="17"/>
                <w:color w:val="auto"/>
              </w:rPr>
            </w:pPr>
          </w:p>
        </w:tc>
        <w:tc>
          <w:tcPr>
            <w:tcW w:w="7720" w:type="dxa"/>
            <w:vAlign w:val="bottom"/>
          </w:tcPr>
          <w:p>
            <w:pPr>
              <w:ind w:left="160"/>
              <w:spacing w:after="0" w:line="202" w:lineRule="exact"/>
              <w:rPr>
                <w:sz w:val="20"/>
                <w:szCs w:val="20"/>
                <w:color w:val="auto"/>
              </w:rPr>
            </w:pPr>
            <w:r>
              <w:rPr>
                <w:rFonts w:ascii="Arial" w:cs="Arial" w:eastAsia="Arial" w:hAnsi="Arial"/>
                <w:sz w:val="18"/>
                <w:szCs w:val="18"/>
                <w:color w:val="auto"/>
              </w:rPr>
              <w:t>Accrued interest</w:t>
            </w:r>
          </w:p>
        </w:tc>
        <w:tc>
          <w:tcPr>
            <w:tcW w:w="22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1,903</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2,031</w:t>
            </w:r>
          </w:p>
        </w:tc>
      </w:tr>
      <w:tr>
        <w:trPr>
          <w:trHeight w:val="203"/>
        </w:trPr>
        <w:tc>
          <w:tcPr>
            <w:tcW w:w="20" w:type="dxa"/>
            <w:vAlign w:val="bottom"/>
          </w:tcPr>
          <w:p>
            <w:pPr>
              <w:spacing w:after="0"/>
              <w:rPr>
                <w:sz w:val="17"/>
                <w:szCs w:val="17"/>
                <w:color w:val="auto"/>
              </w:rPr>
            </w:pPr>
          </w:p>
        </w:tc>
        <w:tc>
          <w:tcPr>
            <w:tcW w:w="7720" w:type="dxa"/>
            <w:vAlign w:val="bottom"/>
            <w:tcBorders>
              <w:bottom w:val="single" w:sz="8" w:color="auto"/>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Unearned revenue</w:t>
            </w:r>
          </w:p>
        </w:tc>
        <w:tc>
          <w:tcPr>
            <w:tcW w:w="220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21,720</w:t>
            </w:r>
          </w:p>
        </w:tc>
        <w:tc>
          <w:tcPr>
            <w:tcW w:w="14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23,895</w:t>
            </w:r>
          </w:p>
        </w:tc>
      </w:tr>
      <w:tr>
        <w:trPr>
          <w:trHeight w:val="196"/>
        </w:trPr>
        <w:tc>
          <w:tcPr>
            <w:tcW w:w="20" w:type="dxa"/>
            <w:vAlign w:val="bottom"/>
          </w:tcPr>
          <w:p>
            <w:pPr>
              <w:spacing w:after="0"/>
              <w:rPr>
                <w:sz w:val="17"/>
                <w:szCs w:val="17"/>
                <w:color w:val="auto"/>
              </w:rPr>
            </w:pPr>
          </w:p>
        </w:tc>
        <w:tc>
          <w:tcPr>
            <w:tcW w:w="77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current liabilities</w:t>
            </w:r>
          </w:p>
        </w:tc>
        <w:tc>
          <w:tcPr>
            <w:tcW w:w="22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61,038</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65,341</w:t>
            </w:r>
          </w:p>
        </w:tc>
      </w:tr>
      <w:tr>
        <w:trPr>
          <w:trHeight w:val="196"/>
        </w:trPr>
        <w:tc>
          <w:tcPr>
            <w:tcW w:w="20" w:type="dxa"/>
            <w:vAlign w:val="bottom"/>
          </w:tcPr>
          <w:p>
            <w:pPr>
              <w:spacing w:after="0"/>
              <w:rPr>
                <w:sz w:val="17"/>
                <w:szCs w:val="17"/>
                <w:color w:val="auto"/>
              </w:rPr>
            </w:pPr>
          </w:p>
        </w:tc>
        <w:tc>
          <w:tcPr>
            <w:tcW w:w="7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Long-term debt, net of current maturities</w:t>
            </w:r>
          </w:p>
        </w:tc>
        <w:tc>
          <w:tcPr>
            <w:tcW w:w="2200" w:type="dxa"/>
            <w:vAlign w:val="bottom"/>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429,391</w:t>
            </w:r>
          </w:p>
        </w:tc>
        <w:tc>
          <w:tcPr>
            <w:tcW w:w="14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460,777</w:t>
            </w:r>
          </w:p>
        </w:tc>
      </w:tr>
      <w:tr>
        <w:trPr>
          <w:trHeight w:val="203"/>
        </w:trPr>
        <w:tc>
          <w:tcPr>
            <w:tcW w:w="20" w:type="dxa"/>
            <w:vAlign w:val="bottom"/>
          </w:tcPr>
          <w:p>
            <w:pPr>
              <w:spacing w:after="0"/>
              <w:rPr>
                <w:sz w:val="17"/>
                <w:szCs w:val="17"/>
                <w:color w:val="auto"/>
              </w:rPr>
            </w:pPr>
          </w:p>
        </w:tc>
        <w:tc>
          <w:tcPr>
            <w:tcW w:w="7720" w:type="dxa"/>
            <w:vAlign w:val="bottom"/>
          </w:tcPr>
          <w:p>
            <w:pPr>
              <w:spacing w:after="0" w:line="202" w:lineRule="exact"/>
              <w:rPr>
                <w:sz w:val="20"/>
                <w:szCs w:val="20"/>
                <w:color w:val="auto"/>
              </w:rPr>
            </w:pPr>
            <w:r>
              <w:rPr>
                <w:rFonts w:ascii="Arial" w:cs="Arial" w:eastAsia="Arial" w:hAnsi="Arial"/>
                <w:sz w:val="18"/>
                <w:szCs w:val="18"/>
                <w:color w:val="auto"/>
              </w:rPr>
              <w:t>Pension obligations</w:t>
            </w:r>
          </w:p>
        </w:tc>
        <w:tc>
          <w:tcPr>
            <w:tcW w:w="22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47,037</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26,745</w:t>
            </w: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Postretirement and postemployment benefit obligations</w:t>
            </w:r>
          </w:p>
        </w:tc>
        <w:tc>
          <w:tcPr>
            <w:tcW w:w="220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2,550</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2,580</w:t>
            </w:r>
          </w:p>
        </w:tc>
      </w:tr>
      <w:tr>
        <w:trPr>
          <w:trHeight w:val="203"/>
        </w:trPr>
        <w:tc>
          <w:tcPr>
            <w:tcW w:w="20" w:type="dxa"/>
            <w:vAlign w:val="bottom"/>
          </w:tcPr>
          <w:p>
            <w:pPr>
              <w:spacing w:after="0"/>
              <w:rPr>
                <w:sz w:val="17"/>
                <w:szCs w:val="17"/>
                <w:color w:val="auto"/>
              </w:rPr>
            </w:pPr>
          </w:p>
        </w:tc>
        <w:tc>
          <w:tcPr>
            <w:tcW w:w="772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22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29,806</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39,108</w:t>
            </w: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 payable</w:t>
            </w:r>
          </w:p>
        </w:tc>
        <w:tc>
          <w:tcPr>
            <w:tcW w:w="220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8,742</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6,559</w:t>
            </w:r>
          </w:p>
        </w:tc>
      </w:tr>
      <w:tr>
        <w:trPr>
          <w:trHeight w:val="203"/>
        </w:trPr>
        <w:tc>
          <w:tcPr>
            <w:tcW w:w="20" w:type="dxa"/>
            <w:vAlign w:val="bottom"/>
          </w:tcPr>
          <w:p>
            <w:pPr>
              <w:spacing w:after="0"/>
              <w:rPr>
                <w:sz w:val="17"/>
                <w:szCs w:val="17"/>
                <w:color w:val="auto"/>
              </w:rPr>
            </w:pPr>
          </w:p>
        </w:tc>
        <w:tc>
          <w:tcPr>
            <w:tcW w:w="77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Warrants and other</w:t>
            </w:r>
          </w:p>
        </w:tc>
        <w:tc>
          <w:tcPr>
            <w:tcW w:w="220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13,469</w:t>
            </w:r>
          </w:p>
        </w:tc>
        <w:tc>
          <w:tcPr>
            <w:tcW w:w="14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10,561</w:t>
            </w:r>
          </w:p>
        </w:tc>
      </w:tr>
      <w:tr>
        <w:trPr>
          <w:trHeight w:val="196"/>
        </w:trPr>
        <w:tc>
          <w:tcPr>
            <w:tcW w:w="20" w:type="dxa"/>
            <w:vAlign w:val="bottom"/>
          </w:tcPr>
          <w:p>
            <w:pPr>
              <w:spacing w:after="0"/>
              <w:rPr>
                <w:sz w:val="17"/>
                <w:szCs w:val="17"/>
                <w:color w:val="auto"/>
              </w:rPr>
            </w:pPr>
          </w:p>
        </w:tc>
        <w:tc>
          <w:tcPr>
            <w:tcW w:w="77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liabilities</w:t>
            </w:r>
          </w:p>
        </w:tc>
        <w:tc>
          <w:tcPr>
            <w:tcW w:w="220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592,033</w:t>
            </w:r>
          </w:p>
        </w:tc>
        <w:tc>
          <w:tcPr>
            <w:tcW w:w="14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611,671</w:t>
            </w:r>
          </w:p>
        </w:tc>
      </w:tr>
      <w:tr>
        <w:trPr>
          <w:trHeight w:val="196"/>
        </w:trPr>
        <w:tc>
          <w:tcPr>
            <w:tcW w:w="20" w:type="dxa"/>
            <w:vAlign w:val="bottom"/>
          </w:tcPr>
          <w:p>
            <w:pPr>
              <w:spacing w:after="0"/>
              <w:rPr>
                <w:sz w:val="17"/>
                <w:szCs w:val="17"/>
                <w:color w:val="auto"/>
              </w:rPr>
            </w:pPr>
          </w:p>
        </w:tc>
        <w:tc>
          <w:tcPr>
            <w:tcW w:w="7720" w:type="dxa"/>
            <w:vAlign w:val="bottom"/>
          </w:tcPr>
          <w:p>
            <w:pPr>
              <w:spacing w:after="0" w:line="196" w:lineRule="exact"/>
              <w:rPr>
                <w:sz w:val="20"/>
                <w:szCs w:val="20"/>
                <w:color w:val="auto"/>
              </w:rPr>
            </w:pPr>
            <w:r>
              <w:rPr>
                <w:rFonts w:ascii="Arial" w:cs="Arial" w:eastAsia="Arial" w:hAnsi="Arial"/>
                <w:sz w:val="18"/>
                <w:szCs w:val="18"/>
                <w:color w:val="auto"/>
              </w:rPr>
              <w:t>Equity (deficit):</w:t>
            </w:r>
          </w:p>
        </w:tc>
        <w:tc>
          <w:tcPr>
            <w:tcW w:w="22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Stockholders' equity (deficit):</w:t>
            </w:r>
          </w:p>
        </w:tc>
        <w:tc>
          <w:tcPr>
            <w:tcW w:w="2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20" w:type="dxa"/>
            <w:vAlign w:val="bottom"/>
          </w:tcPr>
          <w:p>
            <w:pPr>
              <w:ind w:left="320"/>
              <w:spacing w:after="0" w:line="202" w:lineRule="exact"/>
              <w:rPr>
                <w:sz w:val="20"/>
                <w:szCs w:val="20"/>
                <w:color w:val="auto"/>
              </w:rPr>
            </w:pPr>
            <w:r>
              <w:rPr>
                <w:rFonts w:ascii="Arial" w:cs="Arial" w:eastAsia="Arial" w:hAnsi="Arial"/>
                <w:sz w:val="18"/>
                <w:szCs w:val="18"/>
                <w:color w:val="auto"/>
              </w:rPr>
              <w:t>Serial convertible preferred stock, no par value; authorized 500 shares; none issued</w:t>
            </w:r>
          </w:p>
        </w:tc>
        <w:tc>
          <w:tcPr>
            <w:tcW w:w="22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Common Stock, authorized 120,000 shares; issued and outstanding:</w:t>
            </w:r>
          </w:p>
        </w:tc>
        <w:tc>
          <w:tcPr>
            <w:tcW w:w="220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577</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572</w:t>
            </w:r>
          </w:p>
        </w:tc>
      </w:tr>
      <w:tr>
        <w:trPr>
          <w:trHeight w:val="203"/>
        </w:trPr>
        <w:tc>
          <w:tcPr>
            <w:tcW w:w="20" w:type="dxa"/>
            <w:vAlign w:val="bottom"/>
          </w:tcPr>
          <w:p>
            <w:pPr>
              <w:spacing w:after="0"/>
              <w:rPr>
                <w:sz w:val="17"/>
                <w:szCs w:val="17"/>
                <w:color w:val="auto"/>
              </w:rPr>
            </w:pPr>
          </w:p>
        </w:tc>
        <w:tc>
          <w:tcPr>
            <w:tcW w:w="7720" w:type="dxa"/>
            <w:vAlign w:val="bottom"/>
          </w:tcPr>
          <w:p>
            <w:pPr>
              <w:ind w:left="480"/>
              <w:spacing w:after="0" w:line="202" w:lineRule="exact"/>
              <w:rPr>
                <w:sz w:val="20"/>
                <w:szCs w:val="20"/>
                <w:color w:val="auto"/>
              </w:rPr>
            </w:pPr>
            <w:r>
              <w:rPr>
                <w:rFonts w:ascii="Arial" w:cs="Arial" w:eastAsia="Arial" w:hAnsi="Arial"/>
                <w:sz w:val="18"/>
                <w:szCs w:val="18"/>
                <w:color w:val="auto"/>
              </w:rPr>
              <w:t>September 29, 2019; 57,646 shares; $0.01 par value</w:t>
            </w:r>
          </w:p>
        </w:tc>
        <w:tc>
          <w:tcPr>
            <w:tcW w:w="22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ind w:left="480"/>
              <w:spacing w:after="0" w:line="202" w:lineRule="exact"/>
              <w:rPr>
                <w:sz w:val="20"/>
                <w:szCs w:val="20"/>
                <w:color w:val="auto"/>
              </w:rPr>
            </w:pPr>
            <w:r>
              <w:rPr>
                <w:rFonts w:ascii="Arial" w:cs="Arial" w:eastAsia="Arial" w:hAnsi="Arial"/>
                <w:sz w:val="18"/>
                <w:szCs w:val="18"/>
                <w:color w:val="auto"/>
              </w:rPr>
              <w:t>September 30, 2018; 57,141 shares; $0.01 par value</w:t>
            </w:r>
          </w:p>
        </w:tc>
        <w:tc>
          <w:tcPr>
            <w:tcW w:w="2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20" w:type="dxa"/>
            <w:vAlign w:val="bottom"/>
          </w:tcPr>
          <w:p>
            <w:pPr>
              <w:ind w:left="320"/>
              <w:spacing w:after="0" w:line="202" w:lineRule="exact"/>
              <w:rPr>
                <w:sz w:val="20"/>
                <w:szCs w:val="20"/>
                <w:color w:val="auto"/>
              </w:rPr>
            </w:pPr>
            <w:r>
              <w:rPr>
                <w:rFonts w:ascii="Arial" w:cs="Arial" w:eastAsia="Arial" w:hAnsi="Arial"/>
                <w:sz w:val="18"/>
                <w:szCs w:val="18"/>
                <w:color w:val="auto"/>
              </w:rPr>
              <w:t>Class B Common Stock, $2 par value; authorized 30,000 shares; none issued</w:t>
            </w:r>
          </w:p>
        </w:tc>
        <w:tc>
          <w:tcPr>
            <w:tcW w:w="22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Additional paid-in capital</w:t>
            </w:r>
          </w:p>
        </w:tc>
        <w:tc>
          <w:tcPr>
            <w:tcW w:w="220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255,476</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253,511</w:t>
            </w:r>
          </w:p>
        </w:tc>
      </w:tr>
      <w:tr>
        <w:trPr>
          <w:trHeight w:val="203"/>
        </w:trPr>
        <w:tc>
          <w:tcPr>
            <w:tcW w:w="20" w:type="dxa"/>
            <w:vAlign w:val="bottom"/>
          </w:tcPr>
          <w:p>
            <w:pPr>
              <w:spacing w:after="0"/>
              <w:rPr>
                <w:sz w:val="17"/>
                <w:szCs w:val="17"/>
                <w:color w:val="auto"/>
              </w:rPr>
            </w:pPr>
          </w:p>
        </w:tc>
        <w:tc>
          <w:tcPr>
            <w:tcW w:w="7720" w:type="dxa"/>
            <w:vAlign w:val="bottom"/>
          </w:tcPr>
          <w:p>
            <w:pPr>
              <w:ind w:left="320"/>
              <w:spacing w:after="0" w:line="202" w:lineRule="exact"/>
              <w:rPr>
                <w:sz w:val="20"/>
                <w:szCs w:val="20"/>
                <w:color w:val="auto"/>
              </w:rPr>
            </w:pPr>
            <w:r>
              <w:rPr>
                <w:rFonts w:ascii="Arial" w:cs="Arial" w:eastAsia="Arial" w:hAnsi="Arial"/>
                <w:sz w:val="18"/>
                <w:szCs w:val="18"/>
                <w:color w:val="auto"/>
              </w:rPr>
              <w:t>Accumulated deficit</w:t>
            </w:r>
          </w:p>
        </w:tc>
        <w:tc>
          <w:tcPr>
            <w:tcW w:w="22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(265,423)</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(279,691)</w:t>
            </w:r>
          </w:p>
        </w:tc>
      </w:tr>
      <w:tr>
        <w:trPr>
          <w:trHeight w:val="203"/>
        </w:trPr>
        <w:tc>
          <w:tcPr>
            <w:tcW w:w="20" w:type="dxa"/>
            <w:vAlign w:val="bottom"/>
          </w:tcPr>
          <w:p>
            <w:pPr>
              <w:spacing w:after="0"/>
              <w:rPr>
                <w:sz w:val="17"/>
                <w:szCs w:val="17"/>
                <w:color w:val="auto"/>
              </w:rPr>
            </w:pPr>
          </w:p>
        </w:tc>
        <w:tc>
          <w:tcPr>
            <w:tcW w:w="7720" w:type="dxa"/>
            <w:vAlign w:val="bottom"/>
            <w:tcBorders>
              <w:bottom w:val="single" w:sz="8" w:color="auto"/>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Accumulated other comprehensive loss</w:t>
            </w:r>
          </w:p>
        </w:tc>
        <w:tc>
          <w:tcPr>
            <w:tcW w:w="220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(29,114)</w:t>
            </w:r>
          </w:p>
        </w:tc>
        <w:tc>
          <w:tcPr>
            <w:tcW w:w="1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(11,746)</w:t>
            </w:r>
          </w:p>
        </w:tc>
      </w:tr>
      <w:tr>
        <w:trPr>
          <w:trHeight w:val="196"/>
        </w:trPr>
        <w:tc>
          <w:tcPr>
            <w:tcW w:w="20" w:type="dxa"/>
            <w:vAlign w:val="bottom"/>
          </w:tcPr>
          <w:p>
            <w:pPr>
              <w:spacing w:after="0"/>
              <w:rPr>
                <w:sz w:val="17"/>
                <w:szCs w:val="17"/>
                <w:color w:val="auto"/>
              </w:rPr>
            </w:pPr>
          </w:p>
        </w:tc>
        <w:tc>
          <w:tcPr>
            <w:tcW w:w="7720" w:type="dxa"/>
            <w:vAlign w:val="bottom"/>
          </w:tcPr>
          <w:p>
            <w:pPr>
              <w:ind w:left="160"/>
              <w:spacing w:after="0" w:line="196" w:lineRule="exact"/>
              <w:rPr>
                <w:sz w:val="20"/>
                <w:szCs w:val="20"/>
                <w:color w:val="auto"/>
              </w:rPr>
            </w:pPr>
            <w:r>
              <w:rPr>
                <w:rFonts w:ascii="Arial" w:cs="Arial" w:eastAsia="Arial" w:hAnsi="Arial"/>
                <w:sz w:val="18"/>
                <w:szCs w:val="18"/>
                <w:color w:val="auto"/>
              </w:rPr>
              <w:t>Total stockholders' deficit</w:t>
            </w:r>
          </w:p>
        </w:tc>
        <w:tc>
          <w:tcPr>
            <w:tcW w:w="2200" w:type="dxa"/>
            <w:vAlign w:val="bottom"/>
          </w:tcPr>
          <w:p>
            <w:pPr>
              <w:jc w:val="right"/>
              <w:ind w:right="170"/>
              <w:spacing w:after="0" w:line="196" w:lineRule="exact"/>
              <w:rPr>
                <w:sz w:val="20"/>
                <w:szCs w:val="20"/>
                <w:color w:val="auto"/>
              </w:rPr>
            </w:pPr>
            <w:r>
              <w:rPr>
                <w:rFonts w:ascii="Arial" w:cs="Arial" w:eastAsia="Arial" w:hAnsi="Arial"/>
                <w:sz w:val="18"/>
                <w:szCs w:val="18"/>
                <w:color w:val="auto"/>
              </w:rPr>
              <w:t>(38,484)</w:t>
            </w: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(37,354)</w:t>
            </w:r>
          </w:p>
        </w:tc>
      </w:tr>
      <w:tr>
        <w:trPr>
          <w:trHeight w:val="203"/>
        </w:trPr>
        <w:tc>
          <w:tcPr>
            <w:tcW w:w="20" w:type="dxa"/>
            <w:vAlign w:val="bottom"/>
          </w:tcPr>
          <w:p>
            <w:pPr>
              <w:spacing w:after="0"/>
              <w:rPr>
                <w:sz w:val="17"/>
                <w:szCs w:val="17"/>
                <w:color w:val="auto"/>
              </w:rPr>
            </w:pPr>
          </w:p>
        </w:tc>
        <w:tc>
          <w:tcPr>
            <w:tcW w:w="7720" w:type="dxa"/>
            <w:vAlign w:val="bottom"/>
            <w:tcBorders>
              <w:bottom w:val="single" w:sz="8" w:color="auto"/>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Non-controlling interests</w:t>
            </w:r>
          </w:p>
        </w:tc>
        <w:tc>
          <w:tcPr>
            <w:tcW w:w="220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1,653</w:t>
            </w:r>
          </w:p>
        </w:tc>
        <w:tc>
          <w:tcPr>
            <w:tcW w:w="14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1,094</w:t>
            </w:r>
          </w:p>
        </w:tc>
      </w:tr>
      <w:tr>
        <w:trPr>
          <w:trHeight w:val="196"/>
        </w:trPr>
        <w:tc>
          <w:tcPr>
            <w:tcW w:w="20" w:type="dxa"/>
            <w:vAlign w:val="bottom"/>
          </w:tcPr>
          <w:p>
            <w:pPr>
              <w:spacing w:after="0"/>
              <w:rPr>
                <w:sz w:val="17"/>
                <w:szCs w:val="17"/>
                <w:color w:val="auto"/>
              </w:rPr>
            </w:pPr>
          </w:p>
        </w:tc>
        <w:tc>
          <w:tcPr>
            <w:tcW w:w="77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deficit</w:t>
            </w:r>
          </w:p>
        </w:tc>
        <w:tc>
          <w:tcPr>
            <w:tcW w:w="220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(36,831)</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(36,260)</w:t>
            </w:r>
          </w:p>
        </w:tc>
      </w:tr>
      <w:tr>
        <w:trPr>
          <w:trHeight w:val="277"/>
        </w:trPr>
        <w:tc>
          <w:tcPr>
            <w:tcW w:w="20" w:type="dxa"/>
            <w:vAlign w:val="bottom"/>
          </w:tcPr>
          <w:p>
            <w:pPr>
              <w:spacing w:after="0"/>
              <w:rPr>
                <w:sz w:val="24"/>
                <w:szCs w:val="24"/>
                <w:color w:val="auto"/>
              </w:rPr>
            </w:pPr>
          </w:p>
        </w:tc>
        <w:tc>
          <w:tcPr>
            <w:tcW w:w="7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liabilities and deficit</w:t>
            </w:r>
          </w:p>
        </w:tc>
        <w:tc>
          <w:tcPr>
            <w:tcW w:w="22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555,202</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575,411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Amount</w:t>
            </w:r>
          </w:p>
        </w:tc>
        <w:tc>
          <w:tcPr>
            <w:tcW w:w="11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Shares</w:t>
            </w:r>
          </w:p>
        </w:tc>
        <w:tc>
          <w:tcPr>
            <w:tcW w:w="9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 and Shares)</w:t>
            </w:r>
          </w:p>
        </w:tc>
        <w:tc>
          <w:tcPr>
            <w:tcW w:w="130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2019</w:t>
            </w:r>
          </w:p>
        </w:tc>
        <w:tc>
          <w:tcPr>
            <w:tcW w:w="150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2018</w:t>
            </w:r>
          </w:p>
        </w:tc>
        <w:tc>
          <w:tcPr>
            <w:tcW w:w="11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2017</w:t>
            </w:r>
          </w:p>
        </w:tc>
        <w:tc>
          <w:tcPr>
            <w:tcW w:w="150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2019</w:t>
            </w:r>
          </w:p>
        </w:tc>
        <w:tc>
          <w:tcPr>
            <w:tcW w:w="15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2018</w:t>
            </w:r>
          </w:p>
        </w:tc>
        <w:tc>
          <w:tcPr>
            <w:tcW w:w="1060" w:type="dxa"/>
            <w:vAlign w:val="bottom"/>
            <w:tcBorders>
              <w:bottom w:val="single" w:sz="8" w:color="auto"/>
            </w:tcBorders>
            <w:gridSpan w:val="2"/>
          </w:tcPr>
          <w:p>
            <w:pPr>
              <w:jc w:val="right"/>
              <w:ind w:right="100"/>
              <w:spacing w:after="0" w:line="196" w:lineRule="exact"/>
              <w:rPr>
                <w:sz w:val="20"/>
                <w:szCs w:val="20"/>
                <w:color w:val="auto"/>
              </w:rPr>
            </w:pPr>
            <w:r>
              <w:rPr>
                <w:rFonts w:ascii="Arial" w:cs="Arial" w:eastAsia="Arial" w:hAnsi="Arial"/>
                <w:sz w:val="18"/>
                <w:szCs w:val="18"/>
                <w:color w:val="auto"/>
              </w:rPr>
              <w:t>2017</w:t>
            </w:r>
          </w:p>
        </w:tc>
      </w:tr>
      <w:tr>
        <w:trPr>
          <w:trHeight w:val="399"/>
        </w:trPr>
        <w:tc>
          <w:tcPr>
            <w:tcW w:w="346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1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year</w:t>
            </w:r>
          </w:p>
        </w:tc>
        <w:tc>
          <w:tcPr>
            <w:tcW w:w="130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572</w:t>
            </w:r>
          </w:p>
        </w:tc>
        <w:tc>
          <w:tcPr>
            <w:tcW w:w="15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567</w:t>
            </w:r>
          </w:p>
        </w:tc>
        <w:tc>
          <w:tcPr>
            <w:tcW w:w="11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558</w:t>
            </w:r>
          </w:p>
        </w:tc>
        <w:tc>
          <w:tcPr>
            <w:tcW w:w="150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57,141</w:t>
            </w:r>
          </w:p>
        </w:tc>
        <w:tc>
          <w:tcPr>
            <w:tcW w:w="150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56,712</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55,771</w:t>
            </w:r>
          </w:p>
        </w:tc>
      </w:tr>
      <w:tr>
        <w:trPr>
          <w:trHeight w:val="203"/>
        </w:trPr>
        <w:tc>
          <w:tcPr>
            <w:tcW w:w="20" w:type="dxa"/>
            <w:vAlign w:val="bottom"/>
          </w:tcPr>
          <w:p>
            <w:pPr>
              <w:spacing w:after="0"/>
              <w:rPr>
                <w:sz w:val="17"/>
                <w:szCs w:val="17"/>
                <w:color w:val="auto"/>
              </w:rPr>
            </w:pPr>
          </w:p>
        </w:tc>
        <w:tc>
          <w:tcPr>
            <w:tcW w:w="34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Shares issued</w:t>
            </w:r>
          </w:p>
        </w:tc>
        <w:tc>
          <w:tcPr>
            <w:tcW w:w="130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5</w:t>
            </w:r>
          </w:p>
        </w:tc>
        <w:tc>
          <w:tcPr>
            <w:tcW w:w="150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5</w:t>
            </w:r>
          </w:p>
        </w:tc>
        <w:tc>
          <w:tcPr>
            <w:tcW w:w="11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9</w:t>
            </w:r>
          </w:p>
        </w:tc>
        <w:tc>
          <w:tcPr>
            <w:tcW w:w="150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505</w:t>
            </w:r>
          </w:p>
        </w:tc>
        <w:tc>
          <w:tcPr>
            <w:tcW w:w="150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429</w:t>
            </w: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941</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4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Balance, end of year</w:t>
            </w:r>
          </w:p>
        </w:tc>
        <w:tc>
          <w:tcPr>
            <w:tcW w:w="130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577</w:t>
            </w:r>
          </w:p>
        </w:tc>
        <w:tc>
          <w:tcPr>
            <w:tcW w:w="150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572</w:t>
            </w:r>
          </w:p>
        </w:tc>
        <w:tc>
          <w:tcPr>
            <w:tcW w:w="11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567</w:t>
            </w:r>
          </w:p>
        </w:tc>
        <w:tc>
          <w:tcPr>
            <w:tcW w:w="150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57,646</w:t>
            </w:r>
          </w:p>
        </w:tc>
        <w:tc>
          <w:tcPr>
            <w:tcW w:w="1500" w:type="dxa"/>
            <w:vAlign w:val="bottom"/>
            <w:tcBorders>
              <w:bottom w:val="single" w:sz="8" w:color="auto"/>
            </w:tcBorders>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57,141</w:t>
            </w:r>
          </w:p>
        </w:tc>
        <w:tc>
          <w:tcPr>
            <w:tcW w:w="1060" w:type="dxa"/>
            <w:vAlign w:val="bottom"/>
            <w:tcBorders>
              <w:bottom w:val="single" w:sz="8" w:color="auto"/>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56,712</w:t>
            </w:r>
          </w:p>
        </w:tc>
      </w:tr>
      <w:tr>
        <w:trPr>
          <w:trHeight w:val="196"/>
        </w:trPr>
        <w:tc>
          <w:tcPr>
            <w:tcW w:w="20" w:type="dxa"/>
            <w:vAlign w:val="bottom"/>
          </w:tcPr>
          <w:p>
            <w:pPr>
              <w:spacing w:after="0"/>
              <w:rPr>
                <w:sz w:val="17"/>
                <w:szCs w:val="17"/>
                <w:color w:val="auto"/>
              </w:rPr>
            </w:pPr>
          </w:p>
        </w:tc>
        <w:tc>
          <w:tcPr>
            <w:tcW w:w="3440" w:type="dxa"/>
            <w:vAlign w:val="bottom"/>
          </w:tcPr>
          <w:p>
            <w:pPr>
              <w:spacing w:after="0" w:line="196" w:lineRule="exact"/>
              <w:rPr>
                <w:sz w:val="20"/>
                <w:szCs w:val="20"/>
                <w:color w:val="auto"/>
              </w:rPr>
            </w:pPr>
            <w:r>
              <w:rPr>
                <w:rFonts w:ascii="Arial" w:cs="Arial" w:eastAsia="Arial" w:hAnsi="Arial"/>
                <w:sz w:val="18"/>
                <w:szCs w:val="18"/>
                <w:color w:val="auto"/>
              </w:rPr>
              <w:t>Additional paid-in capital:</w:t>
            </w:r>
          </w:p>
        </w:tc>
        <w:tc>
          <w:tcPr>
            <w:tcW w:w="1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year</w:t>
            </w:r>
          </w:p>
        </w:tc>
        <w:tc>
          <w:tcPr>
            <w:tcW w:w="130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253,511</w:t>
            </w:r>
          </w:p>
        </w:tc>
        <w:tc>
          <w:tcPr>
            <w:tcW w:w="15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251,790</w:t>
            </w:r>
          </w:p>
        </w:tc>
        <w:tc>
          <w:tcPr>
            <w:tcW w:w="11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249,740</w:t>
            </w:r>
          </w:p>
        </w:tc>
        <w:tc>
          <w:tcPr>
            <w:tcW w:w="15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40" w:type="dxa"/>
            <w:vAlign w:val="bottom"/>
          </w:tcPr>
          <w:p>
            <w:pPr>
              <w:spacing w:after="0" w:line="202" w:lineRule="exact"/>
              <w:rPr>
                <w:sz w:val="20"/>
                <w:szCs w:val="20"/>
                <w:color w:val="auto"/>
              </w:rPr>
            </w:pPr>
            <w:r>
              <w:rPr>
                <w:rFonts w:ascii="Arial" w:cs="Arial" w:eastAsia="Arial" w:hAnsi="Arial"/>
                <w:sz w:val="18"/>
                <w:szCs w:val="18"/>
                <w:color w:val="auto"/>
              </w:rPr>
              <w:t>Stock compensation</w:t>
            </w:r>
          </w:p>
        </w:tc>
        <w:tc>
          <w:tcPr>
            <w:tcW w:w="13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2,040</w:t>
            </w:r>
          </w:p>
        </w:tc>
        <w:tc>
          <w:tcPr>
            <w:tcW w:w="15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2,039</w:t>
            </w: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2,088</w:t>
            </w:r>
          </w:p>
        </w:tc>
        <w:tc>
          <w:tcPr>
            <w:tcW w:w="15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Shares issued (redeemed)</w:t>
            </w:r>
          </w:p>
        </w:tc>
        <w:tc>
          <w:tcPr>
            <w:tcW w:w="130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(75)</w:t>
            </w:r>
          </w:p>
        </w:tc>
        <w:tc>
          <w:tcPr>
            <w:tcW w:w="150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(318)</w:t>
            </w: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w:t>
            </w:r>
          </w:p>
        </w:tc>
        <w:tc>
          <w:tcPr>
            <w:tcW w:w="150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4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Balance, end of year</w:t>
            </w:r>
          </w:p>
        </w:tc>
        <w:tc>
          <w:tcPr>
            <w:tcW w:w="130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255,476</w:t>
            </w:r>
          </w:p>
        </w:tc>
        <w:tc>
          <w:tcPr>
            <w:tcW w:w="150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253,511</w:t>
            </w:r>
          </w:p>
        </w:tc>
        <w:tc>
          <w:tcPr>
            <w:tcW w:w="11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251,790</w:t>
            </w:r>
          </w:p>
        </w:tc>
        <w:tc>
          <w:tcPr>
            <w:tcW w:w="15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Accumulated deficit:</w:t>
            </w:r>
          </w:p>
        </w:tc>
        <w:tc>
          <w:tcPr>
            <w:tcW w:w="13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40" w:type="dxa"/>
            <w:vAlign w:val="bottom"/>
          </w:tcPr>
          <w:p>
            <w:pPr>
              <w:spacing w:after="0" w:line="202" w:lineRule="exact"/>
              <w:rPr>
                <w:sz w:val="20"/>
                <w:szCs w:val="20"/>
                <w:color w:val="auto"/>
              </w:rPr>
            </w:pPr>
            <w:r>
              <w:rPr>
                <w:rFonts w:ascii="Arial" w:cs="Arial" w:eastAsia="Arial" w:hAnsi="Arial"/>
                <w:sz w:val="18"/>
                <w:szCs w:val="18"/>
                <w:color w:val="auto"/>
              </w:rPr>
              <w:t>Balance, beginning of year</w:t>
            </w:r>
          </w:p>
        </w:tc>
        <w:tc>
          <w:tcPr>
            <w:tcW w:w="13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(279,691)</w:t>
            </w:r>
          </w:p>
        </w:tc>
        <w:tc>
          <w:tcPr>
            <w:tcW w:w="15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(328,524)</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(356,005)</w:t>
            </w:r>
          </w:p>
        </w:tc>
        <w:tc>
          <w:tcPr>
            <w:tcW w:w="15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30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15,909</w:t>
            </w:r>
          </w:p>
        </w:tc>
        <w:tc>
          <w:tcPr>
            <w:tcW w:w="15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47,048</w:t>
            </w:r>
          </w:p>
        </w:tc>
        <w:tc>
          <w:tcPr>
            <w:tcW w:w="11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28,605</w:t>
            </w:r>
          </w:p>
        </w:tc>
        <w:tc>
          <w:tcPr>
            <w:tcW w:w="15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440" w:type="dxa"/>
            <w:vAlign w:val="bottom"/>
          </w:tcPr>
          <w:p>
            <w:pPr>
              <w:spacing w:after="0" w:line="201" w:lineRule="exact"/>
              <w:rPr>
                <w:sz w:val="20"/>
                <w:szCs w:val="20"/>
                <w:color w:val="auto"/>
              </w:rPr>
            </w:pPr>
            <w:r>
              <w:rPr>
                <w:rFonts w:ascii="Arial" w:cs="Arial" w:eastAsia="Arial" w:hAnsi="Arial"/>
                <w:sz w:val="18"/>
                <w:szCs w:val="18"/>
                <w:color w:val="auto"/>
              </w:rPr>
              <w:t>Net income attributable to non-</w:t>
            </w:r>
          </w:p>
        </w:tc>
        <w:tc>
          <w:tcPr>
            <w:tcW w:w="1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460" w:type="dxa"/>
            <w:vAlign w:val="bottom"/>
            <w:gridSpan w:val="2"/>
          </w:tcPr>
          <w:p>
            <w:pPr>
              <w:spacing w:after="0" w:line="203" w:lineRule="exact"/>
              <w:rPr>
                <w:sz w:val="20"/>
                <w:szCs w:val="20"/>
                <w:color w:val="auto"/>
              </w:rPr>
            </w:pPr>
            <w:r>
              <w:rPr>
                <w:rFonts w:ascii="Arial" w:cs="Arial" w:eastAsia="Arial" w:hAnsi="Arial"/>
                <w:sz w:val="18"/>
                <w:szCs w:val="18"/>
                <w:color w:val="auto"/>
              </w:rPr>
              <w:t>controlling interests</w:t>
            </w:r>
          </w:p>
        </w:tc>
        <w:tc>
          <w:tcPr>
            <w:tcW w:w="1300" w:type="dxa"/>
            <w:vAlign w:val="bottom"/>
          </w:tcPr>
          <w:p>
            <w:pPr>
              <w:jc w:val="right"/>
              <w:ind w:right="110"/>
              <w:spacing w:after="0" w:line="203" w:lineRule="exact"/>
              <w:rPr>
                <w:sz w:val="20"/>
                <w:szCs w:val="20"/>
                <w:color w:val="auto"/>
              </w:rPr>
            </w:pPr>
            <w:r>
              <w:rPr>
                <w:rFonts w:ascii="Arial" w:cs="Arial" w:eastAsia="Arial" w:hAnsi="Arial"/>
                <w:sz w:val="18"/>
                <w:szCs w:val="18"/>
                <w:color w:val="auto"/>
              </w:rPr>
              <w:t>(1,641)</w:t>
            </w:r>
          </w:p>
        </w:tc>
        <w:tc>
          <w:tcPr>
            <w:tcW w:w="1500" w:type="dxa"/>
            <w:vAlign w:val="bottom"/>
          </w:tcPr>
          <w:p>
            <w:pPr>
              <w:jc w:val="right"/>
              <w:ind w:right="210"/>
              <w:spacing w:after="0" w:line="203" w:lineRule="exact"/>
              <w:rPr>
                <w:sz w:val="20"/>
                <w:szCs w:val="20"/>
                <w:color w:val="auto"/>
              </w:rPr>
            </w:pPr>
            <w:r>
              <w:rPr>
                <w:rFonts w:ascii="Arial" w:cs="Arial" w:eastAsia="Arial" w:hAnsi="Arial"/>
                <w:sz w:val="18"/>
                <w:szCs w:val="18"/>
                <w:color w:val="auto"/>
              </w:rPr>
              <w:t>(1,282)</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(1,124)</w:t>
            </w:r>
          </w:p>
        </w:tc>
        <w:tc>
          <w:tcPr>
            <w:tcW w:w="15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Cumulative effect of accounting change</w:t>
            </w:r>
          </w:p>
        </w:tc>
        <w:tc>
          <w:tcPr>
            <w:tcW w:w="130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3,067</w:t>
            </w:r>
          </w:p>
        </w:tc>
        <w:tc>
          <w:tcPr>
            <w:tcW w:w="11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4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Balance, end of year</w:t>
            </w:r>
          </w:p>
        </w:tc>
        <w:tc>
          <w:tcPr>
            <w:tcW w:w="1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(265,423)</w:t>
            </w:r>
          </w:p>
        </w:tc>
        <w:tc>
          <w:tcPr>
            <w:tcW w:w="15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(279,691)</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(328,524)</w:t>
            </w:r>
          </w:p>
        </w:tc>
        <w:tc>
          <w:tcPr>
            <w:tcW w:w="15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34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Accumulated other comprehensive</w:t>
            </w:r>
          </w:p>
        </w:tc>
        <w:tc>
          <w:tcPr>
            <w:tcW w:w="13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income (loss):</w:t>
            </w:r>
          </w:p>
        </w:tc>
        <w:tc>
          <w:tcPr>
            <w:tcW w:w="13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40" w:type="dxa"/>
            <w:vAlign w:val="bottom"/>
          </w:tcPr>
          <w:p>
            <w:pPr>
              <w:spacing w:after="0" w:line="202" w:lineRule="exact"/>
              <w:rPr>
                <w:sz w:val="20"/>
                <w:szCs w:val="20"/>
                <w:color w:val="auto"/>
              </w:rPr>
            </w:pPr>
            <w:r>
              <w:rPr>
                <w:rFonts w:ascii="Arial" w:cs="Arial" w:eastAsia="Arial" w:hAnsi="Arial"/>
                <w:sz w:val="18"/>
                <w:szCs w:val="18"/>
                <w:color w:val="auto"/>
              </w:rPr>
              <w:t>Balance, beginning of year</w:t>
            </w:r>
          </w:p>
        </w:tc>
        <w:tc>
          <w:tcPr>
            <w:tcW w:w="13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(11,746)</w:t>
            </w:r>
          </w:p>
        </w:tc>
        <w:tc>
          <w:tcPr>
            <w:tcW w:w="15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(16,068)</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(22,778)</w:t>
            </w:r>
          </w:p>
        </w:tc>
        <w:tc>
          <w:tcPr>
            <w:tcW w:w="15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pension and postretirement</w:t>
            </w:r>
          </w:p>
        </w:tc>
        <w:tc>
          <w:tcPr>
            <w:tcW w:w="13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benefits</w:t>
            </w:r>
          </w:p>
        </w:tc>
        <w:tc>
          <w:tcPr>
            <w:tcW w:w="1300" w:type="dxa"/>
            <w:vAlign w:val="bottom"/>
            <w:shd w:val="clear" w:color="auto" w:fill="CCEEFF"/>
          </w:tcPr>
          <w:p>
            <w:pPr>
              <w:jc w:val="right"/>
              <w:ind w:right="110"/>
              <w:spacing w:after="0" w:line="203" w:lineRule="exact"/>
              <w:rPr>
                <w:sz w:val="20"/>
                <w:szCs w:val="20"/>
                <w:color w:val="auto"/>
              </w:rPr>
            </w:pPr>
            <w:r>
              <w:rPr>
                <w:rFonts w:ascii="Arial" w:cs="Arial" w:eastAsia="Arial" w:hAnsi="Arial"/>
                <w:sz w:val="18"/>
                <w:szCs w:val="18"/>
                <w:color w:val="auto"/>
              </w:rPr>
              <w:t>(24,667)</w:t>
            </w:r>
          </w:p>
        </w:tc>
        <w:tc>
          <w:tcPr>
            <w:tcW w:w="1500" w:type="dxa"/>
            <w:vAlign w:val="bottom"/>
            <w:shd w:val="clear" w:color="auto" w:fill="CCEEFF"/>
          </w:tcPr>
          <w:p>
            <w:pPr>
              <w:jc w:val="right"/>
              <w:ind w:right="270"/>
              <w:spacing w:after="0" w:line="203" w:lineRule="exact"/>
              <w:rPr>
                <w:sz w:val="20"/>
                <w:szCs w:val="20"/>
                <w:color w:val="auto"/>
              </w:rPr>
            </w:pPr>
            <w:r>
              <w:rPr>
                <w:rFonts w:ascii="Arial" w:cs="Arial" w:eastAsia="Arial" w:hAnsi="Arial"/>
                <w:sz w:val="18"/>
                <w:szCs w:val="18"/>
                <w:color w:val="auto"/>
              </w:rPr>
              <w:t>10,477</w:t>
            </w:r>
          </w:p>
        </w:tc>
        <w:tc>
          <w:tcPr>
            <w:tcW w:w="1100" w:type="dxa"/>
            <w:vAlign w:val="bottom"/>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11,439</w:t>
            </w:r>
          </w:p>
        </w:tc>
        <w:tc>
          <w:tcPr>
            <w:tcW w:w="15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40" w:type="dxa"/>
            <w:vAlign w:val="bottom"/>
          </w:tcPr>
          <w:p>
            <w:pPr>
              <w:spacing w:after="0" w:line="202" w:lineRule="exact"/>
              <w:rPr>
                <w:sz w:val="20"/>
                <w:szCs w:val="20"/>
                <w:color w:val="auto"/>
              </w:rPr>
            </w:pPr>
            <w:r>
              <w:rPr>
                <w:rFonts w:ascii="Arial" w:cs="Arial" w:eastAsia="Arial" w:hAnsi="Arial"/>
                <w:sz w:val="18"/>
                <w:szCs w:val="18"/>
                <w:color w:val="auto"/>
              </w:rPr>
              <w:t>Deferred income taxes, net</w:t>
            </w:r>
          </w:p>
        </w:tc>
        <w:tc>
          <w:tcPr>
            <w:tcW w:w="13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7,299</w:t>
            </w:r>
          </w:p>
        </w:tc>
        <w:tc>
          <w:tcPr>
            <w:tcW w:w="15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(3,088)</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(4,729)</w:t>
            </w:r>
          </w:p>
        </w:tc>
        <w:tc>
          <w:tcPr>
            <w:tcW w:w="15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Cumulative effect of accounting change</w:t>
            </w:r>
          </w:p>
        </w:tc>
        <w:tc>
          <w:tcPr>
            <w:tcW w:w="130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(3,067)</w:t>
            </w:r>
          </w:p>
        </w:tc>
        <w:tc>
          <w:tcPr>
            <w:tcW w:w="11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4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Balance, end of year</w:t>
            </w:r>
          </w:p>
        </w:tc>
        <w:tc>
          <w:tcPr>
            <w:tcW w:w="1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(29,114)</w:t>
            </w:r>
          </w:p>
        </w:tc>
        <w:tc>
          <w:tcPr>
            <w:tcW w:w="15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(11,746)</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(16,068)</w:t>
            </w:r>
          </w:p>
        </w:tc>
        <w:tc>
          <w:tcPr>
            <w:tcW w:w="15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r>
        <w:trPr>
          <w:trHeight w:val="236"/>
        </w:trPr>
        <w:tc>
          <w:tcPr>
            <w:tcW w:w="20" w:type="dxa"/>
            <w:vAlign w:val="bottom"/>
          </w:tcPr>
          <w:p>
            <w:pPr>
              <w:spacing w:after="0"/>
              <w:rPr>
                <w:sz w:val="20"/>
                <w:szCs w:val="20"/>
                <w:color w:val="auto"/>
              </w:rPr>
            </w:pPr>
          </w:p>
        </w:tc>
        <w:tc>
          <w:tcPr>
            <w:tcW w:w="34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stockholders' deficit</w:t>
            </w:r>
          </w:p>
        </w:tc>
        <w:tc>
          <w:tcPr>
            <w:tcW w:w="1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(38,484)</w:t>
            </w:r>
          </w:p>
        </w:tc>
        <w:tc>
          <w:tcPr>
            <w:tcW w:w="15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(37,354)</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(92,235)</w:t>
            </w:r>
          </w:p>
        </w:tc>
        <w:tc>
          <w:tcPr>
            <w:tcW w:w="150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57,646</w:t>
            </w:r>
          </w:p>
        </w:tc>
        <w:tc>
          <w:tcPr>
            <w:tcW w:w="1500" w:type="dxa"/>
            <w:vAlign w:val="bottom"/>
            <w:tcBorders>
              <w:bottom w:val="single" w:sz="8" w:color="auto"/>
            </w:tcBorders>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57,141</w:t>
            </w:r>
          </w:p>
        </w:tc>
        <w:tc>
          <w:tcPr>
            <w:tcW w:w="1060" w:type="dxa"/>
            <w:vAlign w:val="bottom"/>
            <w:tcBorders>
              <w:bottom w:val="single" w:sz="8" w:color="auto"/>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56,712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19"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(Thousands of Dollars)</w:t>
            </w:r>
          </w:p>
        </w:tc>
        <w:tc>
          <w:tcPr>
            <w:tcW w:w="18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17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12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399"/>
        </w:trPr>
        <w:tc>
          <w:tcPr>
            <w:tcW w:w="6700" w:type="dxa"/>
            <w:vAlign w:val="bottom"/>
            <w:gridSpan w:val="2"/>
          </w:tcPr>
          <w:p>
            <w:pPr>
              <w:spacing w:after="0"/>
              <w:rPr>
                <w:sz w:val="20"/>
                <w:szCs w:val="20"/>
                <w:color w:val="auto"/>
              </w:rPr>
            </w:pPr>
            <w:r>
              <w:rPr>
                <w:rFonts w:ascii="Arial" w:cs="Arial" w:eastAsia="Arial" w:hAnsi="Arial"/>
                <w:sz w:val="18"/>
                <w:szCs w:val="18"/>
                <w:color w:val="auto"/>
              </w:rPr>
              <w:t>Cash provided by operating activities:</w:t>
            </w:r>
          </w:p>
        </w:tc>
        <w:tc>
          <w:tcPr>
            <w:tcW w:w="18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Net income</w:t>
            </w:r>
          </w:p>
        </w:tc>
        <w:tc>
          <w:tcPr>
            <w:tcW w:w="1800" w:type="dxa"/>
            <w:vAlign w:val="bottom"/>
            <w:shd w:val="clear" w:color="auto" w:fill="CCEEFF"/>
          </w:tcPr>
          <w:p>
            <w:pPr>
              <w:jc w:val="right"/>
              <w:ind w:right="510"/>
              <w:spacing w:after="0" w:line="202" w:lineRule="exact"/>
              <w:rPr>
                <w:sz w:val="20"/>
                <w:szCs w:val="20"/>
                <w:color w:val="auto"/>
              </w:rPr>
            </w:pPr>
            <w:r>
              <w:rPr>
                <w:rFonts w:ascii="Arial" w:cs="Arial" w:eastAsia="Arial" w:hAnsi="Arial"/>
                <w:sz w:val="18"/>
                <w:szCs w:val="18"/>
                <w:color w:val="auto"/>
              </w:rPr>
              <w:t>15,909</w:t>
            </w:r>
          </w:p>
        </w:tc>
        <w:tc>
          <w:tcPr>
            <w:tcW w:w="1700" w:type="dxa"/>
            <w:vAlign w:val="bottom"/>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rPr>
              <w:t>47,048</w:t>
            </w:r>
          </w:p>
        </w:tc>
        <w:tc>
          <w:tcPr>
            <w:tcW w:w="12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28,605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spacing w:after="0" w:line="202" w:lineRule="exact"/>
              <w:rPr>
                <w:sz w:val="20"/>
                <w:szCs w:val="20"/>
                <w:color w:val="auto"/>
              </w:rPr>
            </w:pPr>
            <w:r>
              <w:rPr>
                <w:rFonts w:ascii="Arial" w:cs="Arial" w:eastAsia="Arial" w:hAnsi="Arial"/>
                <w:sz w:val="18"/>
                <w:szCs w:val="18"/>
                <w:color w:val="auto"/>
              </w:rPr>
              <w:t>Adjustments to reconcile income to net cash provided by operating activities:</w:t>
            </w:r>
          </w:p>
        </w:tc>
        <w:tc>
          <w:tcPr>
            <w:tcW w:w="18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Depreciation and amortization</w:t>
            </w:r>
          </w:p>
        </w:tc>
        <w:tc>
          <w:tcPr>
            <w:tcW w:w="1800" w:type="dxa"/>
            <w:vAlign w:val="bottom"/>
            <w:shd w:val="clear" w:color="auto" w:fill="CCEEFF"/>
          </w:tcPr>
          <w:p>
            <w:pPr>
              <w:jc w:val="right"/>
              <w:ind w:right="510"/>
              <w:spacing w:after="0" w:line="202" w:lineRule="exact"/>
              <w:rPr>
                <w:sz w:val="20"/>
                <w:szCs w:val="20"/>
                <w:color w:val="auto"/>
              </w:rPr>
            </w:pPr>
            <w:r>
              <w:rPr>
                <w:rFonts w:ascii="Arial" w:cs="Arial" w:eastAsia="Arial" w:hAnsi="Arial"/>
                <w:sz w:val="18"/>
                <w:szCs w:val="18"/>
                <w:color w:val="auto"/>
              </w:rPr>
              <w:t>29,332</w:t>
            </w:r>
          </w:p>
        </w:tc>
        <w:tc>
          <w:tcPr>
            <w:tcW w:w="1700" w:type="dxa"/>
            <w:vAlign w:val="bottom"/>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rPr>
              <w:t>31,766</w:t>
            </w:r>
          </w:p>
        </w:tc>
        <w:tc>
          <w:tcPr>
            <w:tcW w:w="12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41,282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ind w:left="140"/>
              <w:spacing w:after="0" w:line="202" w:lineRule="exact"/>
              <w:rPr>
                <w:sz w:val="20"/>
                <w:szCs w:val="20"/>
                <w:color w:val="auto"/>
              </w:rPr>
            </w:pPr>
            <w:r>
              <w:rPr>
                <w:rFonts w:ascii="Arial" w:cs="Arial" w:eastAsia="Arial" w:hAnsi="Arial"/>
                <w:sz w:val="18"/>
                <w:szCs w:val="18"/>
                <w:color w:val="auto"/>
              </w:rPr>
              <w:t>Non-operating losses</w:t>
            </w:r>
          </w:p>
        </w:tc>
        <w:tc>
          <w:tcPr>
            <w:tcW w:w="180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7,213</w:t>
            </w:r>
          </w:p>
        </w:tc>
        <w:tc>
          <w:tcPr>
            <w:tcW w:w="170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3,547</w:t>
            </w: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3,594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Stock compensation expense</w:t>
            </w:r>
          </w:p>
        </w:tc>
        <w:tc>
          <w:tcPr>
            <w:tcW w:w="1800" w:type="dxa"/>
            <w:vAlign w:val="bottom"/>
            <w:shd w:val="clear" w:color="auto" w:fill="CCEEFF"/>
          </w:tcPr>
          <w:p>
            <w:pPr>
              <w:jc w:val="right"/>
              <w:ind w:right="510"/>
              <w:spacing w:after="0" w:line="202" w:lineRule="exact"/>
              <w:rPr>
                <w:sz w:val="20"/>
                <w:szCs w:val="20"/>
                <w:color w:val="auto"/>
              </w:rPr>
            </w:pPr>
            <w:r>
              <w:rPr>
                <w:rFonts w:ascii="Arial" w:cs="Arial" w:eastAsia="Arial" w:hAnsi="Arial"/>
                <w:sz w:val="18"/>
                <w:szCs w:val="18"/>
                <w:color w:val="auto"/>
              </w:rPr>
              <w:t>1,638</w:t>
            </w:r>
          </w:p>
        </w:tc>
        <w:tc>
          <w:tcPr>
            <w:tcW w:w="1700" w:type="dxa"/>
            <w:vAlign w:val="bottom"/>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rPr>
              <w:t>1,857</w:t>
            </w:r>
          </w:p>
        </w:tc>
        <w:tc>
          <w:tcPr>
            <w:tcW w:w="12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ind w:left="140"/>
              <w:spacing w:after="0" w:line="202" w:lineRule="exact"/>
              <w:rPr>
                <w:sz w:val="20"/>
                <w:szCs w:val="20"/>
                <w:color w:val="auto"/>
              </w:rPr>
            </w:pPr>
            <w:r>
              <w:rPr>
                <w:rFonts w:ascii="Arial" w:cs="Arial" w:eastAsia="Arial" w:hAnsi="Arial"/>
                <w:sz w:val="18"/>
                <w:szCs w:val="18"/>
                <w:color w:val="auto"/>
              </w:rPr>
              <w:t>Distributions greater (less) than earnings of MNI</w:t>
            </w:r>
          </w:p>
        </w:tc>
        <w:tc>
          <w:tcPr>
            <w:tcW w:w="180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465</w:t>
            </w:r>
          </w:p>
        </w:tc>
        <w:tc>
          <w:tcPr>
            <w:tcW w:w="170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(1,229)</w:t>
            </w: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Deferred income taxes</w:t>
            </w:r>
          </w:p>
        </w:tc>
        <w:tc>
          <w:tcPr>
            <w:tcW w:w="180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(2,003)</w:t>
            </w:r>
          </w:p>
        </w:tc>
        <w:tc>
          <w:tcPr>
            <w:tcW w:w="1700" w:type="dxa"/>
            <w:vAlign w:val="bottom"/>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(17,378)</w:t>
            </w:r>
          </w:p>
        </w:tc>
        <w:tc>
          <w:tcPr>
            <w:tcW w:w="12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10,360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ind w:left="140"/>
              <w:spacing w:after="0" w:line="202" w:lineRule="exact"/>
              <w:rPr>
                <w:sz w:val="20"/>
                <w:szCs w:val="20"/>
                <w:color w:val="auto"/>
              </w:rPr>
            </w:pPr>
            <w:r>
              <w:rPr>
                <w:rFonts w:ascii="Arial" w:cs="Arial" w:eastAsia="Arial" w:hAnsi="Arial"/>
                <w:sz w:val="18"/>
                <w:szCs w:val="18"/>
                <w:color w:val="auto"/>
              </w:rPr>
              <w:t>Pension contributions</w:t>
            </w:r>
          </w:p>
        </w:tc>
        <w:tc>
          <w:tcPr>
            <w:tcW w:w="180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(650)</w:t>
            </w:r>
          </w:p>
        </w:tc>
        <w:tc>
          <w:tcPr>
            <w:tcW w:w="170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(4,990)</w:t>
            </w: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Other, net</w:t>
            </w:r>
          </w:p>
        </w:tc>
        <w:tc>
          <w:tcPr>
            <w:tcW w:w="1800" w:type="dxa"/>
            <w:vAlign w:val="bottom"/>
            <w:shd w:val="clear" w:color="auto" w:fill="CCEEFF"/>
          </w:tcPr>
          <w:p>
            <w:pPr>
              <w:jc w:val="right"/>
              <w:ind w:right="510"/>
              <w:spacing w:after="0" w:line="202" w:lineRule="exact"/>
              <w:rPr>
                <w:sz w:val="20"/>
                <w:szCs w:val="20"/>
                <w:color w:val="auto"/>
              </w:rPr>
            </w:pPr>
            <w:r>
              <w:rPr>
                <w:rFonts w:ascii="Arial" w:cs="Arial" w:eastAsia="Arial" w:hAnsi="Arial"/>
                <w:sz w:val="18"/>
                <w:szCs w:val="18"/>
                <w:color w:val="auto"/>
              </w:rPr>
              <w:t>1,968</w:t>
            </w:r>
          </w:p>
        </w:tc>
        <w:tc>
          <w:tcPr>
            <w:tcW w:w="1700" w:type="dxa"/>
            <w:vAlign w:val="bottom"/>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rPr>
              <w:t>6,907</w:t>
            </w:r>
          </w:p>
        </w:tc>
        <w:tc>
          <w:tcPr>
            <w:tcW w:w="12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ind w:left="16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8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Decrease in receivables and contract sales</w:t>
            </w:r>
          </w:p>
        </w:tc>
        <w:tc>
          <w:tcPr>
            <w:tcW w:w="1800" w:type="dxa"/>
            <w:vAlign w:val="bottom"/>
            <w:shd w:val="clear" w:color="auto" w:fill="CCEEFF"/>
          </w:tcPr>
          <w:p>
            <w:pPr>
              <w:jc w:val="right"/>
              <w:ind w:right="510"/>
              <w:spacing w:after="0" w:line="202" w:lineRule="exact"/>
              <w:rPr>
                <w:sz w:val="20"/>
                <w:szCs w:val="20"/>
                <w:color w:val="auto"/>
              </w:rPr>
            </w:pPr>
            <w:r>
              <w:rPr>
                <w:rFonts w:ascii="Arial" w:cs="Arial" w:eastAsia="Arial" w:hAnsi="Arial"/>
                <w:sz w:val="18"/>
                <w:szCs w:val="18"/>
                <w:color w:val="auto"/>
              </w:rPr>
              <w:t>1,697</w:t>
            </w:r>
          </w:p>
        </w:tc>
        <w:tc>
          <w:tcPr>
            <w:tcW w:w="1700" w:type="dxa"/>
            <w:vAlign w:val="bottom"/>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rPr>
              <w:t>4,418</w:t>
            </w:r>
          </w:p>
        </w:tc>
        <w:tc>
          <w:tcPr>
            <w:tcW w:w="12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ind w:left="340"/>
              <w:spacing w:after="0" w:line="202" w:lineRule="exact"/>
              <w:rPr>
                <w:sz w:val="20"/>
                <w:szCs w:val="20"/>
                <w:color w:val="auto"/>
              </w:rPr>
            </w:pPr>
            <w:r>
              <w:rPr>
                <w:rFonts w:ascii="Arial" w:cs="Arial" w:eastAsia="Arial" w:hAnsi="Arial"/>
                <w:sz w:val="18"/>
                <w:szCs w:val="18"/>
                <w:color w:val="auto"/>
              </w:rPr>
              <w:t>Decrease (increase) in inventories and other</w:t>
            </w:r>
          </w:p>
        </w:tc>
        <w:tc>
          <w:tcPr>
            <w:tcW w:w="180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2,759</w:t>
            </w:r>
          </w:p>
        </w:tc>
        <w:tc>
          <w:tcPr>
            <w:tcW w:w="170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(1,926)</w:t>
            </w: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Decrease in accounts payable and other accrued liabilities</w:t>
            </w:r>
          </w:p>
        </w:tc>
        <w:tc>
          <w:tcPr>
            <w:tcW w:w="180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(3,676)</w:t>
            </w:r>
          </w:p>
        </w:tc>
        <w:tc>
          <w:tcPr>
            <w:tcW w:w="1700" w:type="dxa"/>
            <w:vAlign w:val="bottom"/>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(8,587)</w:t>
            </w:r>
          </w:p>
        </w:tc>
        <w:tc>
          <w:tcPr>
            <w:tcW w:w="12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(6,393)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80" w:type="dxa"/>
            <w:vAlign w:val="bottom"/>
          </w:tcPr>
          <w:p>
            <w:pPr>
              <w:ind w:left="340"/>
              <w:spacing w:after="0" w:line="201" w:lineRule="exact"/>
              <w:rPr>
                <w:sz w:val="20"/>
                <w:szCs w:val="20"/>
                <w:color w:val="auto"/>
              </w:rPr>
            </w:pPr>
            <w:r>
              <w:rPr>
                <w:rFonts w:ascii="Arial" w:cs="Arial" w:eastAsia="Arial" w:hAnsi="Arial"/>
                <w:sz w:val="18"/>
                <w:szCs w:val="18"/>
                <w:color w:val="auto"/>
              </w:rPr>
              <w:t>Increase (decrease) in pension, postretirement and postemployment</w:t>
            </w:r>
          </w:p>
        </w:tc>
        <w:tc>
          <w:tcPr>
            <w:tcW w:w="18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gridSpan w:val="2"/>
          </w:tcPr>
          <w:p>
            <w:pPr>
              <w:spacing w:after="0" w:line="203" w:lineRule="exact"/>
              <w:rPr>
                <w:sz w:val="20"/>
                <w:szCs w:val="20"/>
                <w:color w:val="auto"/>
              </w:rPr>
            </w:pPr>
            <w:r>
              <w:rPr>
                <w:rFonts w:ascii="Arial" w:cs="Arial" w:eastAsia="Arial" w:hAnsi="Arial"/>
                <w:sz w:val="18"/>
                <w:szCs w:val="18"/>
                <w:color w:val="auto"/>
              </w:rPr>
              <w:t>benefit obligations</w:t>
            </w:r>
          </w:p>
        </w:tc>
        <w:tc>
          <w:tcPr>
            <w:tcW w:w="1800" w:type="dxa"/>
            <w:vAlign w:val="bottom"/>
          </w:tcPr>
          <w:p>
            <w:pPr>
              <w:jc w:val="right"/>
              <w:ind w:right="510"/>
              <w:spacing w:after="0" w:line="203" w:lineRule="exact"/>
              <w:rPr>
                <w:sz w:val="20"/>
                <w:szCs w:val="20"/>
                <w:color w:val="auto"/>
              </w:rPr>
            </w:pPr>
            <w:r>
              <w:rPr>
                <w:rFonts w:ascii="Arial" w:cs="Arial" w:eastAsia="Arial" w:hAnsi="Arial"/>
                <w:sz w:val="18"/>
                <w:szCs w:val="18"/>
                <w:color w:val="auto"/>
              </w:rPr>
              <w:t>1,900</w:t>
            </w:r>
          </w:p>
        </w:tc>
        <w:tc>
          <w:tcPr>
            <w:tcW w:w="1700" w:type="dxa"/>
            <w:vAlign w:val="bottom"/>
          </w:tcPr>
          <w:p>
            <w:pPr>
              <w:jc w:val="right"/>
              <w:ind w:right="430"/>
              <w:spacing w:after="0" w:line="203" w:lineRule="exact"/>
              <w:rPr>
                <w:sz w:val="20"/>
                <w:szCs w:val="20"/>
                <w:color w:val="auto"/>
              </w:rPr>
            </w:pPr>
            <w:r>
              <w:rPr>
                <w:rFonts w:ascii="Arial" w:cs="Arial" w:eastAsia="Arial" w:hAnsi="Arial"/>
                <w:sz w:val="18"/>
                <w:szCs w:val="18"/>
                <w:color w:val="auto"/>
              </w:rPr>
              <w:t>(2,482)</w:t>
            </w:r>
          </w:p>
        </w:tc>
        <w:tc>
          <w:tcPr>
            <w:tcW w:w="122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Change in income taxes payable</w:t>
            </w:r>
          </w:p>
        </w:tc>
        <w:tc>
          <w:tcPr>
            <w:tcW w:w="1800" w:type="dxa"/>
            <w:vAlign w:val="bottom"/>
            <w:shd w:val="clear" w:color="auto" w:fill="CCEEFF"/>
          </w:tcPr>
          <w:p>
            <w:pPr>
              <w:jc w:val="right"/>
              <w:ind w:right="510"/>
              <w:spacing w:after="0" w:line="202" w:lineRule="exact"/>
              <w:rPr>
                <w:sz w:val="20"/>
                <w:szCs w:val="20"/>
                <w:color w:val="auto"/>
              </w:rPr>
            </w:pPr>
            <w:r>
              <w:rPr>
                <w:rFonts w:ascii="Arial" w:cs="Arial" w:eastAsia="Arial" w:hAnsi="Arial"/>
                <w:sz w:val="18"/>
                <w:szCs w:val="18"/>
                <w:color w:val="auto"/>
              </w:rPr>
              <w:t>1,495</w:t>
            </w:r>
          </w:p>
        </w:tc>
        <w:tc>
          <w:tcPr>
            <w:tcW w:w="1700" w:type="dxa"/>
            <w:vAlign w:val="bottom"/>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rPr>
              <w:t>687</w:t>
            </w:r>
          </w:p>
        </w:tc>
        <w:tc>
          <w:tcPr>
            <w:tcW w:w="12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ind w:left="280"/>
              <w:spacing w:after="0" w:line="202" w:lineRule="exact"/>
              <w:rPr>
                <w:sz w:val="20"/>
                <w:szCs w:val="20"/>
                <w:color w:val="auto"/>
              </w:rPr>
            </w:pPr>
            <w:r>
              <w:rPr>
                <w:rFonts w:ascii="Arial" w:cs="Arial" w:eastAsia="Arial" w:hAnsi="Arial"/>
                <w:sz w:val="18"/>
                <w:szCs w:val="18"/>
                <w:color w:val="auto"/>
              </w:rPr>
              <w:t>Other, including warrants</w:t>
            </w:r>
          </w:p>
        </w:tc>
        <w:tc>
          <w:tcPr>
            <w:tcW w:w="180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(371)</w:t>
            </w:r>
          </w:p>
        </w:tc>
        <w:tc>
          <w:tcPr>
            <w:tcW w:w="170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(342)</w:t>
            </w:r>
          </w:p>
        </w:tc>
        <w:tc>
          <w:tcPr>
            <w:tcW w:w="12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(6,901)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1800" w:type="dxa"/>
            <w:vAlign w:val="bottom"/>
            <w:tcBorders>
              <w:top w:val="single" w:sz="8" w:color="auto"/>
              <w:bottom w:val="single" w:sz="8" w:color="auto"/>
            </w:tcBorders>
            <w:shd w:val="clear" w:color="auto" w:fill="CCEEFF"/>
          </w:tcPr>
          <w:p>
            <w:pPr>
              <w:jc w:val="right"/>
              <w:ind w:right="510"/>
              <w:spacing w:after="0" w:line="196" w:lineRule="exact"/>
              <w:rPr>
                <w:sz w:val="20"/>
                <w:szCs w:val="20"/>
                <w:color w:val="auto"/>
              </w:rPr>
            </w:pPr>
            <w:r>
              <w:rPr>
                <w:rFonts w:ascii="Arial" w:cs="Arial" w:eastAsia="Arial" w:hAnsi="Arial"/>
                <w:sz w:val="18"/>
                <w:szCs w:val="18"/>
                <w:color w:val="auto"/>
              </w:rPr>
              <w:t>57,676</w:t>
            </w:r>
          </w:p>
        </w:tc>
        <w:tc>
          <w:tcPr>
            <w:tcW w:w="1700" w:type="dxa"/>
            <w:vAlign w:val="bottom"/>
            <w:tcBorders>
              <w:top w:val="single" w:sz="8" w:color="auto"/>
              <w:bottom w:val="single" w:sz="8" w:color="auto"/>
            </w:tcBorders>
            <w:shd w:val="clear" w:color="auto" w:fill="CCEEFF"/>
          </w:tcPr>
          <w:p>
            <w:pPr>
              <w:jc w:val="right"/>
              <w:ind w:right="490"/>
              <w:spacing w:after="0" w:line="196" w:lineRule="exact"/>
              <w:rPr>
                <w:sz w:val="20"/>
                <w:szCs w:val="20"/>
                <w:color w:val="auto"/>
              </w:rPr>
            </w:pPr>
            <w:r>
              <w:rPr>
                <w:rFonts w:ascii="Arial" w:cs="Arial" w:eastAsia="Arial" w:hAnsi="Arial"/>
                <w:sz w:val="18"/>
                <w:szCs w:val="18"/>
                <w:color w:val="auto"/>
              </w:rPr>
              <w:t>59,296</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72,281</w:t>
            </w:r>
          </w:p>
        </w:tc>
        <w:tc>
          <w:tcPr>
            <w:tcW w:w="1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80" w:type="dxa"/>
            <w:vAlign w:val="bottom"/>
          </w:tcPr>
          <w:p>
            <w:pPr>
              <w:spacing w:after="0" w:line="196" w:lineRule="exact"/>
              <w:rPr>
                <w:sz w:val="20"/>
                <w:szCs w:val="20"/>
                <w:color w:val="auto"/>
              </w:rPr>
            </w:pPr>
            <w:r>
              <w:rPr>
                <w:rFonts w:ascii="Arial" w:cs="Arial" w:eastAsia="Arial" w:hAnsi="Arial"/>
                <w:sz w:val="18"/>
                <w:szCs w:val="18"/>
                <w:color w:val="auto"/>
              </w:rPr>
              <w:t>Cash provided by (required for) investing activities:</w:t>
            </w:r>
          </w:p>
        </w:tc>
        <w:tc>
          <w:tcPr>
            <w:tcW w:w="18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Purchases of property and equipment</w:t>
            </w:r>
          </w:p>
        </w:tc>
        <w:tc>
          <w:tcPr>
            <w:tcW w:w="180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(5,901)</w:t>
            </w:r>
          </w:p>
        </w:tc>
        <w:tc>
          <w:tcPr>
            <w:tcW w:w="1700" w:type="dxa"/>
            <w:vAlign w:val="bottom"/>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(6,025)</w:t>
            </w:r>
          </w:p>
        </w:tc>
        <w:tc>
          <w:tcPr>
            <w:tcW w:w="12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(4,078)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ind w:left="140"/>
              <w:spacing w:after="0" w:line="202" w:lineRule="exact"/>
              <w:rPr>
                <w:sz w:val="20"/>
                <w:szCs w:val="20"/>
                <w:color w:val="auto"/>
              </w:rPr>
            </w:pPr>
            <w:r>
              <w:rPr>
                <w:rFonts w:ascii="Arial" w:cs="Arial" w:eastAsia="Arial" w:hAnsi="Arial"/>
                <w:sz w:val="18"/>
                <w:szCs w:val="18"/>
                <w:color w:val="auto"/>
              </w:rPr>
              <w:t>Proceeds from sales of assets</w:t>
            </w:r>
          </w:p>
        </w:tc>
        <w:tc>
          <w:tcPr>
            <w:tcW w:w="180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1,502</w:t>
            </w:r>
          </w:p>
        </w:tc>
        <w:tc>
          <w:tcPr>
            <w:tcW w:w="170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6,623</w:t>
            </w: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Acquisitions</w:t>
            </w:r>
          </w:p>
        </w:tc>
        <w:tc>
          <w:tcPr>
            <w:tcW w:w="180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(6,543)</w:t>
            </w:r>
          </w:p>
        </w:tc>
        <w:tc>
          <w:tcPr>
            <w:tcW w:w="1700" w:type="dxa"/>
            <w:vAlign w:val="bottom"/>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(7,450)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ind w:left="140"/>
              <w:spacing w:after="0" w:line="202" w:lineRule="exact"/>
              <w:rPr>
                <w:sz w:val="20"/>
                <w:szCs w:val="20"/>
                <w:color w:val="auto"/>
              </w:rPr>
            </w:pPr>
            <w:r>
              <w:rPr>
                <w:rFonts w:ascii="Arial" w:cs="Arial" w:eastAsia="Arial" w:hAnsi="Arial"/>
                <w:sz w:val="18"/>
                <w:szCs w:val="18"/>
                <w:color w:val="auto"/>
              </w:rPr>
              <w:t>Distributions greater (less) than earnings of TNI</w:t>
            </w:r>
          </w:p>
        </w:tc>
        <w:tc>
          <w:tcPr>
            <w:tcW w:w="180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9</w:t>
            </w:r>
          </w:p>
        </w:tc>
        <w:tc>
          <w:tcPr>
            <w:tcW w:w="170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1,194</w:t>
            </w:r>
          </w:p>
        </w:tc>
        <w:tc>
          <w:tcPr>
            <w:tcW w:w="12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Other, net</w:t>
            </w:r>
          </w:p>
        </w:tc>
        <w:tc>
          <w:tcPr>
            <w:tcW w:w="1800" w:type="dxa"/>
            <w:vAlign w:val="bottom"/>
            <w:shd w:val="clear" w:color="auto" w:fill="CCEEFF"/>
          </w:tcPr>
          <w:p>
            <w:pPr>
              <w:jc w:val="right"/>
              <w:ind w:right="510"/>
              <w:spacing w:after="0" w:line="202" w:lineRule="exact"/>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(1,864)</w:t>
            </w:r>
          </w:p>
        </w:tc>
        <w:tc>
          <w:tcPr>
            <w:tcW w:w="12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6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cash required for investing activities</w:t>
            </w:r>
          </w:p>
        </w:tc>
        <w:tc>
          <w:tcPr>
            <w:tcW w:w="180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(10,933)</w:t>
            </w:r>
          </w:p>
        </w:tc>
        <w:tc>
          <w:tcPr>
            <w:tcW w:w="170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(72)</w:t>
            </w:r>
          </w:p>
        </w:tc>
        <w:tc>
          <w:tcPr>
            <w:tcW w:w="1220" w:type="dxa"/>
            <w:vAlign w:val="bottom"/>
            <w:tcBorders>
              <w:bottom w:val="single" w:sz="8" w:color="auto"/>
            </w:tcBorders>
            <w:gridSpan w:val="2"/>
          </w:tcPr>
          <w:p>
            <w:pPr>
              <w:jc w:val="right"/>
              <w:ind w:right="40"/>
              <w:spacing w:after="0" w:line="196" w:lineRule="exact"/>
              <w:rPr>
                <w:sz w:val="20"/>
                <w:szCs w:val="20"/>
                <w:color w:val="auto"/>
              </w:rPr>
            </w:pPr>
            <w:r>
              <w:rPr>
                <w:rFonts w:ascii="Arial" w:cs="Arial" w:eastAsia="Arial" w:hAnsi="Arial"/>
                <w:sz w:val="18"/>
                <w:szCs w:val="18"/>
                <w:color w:val="auto"/>
              </w:rPr>
              <w:t>(9,455)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provided by (required for) financing activities:</w:t>
            </w:r>
          </w:p>
        </w:tc>
        <w:tc>
          <w:tcPr>
            <w:tcW w:w="18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ind w:left="140"/>
              <w:spacing w:after="0" w:line="202" w:lineRule="exact"/>
              <w:rPr>
                <w:sz w:val="20"/>
                <w:szCs w:val="20"/>
                <w:color w:val="auto"/>
              </w:rPr>
            </w:pPr>
            <w:r>
              <w:rPr>
                <w:rFonts w:ascii="Arial" w:cs="Arial" w:eastAsia="Arial" w:hAnsi="Arial"/>
                <w:sz w:val="18"/>
                <w:szCs w:val="18"/>
                <w:color w:val="auto"/>
              </w:rPr>
              <w:t>Proceeds from long-term debt</w:t>
            </w:r>
          </w:p>
        </w:tc>
        <w:tc>
          <w:tcPr>
            <w:tcW w:w="180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600</w:t>
            </w:r>
          </w:p>
        </w:tc>
        <w:tc>
          <w:tcPr>
            <w:tcW w:w="170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10,000</w:t>
            </w: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Payments on long-term debt</w:t>
            </w:r>
          </w:p>
        </w:tc>
        <w:tc>
          <w:tcPr>
            <w:tcW w:w="180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(41,832)</w:t>
            </w:r>
          </w:p>
        </w:tc>
        <w:tc>
          <w:tcPr>
            <w:tcW w:w="1700" w:type="dxa"/>
            <w:vAlign w:val="bottom"/>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(73,526)</w:t>
            </w:r>
          </w:p>
        </w:tc>
        <w:tc>
          <w:tcPr>
            <w:tcW w:w="12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(73,782)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ind w:left="140"/>
              <w:spacing w:after="0" w:line="202" w:lineRule="exact"/>
              <w:rPr>
                <w:sz w:val="20"/>
                <w:szCs w:val="20"/>
                <w:color w:val="auto"/>
              </w:rPr>
            </w:pPr>
            <w:r>
              <w:rPr>
                <w:rFonts w:ascii="Arial" w:cs="Arial" w:eastAsia="Arial" w:hAnsi="Arial"/>
                <w:sz w:val="18"/>
                <w:szCs w:val="18"/>
                <w:color w:val="auto"/>
              </w:rPr>
              <w:t>Debt financing and administrative costs paid</w:t>
            </w:r>
          </w:p>
        </w:tc>
        <w:tc>
          <w:tcPr>
            <w:tcW w:w="180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(1,773)</w:t>
            </w:r>
          </w:p>
        </w:tc>
        <w:tc>
          <w:tcPr>
            <w:tcW w:w="170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(437)</w:t>
            </w:r>
          </w:p>
        </w:tc>
        <w:tc>
          <w:tcPr>
            <w:tcW w:w="12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Common stock transactions, net</w:t>
            </w:r>
          </w:p>
        </w:tc>
        <w:tc>
          <w:tcPr>
            <w:tcW w:w="180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(473)</w:t>
            </w:r>
          </w:p>
        </w:tc>
        <w:tc>
          <w:tcPr>
            <w:tcW w:w="1700" w:type="dxa"/>
            <w:vAlign w:val="bottom"/>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(502)</w:t>
            </w:r>
          </w:p>
        </w:tc>
        <w:tc>
          <w:tcPr>
            <w:tcW w:w="12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6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cash required for financing activities</w:t>
            </w:r>
          </w:p>
        </w:tc>
        <w:tc>
          <w:tcPr>
            <w:tcW w:w="180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(43,478)</w:t>
            </w:r>
          </w:p>
        </w:tc>
        <w:tc>
          <w:tcPr>
            <w:tcW w:w="170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(64,465)</w:t>
            </w:r>
          </w:p>
        </w:tc>
        <w:tc>
          <w:tcPr>
            <w:tcW w:w="1220" w:type="dxa"/>
            <w:vAlign w:val="bottom"/>
            <w:tcBorders>
              <w:bottom w:val="single" w:sz="8" w:color="auto"/>
            </w:tcBorders>
            <w:gridSpan w:val="2"/>
          </w:tcPr>
          <w:p>
            <w:pPr>
              <w:jc w:val="right"/>
              <w:ind w:right="40"/>
              <w:spacing w:after="0" w:line="196" w:lineRule="exact"/>
              <w:rPr>
                <w:sz w:val="20"/>
                <w:szCs w:val="20"/>
                <w:color w:val="auto"/>
              </w:rPr>
            </w:pPr>
            <w:r>
              <w:rPr>
                <w:rFonts w:ascii="Arial" w:cs="Arial" w:eastAsia="Arial" w:hAnsi="Arial"/>
                <w:sz w:val="18"/>
                <w:szCs w:val="18"/>
                <w:color w:val="auto"/>
              </w:rPr>
              <w:t>(69,189)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increase (decrease) in cash and cash equivalents</w:t>
            </w:r>
          </w:p>
        </w:tc>
        <w:tc>
          <w:tcPr>
            <w:tcW w:w="1800" w:type="dxa"/>
            <w:vAlign w:val="bottom"/>
            <w:shd w:val="clear" w:color="auto" w:fill="CCEEFF"/>
          </w:tcPr>
          <w:p>
            <w:pPr>
              <w:jc w:val="right"/>
              <w:ind w:right="510"/>
              <w:spacing w:after="0" w:line="196" w:lineRule="exact"/>
              <w:rPr>
                <w:sz w:val="20"/>
                <w:szCs w:val="20"/>
                <w:color w:val="auto"/>
              </w:rPr>
            </w:pPr>
            <w:r>
              <w:rPr>
                <w:rFonts w:ascii="Arial" w:cs="Arial" w:eastAsia="Arial" w:hAnsi="Arial"/>
                <w:sz w:val="18"/>
                <w:szCs w:val="18"/>
                <w:color w:val="auto"/>
              </w:rPr>
              <w:t>3,265</w:t>
            </w:r>
          </w:p>
        </w:tc>
        <w:tc>
          <w:tcPr>
            <w:tcW w:w="1700" w:type="dxa"/>
            <w:vAlign w:val="bottom"/>
            <w:shd w:val="clear" w:color="auto" w:fill="CCEEFF"/>
          </w:tcPr>
          <w:p>
            <w:pPr>
              <w:jc w:val="right"/>
              <w:ind w:right="430"/>
              <w:spacing w:after="0" w:line="196" w:lineRule="exact"/>
              <w:rPr>
                <w:sz w:val="20"/>
                <w:szCs w:val="20"/>
                <w:color w:val="auto"/>
              </w:rPr>
            </w:pPr>
            <w:r>
              <w:rPr>
                <w:rFonts w:ascii="Arial" w:cs="Arial" w:eastAsia="Arial" w:hAnsi="Arial"/>
                <w:sz w:val="18"/>
                <w:szCs w:val="18"/>
                <w:color w:val="auto"/>
              </w:rPr>
              <w:t>(5,241)</w:t>
            </w:r>
          </w:p>
        </w:tc>
        <w:tc>
          <w:tcPr>
            <w:tcW w:w="12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(6,363)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18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Borders>
              <w:bottom w:val="single" w:sz="8" w:color="auto"/>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Beginning of year</w:t>
            </w:r>
          </w:p>
        </w:tc>
        <w:tc>
          <w:tcPr>
            <w:tcW w:w="1800" w:type="dxa"/>
            <w:vAlign w:val="bottom"/>
            <w:tcBorders>
              <w:bottom w:val="single" w:sz="8" w:color="auto"/>
            </w:tcBorders>
            <w:shd w:val="clear" w:color="auto" w:fill="CCEEFF"/>
          </w:tcPr>
          <w:p>
            <w:pPr>
              <w:jc w:val="right"/>
              <w:ind w:right="510"/>
              <w:spacing w:after="0" w:line="202" w:lineRule="exact"/>
              <w:rPr>
                <w:sz w:val="20"/>
                <w:szCs w:val="20"/>
                <w:color w:val="auto"/>
              </w:rPr>
            </w:pPr>
            <w:r>
              <w:rPr>
                <w:rFonts w:ascii="Arial" w:cs="Arial" w:eastAsia="Arial" w:hAnsi="Arial"/>
                <w:sz w:val="18"/>
                <w:szCs w:val="18"/>
                <w:color w:val="auto"/>
              </w:rPr>
              <w:t>5,380</w:t>
            </w:r>
          </w:p>
        </w:tc>
        <w:tc>
          <w:tcPr>
            <w:tcW w:w="1700" w:type="dxa"/>
            <w:vAlign w:val="bottom"/>
            <w:tcBorders>
              <w:bottom w:val="single" w:sz="8" w:color="auto"/>
            </w:tcBorders>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rPr>
              <w:t>10,621</w:t>
            </w:r>
          </w:p>
        </w:tc>
        <w:tc>
          <w:tcPr>
            <w:tcW w:w="122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16,984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80" w:type="dxa"/>
            <w:vAlign w:val="bottom"/>
            <w:tcBorders>
              <w:bottom w:val="single" w:sz="8" w:color="auto"/>
            </w:tcBorders>
          </w:tcPr>
          <w:p>
            <w:pPr>
              <w:ind w:left="140"/>
              <w:spacing w:after="0" w:line="196" w:lineRule="exact"/>
              <w:rPr>
                <w:sz w:val="20"/>
                <w:szCs w:val="20"/>
                <w:color w:val="auto"/>
              </w:rPr>
            </w:pPr>
            <w:r>
              <w:rPr>
                <w:rFonts w:ascii="Arial" w:cs="Arial" w:eastAsia="Arial" w:hAnsi="Arial"/>
                <w:sz w:val="18"/>
                <w:szCs w:val="18"/>
                <w:color w:val="auto"/>
              </w:rPr>
              <w:t>End of year</w:t>
            </w:r>
          </w:p>
        </w:tc>
        <w:tc>
          <w:tcPr>
            <w:tcW w:w="180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8,645</w:t>
            </w:r>
          </w:p>
        </w:tc>
        <w:tc>
          <w:tcPr>
            <w:tcW w:w="170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color w:val="auto"/>
              </w:rPr>
              <w:t>5,380</w:t>
            </w:r>
          </w:p>
        </w:tc>
        <w:tc>
          <w:tcPr>
            <w:tcW w:w="1220" w:type="dxa"/>
            <w:vAlign w:val="bottom"/>
            <w:tcBorders>
              <w:bottom w:val="single" w:sz="8" w:color="auto"/>
            </w:tcBorders>
            <w:gridSpan w:val="2"/>
          </w:tcPr>
          <w:p>
            <w:pPr>
              <w:jc w:val="right"/>
              <w:ind w:right="100"/>
              <w:spacing w:after="0" w:line="196" w:lineRule="exact"/>
              <w:rPr>
                <w:sz w:val="20"/>
                <w:szCs w:val="20"/>
                <w:color w:val="auto"/>
              </w:rPr>
            </w:pPr>
            <w:r>
              <w:rPr>
                <w:rFonts w:ascii="Arial" w:cs="Arial" w:eastAsia="Arial" w:hAnsi="Arial"/>
                <w:sz w:val="18"/>
                <w:szCs w:val="18"/>
                <w:color w:val="auto"/>
              </w:rPr>
              <w:t>10,621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19"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References to "we", "our", "us" and the like throughout the Consolidated Financial Statements refer to Lee Enterprises, Incorporated and subsidiaries (the "Company"). References to "2019", "2018", "2017" and the like refer to the fiscal years ended the last Sunday in September. Fiscal years 2019 and 2017 include 52 weeks and 2018 includes 53 weeks of operations.</w:t>
      </w:r>
    </w:p>
    <w:p>
      <w:pPr>
        <w:spacing w:after="0" w:line="189"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Lee Enterprises, Incorporated is a leading provider of high quality, trusted, local news and information, and a major platform for advertising in the markets we serve. We operate 50 principally mid-sized local media operations (including TNI Partners ("TNI") and Madison Newspapers, Inc. ("MNI")) across 20 states.</w:t>
      </w:r>
    </w:p>
    <w:p>
      <w:pPr>
        <w:spacing w:after="0" w:line="167" w:lineRule="exact"/>
        <w:rPr>
          <w:sz w:val="20"/>
          <w:szCs w:val="20"/>
          <w:color w:val="auto"/>
        </w:rPr>
      </w:pPr>
    </w:p>
    <w:p>
      <w:pPr>
        <w:ind w:right="7700" w:firstLine="8"/>
        <w:spacing w:after="0" w:line="482" w:lineRule="auto"/>
        <w:tabs>
          <w:tab w:leader="none" w:pos="4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Presentation</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Consolidated Financial Statements include our accounts and those of our subsidiaries, all of which are wholly-owned, except for our 50% interest in TNI, 50% interest in MNI and 82.5% interest in TownNews, TNI and MNI are accounted for under the equity method. Results of TownNews are consolidated.</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February 2018, the Financial Accounting Standards Board (“FASB”) issued new guidance to allow a reclassification from accumulated other comprehensive income (“AOCI”) to retained earnings for stranded tax effects resulting from what is commonly referred to as the Tax Cuts and Jobs Act (the "2017 Tax Act"). In the first quarter of fiscal year 2018, we re-measured our deferred taxes related to unrealized gains on our investment balances using the reduced tax rate. As required by GAAP, we recognized the net tax benefit in the provision for income taxes in our consolidated income statements, and we reclassified a $3,067,000 net tax benefit from AOCI to retained earnings in our consolidated balance sheets. Adoption of the standard had no impact to our consolidated income statements or cash flows statements.</w:t>
      </w:r>
    </w:p>
    <w:p>
      <w:pPr>
        <w:spacing w:after="0" w:line="19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March 2016, the FASB issued a new standard that makes improvements to the accounting for employee share-based payments. The new standard simplifies several aspects of the accounting for employee share-based payment transactions, including the accounting for income taxes and statutory tax withholding requirements, as well as classification in the statement of cash flows. We adopted this standard in 2018 and the impact from the adoption of this standard did not have a material impact on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All of our enterprises use period accounting with the fiscal year ending on the last Sunday in September.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have evaluated subsequent events through December 13, 2019. No events have occurred subsequent to September 29, 2019 that require disclosure or recognition in these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us to make estimates and judgments that affect the reported amounts of assets, liabilities, revenue and expenses, and related disclosure of contingent assets and liabilities. We evaluate our estimates on an on-going basis.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All significant intercompany transactions and balances have been eliminated.</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Investments in TNI and MNI are accounted for using the equity method and are reported at cost, plus our share of undistributed earnings since acquisition less, for TNI, amortization of, and reductions in the value of, intangible assets.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19"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Cash and Cash Equivalents</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consider all highly liquid debt instruments purchased with an original maturity of three months or less at date of acquisition to be cash equivalents.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We evaluate our allowance for doubtful accounts receivable based on historical credit experience, payment trends and other economic factors.</w:t>
      </w:r>
    </w:p>
    <w:p>
      <w:pPr>
        <w:spacing w:after="0"/>
        <w:rPr>
          <w:sz w:val="20"/>
          <w:szCs w:val="20"/>
          <w:color w:val="auto"/>
        </w:rPr>
      </w:pPr>
      <w:r>
        <w:rPr>
          <w:rFonts w:ascii="Arial" w:cs="Arial" w:eastAsia="Arial" w:hAnsi="Arial"/>
          <w:sz w:val="18"/>
          <w:szCs w:val="18"/>
          <w:color w:val="auto"/>
        </w:rPr>
        <w:t>Delinquency is determined based on timing of payments in relation to billing dates. Accounts considered to be uncollectible are written off.</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Newsprint inventories and other inventories are priced at the lower of cost or net realizable value. LIFO newsprint inventories at September 29, 2019 and September 30, 2018 are less than replacement cost by $1,661,000 and $2,333,000,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inventory by cost method are as follows: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5440" w:type="dxa"/>
            <w:vAlign w:val="bottom"/>
            <w:shd w:val="clear" w:color="auto" w:fill="000000"/>
          </w:tcPr>
          <w:p>
            <w:pPr>
              <w:spacing w:after="0" w:line="20" w:lineRule="exact"/>
              <w:rPr>
                <w:sz w:val="1"/>
                <w:szCs w:val="1"/>
                <w:color w:val="auto"/>
              </w:rPr>
            </w:pPr>
          </w:p>
        </w:tc>
        <w:tc>
          <w:tcPr>
            <w:tcW w:w="442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4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442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September 29,</w:t>
            </w:r>
          </w:p>
        </w:tc>
        <w:tc>
          <w:tcPr>
            <w:tcW w:w="15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03"/>
        </w:trPr>
        <w:tc>
          <w:tcPr>
            <w:tcW w:w="5460" w:type="dxa"/>
            <w:vAlign w:val="bottom"/>
            <w:gridSpan w:val="2"/>
            <w:vMerge w:val="continue"/>
          </w:tcPr>
          <w:p>
            <w:pPr>
              <w:spacing w:after="0"/>
              <w:rPr>
                <w:sz w:val="17"/>
                <w:szCs w:val="17"/>
                <w:color w:val="auto"/>
              </w:rPr>
            </w:pPr>
          </w:p>
        </w:tc>
        <w:tc>
          <w:tcPr>
            <w:tcW w:w="4420" w:type="dxa"/>
            <w:vAlign w:val="bottom"/>
          </w:tcPr>
          <w:p>
            <w:pPr>
              <w:jc w:val="right"/>
              <w:ind w:right="170"/>
              <w:spacing w:after="0" w:line="203" w:lineRule="exact"/>
              <w:rPr>
                <w:sz w:val="20"/>
                <w:szCs w:val="20"/>
                <w:color w:val="auto"/>
              </w:rPr>
            </w:pPr>
            <w:r>
              <w:rPr>
                <w:rFonts w:ascii="Arial" w:cs="Arial" w:eastAsia="Arial" w:hAnsi="Arial"/>
                <w:sz w:val="18"/>
                <w:szCs w:val="18"/>
                <w:color w:val="auto"/>
              </w:rPr>
              <w:t>2019</w:t>
            </w:r>
          </w:p>
        </w:tc>
        <w:tc>
          <w:tcPr>
            <w:tcW w:w="1540" w:type="dxa"/>
            <w:vAlign w:val="bottom"/>
          </w:tcPr>
          <w:p>
            <w:pPr>
              <w:jc w:val="right"/>
              <w:ind w:right="10"/>
              <w:spacing w:after="0" w:line="203" w:lineRule="exact"/>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440" w:type="dxa"/>
            <w:vAlign w:val="bottom"/>
            <w:tcBorders>
              <w:top w:val="single" w:sz="8" w:color="auto"/>
            </w:tcBorders>
          </w:tcPr>
          <w:p>
            <w:pPr>
              <w:spacing w:after="0"/>
              <w:rPr>
                <w:sz w:val="17"/>
                <w:szCs w:val="17"/>
                <w:color w:val="auto"/>
              </w:rPr>
            </w:pPr>
          </w:p>
        </w:tc>
        <w:tc>
          <w:tcPr>
            <w:tcW w:w="44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Newsprint - FIFO method</w:t>
            </w:r>
          </w:p>
        </w:tc>
        <w:tc>
          <w:tcPr>
            <w:tcW w:w="44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1,498</w:t>
            </w:r>
          </w:p>
        </w:tc>
        <w:tc>
          <w:tcPr>
            <w:tcW w:w="15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spacing w:after="0" w:line="202" w:lineRule="exact"/>
              <w:rPr>
                <w:sz w:val="20"/>
                <w:szCs w:val="20"/>
                <w:color w:val="auto"/>
              </w:rPr>
            </w:pPr>
            <w:r>
              <w:rPr>
                <w:rFonts w:ascii="Arial" w:cs="Arial" w:eastAsia="Arial" w:hAnsi="Arial"/>
                <w:sz w:val="18"/>
                <w:szCs w:val="18"/>
                <w:color w:val="auto"/>
              </w:rPr>
              <w:t>Newsprint - LIFO method</w:t>
            </w:r>
          </w:p>
        </w:tc>
        <w:tc>
          <w:tcPr>
            <w:tcW w:w="44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1,296</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 inventory - FIFO method</w:t>
            </w:r>
          </w:p>
        </w:tc>
        <w:tc>
          <w:tcPr>
            <w:tcW w:w="442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975</w:t>
            </w:r>
          </w:p>
        </w:tc>
        <w:tc>
          <w:tcPr>
            <w:tcW w:w="15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tcBorders>
              <w:bottom w:val="single" w:sz="8" w:color="auto"/>
            </w:tcBorders>
          </w:tcPr>
          <w:p>
            <w:pPr>
              <w:spacing w:after="0"/>
              <w:rPr>
                <w:sz w:val="17"/>
                <w:szCs w:val="17"/>
                <w:color w:val="auto"/>
              </w:rPr>
            </w:pPr>
          </w:p>
        </w:tc>
        <w:tc>
          <w:tcPr>
            <w:tcW w:w="442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3,769</w:t>
            </w:r>
          </w:p>
        </w:tc>
        <w:tc>
          <w:tcPr>
            <w:tcW w:w="15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5,684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Borders>
              <w:bottom w:val="single" w:sz="8" w:color="auto"/>
            </w:tcBorders>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Other investments primarily consist of marketable securities held in trust under a deferred compensation arrangement and investments for which no established market exists. Marketable securities are classified as trading securities and carried at fair value with gains and losses reported in earnings. Non-marketable securities are carried at cost.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Property and equipment are carried at cost. Equipment, except for printing presses and preprint insertion equipment, is depreciated primarily by declining-balance methods. The straight-line method is used for all other assets. The estimated useful lives are as follows: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40" w:type="dxa"/>
            <w:vAlign w:val="bottom"/>
            <w:tcBorders>
              <w:top w:val="single" w:sz="8" w:color="auto"/>
              <w:bottom w:val="single" w:sz="8" w:color="auto"/>
            </w:tcBorders>
          </w:tcPr>
          <w:p>
            <w:pPr>
              <w:spacing w:after="0"/>
              <w:rPr>
                <w:sz w:val="18"/>
                <w:szCs w:val="18"/>
                <w:color w:val="auto"/>
              </w:rPr>
            </w:pPr>
          </w:p>
        </w:tc>
        <w:tc>
          <w:tcPr>
            <w:tcW w:w="4360" w:type="dxa"/>
            <w:vAlign w:val="bottom"/>
            <w:tcBorders>
              <w:top w:val="single" w:sz="8" w:color="auto"/>
              <w:bottom w:val="single" w:sz="8" w:color="auto"/>
            </w:tcBorders>
          </w:tcPr>
          <w:p>
            <w:pPr>
              <w:ind w:left="3800"/>
              <w:spacing w:after="0"/>
              <w:rPr>
                <w:sz w:val="20"/>
                <w:szCs w:val="20"/>
                <w:color w:val="auto"/>
              </w:rPr>
            </w:pPr>
            <w:r>
              <w:rPr>
                <w:rFonts w:ascii="Arial" w:cs="Arial" w:eastAsia="Arial" w:hAnsi="Arial"/>
                <w:sz w:val="18"/>
                <w:szCs w:val="18"/>
                <w:color w:val="auto"/>
              </w:rPr>
              <w:t>Years</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04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Buildings and improvements</w:t>
            </w:r>
          </w:p>
        </w:tc>
        <w:tc>
          <w:tcPr>
            <w:tcW w:w="4360" w:type="dxa"/>
            <w:vAlign w:val="bottom"/>
            <w:shd w:val="clear" w:color="auto" w:fill="CCEEFF"/>
          </w:tcPr>
          <w:p>
            <w:pPr>
              <w:ind w:left="3800"/>
              <w:spacing w:after="0" w:line="202" w:lineRule="exact"/>
              <w:rPr>
                <w:sz w:val="20"/>
                <w:szCs w:val="20"/>
                <w:color w:val="auto"/>
              </w:rPr>
            </w:pPr>
            <w:r>
              <w:rPr>
                <w:rFonts w:ascii="Arial" w:cs="Arial" w:eastAsia="Arial" w:hAnsi="Arial"/>
                <w:sz w:val="18"/>
                <w:szCs w:val="18"/>
                <w:color w:val="auto"/>
              </w:rPr>
              <w:t>4 - 54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tcPr>
          <w:p>
            <w:pPr>
              <w:spacing w:after="0" w:line="202" w:lineRule="exact"/>
              <w:rPr>
                <w:sz w:val="20"/>
                <w:szCs w:val="20"/>
                <w:color w:val="auto"/>
              </w:rPr>
            </w:pPr>
            <w:r>
              <w:rPr>
                <w:rFonts w:ascii="Arial" w:cs="Arial" w:eastAsia="Arial" w:hAnsi="Arial"/>
                <w:sz w:val="18"/>
                <w:szCs w:val="18"/>
                <w:color w:val="auto"/>
              </w:rPr>
              <w:t>Printing presses and insertion equipment</w:t>
            </w:r>
          </w:p>
        </w:tc>
        <w:tc>
          <w:tcPr>
            <w:tcW w:w="4360" w:type="dxa"/>
            <w:vAlign w:val="bottom"/>
          </w:tcPr>
          <w:p>
            <w:pPr>
              <w:ind w:left="3800"/>
              <w:spacing w:after="0" w:line="202" w:lineRule="exact"/>
              <w:rPr>
                <w:sz w:val="20"/>
                <w:szCs w:val="20"/>
                <w:color w:val="auto"/>
              </w:rPr>
            </w:pPr>
            <w:r>
              <w:rPr>
                <w:rFonts w:ascii="Arial" w:cs="Arial" w:eastAsia="Arial" w:hAnsi="Arial"/>
                <w:sz w:val="18"/>
                <w:szCs w:val="18"/>
                <w:color w:val="auto"/>
              </w:rPr>
              <w:t>5 - 28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4360" w:type="dxa"/>
            <w:vAlign w:val="bottom"/>
            <w:tcBorders>
              <w:bottom w:val="single" w:sz="8" w:color="auto"/>
            </w:tcBorders>
            <w:shd w:val="clear" w:color="auto" w:fill="CCEEFF"/>
          </w:tcPr>
          <w:p>
            <w:pPr>
              <w:ind w:left="3800"/>
              <w:spacing w:after="0" w:line="202" w:lineRule="exact"/>
              <w:rPr>
                <w:sz w:val="20"/>
                <w:szCs w:val="20"/>
                <w:color w:val="auto"/>
              </w:rPr>
            </w:pPr>
            <w:r>
              <w:rPr>
                <w:rFonts w:ascii="Arial" w:cs="Arial" w:eastAsia="Arial" w:hAnsi="Arial"/>
                <w:sz w:val="18"/>
                <w:szCs w:val="18"/>
                <w:color w:val="auto"/>
              </w:rPr>
              <w:t>3 - 17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recognize the fair value of a liability for a legal obligation to perform an asset retirement activity when such activity is a condition of a future event and the fair value of the liability can be estimated. The cost of asset retirements and related accruals was not material in 2019, 2018 or 2017.</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include covenants not to compete, consulting agreements, customer lists, newspaper subscriber lists and mastheads.</w:t>
      </w:r>
    </w:p>
    <w:p>
      <w:pPr>
        <w:spacing w:after="0"/>
        <w:rPr>
          <w:sz w:val="20"/>
          <w:szCs w:val="20"/>
          <w:color w:val="auto"/>
        </w:rPr>
      </w:pPr>
      <w:r>
        <w:rPr>
          <w:rFonts w:ascii="Arial" w:cs="Arial" w:eastAsia="Arial" w:hAnsi="Arial"/>
          <w:sz w:val="18"/>
          <w:szCs w:val="18"/>
          <w:color w:val="auto"/>
        </w:rPr>
        <w:t>Intangible assets subject to amortization are being amortized using the straight-line method as follows: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40" w:type="dxa"/>
            <w:vAlign w:val="bottom"/>
            <w:tcBorders>
              <w:top w:val="single" w:sz="8" w:color="auto"/>
              <w:bottom w:val="single" w:sz="8" w:color="auto"/>
            </w:tcBorders>
          </w:tcPr>
          <w:p>
            <w:pPr>
              <w:spacing w:after="0"/>
              <w:rPr>
                <w:sz w:val="18"/>
                <w:szCs w:val="18"/>
                <w:color w:val="auto"/>
              </w:rPr>
            </w:pPr>
          </w:p>
        </w:tc>
        <w:tc>
          <w:tcPr>
            <w:tcW w:w="4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Years</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44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Customer lists</w:t>
            </w:r>
          </w:p>
        </w:tc>
        <w:tc>
          <w:tcPr>
            <w:tcW w:w="49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15 - 23</w:t>
            </w:r>
          </w:p>
        </w:tc>
        <w:tc>
          <w:tcPr>
            <w:tcW w:w="0" w:type="dxa"/>
            <w:vAlign w:val="bottom"/>
          </w:tcPr>
          <w:p>
            <w:pPr>
              <w:spacing w:after="0"/>
              <w:rPr>
                <w:sz w:val="1"/>
                <w:szCs w:val="1"/>
                <w:color w:val="auto"/>
              </w:rPr>
            </w:pPr>
          </w:p>
        </w:tc>
      </w:tr>
      <w:tr>
        <w:trPr>
          <w:trHeight w:val="203"/>
        </w:trPr>
        <w:tc>
          <w:tcPr>
            <w:tcW w:w="20" w:type="dxa"/>
            <w:vAlign w:val="bottom"/>
            <w:tcBorders>
              <w:bottom w:val="single" w:sz="8" w:color="auto"/>
            </w:tcBorders>
          </w:tcPr>
          <w:p>
            <w:pPr>
              <w:spacing w:after="0"/>
              <w:rPr>
                <w:sz w:val="17"/>
                <w:szCs w:val="17"/>
                <w:color w:val="auto"/>
              </w:rPr>
            </w:pPr>
          </w:p>
        </w:tc>
        <w:tc>
          <w:tcPr>
            <w:tcW w:w="64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Newspaper subscriber lists</w:t>
            </w:r>
          </w:p>
        </w:tc>
        <w:tc>
          <w:tcPr>
            <w:tcW w:w="49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10 - 33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review goodwill for impairment on an annual basis by performing a qualitative and quantitative assessment. Companies with reporting units with zero or negative carrying value are required to disclose the amount of goodwill for those reporting units.</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Company's goodwill is all attributable to single reporting unit entity with negative carrying value. In 2019 and 2018, the Company had $250,309,000 and $246,176,000 of goodwill in the Consolidated Balance Sheets, respectively. The annual assessment is made on the first day of our fourth fiscal quarter, or more frequently if impairment triggers are noted.</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review non-amortizing intangibles for impairment on an annual basis. Should we determine that a non-amortized intangible asset impairment is more likely than not, we make a determination of the individual asset's fair value. Fair value is determined using the relief from royalty method, which estimates fair value based upon appropriate royalties of future revenue discounted to their present value. The impairment amount, if any, is calculated based on the excess of the carrying amount over the fair value of such asset.</w:t>
      </w:r>
    </w:p>
    <w:p>
      <w:pPr>
        <w:spacing w:after="0" w:line="18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analyze goodwill and other non-amortized intangible assets for impairment more frequently if impairment indicators are present. Such indicators of impairment include, but are not limited to, changes in business climate and operating or cash flow losses related to such assets.</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review our amortizable intangible assets for impairment when indicators of impairment are present. We assess recoverability of these assets by comparing the estimated undiscounted cash flows associated with the asset group with their carrying amount. The impairment amount, if any, is calculated based on the excess of the carrying amount over the fair value of those asset groups.</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required valuation methodology and underlying financial information that are used to determine fair value require significant judgments to be made by us and represent a Level 3 fair value measurement. These judgments include, but are not limited to, long term projections of future financial performance and the selection of appropriate discount rates used to determine the present value of future cash flows. Changes in such estimates or the application of alternative assumptions could produce significantly different results.</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also periodically evaluate the useful lives of amortizable intangible assets. Any resulting changes in the useful lives of such intangible assets will not impact our cash flows. However, a decrease in the useful lives of such intangible assets would increase future amortization expense and decrease future reported operating results and earnings per common share.</w:t>
      </w:r>
    </w:p>
    <w:p>
      <w:pPr>
        <w:spacing w:after="0" w:line="18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Future decreases in our market value, or significant differences in revenue, expenses or cash flows from estimates used to determine fair value, could result in impairment charges in the future. See Note 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Non-controlling interest in earnings of TownNews is recognized in the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October 1, 2018, we adopted the New Revenue Standard, using the modified retrospective method applied to those contracts which were not completed as of that date. Results for reporting periods beginning after October 1, 2018 are presented under the new guidance while prior period amounts are not adjusted and continue to be reported in accordance with legacy accounting under the old guidance. We did not record any adjustments to beginning retained earnings at October 1, 2018 as a result of adopting the new guidance.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6" w:name="page47"/>
    <w:bookmarkEnd w:id="46"/>
    <w:p>
      <w:pPr>
        <w:jc w:val="both"/>
        <w:spacing w:after="0" w:line="267" w:lineRule="auto"/>
        <w:rPr>
          <w:sz w:val="20"/>
          <w:szCs w:val="20"/>
          <w:color w:val="auto"/>
        </w:rPr>
      </w:pPr>
      <w:r>
        <w:rPr>
          <w:rFonts w:ascii="Arial" w:cs="Arial" w:eastAsia="Arial" w:hAnsi="Arial"/>
          <w:sz w:val="18"/>
          <w:szCs w:val="18"/>
          <w:i w:val="1"/>
          <w:iCs w:val="1"/>
          <w:color w:val="auto"/>
        </w:rPr>
        <w:t xml:space="preserve">Recognition principles: </w:t>
      </w:r>
      <w:r>
        <w:rPr>
          <w:rFonts w:ascii="Arial" w:cs="Arial" w:eastAsia="Arial" w:hAnsi="Arial"/>
          <w:sz w:val="18"/>
          <w:szCs w:val="18"/>
          <w:color w:val="auto"/>
        </w:rPr>
        <w:t>Revenue is recognized when a performance obligation is satisfied by the transfer of control of the contracted goods or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our customers, in an amount that reflects the consideration we expect to receive in exchange for those goods or services.</w:t>
      </w:r>
    </w:p>
    <w:p>
      <w:pPr>
        <w:spacing w:after="0" w:line="14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Advertising and marketing services revenue: </w:t>
      </w:r>
      <w:r>
        <w:rPr>
          <w:rFonts w:ascii="Arial" w:cs="Arial" w:eastAsia="Arial" w:hAnsi="Arial"/>
          <w:sz w:val="18"/>
          <w:szCs w:val="18"/>
          <w:color w:val="auto"/>
        </w:rPr>
        <w:t>Advertising and marketing services revenue includes amounts charged to customers for retail,</w:t>
      </w:r>
      <w:r>
        <w:rPr>
          <w:rFonts w:ascii="Arial" w:cs="Arial" w:eastAsia="Arial" w:hAnsi="Arial"/>
          <w:sz w:val="18"/>
          <w:szCs w:val="18"/>
          <w:i w:val="1"/>
          <w:iCs w:val="1"/>
          <w:color w:val="auto"/>
        </w:rPr>
        <w:t xml:space="preserve"> </w:t>
      </w:r>
      <w:r>
        <w:rPr>
          <w:rFonts w:ascii="Arial" w:cs="Arial" w:eastAsia="Arial" w:hAnsi="Arial"/>
          <w:sz w:val="18"/>
          <w:szCs w:val="18"/>
          <w:color w:val="auto"/>
        </w:rPr>
        <w:t>national, or classified advertising space purchased in our newspapers, advertisements placed on our digital platforms, and other print advertising products such as preprint inserts and direct mail. Advertising and marketing services revenue also include amounts charged to customers for digital marketing services which include: audience extension, Search Engine Optimization ("SEO"), Search Engine Marketing ("SEM"), web and mobile production, social media services and reputation monitoring and management. The following define the timing of revenue recognition for each general revenue category:</w:t>
      </w:r>
    </w:p>
    <w:p>
      <w:pPr>
        <w:spacing w:after="0" w:line="189" w:lineRule="exact"/>
        <w:rPr>
          <w:sz w:val="20"/>
          <w:szCs w:val="20"/>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Print advertising revenue is recognized at the point in time the associated publication has been delivered.</w:t>
      </w:r>
    </w:p>
    <w:p>
      <w:pPr>
        <w:spacing w:after="0" w:line="238"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Digital advertising revenue is recognized at the point in time that impressions are delivered.</w:t>
      </w:r>
    </w:p>
    <w:p>
      <w:pPr>
        <w:spacing w:after="0" w:line="238"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Digital marketing services revenue is recognized over the period of time which the service is performed.</w:t>
      </w:r>
    </w:p>
    <w:p>
      <w:pPr>
        <w:spacing w:after="0" w:line="23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Advertising and marketing services contract transaction prices consist of fixed consideration. We recognize revenue when control of the related performance obligation transfers to the customer.</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Payments for advertising revenue is due upon completion of our performance obligations at previously agreed upon rates. In instances where the timing of revenue recognition differs from the timing of invoicing, such timing differences are not large. As a result, we have determined that our contracts do not include a significant financing component.</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Subscription revenue: </w:t>
      </w:r>
      <w:r>
        <w:rPr>
          <w:rFonts w:ascii="Arial" w:cs="Arial" w:eastAsia="Arial" w:hAnsi="Arial"/>
          <w:sz w:val="18"/>
          <w:szCs w:val="18"/>
          <w:color w:val="auto"/>
        </w:rPr>
        <w:t>Subscription revenue includes revenue for content delivered to consumers via print and digital products purchased by</w:t>
      </w:r>
      <w:r>
        <w:rPr>
          <w:rFonts w:ascii="Arial" w:cs="Arial" w:eastAsia="Arial" w:hAnsi="Arial"/>
          <w:sz w:val="18"/>
          <w:szCs w:val="18"/>
          <w:i w:val="1"/>
          <w:iCs w:val="1"/>
          <w:color w:val="auto"/>
        </w:rPr>
        <w:t xml:space="preserve"> </w:t>
      </w:r>
      <w:r>
        <w:rPr>
          <w:rFonts w:ascii="Arial" w:cs="Arial" w:eastAsia="Arial" w:hAnsi="Arial"/>
          <w:sz w:val="18"/>
          <w:szCs w:val="18"/>
          <w:color w:val="auto"/>
        </w:rPr>
        <w:t>readers or distributors. Single copy revenue is also included in subscription revenue. Subscription revenue from single-copy and home delivery subscriptions is recognized at the point in time the publications are delivered. Digital subscription revenue is recognized over time as performance obligations are met via on-demand availability of online content made available to customers throughout the contract term. Payments for subscription revenue is typically collected in advance, are for contract periods of one year or less and result in an unearned revenue liability that is reduced when revenue is recognized.</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Other revenue: </w:t>
      </w:r>
      <w:r>
        <w:rPr>
          <w:rFonts w:ascii="Arial" w:cs="Arial" w:eastAsia="Arial" w:hAnsi="Arial"/>
          <w:sz w:val="18"/>
          <w:szCs w:val="18"/>
          <w:color w:val="auto"/>
        </w:rPr>
        <w:t>Other revenue primarily consists of digital services, Management Agreement revenue, commercial printing and delivery of third</w:t>
      </w:r>
      <w:r>
        <w:rPr>
          <w:rFonts w:ascii="Arial" w:cs="Arial" w:eastAsia="Arial" w:hAnsi="Arial"/>
          <w:sz w:val="18"/>
          <w:szCs w:val="18"/>
          <w:i w:val="1"/>
          <w:iCs w:val="1"/>
          <w:color w:val="auto"/>
        </w:rPr>
        <w:t xml:space="preserve"> </w:t>
      </w:r>
      <w:r>
        <w:rPr>
          <w:rFonts w:ascii="Arial" w:cs="Arial" w:eastAsia="Arial" w:hAnsi="Arial"/>
          <w:sz w:val="18"/>
          <w:szCs w:val="18"/>
          <w:color w:val="auto"/>
        </w:rPr>
        <w:t>party products. Management Agreement revenue consists of fixed and variable fees collected from our Management Agreement. Fixed fee revenue from the Management Agreement is recognized over time and paid quarterly and variable fees are paid annually. Variable fees are recognized when the fees are deemed earned and it is probable that a significant reversal in the amount of cumulative revenue recognized will not occur when the uncertainty associated with the variable consideration is subsequently resolved. Commercial printing and delivery revenue is recognized when the product is delivered to the customer.</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Digital services revenues, which are primarily delivered through TownNews, are primarily comprised of contractual agreements to provide webhosting and content management services. As such, digital services revenue is recognized over the contract period. Prices for digital services are agreed upon in advance of the contract beginning and are typically billed in arrears on a monthly basis, with the exception of implementation fees which are recognized as deferred revenue and amortized over the contract period.</w:t>
      </w:r>
    </w:p>
    <w:p>
      <w:pPr>
        <w:spacing w:after="0" w:line="170"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i w:val="1"/>
          <w:iCs w:val="1"/>
          <w:color w:val="auto"/>
        </w:rPr>
        <w:t xml:space="preserve">Arrangements with multiple performance obligations: </w:t>
      </w:r>
      <w:r>
        <w:rPr>
          <w:rFonts w:ascii="Arial" w:cs="Arial" w:eastAsia="Arial" w:hAnsi="Arial"/>
          <w:sz w:val="18"/>
          <w:szCs w:val="18"/>
          <w:color w:val="auto"/>
        </w:rPr>
        <w:t>We have various advertising and subscription agreements which include both print and</w:t>
      </w:r>
      <w:r>
        <w:rPr>
          <w:rFonts w:ascii="Arial" w:cs="Arial" w:eastAsia="Arial" w:hAnsi="Arial"/>
          <w:sz w:val="18"/>
          <w:szCs w:val="18"/>
          <w:i w:val="1"/>
          <w:iCs w:val="1"/>
          <w:color w:val="auto"/>
        </w:rPr>
        <w:t xml:space="preserve"> </w:t>
      </w:r>
      <w:r>
        <w:rPr>
          <w:rFonts w:ascii="Arial" w:cs="Arial" w:eastAsia="Arial" w:hAnsi="Arial"/>
          <w:sz w:val="18"/>
          <w:szCs w:val="18"/>
          <w:color w:val="auto"/>
        </w:rPr>
        <w:t>digital performance obligations. Revenue from sales agreements that contain multiple performance obligations are allocated to each obligation based on the relative standalone selling price. We determine standalone selling prices based on observable prices charged to customers. See footnote 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 substantial amount of our advertising and promotion consists of advertising placed in our own publications and digital platforms, using available space. The incremental cost of such advertising is not significant and is not measured separately by us. External advertising costs are not significant and are expensed as incurred.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Restructuring Costs and Other</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incur severance related costs on an ongoing basis in response to overall industry trends. We accrue for severance related items generally as part of planned business transformation efforts when the impacted employees can be identified and the amounts are estimable. We did not have a significant severance liability as of September 29, 2019 or September 30, 2019.</w:t>
      </w:r>
    </w:p>
    <w:p>
      <w:pPr>
        <w:spacing w:after="0" w:line="18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Other costs included in Restructuring Costs and Other include estimated impacts of withdrawals from our multiemployer plans. Multiemployer plans are discussed in Note 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Postretirement and Postemployment Benefit Plans</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evaluate our liabilities for pension, postretirement and postemployment benefit plans based upon computations made by consulting actuaries, incorporating estimates and actuarial assumptions of future plan service costs, future interest costs on projected benefit obligations, rates of compensation increases, when applicable, employee turnover rates, anticipated mortality rates, expected investment returns on plan assets, asset allocation assumptions of plan assets and other factors.</w:t>
      </w:r>
    </w:p>
    <w:p>
      <w:pPr>
        <w:spacing w:after="0" w:line="18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We use a fiscal year end measurement date for all our pension and postretirement obligations in accordance with Financial Accounting Standards Board ("FASB") Accounting Standards Codification ("ASC") Topic 715, </w:t>
      </w:r>
      <w:r>
        <w:rPr>
          <w:rFonts w:ascii="Arial" w:cs="Arial" w:eastAsia="Arial" w:hAnsi="Arial"/>
          <w:sz w:val="18"/>
          <w:szCs w:val="18"/>
          <w:i w:val="1"/>
          <w:iCs w:val="1"/>
          <w:color w:val="auto"/>
        </w:rPr>
        <w:t>Retirement Plans</w:t>
      </w:r>
      <w:r>
        <w:rPr>
          <w:rFonts w:ascii="Arial" w:cs="Arial" w:eastAsia="Arial" w:hAnsi="Arial"/>
          <w:sz w:val="18"/>
          <w:szCs w:val="18"/>
          <w:color w:val="auto"/>
        </w:rPr>
        <w:t>. We use the alternative spot rate approach which utilizes a full yield curve to estimate the interest cost component of benefit cost by applying the specific spot rates along the yield curve used in the determination of the benefit obligation to the relevant projected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Deferred income tax assets are recognized for deductible temporary differences and loss carryforwards and deferred income tax liabilities are recognized for taxable temporary differences which are the difference between the reported amounts of assets and liabilities and their tax basis. Deferred income tax assets are reduced by a valuation allowance when, in our opinion, it is more likely than not that some portion or all of the deferred income tax assets will not be realized. Deferred income tax assets and liabilities are adjusted for the effects of changes in tax laws and rates on the date of enactment.</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recognize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We record interest and penalties related to unrecognized tax benefits as a component of income tax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0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 xml:space="preserve">We utilize FASB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to measure and report fair value. FASB ASC Topic 820 defines fair value, establishes a framework for measuring fair value and expands disclosures about fair value measurements. FASB ASC Topic 820 establishes a three-level hierarchy of fair value measurements based on whether the inputs to those measurements are observable or unobservable, which consists of the following levels:</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for identical instruments in active markets.</w:t>
      </w:r>
    </w:p>
    <w:p>
      <w:pPr>
        <w:spacing w:after="0" w:line="198" w:lineRule="exact"/>
        <w:rPr>
          <w:sz w:val="20"/>
          <w:szCs w:val="20"/>
          <w:color w:val="auto"/>
        </w:rPr>
      </w:pPr>
    </w:p>
    <w:p>
      <w:pPr>
        <w:ind w:left="500"/>
        <w:spacing w:after="0" w:line="26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Quoted prices for similar instruments in active markets; quoted prices for identical or similar instruments in markets that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active; and model-derived valuations in which all significant inputs are observable in active markets.</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Valuations derived from valuation techniques in which one or more significant inputs are unobservable.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Investments measured at net asset value, as a practical expedient for fair value, are excluded from the fair value hierarchy.</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Valuation methodologies used for pension and postretirement assets measured at fair value are as follows:</w:t>
      </w:r>
    </w:p>
    <w:p>
      <w:pPr>
        <w:spacing w:after="0" w:line="180" w:lineRule="exact"/>
        <w:rPr>
          <w:sz w:val="20"/>
          <w:szCs w:val="20"/>
          <w:color w:val="auto"/>
        </w:rPr>
      </w:pPr>
    </w:p>
    <w:p>
      <w:pPr>
        <w:jc w:val="both"/>
        <w:ind w:left="500"/>
        <w:spacing w:after="0" w:line="267" w:lineRule="auto"/>
        <w:rPr>
          <w:sz w:val="20"/>
          <w:szCs w:val="20"/>
          <w:color w:val="auto"/>
        </w:rPr>
      </w:pPr>
      <w:r>
        <w:rPr>
          <w:rFonts w:ascii="Arial" w:cs="Arial" w:eastAsia="Arial" w:hAnsi="Arial"/>
          <w:sz w:val="18"/>
          <w:szCs w:val="18"/>
          <w:i w:val="1"/>
          <w:iCs w:val="1"/>
          <w:color w:val="auto"/>
        </w:rPr>
        <w:t>Cash and cash equivalents c</w:t>
      </w:r>
      <w:r>
        <w:rPr>
          <w:rFonts w:ascii="Arial" w:cs="Arial" w:eastAsia="Arial" w:hAnsi="Arial"/>
          <w:sz w:val="18"/>
          <w:szCs w:val="18"/>
          <w:color w:val="auto"/>
        </w:rPr>
        <w:t>onsist of short term deposits valued based on quoted prices in active markets. Such investments are</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 as Level 1.</w:t>
      </w:r>
    </w:p>
    <w:p>
      <w:pPr>
        <w:spacing w:after="0" w:line="147" w:lineRule="exact"/>
        <w:rPr>
          <w:sz w:val="20"/>
          <w:szCs w:val="20"/>
          <w:color w:val="auto"/>
        </w:rPr>
      </w:pPr>
    </w:p>
    <w:p>
      <w:pPr>
        <w:jc w:val="both"/>
        <w:ind w:left="500"/>
        <w:spacing w:after="0" w:line="267" w:lineRule="auto"/>
        <w:rPr>
          <w:sz w:val="20"/>
          <w:szCs w:val="20"/>
          <w:color w:val="auto"/>
        </w:rPr>
      </w:pPr>
      <w:r>
        <w:rPr>
          <w:rFonts w:ascii="Arial" w:cs="Arial" w:eastAsia="Arial" w:hAnsi="Arial"/>
          <w:sz w:val="18"/>
          <w:szCs w:val="18"/>
          <w:i w:val="1"/>
          <w:iCs w:val="1"/>
          <w:color w:val="auto"/>
        </w:rPr>
        <w:t xml:space="preserve">Treasury Inflation-Protected Securities </w:t>
      </w:r>
      <w:r>
        <w:rPr>
          <w:rFonts w:ascii="Arial" w:cs="Arial" w:eastAsia="Arial" w:hAnsi="Arial"/>
          <w:sz w:val="18"/>
          <w:szCs w:val="18"/>
          <w:color w:val="auto"/>
        </w:rPr>
        <w:t>("TIPS") consist of low yield mutual funds and are valued by quoted market prices. Such</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are classified as Level 1.</w:t>
      </w:r>
    </w:p>
    <w:p>
      <w:pPr>
        <w:spacing w:after="0" w:line="147" w:lineRule="exact"/>
        <w:rPr>
          <w:sz w:val="20"/>
          <w:szCs w:val="20"/>
          <w:color w:val="auto"/>
        </w:rPr>
      </w:pPr>
    </w:p>
    <w:p>
      <w:pPr>
        <w:jc w:val="both"/>
        <w:ind w:left="500"/>
        <w:spacing w:after="0" w:line="251" w:lineRule="auto"/>
        <w:rPr>
          <w:sz w:val="20"/>
          <w:szCs w:val="20"/>
          <w:color w:val="auto"/>
        </w:rPr>
      </w:pPr>
      <w:r>
        <w:rPr>
          <w:rFonts w:ascii="Arial" w:cs="Arial" w:eastAsia="Arial" w:hAnsi="Arial"/>
          <w:sz w:val="18"/>
          <w:szCs w:val="18"/>
          <w:i w:val="1"/>
          <w:iCs w:val="1"/>
          <w:color w:val="auto"/>
        </w:rPr>
        <w:t xml:space="preserve">Equity securities </w:t>
      </w:r>
      <w:r>
        <w:rPr>
          <w:rFonts w:ascii="Arial" w:cs="Arial" w:eastAsia="Arial" w:hAnsi="Arial"/>
          <w:sz w:val="18"/>
          <w:szCs w:val="18"/>
          <w:color w:val="auto"/>
        </w:rPr>
        <w:t>are valued based on the closing market price in an active market and are classified as Level 1. Certain investments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commingled funds are valued at the end of the period based upon the value of the underlying investments as determined by quoted market prices. Such investments are classified as Level 2.</w:t>
      </w:r>
    </w:p>
    <w:p>
      <w:pPr>
        <w:spacing w:after="0" w:line="161" w:lineRule="exact"/>
        <w:rPr>
          <w:sz w:val="20"/>
          <w:szCs w:val="20"/>
          <w:color w:val="auto"/>
        </w:rPr>
      </w:pPr>
    </w:p>
    <w:p>
      <w:pPr>
        <w:jc w:val="both"/>
        <w:ind w:left="500"/>
        <w:spacing w:after="0" w:line="245" w:lineRule="auto"/>
        <w:rPr>
          <w:sz w:val="20"/>
          <w:szCs w:val="20"/>
          <w:color w:val="auto"/>
        </w:rPr>
      </w:pPr>
      <w:r>
        <w:rPr>
          <w:rFonts w:ascii="Arial" w:cs="Arial" w:eastAsia="Arial" w:hAnsi="Arial"/>
          <w:sz w:val="18"/>
          <w:szCs w:val="18"/>
          <w:i w:val="1"/>
          <w:iCs w:val="1"/>
          <w:color w:val="auto"/>
        </w:rPr>
        <w:t xml:space="preserve">Debt securities </w:t>
      </w:r>
      <w:r>
        <w:rPr>
          <w:rFonts w:ascii="Arial" w:cs="Arial" w:eastAsia="Arial" w:hAnsi="Arial"/>
          <w:sz w:val="18"/>
          <w:szCs w:val="18"/>
          <w:color w:val="auto"/>
        </w:rPr>
        <w:t>consist of government securities that are valued based upon quoted market prices in an active market. Such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are classified as Level 1. Corporate bonds that are valued based on quoted market prices in an inactive market are classified as Level 2. Certain investments in commingled funds are valued at the net asset value of units held at the end of the period based upon the value of the underlying investments as determined by quoted market prices. Such investments are excluded from the fair value hierarchy.</w:t>
      </w:r>
    </w:p>
    <w:p>
      <w:pPr>
        <w:spacing w:after="0" w:line="168" w:lineRule="exact"/>
        <w:rPr>
          <w:sz w:val="20"/>
          <w:szCs w:val="20"/>
          <w:color w:val="auto"/>
        </w:rPr>
      </w:pPr>
    </w:p>
    <w:p>
      <w:pPr>
        <w:jc w:val="both"/>
        <w:ind w:left="500"/>
        <w:spacing w:after="0" w:line="251" w:lineRule="auto"/>
        <w:rPr>
          <w:sz w:val="20"/>
          <w:szCs w:val="20"/>
          <w:color w:val="auto"/>
        </w:rPr>
      </w:pPr>
      <w:r>
        <w:rPr>
          <w:rFonts w:ascii="Arial" w:cs="Arial" w:eastAsia="Arial" w:hAnsi="Arial"/>
          <w:sz w:val="18"/>
          <w:szCs w:val="18"/>
          <w:i w:val="1"/>
          <w:iCs w:val="1"/>
          <w:color w:val="auto"/>
        </w:rPr>
        <w:t xml:space="preserve">Hedge funds </w:t>
      </w:r>
      <w:r>
        <w:rPr>
          <w:rFonts w:ascii="Arial" w:cs="Arial" w:eastAsia="Arial" w:hAnsi="Arial"/>
          <w:sz w:val="18"/>
          <w:szCs w:val="18"/>
          <w:color w:val="auto"/>
        </w:rPr>
        <w:t>consist of a long/short equity funds and a diversified fund of funds. These funds are valued at the net asset value of units</w:t>
      </w:r>
      <w:r>
        <w:rPr>
          <w:rFonts w:ascii="Arial" w:cs="Arial" w:eastAsia="Arial" w:hAnsi="Arial"/>
          <w:sz w:val="18"/>
          <w:szCs w:val="18"/>
          <w:i w:val="1"/>
          <w:iCs w:val="1"/>
          <w:color w:val="auto"/>
        </w:rPr>
        <w:t xml:space="preserve"> </w:t>
      </w:r>
      <w:r>
        <w:rPr>
          <w:rFonts w:ascii="Arial" w:cs="Arial" w:eastAsia="Arial" w:hAnsi="Arial"/>
          <w:sz w:val="18"/>
          <w:szCs w:val="18"/>
          <w:color w:val="auto"/>
        </w:rPr>
        <w:t>held at the end of the period based upon the value of the underlying investments, which is determined using multiple approaches including by quoted market prices and by private market quotations. Such investments are excluded from the fair value hierarchy.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 and Warrants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We have several active stock-based compensation plans. We account for grants under those plans under the fair value expense recognition provisions of FASB ASC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We determine the fair value of stock options using the Black-Scholes option pricing formula. Key inputs to this formula include expected term, expected volatility and the risk-free interest rate.</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expected term represents the period that our stock-based awards are expected to be outstanding, and is determined based on historical experience of similar awards, giving consideration to contractual terms of the awards, vesting schedules and expectations of future employee behavior. The volatility factor is calculated using historical market data for our Common Stock. The time frame used is equal to the expected term. We base the risk-free interest rate on the yield to maturity at the time of the stock option grant on zero-coupon U.S. government bonds having a remaining term equal to the option's expected term. When estimating forfeitures, we consider voluntary termination behavior as well as actual option forfeitures.</w:t>
      </w:r>
    </w:p>
    <w:p>
      <w:pPr>
        <w:spacing w:after="0" w:line="19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amortize as compensation expense the value of stock options and restricted Common Stock using the straight-line method over the vesting or restriction period, which is generally one to four years.</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also have 6,000,000 warrants outstanding to purchase shares of our Common Stock. Warrants are recorded at fair value determined using the Black-Scholes option pricing formula. See Notes 5, 9 and 12.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Uninsured Risks</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are self-insured for health care, workers compensation and certain long-term disability costs of our employees, subject to stop loss insurance, which limits our losses in the event of large claims. We accrue our estimated health care costs in the period in which such costs are incurred, including an estimate of incurred but not reported claims. Other risks are insured and carry deductible losses of varying amounts. Letters of credit and performance bonds totaling $3,901,000 at September 29, 2019 are outstanding in support of our insurance program.</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accrued reserves for health care and workers compensation claims are based upon estimates of the remaining liability for retained losses made by consulting actuaries. The amount of workers compensation reserve has been determined based upon historical patterns of incurred and paid loss development factors from the insurance industry.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Recently Issued Accounting Standards - Standards Adopted in 2019</w:t>
      </w:r>
    </w:p>
    <w:p>
      <w:pPr>
        <w:spacing w:after="0" w:line="220" w:lineRule="exact"/>
        <w:rPr>
          <w:sz w:val="20"/>
          <w:szCs w:val="20"/>
          <w:color w:val="auto"/>
        </w:rPr>
      </w:pPr>
    </w:p>
    <w:p>
      <w:pPr>
        <w:jc w:val="both"/>
        <w:ind w:right="140"/>
        <w:spacing w:after="0" w:line="237" w:lineRule="auto"/>
        <w:rPr>
          <w:sz w:val="20"/>
          <w:szCs w:val="20"/>
          <w:color w:val="auto"/>
        </w:rPr>
      </w:pPr>
      <w:r>
        <w:rPr>
          <w:rFonts w:ascii="Arial" w:cs="Arial" w:eastAsia="Arial" w:hAnsi="Arial"/>
          <w:sz w:val="18"/>
          <w:szCs w:val="18"/>
          <w:color w:val="auto"/>
        </w:rPr>
        <w:t>In March 2017, the Financial Accounting Standards Board ("FASB") issued a new standard to improve the presentation of pension and postretirement benefit expense. The new standard requires that the service cost component of pension and postretirement benefits expense is recognized as compensation expense, while the remaining components of the expense are presented outside of operating income. The prior presentation included all components of the expense as Compensation in our Consolidated Statements of Income and Comprehensive Income. As a result of the adoption of this standard, we recorded other non-operating income of $2,847,000, $2,830,000 and $3,417,000 in 2019, 2018 and 2017, respectively. These amounts were previously recognized as compensation.</w:t>
      </w:r>
    </w:p>
    <w:p>
      <w:pPr>
        <w:spacing w:after="0" w:line="192"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In August 2016, the FASB issued a new standard to conform the presentation in the statement of cash flows for certain transactions, including cash distributions from equity method investments, among others. The new standard was adopted in 2019 and did not result in a change to our statement of cash flows.</w:t>
      </w:r>
    </w:p>
    <w:p>
      <w:pPr>
        <w:spacing w:after="0" w:line="189"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In May 2014, the FASB issued ASU No. 2014-09 “Revenue from Contracts with Customers” and in 2015, 2016, and 2017 the FASB issued several clarifying updates to this new standard (ASU No. 2015-14, 2016-08, 2016-10, 2016-11, 2016-12, 2016-20 and 2017-05), which collectively comprises ASC Topic 606 “Revenue from Contracts with Customers”. Topic 606 supersedes the revenue recognition requirements in Topic 605 “Revenue Recognition” and is effective fiscal years beginning after December 15, 2017. Topic 606 provides a five-step model in determining when and how revenue is recognized and requires revenue recognition to depict the transfer of promised goods or services to customers in an amount that reflects the consideration a company expects to receive in exchange for those goods or services. The new standard was adopted in 2019 using the modified retrospective method and did not result in a material change to our Consolidated Financial Statements. See to Note 2 for disclosures as a result of this adoption.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 - Standards Not Yet Adopted</w:t>
      </w:r>
    </w:p>
    <w:p>
      <w:pPr>
        <w:spacing w:after="0" w:line="220" w:lineRule="exact"/>
        <w:rPr>
          <w:sz w:val="20"/>
          <w:szCs w:val="20"/>
          <w:color w:val="auto"/>
        </w:rPr>
      </w:pPr>
    </w:p>
    <w:p>
      <w:pPr>
        <w:jc w:val="both"/>
        <w:ind w:left="20"/>
        <w:spacing w:after="0" w:line="236" w:lineRule="auto"/>
        <w:rPr>
          <w:sz w:val="20"/>
          <w:szCs w:val="20"/>
          <w:color w:val="auto"/>
        </w:rPr>
      </w:pPr>
      <w:r>
        <w:rPr>
          <w:rFonts w:ascii="Arial" w:cs="Arial" w:eastAsia="Arial" w:hAnsi="Arial"/>
          <w:sz w:val="18"/>
          <w:szCs w:val="18"/>
          <w:color w:val="auto"/>
        </w:rPr>
        <w:t>In February 2016, the FASB issued a new standard for the accounting treatment of leases. The new standard is based on the principle that entities should recognize assets and liabilities arising from leases. The new standard's primary change is the requirement for entities to recognize a lease liability for payments and a right of use asset representing the right to use the leased asset during the term on most operating lease arrangements. Lessees are permitted to make an accounting policy election to not recognize the asset and liability for leases with a term of twelve months or less. In addition, the new standard expands the disclosure requirements of lease arrangements. Lessees have the option to use a modified retrospective transition approach, which includes a number of practical expedients. As a result of utilizing the modified retrospective transition approach, we will not restate prior year financial statements to conform to the new guidance. We expect to elect the package of practical expedients, which permits the Company to not reassess under the new standard the prior conclusions about lease identification, lease classification, or initial direct costs. In addition, we will not reassess whether existing land easements which were previously not accounted for as leases are or contain leases under the new guidance.</w:t>
      </w:r>
    </w:p>
    <w:p>
      <w:pPr>
        <w:spacing w:after="0" w:line="193" w:lineRule="exact"/>
        <w:rPr>
          <w:sz w:val="20"/>
          <w:szCs w:val="20"/>
          <w:color w:val="auto"/>
        </w:rPr>
      </w:pPr>
    </w:p>
    <w:p>
      <w:pPr>
        <w:jc w:val="both"/>
        <w:ind w:left="20"/>
        <w:spacing w:after="0" w:line="237" w:lineRule="auto"/>
        <w:rPr>
          <w:sz w:val="20"/>
          <w:szCs w:val="20"/>
          <w:color w:val="auto"/>
        </w:rPr>
      </w:pPr>
      <w:r>
        <w:rPr>
          <w:rFonts w:ascii="Arial" w:cs="Arial" w:eastAsia="Arial" w:hAnsi="Arial"/>
          <w:sz w:val="18"/>
          <w:szCs w:val="18"/>
          <w:color w:val="auto"/>
        </w:rPr>
        <w:t>To date, we reviewed all existing leases and contracts, completed data entry for in-scope leases into our selected software solution which is compatible with our current financial reporting and control environment and quantified a range of expected financial impacts. We will adopt the new standard effective September 30, 2019, the first day of fiscal year 2020. We expect to recognize upon adoption, lease liabilities and right of use assets ranging from $9,600,000 to $12,600,000. Right-of-use assets have been adjusted for lease incentives and initial direct costs. We are still evaluating for potential embedded leases relating to our outsourced printing contracts, which could result in material additional lease obligations and right-of-use assets. We do not expect the adoption of the new standard will have a material impact on our Consolidated Statements of Income or Consolidated Statement of Cash Flows.</w:t>
      </w:r>
    </w:p>
    <w:p>
      <w:pPr>
        <w:spacing w:after="0" w:line="190" w:lineRule="exact"/>
        <w:rPr>
          <w:sz w:val="20"/>
          <w:szCs w:val="20"/>
          <w:color w:val="auto"/>
        </w:rPr>
      </w:pPr>
    </w:p>
    <w:p>
      <w:pPr>
        <w:jc w:val="both"/>
        <w:ind w:left="20"/>
        <w:spacing w:after="0" w:line="237" w:lineRule="auto"/>
        <w:rPr>
          <w:sz w:val="20"/>
          <w:szCs w:val="20"/>
          <w:color w:val="auto"/>
        </w:rPr>
      </w:pPr>
      <w:r>
        <w:rPr>
          <w:rFonts w:ascii="Arial" w:cs="Arial" w:eastAsia="Arial" w:hAnsi="Arial"/>
          <w:sz w:val="18"/>
          <w:szCs w:val="18"/>
          <w:color w:val="auto"/>
        </w:rPr>
        <w:t>In June 2016, the FASB issued a new standard to replace the incurred loss impairment methodology under current GAAP with a methodology that reflects expected credit losses and requires consideration of a wider array of reasonable and supportable information to inform and develop credit loss estimates. We will be required to use a forward-looking expected credit loss model for both accounts receivables and other financial instruments. The new standard will be adopted beginning September 29, 2020 using a modified retrospective approach through a cumulative-effect adjustment to retained earnings as of the effective date to align our credit loss methodology with the new standard. We are currently evaluating the impact of this standard on our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66040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576" w:right="239" w:bottom="1440" w:gutter="0" w:footer="0" w:header="0"/>
        </w:sectPr>
      </w:pPr>
    </w:p>
    <w:bookmarkStart w:id="50" w:name="page51"/>
    <w:bookmarkEnd w:id="50"/>
    <w:p>
      <w:pPr>
        <w:ind w:left="360" w:hanging="352"/>
        <w:spacing w:after="0"/>
        <w:tabs>
          <w:tab w:leader="none" w:pos="3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October 1, 2018, we adopted the New Revenue Standard, using the modified retrospective method applied to those contracts which were not completed as of that date. Results for reporting periods beginning after October 1, 2018 are presented under the new guidance while prior period amounts are not adjusted and continue to be reported in accordance with legacy accounting under the old guidance. We did not record any adjustments to beginning retained earnings at October 1, 2018 as a result of adopting the new guidance.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 disaggregated by source: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5060" w:type="dxa"/>
            <w:vAlign w:val="bottom"/>
            <w:shd w:val="clear" w:color="auto" w:fill="000000"/>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0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296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September 29,</w:t>
            </w:r>
          </w:p>
        </w:tc>
        <w:tc>
          <w:tcPr>
            <w:tcW w:w="180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September 30,</w:t>
            </w:r>
          </w:p>
        </w:tc>
        <w:tc>
          <w:tcPr>
            <w:tcW w:w="15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September 24,</w:t>
            </w:r>
          </w:p>
        </w:tc>
        <w:tc>
          <w:tcPr>
            <w:tcW w:w="0" w:type="dxa"/>
            <w:vAlign w:val="bottom"/>
          </w:tcPr>
          <w:p>
            <w:pPr>
              <w:spacing w:after="0"/>
              <w:rPr>
                <w:sz w:val="1"/>
                <w:szCs w:val="1"/>
                <w:color w:val="auto"/>
              </w:rPr>
            </w:pPr>
          </w:p>
        </w:tc>
      </w:tr>
      <w:tr>
        <w:trPr>
          <w:trHeight w:val="203"/>
        </w:trPr>
        <w:tc>
          <w:tcPr>
            <w:tcW w:w="5080" w:type="dxa"/>
            <w:vAlign w:val="bottom"/>
            <w:gridSpan w:val="2"/>
            <w:vMerge w:val="continue"/>
          </w:tcPr>
          <w:p>
            <w:pPr>
              <w:spacing w:after="0"/>
              <w:rPr>
                <w:sz w:val="17"/>
                <w:szCs w:val="17"/>
                <w:color w:val="auto"/>
              </w:rPr>
            </w:pPr>
          </w:p>
        </w:tc>
        <w:tc>
          <w:tcPr>
            <w:tcW w:w="2960" w:type="dxa"/>
            <w:vAlign w:val="bottom"/>
          </w:tcPr>
          <w:p>
            <w:pPr>
              <w:jc w:val="right"/>
              <w:ind w:right="210"/>
              <w:spacing w:after="0" w:line="203" w:lineRule="exact"/>
              <w:rPr>
                <w:sz w:val="20"/>
                <w:szCs w:val="20"/>
                <w:color w:val="auto"/>
              </w:rPr>
            </w:pPr>
            <w:r>
              <w:rPr>
                <w:rFonts w:ascii="Arial" w:cs="Arial" w:eastAsia="Arial" w:hAnsi="Arial"/>
                <w:sz w:val="18"/>
                <w:szCs w:val="18"/>
                <w:color w:val="auto"/>
              </w:rPr>
              <w:t>2019</w:t>
            </w:r>
          </w:p>
        </w:tc>
        <w:tc>
          <w:tcPr>
            <w:tcW w:w="1800" w:type="dxa"/>
            <w:vAlign w:val="bottom"/>
          </w:tcPr>
          <w:p>
            <w:pPr>
              <w:jc w:val="right"/>
              <w:ind w:right="230"/>
              <w:spacing w:after="0" w:line="203" w:lineRule="exact"/>
              <w:rPr>
                <w:sz w:val="20"/>
                <w:szCs w:val="20"/>
                <w:color w:val="auto"/>
              </w:rPr>
            </w:pPr>
            <w:r>
              <w:rPr>
                <w:rFonts w:ascii="Arial" w:cs="Arial" w:eastAsia="Arial" w:hAnsi="Arial"/>
                <w:sz w:val="18"/>
                <w:szCs w:val="18"/>
                <w:color w:val="auto"/>
              </w:rPr>
              <w:t>2018</w:t>
            </w:r>
          </w:p>
        </w:tc>
        <w:tc>
          <w:tcPr>
            <w:tcW w:w="1580" w:type="dxa"/>
            <w:vAlign w:val="bottom"/>
          </w:tcPr>
          <w:p>
            <w:pPr>
              <w:jc w:val="right"/>
              <w:ind w:right="10"/>
              <w:spacing w:after="0" w:line="203" w:lineRule="exact"/>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060" w:type="dxa"/>
            <w:vAlign w:val="bottom"/>
            <w:tcBorders>
              <w:top w:val="single" w:sz="8" w:color="auto"/>
            </w:tcBorders>
          </w:tcPr>
          <w:p>
            <w:pPr>
              <w:spacing w:after="0"/>
              <w:rPr>
                <w:sz w:val="17"/>
                <w:szCs w:val="17"/>
                <w:color w:val="auto"/>
              </w:rPr>
            </w:pPr>
          </w:p>
        </w:tc>
        <w:tc>
          <w:tcPr>
            <w:tcW w:w="296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Advertising and marketing services revenue</w:t>
            </w:r>
          </w:p>
        </w:tc>
        <w:tc>
          <w:tcPr>
            <w:tcW w:w="29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265,933</w:t>
            </w:r>
          </w:p>
        </w:tc>
        <w:tc>
          <w:tcPr>
            <w:tcW w:w="180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303,446</w:t>
            </w:r>
          </w:p>
        </w:tc>
        <w:tc>
          <w:tcPr>
            <w:tcW w:w="15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331,360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tcPr>
          <w:p>
            <w:pPr>
              <w:spacing w:after="0" w:line="202" w:lineRule="exact"/>
              <w:rPr>
                <w:sz w:val="20"/>
                <w:szCs w:val="20"/>
                <w:color w:val="auto"/>
              </w:rPr>
            </w:pPr>
            <w:r>
              <w:rPr>
                <w:rFonts w:ascii="Arial" w:cs="Arial" w:eastAsia="Arial" w:hAnsi="Arial"/>
                <w:sz w:val="18"/>
                <w:szCs w:val="18"/>
                <w:color w:val="auto"/>
              </w:rPr>
              <w:t>Subscription Revenue</w:t>
            </w:r>
          </w:p>
        </w:tc>
        <w:tc>
          <w:tcPr>
            <w:tcW w:w="29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186,691</w:t>
            </w:r>
          </w:p>
        </w:tc>
        <w:tc>
          <w:tcPr>
            <w:tcW w:w="18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195,108</w:t>
            </w: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191,922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TownNews and other digital services revenue</w:t>
            </w:r>
          </w:p>
        </w:tc>
        <w:tc>
          <w:tcPr>
            <w:tcW w:w="29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19,637</w:t>
            </w:r>
          </w:p>
        </w:tc>
        <w:tc>
          <w:tcPr>
            <w:tcW w:w="180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16,328</w:t>
            </w:r>
          </w:p>
        </w:tc>
        <w:tc>
          <w:tcPr>
            <w:tcW w:w="15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14,008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 revenue</w:t>
            </w:r>
          </w:p>
        </w:tc>
        <w:tc>
          <w:tcPr>
            <w:tcW w:w="296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37,593</w:t>
            </w:r>
          </w:p>
        </w:tc>
        <w:tc>
          <w:tcPr>
            <w:tcW w:w="180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29,073</w:t>
            </w:r>
          </w:p>
        </w:tc>
        <w:tc>
          <w:tcPr>
            <w:tcW w:w="15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29,653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operating revenue</w:t>
            </w:r>
          </w:p>
        </w:tc>
        <w:tc>
          <w:tcPr>
            <w:tcW w:w="296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509,854</w:t>
            </w:r>
          </w:p>
        </w:tc>
        <w:tc>
          <w:tcPr>
            <w:tcW w:w="180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543,955</w:t>
            </w:r>
          </w:p>
        </w:tc>
        <w:tc>
          <w:tcPr>
            <w:tcW w:w="15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566,943</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 xml:space="preserve">Recognition principles: </w:t>
      </w:r>
      <w:r>
        <w:rPr>
          <w:rFonts w:ascii="Arial" w:cs="Arial" w:eastAsia="Arial" w:hAnsi="Arial"/>
          <w:sz w:val="18"/>
          <w:szCs w:val="18"/>
          <w:color w:val="auto"/>
        </w:rPr>
        <w:t>Revenue is recognized when a performance obligation is satisfied by the transfer of control of the contracted goods or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our customers, in an amount that reflects the consideration we expect to receive in exchange for those goods or services.</w:t>
      </w:r>
    </w:p>
    <w:p>
      <w:pPr>
        <w:spacing w:after="0" w:line="161"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i w:val="1"/>
          <w:iCs w:val="1"/>
          <w:color w:val="auto"/>
        </w:rPr>
        <w:t xml:space="preserve">Arrangements with multiple performance obligations: </w:t>
      </w:r>
      <w:r>
        <w:rPr>
          <w:rFonts w:ascii="Arial" w:cs="Arial" w:eastAsia="Arial" w:hAnsi="Arial"/>
          <w:sz w:val="18"/>
          <w:szCs w:val="18"/>
          <w:color w:val="auto"/>
        </w:rPr>
        <w:t>We have various advertising and subscription agreements which include both print and</w:t>
      </w:r>
      <w:r>
        <w:rPr>
          <w:rFonts w:ascii="Arial" w:cs="Arial" w:eastAsia="Arial" w:hAnsi="Arial"/>
          <w:sz w:val="18"/>
          <w:szCs w:val="18"/>
          <w:i w:val="1"/>
          <w:iCs w:val="1"/>
          <w:color w:val="auto"/>
        </w:rPr>
        <w:t xml:space="preserve"> </w:t>
      </w:r>
      <w:r>
        <w:rPr>
          <w:rFonts w:ascii="Arial" w:cs="Arial" w:eastAsia="Arial" w:hAnsi="Arial"/>
          <w:sz w:val="18"/>
          <w:szCs w:val="18"/>
          <w:color w:val="auto"/>
        </w:rPr>
        <w:t>digital performance obligations. Revenue from sales agreements that contain multiple performance obligations are allocated to each obligation based on the relative standalone selling price. We determine standalone selling prices based on observable prices charged to customers.</w:t>
      </w:r>
    </w:p>
    <w:p>
      <w:pPr>
        <w:spacing w:after="0" w:line="16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Contract Assets and Liabilities: </w:t>
      </w:r>
      <w:r>
        <w:rPr>
          <w:rFonts w:ascii="Arial" w:cs="Arial" w:eastAsia="Arial" w:hAnsi="Arial"/>
          <w:sz w:val="18"/>
          <w:szCs w:val="18"/>
          <w:color w:val="auto"/>
        </w:rPr>
        <w:t>The Company’s primary source of unearned revenue is from subscriptions paid in advance of the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The Company expects to recognize the revenue related to unsatisfied performance obligations over the next twelve months in accordance with the terms of the subscriptions and other contracts with customers. The unearned revenue balances described herein are the Company's only contract liability. Unearned revenue was $21,720,000 as of September 29, 2019 and $23,895,000 as of September 30, 2018. Revenue recognized in the 52 weeks ended September 29, 2019 that was included in the contract liability as of September 30, 2018 was $23,130,000.</w:t>
      </w:r>
    </w:p>
    <w:p>
      <w:pPr>
        <w:spacing w:after="0" w:line="189"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Contract asset balances relate to our Management Agreement revenue and were $1,107,000 as of September 29, 2019 and $0 as of September 30, 2018 and consisted solely of the variable portion of the contract. These contract asset balances are included in accounts receivable and contract assets, net. There are no other contract assets recorded. Accounts receivable, excluding allowance for doubtful accounts and contract assets, was $47,863,000 and $48,517,000 as of September 29, 2019 and September 30, 2018 respectively. Allowance for doubtful accounts was $6,434,000 and $4,806,000 as of September 29, 2019 and September 30, 2018, respectively.</w:t>
      </w:r>
    </w:p>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i w:val="1"/>
          <w:iCs w:val="1"/>
          <w:color w:val="auto"/>
        </w:rPr>
        <w:t xml:space="preserve">Practical expedients: </w:t>
      </w:r>
      <w:r>
        <w:rPr>
          <w:rFonts w:ascii="Arial" w:cs="Arial" w:eastAsia="Arial" w:hAnsi="Arial"/>
          <w:sz w:val="18"/>
          <w:szCs w:val="18"/>
          <w:color w:val="auto"/>
        </w:rPr>
        <w:t>Sales commissions are expensed as incurred as the associated contractual periods are one year or less. These costs are</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within compensation. The vast majority of our contracts have original expected lengths of one year or less and revenue is earned at a rate and amount that corresponds directly with the value to the customer.</w:t>
      </w:r>
    </w:p>
    <w:p>
      <w:pPr>
        <w:spacing w:after="0" w:line="200" w:lineRule="exact"/>
        <w:rPr>
          <w:sz w:val="20"/>
          <w:szCs w:val="20"/>
          <w:color w:val="auto"/>
        </w:rPr>
      </w:pPr>
    </w:p>
    <w:p>
      <w:pPr>
        <w:spacing w:after="0" w:line="213" w:lineRule="exact"/>
        <w:rPr>
          <w:sz w:val="20"/>
          <w:szCs w:val="20"/>
          <w:color w:val="auto"/>
        </w:rPr>
      </w:pPr>
    </w:p>
    <w:p>
      <w:pPr>
        <w:ind w:right="7200" w:firstLine="8"/>
        <w:spacing w:after="0" w:line="482" w:lineRule="auto"/>
        <w:tabs>
          <w:tab w:leader="none" w:pos="35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ASSOCIATED COMPANIES TNI Partners</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In Tucson, Arizona, TNI, acting as agent for our subsidiary, Star Publishing Company (“Star Publishing”) and Citizen Publishing Company (“Citizen”), a subsidiary of Gannett Co. Inc., is responsible for printing, delivery, advertising and subscription activities of the </w:t>
      </w:r>
      <w:r>
        <w:rPr>
          <w:rFonts w:ascii="Arial" w:cs="Arial" w:eastAsia="Arial" w:hAnsi="Arial"/>
          <w:sz w:val="18"/>
          <w:szCs w:val="18"/>
          <w:i w:val="1"/>
          <w:iCs w:val="1"/>
          <w:color w:val="auto"/>
        </w:rPr>
        <w:t>Arizona Daily Star,</w:t>
      </w:r>
      <w:r>
        <w:rPr>
          <w:rFonts w:ascii="Arial" w:cs="Arial" w:eastAsia="Arial" w:hAnsi="Arial"/>
          <w:sz w:val="18"/>
          <w:szCs w:val="18"/>
          <w:color w:val="auto"/>
        </w:rPr>
        <w:t xml:space="preserve"> as well as the related digital platforms and specialty publications. TNI collects all receipts and income and pays substantially all operating expenses incident to the partnership's operations and publication of the newspaper and other media. Income or loss of TNI is allocated equally to Star Publishing and Citizen.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Summarized financial information of TNI is as follows: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320" w:type="dxa"/>
            <w:vAlign w:val="bottom"/>
            <w:tcBorders>
              <w:top w:val="single" w:sz="8" w:color="auto"/>
            </w:tcBorders>
          </w:tcPr>
          <w:p>
            <w:pPr>
              <w:spacing w:after="0"/>
              <w:rPr>
                <w:sz w:val="18"/>
                <w:szCs w:val="18"/>
                <w:color w:val="auto"/>
              </w:rPr>
            </w:pPr>
          </w:p>
        </w:tc>
        <w:tc>
          <w:tcPr>
            <w:tcW w:w="28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September 29</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03"/>
        </w:trPr>
        <w:tc>
          <w:tcPr>
            <w:tcW w:w="5340" w:type="dxa"/>
            <w:vAlign w:val="bottom"/>
            <w:tcBorders>
              <w:bottom w:val="single" w:sz="8" w:color="auto"/>
            </w:tcBorders>
            <w:gridSpan w:val="2"/>
          </w:tcPr>
          <w:p>
            <w:pPr>
              <w:spacing w:after="0"/>
              <w:rPr>
                <w:sz w:val="20"/>
                <w:szCs w:val="20"/>
                <w:color w:val="auto"/>
              </w:rPr>
            </w:pPr>
            <w:r>
              <w:rPr>
                <w:rFonts w:ascii="Arial" w:cs="Arial" w:eastAsia="Arial" w:hAnsi="Arial"/>
                <w:sz w:val="16"/>
                <w:szCs w:val="16"/>
                <w:i w:val="1"/>
                <w:iCs w:val="1"/>
                <w:color w:val="auto"/>
              </w:rPr>
              <w:t>(Thousands of Dollars)</w:t>
            </w:r>
          </w:p>
        </w:tc>
        <w:tc>
          <w:tcPr>
            <w:tcW w:w="28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2019</w:t>
            </w:r>
          </w:p>
        </w:tc>
        <w:tc>
          <w:tcPr>
            <w:tcW w:w="14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399"/>
        </w:trPr>
        <w:tc>
          <w:tcPr>
            <w:tcW w:w="5340" w:type="dxa"/>
            <w:vAlign w:val="bottom"/>
            <w:gridSpan w:val="2"/>
          </w:tcPr>
          <w:p>
            <w:pPr>
              <w:spacing w:after="0"/>
              <w:rPr>
                <w:sz w:val="20"/>
                <w:szCs w:val="20"/>
                <w:color w:val="auto"/>
              </w:rPr>
            </w:pPr>
            <w:r>
              <w:rPr>
                <w:rFonts w:ascii="Arial" w:cs="Arial" w:eastAsia="Arial" w:hAnsi="Arial"/>
                <w:sz w:val="18"/>
                <w:szCs w:val="18"/>
                <w:color w:val="auto"/>
              </w:rPr>
              <w:t>ASSETS</w:t>
            </w:r>
          </w:p>
        </w:tc>
        <w:tc>
          <w:tcPr>
            <w:tcW w:w="28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assets</w:t>
            </w:r>
          </w:p>
        </w:tc>
        <w:tc>
          <w:tcPr>
            <w:tcW w:w="286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3,484</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3,615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spacing w:after="0" w:line="202" w:lineRule="exact"/>
              <w:rPr>
                <w:sz w:val="20"/>
                <w:szCs w:val="20"/>
                <w:color w:val="auto"/>
              </w:rPr>
            </w:pPr>
            <w:r>
              <w:rPr>
                <w:rFonts w:ascii="Arial" w:cs="Arial" w:eastAsia="Arial" w:hAnsi="Arial"/>
                <w:sz w:val="18"/>
                <w:szCs w:val="18"/>
                <w:color w:val="auto"/>
              </w:rPr>
              <w:t>Investments and other assets</w:t>
            </w:r>
          </w:p>
        </w:tc>
        <w:tc>
          <w:tcPr>
            <w:tcW w:w="2860" w:type="dxa"/>
            <w:vAlign w:val="bottom"/>
          </w:tcPr>
          <w:p>
            <w:pPr>
              <w:spacing w:after="0"/>
              <w:rPr>
                <w:sz w:val="17"/>
                <w:szCs w:val="17"/>
                <w:color w:val="auto"/>
              </w:rPr>
            </w:pPr>
          </w:p>
        </w:tc>
        <w:tc>
          <w:tcPr>
            <w:tcW w:w="17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1,350</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286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4,834</w:t>
            </w:r>
          </w:p>
        </w:tc>
        <w:tc>
          <w:tcPr>
            <w:tcW w:w="14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3,615</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3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LIABILITIES AND MEMBERS' EQUITY</w:t>
            </w:r>
          </w:p>
        </w:tc>
        <w:tc>
          <w:tcPr>
            <w:tcW w:w="28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Current liabilities</w:t>
            </w:r>
          </w:p>
        </w:tc>
        <w:tc>
          <w:tcPr>
            <w:tcW w:w="28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5,924</w:t>
            </w:r>
          </w:p>
        </w:tc>
        <w:tc>
          <w:tcPr>
            <w:tcW w:w="14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5,213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Members' equity</w:t>
            </w:r>
          </w:p>
        </w:tc>
        <w:tc>
          <w:tcPr>
            <w:tcW w:w="286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(1,090)</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liabilities and members' equity</w:t>
            </w:r>
          </w:p>
        </w:tc>
        <w:tc>
          <w:tcPr>
            <w:tcW w:w="28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4,834</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3,615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340" w:type="dxa"/>
            <w:vAlign w:val="bottom"/>
            <w:gridSpan w:val="2"/>
          </w:tcPr>
          <w:p>
            <w:pPr>
              <w:spacing w:after="0"/>
              <w:rPr>
                <w:sz w:val="20"/>
                <w:szCs w:val="20"/>
                <w:color w:val="auto"/>
              </w:rPr>
            </w:pPr>
            <w:r>
              <w:rPr>
                <w:rFonts w:ascii="Arial" w:cs="Arial" w:eastAsia="Arial" w:hAnsi="Arial"/>
                <w:sz w:val="18"/>
                <w:szCs w:val="18"/>
                <w:color w:val="auto"/>
              </w:rPr>
              <w:t>Summarized results of TNI are as follows:</w:t>
            </w:r>
          </w:p>
        </w:tc>
        <w:tc>
          <w:tcPr>
            <w:tcW w:w="28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340" w:type="dxa"/>
            <w:vAlign w:val="bottom"/>
            <w:tcBorders>
              <w:bottom w:val="single" w:sz="8" w:color="auto"/>
            </w:tcBorders>
            <w:gridSpan w:val="2"/>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340" w:type="dxa"/>
            <w:vAlign w:val="bottom"/>
            <w:gridSpan w:val="2"/>
          </w:tcPr>
          <w:p>
            <w:pPr>
              <w:spacing w:after="0"/>
              <w:rPr>
                <w:sz w:val="20"/>
                <w:szCs w:val="20"/>
                <w:color w:val="auto"/>
              </w:rPr>
            </w:pPr>
            <w:r>
              <w:rPr>
                <w:rFonts w:ascii="Arial" w:cs="Arial" w:eastAsia="Arial" w:hAnsi="Arial"/>
                <w:sz w:val="16"/>
                <w:szCs w:val="16"/>
                <w:i w:val="1"/>
                <w:iCs w:val="1"/>
                <w:color w:val="auto"/>
              </w:rPr>
              <w:t>(Thousands of Dollars)</w:t>
            </w:r>
          </w:p>
        </w:tc>
        <w:tc>
          <w:tcPr>
            <w:tcW w:w="286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2019</w:t>
            </w:r>
          </w:p>
        </w:tc>
        <w:tc>
          <w:tcPr>
            <w:tcW w:w="174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2018</w:t>
            </w:r>
          </w:p>
        </w:tc>
        <w:tc>
          <w:tcPr>
            <w:tcW w:w="14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320" w:type="dxa"/>
            <w:vAlign w:val="bottom"/>
            <w:tcBorders>
              <w:top w:val="single" w:sz="8" w:color="auto"/>
            </w:tcBorders>
          </w:tcPr>
          <w:p>
            <w:pPr>
              <w:spacing w:after="0"/>
              <w:rPr>
                <w:sz w:val="17"/>
                <w:szCs w:val="17"/>
                <w:color w:val="auto"/>
              </w:rPr>
            </w:pPr>
          </w:p>
        </w:tc>
        <w:tc>
          <w:tcPr>
            <w:tcW w:w="286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w:t>
            </w:r>
          </w:p>
        </w:tc>
        <w:tc>
          <w:tcPr>
            <w:tcW w:w="28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43,532</w:t>
            </w:r>
          </w:p>
        </w:tc>
        <w:tc>
          <w:tcPr>
            <w:tcW w:w="174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47,165</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48,297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Operating expenses</w:t>
            </w:r>
          </w:p>
        </w:tc>
        <w:tc>
          <w:tcPr>
            <w:tcW w:w="286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34,224</w:t>
            </w:r>
          </w:p>
        </w:tc>
        <w:tc>
          <w:tcPr>
            <w:tcW w:w="174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37,090</w:t>
            </w:r>
          </w:p>
        </w:tc>
        <w:tc>
          <w:tcPr>
            <w:tcW w:w="14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38,150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286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9,308</w:t>
            </w:r>
          </w:p>
        </w:tc>
        <w:tc>
          <w:tcPr>
            <w:tcW w:w="174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10,075</w:t>
            </w:r>
          </w:p>
        </w:tc>
        <w:tc>
          <w:tcPr>
            <w:tcW w:w="14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10,147</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3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Company's 50% share</w:t>
            </w:r>
          </w:p>
        </w:tc>
        <w:tc>
          <w:tcPr>
            <w:tcW w:w="28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4,654</w:t>
            </w:r>
          </w:p>
        </w:tc>
        <w:tc>
          <w:tcPr>
            <w:tcW w:w="174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5,038</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5,073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Less amortization of intangible assets</w:t>
            </w:r>
          </w:p>
        </w:tc>
        <w:tc>
          <w:tcPr>
            <w:tcW w:w="286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418</w:t>
            </w:r>
          </w:p>
        </w:tc>
        <w:tc>
          <w:tcPr>
            <w:tcW w:w="174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418</w:t>
            </w:r>
          </w:p>
        </w:tc>
        <w:tc>
          <w:tcPr>
            <w:tcW w:w="14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Equity in earnings of TNI</w:t>
            </w:r>
          </w:p>
        </w:tc>
        <w:tc>
          <w:tcPr>
            <w:tcW w:w="286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4,236</w:t>
            </w:r>
          </w:p>
        </w:tc>
        <w:tc>
          <w:tcPr>
            <w:tcW w:w="174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4,620</w:t>
            </w:r>
          </w:p>
        </w:tc>
        <w:tc>
          <w:tcPr>
            <w:tcW w:w="14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4,655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TNI makes weekly distributions of its earnings. We received $4,245,000, $5,814,000 and $4,644,000 in distributions in 2019, 2018 and 2017, respectively.</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At September 29, 2019, the carrying value of the Company's 50% investment in TNI is $14,741,000. The difference between our carrying value and our 50% share of the members' equity of TNI relates principally to goodwill of $12,366,000 and other identified intangible assets of $3,299,000, certain of which are being amortized over their estimated useful lives through 2020. See Note 4.</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Madison Newspapers, Inc.</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a 50% ownership interest in MNI, which publishes daily and Sunday newspapers, and other publications in Madison, Wisconsin, and other Wisconsin locations, and related digital sites. Net income or loss of MNI (after income taxes) is allocated equally to us and The Capital Times Company (“TCT”). MNI conducts its business under the trade name Capital Newspapers.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Summarized financial information of MNI is as follows: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38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September 29</w:t>
            </w: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03"/>
        </w:trPr>
        <w:tc>
          <w:tcPr>
            <w:tcW w:w="6400" w:type="dxa"/>
            <w:vAlign w:val="bottom"/>
            <w:tcBorders>
              <w:bottom w:val="single" w:sz="8" w:color="auto"/>
            </w:tcBorders>
            <w:gridSpan w:val="2"/>
          </w:tcPr>
          <w:p>
            <w:pPr>
              <w:spacing w:after="0"/>
              <w:rPr>
                <w:sz w:val="20"/>
                <w:szCs w:val="20"/>
                <w:color w:val="auto"/>
              </w:rPr>
            </w:pPr>
            <w:r>
              <w:rPr>
                <w:rFonts w:ascii="Arial" w:cs="Arial" w:eastAsia="Arial" w:hAnsi="Arial"/>
                <w:sz w:val="16"/>
                <w:szCs w:val="16"/>
                <w:i w:val="1"/>
                <w:iCs w:val="1"/>
                <w:color w:val="auto"/>
              </w:rPr>
              <w:t>(Thousands of Dollars)</w:t>
            </w:r>
          </w:p>
        </w:tc>
        <w:tc>
          <w:tcPr>
            <w:tcW w:w="18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2019</w:t>
            </w:r>
          </w:p>
        </w:tc>
        <w:tc>
          <w:tcPr>
            <w:tcW w:w="15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399"/>
        </w:trPr>
        <w:tc>
          <w:tcPr>
            <w:tcW w:w="6400" w:type="dxa"/>
            <w:vAlign w:val="bottom"/>
            <w:gridSpan w:val="2"/>
          </w:tcPr>
          <w:p>
            <w:pPr>
              <w:spacing w:after="0"/>
              <w:rPr>
                <w:sz w:val="20"/>
                <w:szCs w:val="20"/>
                <w:color w:val="auto"/>
              </w:rPr>
            </w:pPr>
            <w:r>
              <w:rPr>
                <w:rFonts w:ascii="Arial" w:cs="Arial" w:eastAsia="Arial" w:hAnsi="Arial"/>
                <w:sz w:val="18"/>
                <w:szCs w:val="18"/>
                <w:color w:val="auto"/>
              </w:rPr>
              <w:t>ASSETS</w:t>
            </w:r>
          </w:p>
        </w:tc>
        <w:tc>
          <w:tcPr>
            <w:tcW w:w="18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assets</w:t>
            </w:r>
          </w:p>
        </w:tc>
        <w:tc>
          <w:tcPr>
            <w:tcW w:w="180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8,796</w:t>
            </w:r>
          </w:p>
        </w:tc>
        <w:tc>
          <w:tcPr>
            <w:tcW w:w="15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10,173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Investments and other assets</w:t>
            </w:r>
          </w:p>
        </w:tc>
        <w:tc>
          <w:tcPr>
            <w:tcW w:w="18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31,134</w:t>
            </w:r>
          </w:p>
        </w:tc>
        <w:tc>
          <w:tcPr>
            <w:tcW w:w="15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33,295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assets</w:t>
            </w:r>
          </w:p>
        </w:tc>
        <w:tc>
          <w:tcPr>
            <w:tcW w:w="180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39,930</w:t>
            </w:r>
          </w:p>
        </w:tc>
        <w:tc>
          <w:tcPr>
            <w:tcW w:w="15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43,468</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3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LIABILITIES AND MEMBERS' EQUITY</w:t>
            </w:r>
          </w:p>
        </w:tc>
        <w:tc>
          <w:tcPr>
            <w:tcW w:w="18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800" w:type="dxa"/>
            <w:vAlign w:val="bottom"/>
          </w:tcPr>
          <w:p>
            <w:pPr>
              <w:spacing w:after="0"/>
              <w:rPr>
                <w:sz w:val="17"/>
                <w:szCs w:val="17"/>
                <w:color w:val="auto"/>
              </w:rPr>
            </w:pPr>
          </w:p>
        </w:tc>
        <w:tc>
          <w:tcPr>
            <w:tcW w:w="17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5,912</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7,274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liabilities</w:t>
            </w:r>
          </w:p>
        </w:tc>
        <w:tc>
          <w:tcPr>
            <w:tcW w:w="180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6,064</w:t>
            </w:r>
          </w:p>
        </w:tc>
        <w:tc>
          <w:tcPr>
            <w:tcW w:w="15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7,261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Stockholders' equity</w:t>
            </w:r>
          </w:p>
        </w:tc>
        <w:tc>
          <w:tcPr>
            <w:tcW w:w="18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27,954</w:t>
            </w:r>
          </w:p>
        </w:tc>
        <w:tc>
          <w:tcPr>
            <w:tcW w:w="15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28,933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liabilities and stockholders' equity</w:t>
            </w:r>
          </w:p>
        </w:tc>
        <w:tc>
          <w:tcPr>
            <w:tcW w:w="180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39,930</w:t>
            </w:r>
          </w:p>
        </w:tc>
        <w:tc>
          <w:tcPr>
            <w:tcW w:w="15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43,468</w:t>
            </w:r>
          </w:p>
        </w:tc>
        <w:tc>
          <w:tcPr>
            <w:tcW w:w="0" w:type="dxa"/>
            <w:vAlign w:val="bottom"/>
          </w:tcPr>
          <w:p>
            <w:pPr>
              <w:spacing w:after="0"/>
              <w:rPr>
                <w:sz w:val="1"/>
                <w:szCs w:val="1"/>
                <w:color w:val="auto"/>
              </w:rPr>
            </w:pPr>
          </w:p>
        </w:tc>
      </w:tr>
      <w:tr>
        <w:trPr>
          <w:trHeight w:val="399"/>
        </w:trPr>
        <w:tc>
          <w:tcPr>
            <w:tcW w:w="6400" w:type="dxa"/>
            <w:vAlign w:val="bottom"/>
            <w:gridSpan w:val="2"/>
          </w:tcPr>
          <w:p>
            <w:pPr>
              <w:spacing w:after="0"/>
              <w:rPr>
                <w:sz w:val="20"/>
                <w:szCs w:val="20"/>
                <w:color w:val="auto"/>
              </w:rPr>
            </w:pPr>
            <w:r>
              <w:rPr>
                <w:rFonts w:ascii="Arial" w:cs="Arial" w:eastAsia="Arial" w:hAnsi="Arial"/>
                <w:sz w:val="18"/>
                <w:szCs w:val="18"/>
                <w:color w:val="auto"/>
              </w:rPr>
              <w:t>Summarized results of MNI are as follows:</w:t>
            </w:r>
          </w:p>
        </w:tc>
        <w:tc>
          <w:tcPr>
            <w:tcW w:w="18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400" w:type="dxa"/>
            <w:vAlign w:val="bottom"/>
            <w:tcBorders>
              <w:bottom w:val="single" w:sz="8" w:color="auto"/>
            </w:tcBorders>
            <w:gridSpan w:val="2"/>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0" w:type="dxa"/>
            <w:vAlign w:val="bottom"/>
            <w:gridSpan w:val="2"/>
          </w:tcPr>
          <w:p>
            <w:pPr>
              <w:spacing w:after="0"/>
              <w:rPr>
                <w:sz w:val="20"/>
                <w:szCs w:val="20"/>
                <w:color w:val="auto"/>
              </w:rPr>
            </w:pPr>
            <w:r>
              <w:rPr>
                <w:rFonts w:ascii="Arial" w:cs="Arial" w:eastAsia="Arial" w:hAnsi="Arial"/>
                <w:sz w:val="16"/>
                <w:szCs w:val="16"/>
                <w:i w:val="1"/>
                <w:iCs w:val="1"/>
                <w:color w:val="auto"/>
              </w:rPr>
              <w:t>(Thousands of Dollars)</w:t>
            </w:r>
          </w:p>
        </w:tc>
        <w:tc>
          <w:tcPr>
            <w:tcW w:w="180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2019</w:t>
            </w:r>
          </w:p>
        </w:tc>
        <w:tc>
          <w:tcPr>
            <w:tcW w:w="1700" w:type="dxa"/>
            <w:vAlign w:val="bottom"/>
          </w:tcPr>
          <w:p>
            <w:pPr>
              <w:jc w:val="right"/>
              <w:ind w:right="190"/>
              <w:spacing w:after="0" w:line="196" w:lineRule="exact"/>
              <w:rPr>
                <w:sz w:val="20"/>
                <w:szCs w:val="20"/>
                <w:color w:val="auto"/>
              </w:rPr>
            </w:pPr>
            <w:r>
              <w:rPr>
                <w:rFonts w:ascii="Arial" w:cs="Arial" w:eastAsia="Arial" w:hAnsi="Arial"/>
                <w:sz w:val="18"/>
                <w:szCs w:val="18"/>
                <w:color w:val="auto"/>
              </w:rPr>
              <w:t>2018</w:t>
            </w:r>
          </w:p>
        </w:tc>
        <w:tc>
          <w:tcPr>
            <w:tcW w:w="1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38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w:t>
            </w:r>
          </w:p>
        </w:tc>
        <w:tc>
          <w:tcPr>
            <w:tcW w:w="180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56,790</w:t>
            </w:r>
          </w:p>
        </w:tc>
        <w:tc>
          <w:tcPr>
            <w:tcW w:w="170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59,670</w:t>
            </w:r>
          </w:p>
        </w:tc>
        <w:tc>
          <w:tcPr>
            <w:tcW w:w="15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61,396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spacing w:after="0" w:line="201" w:lineRule="exact"/>
              <w:rPr>
                <w:sz w:val="20"/>
                <w:szCs w:val="20"/>
                <w:color w:val="auto"/>
              </w:rPr>
            </w:pPr>
            <w:r>
              <w:rPr>
                <w:rFonts w:ascii="Arial" w:cs="Arial" w:eastAsia="Arial" w:hAnsi="Arial"/>
                <w:sz w:val="18"/>
                <w:szCs w:val="18"/>
                <w:color w:val="auto"/>
              </w:rPr>
              <w:t>Operating expenses, excluding restructuring costs, depreciation and</w:t>
            </w:r>
          </w:p>
        </w:tc>
        <w:tc>
          <w:tcPr>
            <w:tcW w:w="18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gridSpan w:val="2"/>
          </w:tcPr>
          <w:p>
            <w:pPr>
              <w:spacing w:after="0" w:line="203" w:lineRule="exact"/>
              <w:rPr>
                <w:sz w:val="20"/>
                <w:szCs w:val="20"/>
                <w:color w:val="auto"/>
              </w:rPr>
            </w:pPr>
            <w:r>
              <w:rPr>
                <w:rFonts w:ascii="Arial" w:cs="Arial" w:eastAsia="Arial" w:hAnsi="Arial"/>
                <w:sz w:val="18"/>
                <w:szCs w:val="18"/>
                <w:color w:val="auto"/>
              </w:rPr>
              <w:t>amortization</w:t>
            </w:r>
          </w:p>
        </w:tc>
        <w:tc>
          <w:tcPr>
            <w:tcW w:w="1800" w:type="dxa"/>
            <w:vAlign w:val="bottom"/>
          </w:tcPr>
          <w:p>
            <w:pPr>
              <w:jc w:val="right"/>
              <w:ind w:right="210"/>
              <w:spacing w:after="0" w:line="203" w:lineRule="exact"/>
              <w:rPr>
                <w:sz w:val="20"/>
                <w:szCs w:val="20"/>
                <w:color w:val="auto"/>
              </w:rPr>
            </w:pPr>
            <w:r>
              <w:rPr>
                <w:rFonts w:ascii="Arial" w:cs="Arial" w:eastAsia="Arial" w:hAnsi="Arial"/>
                <w:sz w:val="18"/>
                <w:szCs w:val="18"/>
                <w:color w:val="auto"/>
              </w:rPr>
              <w:t>48,121</w:t>
            </w:r>
          </w:p>
        </w:tc>
        <w:tc>
          <w:tcPr>
            <w:tcW w:w="1700" w:type="dxa"/>
            <w:vAlign w:val="bottom"/>
          </w:tcPr>
          <w:p>
            <w:pPr>
              <w:jc w:val="right"/>
              <w:ind w:right="190"/>
              <w:spacing w:after="0" w:line="203" w:lineRule="exact"/>
              <w:rPr>
                <w:sz w:val="20"/>
                <w:szCs w:val="20"/>
                <w:color w:val="auto"/>
              </w:rPr>
            </w:pPr>
            <w:r>
              <w:rPr>
                <w:rFonts w:ascii="Arial" w:cs="Arial" w:eastAsia="Arial" w:hAnsi="Arial"/>
                <w:sz w:val="18"/>
                <w:szCs w:val="18"/>
                <w:color w:val="auto"/>
              </w:rPr>
              <w:t>49,598</w:t>
            </w:r>
          </w:p>
        </w:tc>
        <w:tc>
          <w:tcPr>
            <w:tcW w:w="1520" w:type="dxa"/>
            <w:vAlign w:val="bottom"/>
          </w:tcPr>
          <w:p>
            <w:pPr>
              <w:jc w:val="right"/>
              <w:ind w:right="10"/>
              <w:spacing w:after="0" w:line="203" w:lineRule="exact"/>
              <w:rPr>
                <w:sz w:val="20"/>
                <w:szCs w:val="20"/>
                <w:color w:val="auto"/>
              </w:rPr>
            </w:pPr>
            <w:r>
              <w:rPr>
                <w:rFonts w:ascii="Arial" w:cs="Arial" w:eastAsia="Arial" w:hAnsi="Arial"/>
                <w:sz w:val="18"/>
                <w:szCs w:val="18"/>
                <w:color w:val="auto"/>
              </w:rPr>
              <w:t>51,392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Restructuring costs</w:t>
            </w:r>
          </w:p>
        </w:tc>
        <w:tc>
          <w:tcPr>
            <w:tcW w:w="180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355</w:t>
            </w:r>
          </w:p>
        </w:tc>
        <w:tc>
          <w:tcPr>
            <w:tcW w:w="170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383</w:t>
            </w:r>
          </w:p>
        </w:tc>
        <w:tc>
          <w:tcPr>
            <w:tcW w:w="15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80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1,018</w:t>
            </w:r>
          </w:p>
        </w:tc>
        <w:tc>
          <w:tcPr>
            <w:tcW w:w="170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1,149</w:t>
            </w:r>
          </w:p>
        </w:tc>
        <w:tc>
          <w:tcPr>
            <w:tcW w:w="15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18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7,296</w:t>
            </w:r>
          </w:p>
        </w:tc>
        <w:tc>
          <w:tcPr>
            <w:tcW w:w="170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8,540</w:t>
            </w:r>
          </w:p>
        </w:tc>
        <w:tc>
          <w:tcPr>
            <w:tcW w:w="15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8,413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80" w:type="dxa"/>
            <w:vAlign w:val="bottom"/>
            <w:tcBorders>
              <w:bottom w:val="single" w:sz="8" w:color="auto"/>
            </w:tcBorders>
          </w:tcPr>
          <w:p>
            <w:pPr>
              <w:spacing w:after="0" w:line="183" w:lineRule="exact"/>
              <w:rPr>
                <w:sz w:val="20"/>
                <w:szCs w:val="20"/>
                <w:color w:val="auto"/>
              </w:rPr>
            </w:pPr>
            <w:r>
              <w:rPr>
                <w:rFonts w:ascii="Arial" w:cs="Arial" w:eastAsia="Arial" w:hAnsi="Arial"/>
                <w:sz w:val="18"/>
                <w:szCs w:val="18"/>
                <w:color w:val="auto"/>
              </w:rPr>
              <w:t>Net income</w:t>
            </w:r>
          </w:p>
        </w:tc>
        <w:tc>
          <w:tcPr>
            <w:tcW w:w="1800" w:type="dxa"/>
            <w:vAlign w:val="bottom"/>
            <w:tcBorders>
              <w:bottom w:val="single" w:sz="8" w:color="auto"/>
            </w:tcBorders>
          </w:tcPr>
          <w:p>
            <w:pPr>
              <w:jc w:val="right"/>
              <w:ind w:right="210"/>
              <w:spacing w:after="0" w:line="183" w:lineRule="exact"/>
              <w:rPr>
                <w:sz w:val="20"/>
                <w:szCs w:val="20"/>
                <w:color w:val="auto"/>
              </w:rPr>
            </w:pPr>
            <w:r>
              <w:rPr>
                <w:rFonts w:ascii="Arial" w:cs="Arial" w:eastAsia="Arial" w:hAnsi="Arial"/>
                <w:sz w:val="18"/>
                <w:szCs w:val="18"/>
                <w:color w:val="auto"/>
              </w:rPr>
              <w:t>5,770</w:t>
            </w:r>
          </w:p>
        </w:tc>
        <w:tc>
          <w:tcPr>
            <w:tcW w:w="1700" w:type="dxa"/>
            <w:vAlign w:val="bottom"/>
            <w:tcBorders>
              <w:bottom w:val="single" w:sz="8" w:color="auto"/>
            </w:tcBorders>
          </w:tcPr>
          <w:p>
            <w:pPr>
              <w:jc w:val="right"/>
              <w:ind w:right="190"/>
              <w:spacing w:after="0" w:line="183" w:lineRule="exact"/>
              <w:rPr>
                <w:sz w:val="20"/>
                <w:szCs w:val="20"/>
                <w:color w:val="auto"/>
              </w:rPr>
            </w:pPr>
            <w:r>
              <w:rPr>
                <w:rFonts w:ascii="Arial" w:cs="Arial" w:eastAsia="Arial" w:hAnsi="Arial"/>
                <w:sz w:val="18"/>
                <w:szCs w:val="18"/>
                <w:color w:val="auto"/>
              </w:rPr>
              <w:t>9,257</w:t>
            </w:r>
          </w:p>
        </w:tc>
        <w:tc>
          <w:tcPr>
            <w:tcW w:w="1520" w:type="dxa"/>
            <w:vAlign w:val="bottom"/>
            <w:tcBorders>
              <w:bottom w:val="single" w:sz="8" w:color="auto"/>
            </w:tcBorders>
          </w:tcPr>
          <w:p>
            <w:pPr>
              <w:jc w:val="right"/>
              <w:ind w:right="10"/>
              <w:spacing w:after="0" w:line="183" w:lineRule="exact"/>
              <w:rPr>
                <w:sz w:val="20"/>
                <w:szCs w:val="20"/>
                <w:color w:val="auto"/>
              </w:rPr>
            </w:pPr>
            <w:r>
              <w:rPr>
                <w:rFonts w:ascii="Arial" w:cs="Arial" w:eastAsia="Arial" w:hAnsi="Arial"/>
                <w:sz w:val="18"/>
                <w:szCs w:val="18"/>
                <w:color w:val="auto"/>
              </w:rPr>
              <w:t>5,908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8"/>
                <w:szCs w:val="18"/>
                <w:color w:val="auto"/>
              </w:rPr>
              <w:t>Equity in earnings of MNI</w:t>
            </w:r>
          </w:p>
        </w:tc>
        <w:tc>
          <w:tcPr>
            <w:tcW w:w="1800" w:type="dxa"/>
            <w:vAlign w:val="bottom"/>
            <w:tcBorders>
              <w:bottom w:val="single" w:sz="8" w:color="auto"/>
            </w:tcBorders>
            <w:shd w:val="clear" w:color="auto" w:fill="CCEEFF"/>
          </w:tcPr>
          <w:p>
            <w:pPr>
              <w:jc w:val="right"/>
              <w:ind w:right="210"/>
              <w:spacing w:after="0" w:line="183" w:lineRule="exact"/>
              <w:rPr>
                <w:sz w:val="20"/>
                <w:szCs w:val="20"/>
                <w:color w:val="auto"/>
              </w:rPr>
            </w:pPr>
            <w:r>
              <w:rPr>
                <w:rFonts w:ascii="Arial" w:cs="Arial" w:eastAsia="Arial" w:hAnsi="Arial"/>
                <w:sz w:val="18"/>
                <w:szCs w:val="18"/>
                <w:color w:val="auto"/>
              </w:rPr>
              <w:t>2,885</w:t>
            </w:r>
          </w:p>
        </w:tc>
        <w:tc>
          <w:tcPr>
            <w:tcW w:w="1700" w:type="dxa"/>
            <w:vAlign w:val="bottom"/>
            <w:tcBorders>
              <w:bottom w:val="single" w:sz="8" w:color="auto"/>
            </w:tcBorders>
            <w:shd w:val="clear" w:color="auto" w:fill="CCEEFF"/>
          </w:tcPr>
          <w:p>
            <w:pPr>
              <w:jc w:val="right"/>
              <w:ind w:right="190"/>
              <w:spacing w:after="0" w:line="183" w:lineRule="exact"/>
              <w:rPr>
                <w:sz w:val="20"/>
                <w:szCs w:val="20"/>
                <w:color w:val="auto"/>
              </w:rPr>
            </w:pPr>
            <w:r>
              <w:rPr>
                <w:rFonts w:ascii="Arial" w:cs="Arial" w:eastAsia="Arial" w:hAnsi="Arial"/>
                <w:sz w:val="18"/>
                <w:szCs w:val="18"/>
                <w:color w:val="auto"/>
              </w:rPr>
              <w:t>4,629</w:t>
            </w:r>
          </w:p>
        </w:tc>
        <w:tc>
          <w:tcPr>
            <w:tcW w:w="1520" w:type="dxa"/>
            <w:vAlign w:val="bottom"/>
            <w:tcBorders>
              <w:bottom w:val="single" w:sz="8" w:color="auto"/>
            </w:tcBorders>
            <w:shd w:val="clear" w:color="auto" w:fill="CCEEFF"/>
          </w:tcPr>
          <w:p>
            <w:pPr>
              <w:jc w:val="right"/>
              <w:ind w:right="10"/>
              <w:spacing w:after="0" w:line="183" w:lineRule="exact"/>
              <w:rPr>
                <w:sz w:val="20"/>
                <w:szCs w:val="20"/>
                <w:color w:val="auto"/>
              </w:rPr>
            </w:pPr>
            <w:r>
              <w:rPr>
                <w:rFonts w:ascii="Arial" w:cs="Arial" w:eastAsia="Arial" w:hAnsi="Arial"/>
                <w:sz w:val="18"/>
                <w:szCs w:val="18"/>
                <w:color w:val="auto"/>
              </w:rPr>
              <w:t>2,954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MNI makes quarterly distributions of its earnings. We received $3,350,000, $3,400,000 and $3,500,000 in distributions in 2019, 2018 and 2017, respectively.</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provide editorial services to MNI. Editorial service fees are included in other revenue in the Consolidated Statements of Income and Comprehensive Income and totaled $6,636,000, $6,718,000 and $7,021,000, in 2019, 2018 and 2017,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At September 29, 2019, the carrying value of the Company's 50% investment in MNI is $14,001,000.</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53" w:name="page54"/>
    <w:bookmarkEnd w:id="53"/>
    <w:p>
      <w:pPr>
        <w:ind w:left="300" w:hanging="292"/>
        <w:spacing w:after="0"/>
        <w:tabs>
          <w:tab w:leader="none" w:pos="3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related to continuing operations are as follows: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Borders>
              <w:top w:val="single" w:sz="8" w:color="auto"/>
            </w:tcBorders>
            <w:gridSpan w:val="2"/>
          </w:tcPr>
          <w:p>
            <w:pPr>
              <w:spacing w:after="0"/>
              <w:rPr>
                <w:sz w:val="20"/>
                <w:szCs w:val="20"/>
                <w:color w:val="auto"/>
              </w:rPr>
            </w:pPr>
            <w:r>
              <w:rPr>
                <w:rFonts w:ascii="Arial" w:cs="Arial" w:eastAsia="Arial" w:hAnsi="Arial"/>
                <w:sz w:val="16"/>
                <w:szCs w:val="16"/>
                <w:i w:val="1"/>
                <w:iCs w:val="1"/>
                <w:color w:val="auto"/>
              </w:rPr>
              <w:t>(Thousands of Dollars)</w:t>
            </w:r>
          </w:p>
        </w:tc>
        <w:tc>
          <w:tcPr>
            <w:tcW w:w="24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2019</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520" w:type="dxa"/>
            <w:vAlign w:val="bottom"/>
            <w:tcBorders>
              <w:top w:val="single" w:sz="8" w:color="auto"/>
            </w:tcBorders>
          </w:tcPr>
          <w:p>
            <w:pPr>
              <w:spacing w:after="0"/>
              <w:rPr>
                <w:sz w:val="17"/>
                <w:szCs w:val="17"/>
                <w:color w:val="auto"/>
              </w:rPr>
            </w:pPr>
          </w:p>
        </w:tc>
        <w:tc>
          <w:tcPr>
            <w:tcW w:w="24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 gross amount</w:t>
            </w:r>
          </w:p>
        </w:tc>
        <w:tc>
          <w:tcPr>
            <w:tcW w:w="240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1,534,905</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1,535,155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Accumulated impairment losses</w:t>
            </w:r>
          </w:p>
        </w:tc>
        <w:tc>
          <w:tcPr>
            <w:tcW w:w="240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(1,288,729)</w:t>
            </w: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(1,288,729)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Goodwill, beginning of year</w:t>
            </w:r>
          </w:p>
        </w:tc>
        <w:tc>
          <w:tcPr>
            <w:tcW w:w="240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246,176</w:t>
            </w:r>
          </w:p>
        </w:tc>
        <w:tc>
          <w:tcPr>
            <w:tcW w:w="14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246,426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20" w:type="dxa"/>
            <w:vAlign w:val="bottom"/>
          </w:tcPr>
          <w:p>
            <w:pPr>
              <w:spacing w:after="0" w:line="196" w:lineRule="exact"/>
              <w:rPr>
                <w:sz w:val="20"/>
                <w:szCs w:val="20"/>
                <w:color w:val="auto"/>
              </w:rPr>
            </w:pPr>
            <w:r>
              <w:rPr>
                <w:rFonts w:ascii="Arial" w:cs="Arial" w:eastAsia="Arial" w:hAnsi="Arial"/>
                <w:sz w:val="18"/>
                <w:szCs w:val="18"/>
                <w:color w:val="auto"/>
              </w:rPr>
              <w:t>Goodwill acquired in business combinations</w:t>
            </w:r>
          </w:p>
        </w:tc>
        <w:tc>
          <w:tcPr>
            <w:tcW w:w="240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4,133</w:t>
            </w:r>
          </w:p>
        </w:tc>
        <w:tc>
          <w:tcPr>
            <w:tcW w:w="14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Goodwill allocated to disposed businesses</w:t>
            </w:r>
          </w:p>
        </w:tc>
        <w:tc>
          <w:tcPr>
            <w:tcW w:w="240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75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Goodwill, end of year</w:t>
            </w:r>
          </w:p>
        </w:tc>
        <w:tc>
          <w:tcPr>
            <w:tcW w:w="24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250,309</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246,176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540" w:type="dxa"/>
            <w:vAlign w:val="bottom"/>
            <w:gridSpan w:val="2"/>
          </w:tcPr>
          <w:p>
            <w:pPr>
              <w:spacing w:after="0"/>
              <w:rPr>
                <w:sz w:val="20"/>
                <w:szCs w:val="20"/>
                <w:color w:val="auto"/>
              </w:rPr>
            </w:pPr>
            <w:r>
              <w:rPr>
                <w:rFonts w:ascii="Arial" w:cs="Arial" w:eastAsia="Arial" w:hAnsi="Arial"/>
                <w:sz w:val="18"/>
                <w:szCs w:val="18"/>
                <w:color w:val="auto"/>
              </w:rPr>
              <w:t>Identified intangible assets related to continuing operations consist of the following:</w:t>
            </w:r>
          </w:p>
        </w:tc>
        <w:tc>
          <w:tcPr>
            <w:tcW w:w="2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520" w:type="dxa"/>
            <w:vAlign w:val="bottom"/>
          </w:tcPr>
          <w:p>
            <w:pPr>
              <w:spacing w:after="0"/>
              <w:rPr>
                <w:sz w:val="16"/>
                <w:szCs w:val="16"/>
                <w:color w:val="auto"/>
              </w:rPr>
            </w:pPr>
          </w:p>
        </w:tc>
        <w:tc>
          <w:tcPr>
            <w:tcW w:w="240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September 29</w:t>
            </w:r>
          </w:p>
        </w:tc>
        <w:tc>
          <w:tcPr>
            <w:tcW w:w="14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03"/>
        </w:trPr>
        <w:tc>
          <w:tcPr>
            <w:tcW w:w="7540" w:type="dxa"/>
            <w:vAlign w:val="bottom"/>
            <w:tcBorders>
              <w:bottom w:val="single" w:sz="8" w:color="auto"/>
            </w:tcBorders>
            <w:gridSpan w:val="2"/>
          </w:tcPr>
          <w:p>
            <w:pPr>
              <w:spacing w:after="0"/>
              <w:rPr>
                <w:sz w:val="20"/>
                <w:szCs w:val="20"/>
                <w:color w:val="auto"/>
              </w:rPr>
            </w:pPr>
            <w:r>
              <w:rPr>
                <w:rFonts w:ascii="Arial" w:cs="Arial" w:eastAsia="Arial" w:hAnsi="Arial"/>
                <w:sz w:val="16"/>
                <w:szCs w:val="16"/>
                <w:i w:val="1"/>
                <w:iCs w:val="1"/>
                <w:color w:val="auto"/>
              </w:rPr>
              <w:t>(Thousands of Dollars)</w:t>
            </w:r>
          </w:p>
        </w:tc>
        <w:tc>
          <w:tcPr>
            <w:tcW w:w="240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2019</w:t>
            </w:r>
          </w:p>
        </w:tc>
        <w:tc>
          <w:tcPr>
            <w:tcW w:w="14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399"/>
        </w:trPr>
        <w:tc>
          <w:tcPr>
            <w:tcW w:w="7540" w:type="dxa"/>
            <w:vAlign w:val="bottom"/>
            <w:gridSpan w:val="2"/>
          </w:tcPr>
          <w:p>
            <w:pPr>
              <w:spacing w:after="0"/>
              <w:rPr>
                <w:sz w:val="20"/>
                <w:szCs w:val="20"/>
                <w:color w:val="auto"/>
              </w:rPr>
            </w:pPr>
            <w:r>
              <w:rPr>
                <w:rFonts w:ascii="Arial" w:cs="Arial" w:eastAsia="Arial" w:hAnsi="Arial"/>
                <w:sz w:val="18"/>
                <w:szCs w:val="18"/>
                <w:color w:val="auto"/>
              </w:rPr>
              <w:t>Non-amortized intangible assets:</w:t>
            </w:r>
          </w:p>
        </w:tc>
        <w:tc>
          <w:tcPr>
            <w:tcW w:w="2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Mastheads</w:t>
            </w:r>
          </w:p>
        </w:tc>
        <w:tc>
          <w:tcPr>
            <w:tcW w:w="240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21,883</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21,883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Amortizable intangible assets:</w:t>
            </w:r>
          </w:p>
        </w:tc>
        <w:tc>
          <w:tcPr>
            <w:tcW w:w="24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Customer and newspaper subscriber lists</w:t>
            </w:r>
          </w:p>
        </w:tc>
        <w:tc>
          <w:tcPr>
            <w:tcW w:w="240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697,145</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692,886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Borders>
              <w:bottom w:val="single" w:sz="8" w:color="auto"/>
            </w:tcBorders>
          </w:tcPr>
          <w:p>
            <w:pPr>
              <w:ind w:left="160"/>
              <w:spacing w:after="0" w:line="202" w:lineRule="exact"/>
              <w:rPr>
                <w:sz w:val="20"/>
                <w:szCs w:val="20"/>
                <w:color w:val="auto"/>
              </w:rPr>
            </w:pPr>
            <w:r>
              <w:rPr>
                <w:rFonts w:ascii="Arial" w:cs="Arial" w:eastAsia="Arial" w:hAnsi="Arial"/>
                <w:sz w:val="18"/>
                <w:szCs w:val="18"/>
                <w:color w:val="auto"/>
              </w:rPr>
              <w:t>Less accumulated amortization</w:t>
            </w:r>
          </w:p>
        </w:tc>
        <w:tc>
          <w:tcPr>
            <w:tcW w:w="240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611,786</w:t>
            </w:r>
          </w:p>
        </w:tc>
        <w:tc>
          <w:tcPr>
            <w:tcW w:w="14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594,950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20" w:type="dxa"/>
            <w:vAlign w:val="bottom"/>
            <w:tcBorders>
              <w:bottom w:val="single" w:sz="8" w:color="auto"/>
            </w:tcBorders>
            <w:shd w:val="clear" w:color="auto" w:fill="CCEEFF"/>
          </w:tcPr>
          <w:p>
            <w:pPr>
              <w:spacing w:after="0"/>
              <w:rPr>
                <w:sz w:val="17"/>
                <w:szCs w:val="17"/>
                <w:color w:val="auto"/>
              </w:rPr>
            </w:pPr>
          </w:p>
        </w:tc>
        <w:tc>
          <w:tcPr>
            <w:tcW w:w="240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85,359</w:t>
            </w:r>
          </w:p>
        </w:tc>
        <w:tc>
          <w:tcPr>
            <w:tcW w:w="14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97,936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20" w:type="dxa"/>
            <w:vAlign w:val="bottom"/>
          </w:tcPr>
          <w:p>
            <w:pPr>
              <w:ind w:left="160"/>
              <w:spacing w:after="0" w:line="196" w:lineRule="exact"/>
              <w:rPr>
                <w:sz w:val="20"/>
                <w:szCs w:val="20"/>
                <w:color w:val="auto"/>
              </w:rPr>
            </w:pPr>
            <w:r>
              <w:rPr>
                <w:rFonts w:ascii="Arial" w:cs="Arial" w:eastAsia="Arial" w:hAnsi="Arial"/>
                <w:sz w:val="18"/>
                <w:szCs w:val="18"/>
                <w:color w:val="auto"/>
              </w:rPr>
              <w:t>Non-compete and consulting agreements</w:t>
            </w:r>
          </w:p>
        </w:tc>
        <w:tc>
          <w:tcPr>
            <w:tcW w:w="240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28,675</w:t>
            </w:r>
          </w:p>
        </w:tc>
        <w:tc>
          <w:tcPr>
            <w:tcW w:w="14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28,524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Borders>
              <w:bottom w:val="single" w:sz="8" w:color="auto"/>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Less accumulated amortization</w:t>
            </w:r>
          </w:p>
        </w:tc>
        <w:tc>
          <w:tcPr>
            <w:tcW w:w="240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28,524</w:t>
            </w:r>
          </w:p>
        </w:tc>
        <w:tc>
          <w:tcPr>
            <w:tcW w:w="14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28,524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151</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520" w:type="dxa"/>
            <w:vAlign w:val="bottom"/>
            <w:tcBorders>
              <w:bottom w:val="single" w:sz="8" w:color="auto"/>
            </w:tcBorders>
            <w:shd w:val="clear" w:color="auto" w:fill="CCEEFF"/>
          </w:tcPr>
          <w:p>
            <w:pPr>
              <w:spacing w:after="0"/>
              <w:rPr>
                <w:sz w:val="20"/>
                <w:szCs w:val="20"/>
                <w:color w:val="auto"/>
              </w:rPr>
            </w:pPr>
          </w:p>
        </w:tc>
        <w:tc>
          <w:tcPr>
            <w:tcW w:w="240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107,393</w:t>
            </w:r>
          </w:p>
        </w:tc>
        <w:tc>
          <w:tcPr>
            <w:tcW w:w="14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119,819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January 2017, the FASB issued a new standard simplifying the assessment of a goodwill impairment. The new standard maintains a qualitative and quantitative assessment but eliminates the Step 2 of the quantitative assessment. The new standard also changes the way a goodwill impairment is calculated. For companies that have reporting units with zero or negative carrying value, the new standard requires disclosure of the amount of goodwill for those reporting units.</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All of the Company’s goodwill is attributed to the single reporting unit with negative carrying value. The Company performed its annual assessment on the first day of our fourth fiscal quarter, and determined the fair value of our single reporting unit was significantly in excess of carrying value and as such, there was no impairment in 2019 or 2018.</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2017, due to continuing revenue declines, we recorded non-cash charges to reduce the carrying value of non-amortized intangible assets. We also recorded pretax charges to reduce the carrying value of other assets in 2019, 2018 and 2017. Such charges are recorded in assets loss (gain) on sales, impairments and other in the Consolidated Statements of Income and Comprehensive Income (Loss). We recorded deferred income tax benefits related to these charges.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pretax impairment charges is included in the table below:</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41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2019</w:t>
            </w:r>
          </w:p>
        </w:tc>
        <w:tc>
          <w:tcPr>
            <w:tcW w:w="16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2018</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r>
      <w:tr>
        <w:trPr>
          <w:trHeight w:val="399"/>
        </w:trPr>
        <w:tc>
          <w:tcPr>
            <w:tcW w:w="4380" w:type="dxa"/>
            <w:vAlign w:val="bottom"/>
          </w:tcPr>
          <w:p>
            <w:pPr>
              <w:spacing w:after="0"/>
              <w:rPr>
                <w:sz w:val="20"/>
                <w:szCs w:val="20"/>
                <w:color w:val="auto"/>
              </w:rPr>
            </w:pPr>
            <w:r>
              <w:rPr>
                <w:rFonts w:ascii="Arial" w:cs="Arial" w:eastAsia="Arial" w:hAnsi="Arial"/>
                <w:sz w:val="18"/>
                <w:szCs w:val="18"/>
                <w:color w:val="auto"/>
              </w:rPr>
              <w:t>Continuing operations:</w:t>
            </w:r>
          </w:p>
        </w:tc>
        <w:tc>
          <w:tcPr>
            <w:tcW w:w="4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03"/>
        </w:trPr>
        <w:tc>
          <w:tcPr>
            <w:tcW w:w="43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Non-amortized intangible assets</w:t>
            </w:r>
          </w:p>
        </w:tc>
        <w:tc>
          <w:tcPr>
            <w:tcW w:w="4180" w:type="dxa"/>
            <w:vAlign w:val="bottom"/>
            <w:shd w:val="clear" w:color="auto" w:fill="CCEEFF"/>
          </w:tcPr>
          <w:p>
            <w:pPr>
              <w:jc w:val="right"/>
              <w:ind w:right="570"/>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2,035</w:t>
            </w:r>
          </w:p>
        </w:tc>
      </w:tr>
      <w:tr>
        <w:trPr>
          <w:trHeight w:val="203"/>
        </w:trPr>
        <w:tc>
          <w:tcPr>
            <w:tcW w:w="438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Property, equipment and other assets</w:t>
            </w:r>
          </w:p>
        </w:tc>
        <w:tc>
          <w:tcPr>
            <w:tcW w:w="4180" w:type="dxa"/>
            <w:vAlign w:val="bottom"/>
            <w:tcBorders>
              <w:bottom w:val="single" w:sz="8" w:color="auto"/>
            </w:tcBorders>
          </w:tcPr>
          <w:p>
            <w:pPr>
              <w:jc w:val="right"/>
              <w:ind w:right="570"/>
              <w:spacing w:after="0" w:line="202"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ind w:right="530"/>
              <w:spacing w:after="0" w:line="202" w:lineRule="exact"/>
              <w:rPr>
                <w:sz w:val="20"/>
                <w:szCs w:val="20"/>
                <w:color w:val="auto"/>
              </w:rPr>
            </w:pPr>
            <w:r>
              <w:rPr>
                <w:rFonts w:ascii="Arial" w:cs="Arial" w:eastAsia="Arial" w:hAnsi="Arial"/>
                <w:sz w:val="18"/>
                <w:szCs w:val="18"/>
                <w:color w:val="auto"/>
              </w:rPr>
              <w:t>267</w:t>
            </w:r>
          </w:p>
        </w:tc>
        <w:tc>
          <w:tcPr>
            <w:tcW w:w="11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482</w:t>
            </w:r>
          </w:p>
        </w:tc>
      </w:tr>
      <w:tr>
        <w:trPr>
          <w:trHeight w:val="196"/>
        </w:trPr>
        <w:tc>
          <w:tcPr>
            <w:tcW w:w="4380" w:type="dxa"/>
            <w:vAlign w:val="bottom"/>
            <w:tcBorders>
              <w:bottom w:val="single" w:sz="8" w:color="auto"/>
            </w:tcBorders>
            <w:shd w:val="clear" w:color="auto" w:fill="CCEEFF"/>
          </w:tcPr>
          <w:p>
            <w:pPr>
              <w:spacing w:after="0"/>
              <w:rPr>
                <w:sz w:val="17"/>
                <w:szCs w:val="17"/>
                <w:color w:val="auto"/>
              </w:rPr>
            </w:pPr>
          </w:p>
        </w:tc>
        <w:tc>
          <w:tcPr>
            <w:tcW w:w="4180" w:type="dxa"/>
            <w:vAlign w:val="bottom"/>
            <w:tcBorders>
              <w:bottom w:val="single" w:sz="8" w:color="auto"/>
            </w:tcBorders>
            <w:shd w:val="clear" w:color="auto" w:fill="CCEEFF"/>
          </w:tcPr>
          <w:p>
            <w:pPr>
              <w:jc w:val="right"/>
              <w:ind w:right="570"/>
              <w:spacing w:after="0" w:line="196"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CCEEFF"/>
          </w:tcPr>
          <w:p>
            <w:pPr>
              <w:jc w:val="right"/>
              <w:ind w:right="530"/>
              <w:spacing w:after="0" w:line="196" w:lineRule="exact"/>
              <w:rPr>
                <w:sz w:val="20"/>
                <w:szCs w:val="20"/>
                <w:color w:val="auto"/>
              </w:rPr>
            </w:pPr>
            <w:r>
              <w:rPr>
                <w:rFonts w:ascii="Arial" w:cs="Arial" w:eastAsia="Arial" w:hAnsi="Arial"/>
                <w:sz w:val="18"/>
                <w:szCs w:val="18"/>
                <w:color w:val="auto"/>
              </w:rPr>
              <w:t>267</w:t>
            </w:r>
          </w:p>
        </w:tc>
        <w:tc>
          <w:tcPr>
            <w:tcW w:w="11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2,517</w:t>
            </w:r>
          </w:p>
        </w:tc>
      </w:tr>
      <w:tr>
        <w:trPr>
          <w:trHeight w:val="412"/>
        </w:trPr>
        <w:tc>
          <w:tcPr>
            <w:tcW w:w="4380" w:type="dxa"/>
            <w:vAlign w:val="bottom"/>
          </w:tcPr>
          <w:p>
            <w:pPr>
              <w:spacing w:after="0"/>
              <w:rPr>
                <w:sz w:val="24"/>
                <w:szCs w:val="24"/>
                <w:color w:val="auto"/>
              </w:rPr>
            </w:pPr>
          </w:p>
        </w:tc>
        <w:tc>
          <w:tcPr>
            <w:tcW w:w="4180" w:type="dxa"/>
            <w:vAlign w:val="bottom"/>
          </w:tcPr>
          <w:p>
            <w:pPr>
              <w:jc w:val="right"/>
              <w:ind w:right="2650"/>
              <w:spacing w:after="0"/>
              <w:rPr>
                <w:sz w:val="20"/>
                <w:szCs w:val="20"/>
                <w:color w:val="auto"/>
              </w:rPr>
            </w:pPr>
            <w:r>
              <w:rPr>
                <w:rFonts w:ascii="Arial" w:cs="Arial" w:eastAsia="Arial" w:hAnsi="Arial"/>
                <w:sz w:val="18"/>
                <w:szCs w:val="18"/>
                <w:color w:val="auto"/>
              </w:rPr>
              <w:t>52</w:t>
            </w:r>
          </w:p>
        </w:tc>
        <w:tc>
          <w:tcPr>
            <w:tcW w:w="1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02"/>
        </w:trPr>
        <w:tc>
          <w:tcPr>
            <w:tcW w:w="4380" w:type="dxa"/>
            <w:vAlign w:val="bottom"/>
            <w:tcBorders>
              <w:bottom w:val="single" w:sz="8" w:color="auto"/>
            </w:tcBorders>
          </w:tcPr>
          <w:p>
            <w:pPr>
              <w:spacing w:after="0"/>
              <w:rPr>
                <w:sz w:val="8"/>
                <w:szCs w:val="8"/>
                <w:color w:val="auto"/>
              </w:rPr>
            </w:pPr>
          </w:p>
        </w:tc>
        <w:tc>
          <w:tcPr>
            <w:tcW w:w="418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819" w:right="239" w:bottom="1440" w:gutter="0" w:footer="0" w:header="0"/>
        </w:sectPr>
      </w:pPr>
    </w:p>
    <w:bookmarkStart w:id="54" w:name="page55"/>
    <w:bookmarkEnd w:id="54"/>
    <w:p>
      <w:pPr>
        <w:jc w:val="both"/>
        <w:spacing w:after="0" w:line="238" w:lineRule="auto"/>
        <w:rPr>
          <w:sz w:val="20"/>
          <w:szCs w:val="20"/>
          <w:color w:val="auto"/>
        </w:rPr>
      </w:pPr>
      <w:r>
        <w:rPr>
          <w:rFonts w:ascii="Arial" w:cs="Arial" w:eastAsia="Arial" w:hAnsi="Arial"/>
          <w:sz w:val="18"/>
          <w:szCs w:val="18"/>
          <w:color w:val="auto"/>
        </w:rPr>
        <w:t>In January 2019, we purchased the businesses of Kenosha News and Lake Geneva Regional News. In February 2019, TownNews purchased the content management system ("CMS") business from GTxcel. The transactions were funded with cash on the balance sheet. As part of initial estimates $ 3,433,000 was recorded in goodwill and $ 3,650,000 was recorded in other intangible assets, net. The $ 3,650,000 of other intangible assets, net relate to acquired customer lists, which will be amortized over a 10 year period. These initial estimates will be reviewed in subsequent quarters as more information becomes available and finalized in the 13 weeks ended March 29, 2020.</w:t>
      </w:r>
    </w:p>
    <w:p>
      <w:pPr>
        <w:spacing w:after="0" w:line="18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Annual amortization of intangible assets for the years ending September 2020 to September 2024 is estimated to be $16,016,000, $14,853,000, $12,673,000, $12,052,000, and $10,325,000, respectively.</w:t>
      </w:r>
    </w:p>
    <w:p>
      <w:pPr>
        <w:spacing w:after="0" w:line="200" w:lineRule="exact"/>
        <w:rPr>
          <w:sz w:val="20"/>
          <w:szCs w:val="20"/>
          <w:color w:val="auto"/>
        </w:rPr>
      </w:pPr>
    </w:p>
    <w:p>
      <w:pPr>
        <w:spacing w:after="0" w:line="205" w:lineRule="exact"/>
        <w:rPr>
          <w:sz w:val="20"/>
          <w:szCs w:val="20"/>
          <w:color w:val="auto"/>
        </w:rPr>
      </w:pPr>
    </w:p>
    <w:p>
      <w:pPr>
        <w:ind w:left="360" w:hanging="352"/>
        <w:spacing w:after="0"/>
        <w:tabs>
          <w:tab w:leader="none" w:pos="3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On March 31, 2014, we completed a comprehensive refinancing of our debt (the "2014 Refinancing"), which included the following:</w:t>
      </w:r>
    </w:p>
    <w:p>
      <w:pPr>
        <w:spacing w:after="0" w:line="198" w:lineRule="exact"/>
        <w:rPr>
          <w:sz w:val="20"/>
          <w:szCs w:val="20"/>
          <w:color w:val="auto"/>
        </w:rPr>
      </w:pPr>
    </w:p>
    <w:p>
      <w:pPr>
        <w:ind w:left="820" w:hanging="326"/>
        <w:spacing w:after="0" w:line="246"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$400,000,000 aggregate principal amount of 9.5% Senior Secured Notes (the “Notes”), pursuant to an Indenture dated as of March 31, 2014 (the “Indenture”).</w:t>
      </w:r>
    </w:p>
    <w:p>
      <w:pPr>
        <w:spacing w:after="0" w:line="183" w:lineRule="exact"/>
        <w:rPr>
          <w:rFonts w:ascii="Arial" w:cs="Arial" w:eastAsia="Arial" w:hAnsi="Arial"/>
          <w:sz w:val="18"/>
          <w:szCs w:val="18"/>
          <w:color w:val="auto"/>
        </w:rPr>
      </w:pPr>
    </w:p>
    <w:p>
      <w:pPr>
        <w:ind w:left="820" w:hanging="326"/>
        <w:spacing w:after="0" w:line="198" w:lineRule="auto"/>
        <w:tabs>
          <w:tab w:leader="none" w:pos="820" w:val="left"/>
        </w:tabs>
        <w:numPr>
          <w:ilvl w:val="0"/>
          <w:numId w:val="26"/>
        </w:numPr>
        <w:rPr>
          <w:rFonts w:ascii="Arial" w:cs="Arial" w:eastAsia="Arial" w:hAnsi="Arial"/>
          <w:sz w:val="36"/>
          <w:szCs w:val="36"/>
          <w:color w:val="auto"/>
          <w:vertAlign w:val="superscript"/>
        </w:rPr>
      </w:pPr>
      <w:r>
        <w:rPr>
          <w:rFonts w:ascii="Arial" w:cs="Arial" w:eastAsia="Arial" w:hAnsi="Arial"/>
          <w:sz w:val="18"/>
          <w:szCs w:val="18"/>
          <w:color w:val="auto"/>
        </w:rPr>
        <w:t>$250,000,000 first lien term loan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Term Loan") and $40,000,000 revolving facility (the "Revolving Facility") under a First Lien Credit Agreement dated as of March 31, 2014 (together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w:t>
      </w:r>
    </w:p>
    <w:p>
      <w:pPr>
        <w:spacing w:after="0" w:line="62" w:lineRule="exact"/>
        <w:rPr>
          <w:rFonts w:ascii="Arial" w:cs="Arial" w:eastAsia="Arial" w:hAnsi="Arial"/>
          <w:sz w:val="36"/>
          <w:szCs w:val="36"/>
          <w:color w:val="auto"/>
          <w:vertAlign w:val="superscript"/>
        </w:rPr>
      </w:pPr>
    </w:p>
    <w:p>
      <w:pPr>
        <w:ind w:left="20" w:right="200" w:firstLine="474"/>
        <w:spacing w:after="0" w:line="281" w:lineRule="auto"/>
        <w:tabs>
          <w:tab w:leader="none" w:pos="816" w:val="left"/>
        </w:tabs>
        <w:numPr>
          <w:ilvl w:val="0"/>
          <w:numId w:val="26"/>
        </w:numPr>
        <w:rPr>
          <w:rFonts w:ascii="Arial" w:cs="Arial" w:eastAsia="Arial" w:hAnsi="Arial"/>
          <w:sz w:val="36"/>
          <w:szCs w:val="36"/>
          <w:color w:val="auto"/>
          <w:vertAlign w:val="superscript"/>
        </w:rPr>
      </w:pPr>
      <w:r>
        <w:rPr>
          <w:rFonts w:ascii="Arial" w:cs="Arial" w:eastAsia="Arial" w:hAnsi="Arial"/>
          <w:sz w:val="18"/>
          <w:szCs w:val="18"/>
          <w:color w:val="auto"/>
        </w:rPr>
        <w:t>$150,000,000 second lien term loan under a Second Lien Loan Agreement dated as of March 31, 2014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In November 2018, we repaid, in full, the remaining balance of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Term Loan.</w:t>
      </w:r>
    </w:p>
    <w:p>
      <w:pPr>
        <w:spacing w:after="0" w:line="3" w:lineRule="exact"/>
        <w:rPr>
          <w:sz w:val="20"/>
          <w:szCs w:val="20"/>
          <w:color w:val="auto"/>
        </w:rPr>
      </w:pPr>
    </w:p>
    <w:p>
      <w:pPr>
        <w:spacing w:after="0" w:line="199" w:lineRule="auto"/>
        <w:rPr>
          <w:sz w:val="20"/>
          <w:szCs w:val="20"/>
          <w:color w:val="auto"/>
        </w:rPr>
      </w:pPr>
      <w:r>
        <w:rPr>
          <w:rFonts w:ascii="Arial" w:cs="Arial" w:eastAsia="Arial" w:hAnsi="Arial"/>
          <w:sz w:val="18"/>
          <w:szCs w:val="18"/>
          <w:color w:val="auto"/>
        </w:rPr>
        <w:t>In November 2019, we amended our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to amend and extend our $23,120,000 Revolving Facility (the "Amendment") through December 28, 2020. Our Revolving Facility was undrawn at the time of the amendment.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Debt is summarized as follows: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80" w:type="dxa"/>
            <w:vAlign w:val="bottom"/>
            <w:tcBorders>
              <w:top w:val="single" w:sz="8" w:color="auto"/>
              <w:bottom w:val="single" w:sz="8" w:color="auto"/>
            </w:tcBorders>
          </w:tcPr>
          <w:p>
            <w:pPr>
              <w:spacing w:after="0"/>
              <w:rPr>
                <w:sz w:val="18"/>
                <w:szCs w:val="18"/>
                <w:color w:val="auto"/>
              </w:rPr>
            </w:pPr>
          </w:p>
        </w:tc>
        <w:tc>
          <w:tcPr>
            <w:tcW w:w="324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Interest Rates (%)</w:t>
            </w:r>
          </w:p>
        </w:tc>
        <w:tc>
          <w:tcPr>
            <w:tcW w:w="0" w:type="dxa"/>
            <w:vAlign w:val="bottom"/>
          </w:tcPr>
          <w:p>
            <w:pPr>
              <w:spacing w:after="0"/>
              <w:rPr>
                <w:sz w:val="1"/>
                <w:szCs w:val="1"/>
                <w:color w:val="auto"/>
              </w:rPr>
            </w:pPr>
          </w:p>
        </w:tc>
      </w:tr>
      <w:tr>
        <w:trPr>
          <w:trHeight w:val="195"/>
        </w:trPr>
        <w:tc>
          <w:tcPr>
            <w:tcW w:w="50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3240" w:type="dxa"/>
            <w:vAlign w:val="bottom"/>
          </w:tcPr>
          <w:p>
            <w:pPr>
              <w:jc w:val="right"/>
              <w:ind w:right="250"/>
              <w:spacing w:after="0" w:line="195" w:lineRule="exact"/>
              <w:rPr>
                <w:sz w:val="20"/>
                <w:szCs w:val="20"/>
                <w:color w:val="auto"/>
              </w:rPr>
            </w:pPr>
            <w:r>
              <w:rPr>
                <w:rFonts w:ascii="Arial" w:cs="Arial" w:eastAsia="Arial" w:hAnsi="Arial"/>
                <w:sz w:val="18"/>
                <w:szCs w:val="18"/>
                <w:color w:val="auto"/>
              </w:rPr>
              <w:t>September 29</w:t>
            </w:r>
          </w:p>
        </w:tc>
        <w:tc>
          <w:tcPr>
            <w:tcW w:w="1540" w:type="dxa"/>
            <w:vAlign w:val="bottom"/>
          </w:tcPr>
          <w:p>
            <w:pPr>
              <w:jc w:val="right"/>
              <w:ind w:right="70"/>
              <w:spacing w:after="0" w:line="195" w:lineRule="exact"/>
              <w:rPr>
                <w:sz w:val="20"/>
                <w:szCs w:val="20"/>
                <w:color w:val="auto"/>
              </w:rPr>
            </w:pPr>
            <w:r>
              <w:rPr>
                <w:rFonts w:ascii="Arial" w:cs="Arial" w:eastAsia="Arial" w:hAnsi="Arial"/>
                <w:sz w:val="18"/>
                <w:szCs w:val="18"/>
                <w:color w:val="auto"/>
              </w:rPr>
              <w:t>September 30</w:t>
            </w:r>
          </w:p>
        </w:tc>
        <w:tc>
          <w:tcPr>
            <w:tcW w:w="16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September 29</w:t>
            </w:r>
          </w:p>
        </w:tc>
        <w:tc>
          <w:tcPr>
            <w:tcW w:w="0" w:type="dxa"/>
            <w:vAlign w:val="bottom"/>
          </w:tcPr>
          <w:p>
            <w:pPr>
              <w:spacing w:after="0"/>
              <w:rPr>
                <w:sz w:val="1"/>
                <w:szCs w:val="1"/>
                <w:color w:val="auto"/>
              </w:rPr>
            </w:pPr>
          </w:p>
        </w:tc>
      </w:tr>
      <w:tr>
        <w:trPr>
          <w:trHeight w:val="203"/>
        </w:trPr>
        <w:tc>
          <w:tcPr>
            <w:tcW w:w="5000" w:type="dxa"/>
            <w:vAlign w:val="bottom"/>
            <w:gridSpan w:val="2"/>
            <w:vMerge w:val="continue"/>
          </w:tcPr>
          <w:p>
            <w:pPr>
              <w:spacing w:after="0"/>
              <w:rPr>
                <w:sz w:val="17"/>
                <w:szCs w:val="17"/>
                <w:color w:val="auto"/>
              </w:rPr>
            </w:pPr>
          </w:p>
        </w:tc>
        <w:tc>
          <w:tcPr>
            <w:tcW w:w="3240" w:type="dxa"/>
            <w:vAlign w:val="bottom"/>
          </w:tcPr>
          <w:p>
            <w:pPr>
              <w:jc w:val="right"/>
              <w:ind w:right="250"/>
              <w:spacing w:after="0" w:line="203" w:lineRule="exact"/>
              <w:rPr>
                <w:sz w:val="20"/>
                <w:szCs w:val="20"/>
                <w:color w:val="auto"/>
              </w:rPr>
            </w:pPr>
            <w:r>
              <w:rPr>
                <w:rFonts w:ascii="Arial" w:cs="Arial" w:eastAsia="Arial" w:hAnsi="Arial"/>
                <w:sz w:val="18"/>
                <w:szCs w:val="18"/>
                <w:color w:val="auto"/>
              </w:rPr>
              <w:t>2019</w:t>
            </w:r>
          </w:p>
        </w:tc>
        <w:tc>
          <w:tcPr>
            <w:tcW w:w="1540" w:type="dxa"/>
            <w:vAlign w:val="bottom"/>
          </w:tcPr>
          <w:p>
            <w:pPr>
              <w:jc w:val="right"/>
              <w:ind w:right="70"/>
              <w:spacing w:after="0" w:line="203" w:lineRule="exact"/>
              <w:rPr>
                <w:sz w:val="20"/>
                <w:szCs w:val="20"/>
                <w:color w:val="auto"/>
              </w:rPr>
            </w:pPr>
            <w:r>
              <w:rPr>
                <w:rFonts w:ascii="Arial" w:cs="Arial" w:eastAsia="Arial" w:hAnsi="Arial"/>
                <w:sz w:val="18"/>
                <w:szCs w:val="18"/>
                <w:color w:val="auto"/>
              </w:rPr>
              <w:t>2018</w:t>
            </w:r>
          </w:p>
        </w:tc>
        <w:tc>
          <w:tcPr>
            <w:tcW w:w="1640" w:type="dxa"/>
            <w:vAlign w:val="bottom"/>
          </w:tcPr>
          <w:p>
            <w:pPr>
              <w:jc w:val="right"/>
              <w:ind w:right="10"/>
              <w:spacing w:after="0" w:line="203"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980" w:type="dxa"/>
            <w:vAlign w:val="bottom"/>
            <w:tcBorders>
              <w:top w:val="single" w:sz="8" w:color="auto"/>
            </w:tcBorders>
          </w:tcPr>
          <w:p>
            <w:pPr>
              <w:spacing w:after="0"/>
              <w:rPr>
                <w:sz w:val="17"/>
                <w:szCs w:val="17"/>
                <w:color w:val="auto"/>
              </w:rPr>
            </w:pPr>
          </w:p>
        </w:tc>
        <w:tc>
          <w:tcPr>
            <w:tcW w:w="32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Revolving Facility</w:t>
            </w:r>
          </w:p>
        </w:tc>
        <w:tc>
          <w:tcPr>
            <w:tcW w:w="324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spacing w:after="0" w:line="202" w:lineRule="exact"/>
              <w:rPr>
                <w:sz w:val="20"/>
                <w:szCs w:val="20"/>
                <w:color w:val="auto"/>
              </w:rPr>
            </w:pPr>
            <w:r>
              <w:rPr>
                <w:rFonts w:ascii="Arial" w:cs="Arial" w:eastAsia="Arial" w:hAnsi="Arial"/>
                <w:sz w:val="18"/>
                <w:szCs w:val="18"/>
                <w:color w:val="auto"/>
              </w:rPr>
              <w:t>1st Lien Term Loan</w:t>
            </w:r>
          </w:p>
        </w:tc>
        <w:tc>
          <w:tcPr>
            <w:tcW w:w="32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6,303</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Notes</w:t>
            </w:r>
          </w:p>
        </w:tc>
        <w:tc>
          <w:tcPr>
            <w:tcW w:w="324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363,420</w:t>
            </w:r>
          </w:p>
        </w:tc>
        <w:tc>
          <w:tcPr>
            <w:tcW w:w="154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385,000</w:t>
            </w:r>
          </w:p>
        </w:tc>
        <w:tc>
          <w:tcPr>
            <w:tcW w:w="16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2nd Lien Term Loan</w:t>
            </w:r>
          </w:p>
        </w:tc>
        <w:tc>
          <w:tcPr>
            <w:tcW w:w="3240" w:type="dxa"/>
            <w:vAlign w:val="bottom"/>
            <w:tcBorders>
              <w:bottom w:val="single" w:sz="8" w:color="auto"/>
            </w:tcBorders>
          </w:tcPr>
          <w:p>
            <w:pPr>
              <w:jc w:val="right"/>
              <w:ind w:right="250"/>
              <w:spacing w:after="0" w:line="202" w:lineRule="exact"/>
              <w:rPr>
                <w:sz w:val="20"/>
                <w:szCs w:val="20"/>
                <w:color w:val="auto"/>
              </w:rPr>
            </w:pPr>
            <w:r>
              <w:rPr>
                <w:rFonts w:ascii="Arial" w:cs="Arial" w:eastAsia="Arial" w:hAnsi="Arial"/>
                <w:sz w:val="18"/>
                <w:szCs w:val="18"/>
                <w:color w:val="auto"/>
              </w:rPr>
              <w:t>80,207</w:t>
            </w:r>
          </w:p>
        </w:tc>
        <w:tc>
          <w:tcPr>
            <w:tcW w:w="154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93,556</w:t>
            </w:r>
          </w:p>
        </w:tc>
        <w:tc>
          <w:tcPr>
            <w:tcW w:w="16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shd w:val="clear" w:color="auto" w:fill="CCEEFF"/>
          </w:tcPr>
          <w:p>
            <w:pPr>
              <w:spacing w:after="0"/>
              <w:rPr>
                <w:sz w:val="17"/>
                <w:szCs w:val="17"/>
                <w:color w:val="auto"/>
              </w:rPr>
            </w:pPr>
          </w:p>
        </w:tc>
        <w:tc>
          <w:tcPr>
            <w:tcW w:w="3240" w:type="dxa"/>
            <w:vAlign w:val="bottom"/>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rPr>
              <w:t>443,627</w:t>
            </w:r>
          </w:p>
        </w:tc>
        <w:tc>
          <w:tcPr>
            <w:tcW w:w="154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484,859</w:t>
            </w: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spacing w:after="0" w:line="202" w:lineRule="exact"/>
              <w:rPr>
                <w:sz w:val="20"/>
                <w:szCs w:val="20"/>
                <w:color w:val="auto"/>
              </w:rPr>
            </w:pPr>
            <w:r>
              <w:rPr>
                <w:rFonts w:ascii="Arial" w:cs="Arial" w:eastAsia="Arial" w:hAnsi="Arial"/>
                <w:sz w:val="18"/>
                <w:szCs w:val="18"/>
                <w:color w:val="auto"/>
              </w:rPr>
              <w:t>Unamortized debt issue costs</w:t>
            </w:r>
          </w:p>
        </w:tc>
        <w:tc>
          <w:tcPr>
            <w:tcW w:w="32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(11,282)</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(17,055)</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Less current maturities of long-term debt</w:t>
            </w:r>
          </w:p>
        </w:tc>
        <w:tc>
          <w:tcPr>
            <w:tcW w:w="3240" w:type="dxa"/>
            <w:vAlign w:val="bottom"/>
            <w:tcBorders>
              <w:bottom w:val="single" w:sz="8" w:color="auto"/>
            </w:tcBorders>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2,954</w:t>
            </w:r>
          </w:p>
        </w:tc>
        <w:tc>
          <w:tcPr>
            <w:tcW w:w="154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7,027</w:t>
            </w:r>
          </w:p>
        </w:tc>
        <w:tc>
          <w:tcPr>
            <w:tcW w:w="16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9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long-term debt</w:t>
            </w:r>
          </w:p>
        </w:tc>
        <w:tc>
          <w:tcPr>
            <w:tcW w:w="32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429,391</w:t>
            </w:r>
          </w:p>
        </w:tc>
        <w:tc>
          <w:tcPr>
            <w:tcW w:w="15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460,777</w:t>
            </w:r>
          </w:p>
        </w:tc>
        <w:tc>
          <w:tcPr>
            <w:tcW w:w="1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weighted average cost of debt, excluding amortization of debt financing costs at September 29, 2019, is 10.0%.</w:t>
      </w:r>
    </w:p>
    <w:p>
      <w:pPr>
        <w:spacing w:after="0" w:line="19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At September 29, 2019, aggregate minimum required maturities of debt excluding amounts required to be paid from future excess cash flow computations total $2,954,000 in 2020, zero in 2021, $363,420,000 in 2022 and $77,253,000 in 2023.</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Notes</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Notes are senior secured obligations of the Company and mature on March 15, 2022. At September 29, 2019, the principal balance of the Notes totaled $363,420,000.</w:t>
      </w:r>
    </w:p>
    <w:p>
      <w:pPr>
        <w:spacing w:after="0" w:line="161"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Interest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Notes require payment of interest semiannually on March 15 and September 15 of each year, at a fixed annual rate of 9.5%.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8080" w:type="dxa"/>
            <w:vAlign w:val="bottom"/>
          </w:tcPr>
          <w:p>
            <w:pPr>
              <w:ind w:left="5180"/>
              <w:spacing w:after="0"/>
              <w:rPr>
                <w:sz w:val="20"/>
                <w:szCs w:val="20"/>
                <w:color w:val="auto"/>
              </w:rPr>
            </w:pPr>
            <w:r>
              <w:rPr>
                <w:rFonts w:ascii="Arial" w:cs="Arial" w:eastAsia="Arial" w:hAnsi="Arial"/>
                <w:sz w:val="18"/>
                <w:szCs w:val="18"/>
                <w:b w:val="1"/>
                <w:bCs w:val="1"/>
                <w:color w:val="auto"/>
              </w:rPr>
              <w:t>Redemption</w:t>
            </w: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100" w:type="dxa"/>
            <w:vAlign w:val="bottom"/>
            <w:gridSpan w:val="2"/>
          </w:tcPr>
          <w:p>
            <w:pPr>
              <w:spacing w:after="0"/>
              <w:rPr>
                <w:sz w:val="20"/>
                <w:szCs w:val="20"/>
                <w:color w:val="auto"/>
              </w:rPr>
            </w:pPr>
            <w:r>
              <w:rPr>
                <w:rFonts w:ascii="Arial" w:cs="Arial" w:eastAsia="Arial" w:hAnsi="Arial"/>
                <w:sz w:val="18"/>
                <w:szCs w:val="18"/>
                <w:color w:val="auto"/>
              </w:rPr>
              <w:t>We may redeem some, or all, of the principal amount of the Notes at any time.</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0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80" w:type="dxa"/>
            <w:vAlign w:val="bottom"/>
          </w:tcPr>
          <w:p>
            <w:pPr>
              <w:spacing w:after="0"/>
              <w:rPr>
                <w:sz w:val="16"/>
                <w:szCs w:val="16"/>
                <w:color w:val="auto"/>
              </w:rPr>
            </w:pPr>
          </w:p>
        </w:tc>
        <w:tc>
          <w:tcPr>
            <w:tcW w:w="33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Percentage of</w:t>
            </w:r>
          </w:p>
        </w:tc>
        <w:tc>
          <w:tcPr>
            <w:tcW w:w="0" w:type="dxa"/>
            <w:vAlign w:val="bottom"/>
          </w:tcPr>
          <w:p>
            <w:pPr>
              <w:spacing w:after="0"/>
              <w:rPr>
                <w:sz w:val="1"/>
                <w:szCs w:val="1"/>
                <w:color w:val="auto"/>
              </w:rPr>
            </w:pPr>
          </w:p>
        </w:tc>
      </w:tr>
      <w:tr>
        <w:trPr>
          <w:trHeight w:val="203"/>
        </w:trPr>
        <w:tc>
          <w:tcPr>
            <w:tcW w:w="8100" w:type="dxa"/>
            <w:vAlign w:val="bottom"/>
            <w:gridSpan w:val="2"/>
          </w:tcPr>
          <w:p>
            <w:pPr>
              <w:spacing w:after="0" w:line="203" w:lineRule="exact"/>
              <w:rPr>
                <w:sz w:val="20"/>
                <w:szCs w:val="20"/>
                <w:color w:val="auto"/>
              </w:rPr>
            </w:pPr>
            <w:r>
              <w:rPr>
                <w:rFonts w:ascii="Arial" w:cs="Arial" w:eastAsia="Arial" w:hAnsi="Arial"/>
                <w:sz w:val="18"/>
                <w:szCs w:val="18"/>
                <w:color w:val="auto"/>
              </w:rPr>
              <w:t>Period Beginning</w:t>
            </w:r>
          </w:p>
        </w:tc>
        <w:tc>
          <w:tcPr>
            <w:tcW w:w="3320" w:type="dxa"/>
            <w:vAlign w:val="bottom"/>
          </w:tcPr>
          <w:p>
            <w:pPr>
              <w:jc w:val="right"/>
              <w:ind w:right="10"/>
              <w:spacing w:after="0" w:line="203" w:lineRule="exact"/>
              <w:rPr>
                <w:sz w:val="20"/>
                <w:szCs w:val="20"/>
                <w:color w:val="auto"/>
              </w:rPr>
            </w:pPr>
            <w:r>
              <w:rPr>
                <w:rFonts w:ascii="Arial" w:cs="Arial" w:eastAsia="Arial" w:hAnsi="Arial"/>
                <w:sz w:val="18"/>
                <w:szCs w:val="18"/>
                <w:color w:val="auto"/>
              </w:rPr>
              <w:t>Principal Amount</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080" w:type="dxa"/>
            <w:vAlign w:val="bottom"/>
            <w:tcBorders>
              <w:top w:val="single" w:sz="8" w:color="auto"/>
            </w:tcBorders>
          </w:tcPr>
          <w:p>
            <w:pPr>
              <w:spacing w:after="0"/>
              <w:rPr>
                <w:sz w:val="17"/>
                <w:szCs w:val="17"/>
                <w:color w:val="auto"/>
              </w:rPr>
            </w:pPr>
          </w:p>
        </w:tc>
        <w:tc>
          <w:tcPr>
            <w:tcW w:w="33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March 15, 2019</w:t>
            </w:r>
          </w:p>
        </w:tc>
        <w:tc>
          <w:tcPr>
            <w:tcW w:w="33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102.38</w:t>
            </w:r>
          </w:p>
        </w:tc>
        <w:tc>
          <w:tcPr>
            <w:tcW w:w="0" w:type="dxa"/>
            <w:vAlign w:val="bottom"/>
          </w:tcPr>
          <w:p>
            <w:pPr>
              <w:spacing w:after="0"/>
              <w:rPr>
                <w:sz w:val="1"/>
                <w:szCs w:val="1"/>
                <w:color w:val="auto"/>
              </w:rPr>
            </w:pPr>
          </w:p>
        </w:tc>
      </w:tr>
      <w:tr>
        <w:trPr>
          <w:trHeight w:val="203"/>
        </w:trPr>
        <w:tc>
          <w:tcPr>
            <w:tcW w:w="20" w:type="dxa"/>
            <w:vAlign w:val="bottom"/>
            <w:tcBorders>
              <w:bottom w:val="single" w:sz="8" w:color="auto"/>
            </w:tcBorders>
          </w:tcPr>
          <w:p>
            <w:pPr>
              <w:spacing w:after="0"/>
              <w:rPr>
                <w:sz w:val="17"/>
                <w:szCs w:val="17"/>
                <w:color w:val="auto"/>
              </w:rPr>
            </w:pPr>
          </w:p>
        </w:tc>
        <w:tc>
          <w:tcPr>
            <w:tcW w:w="80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March 15, 2020</w:t>
            </w:r>
          </w:p>
        </w:tc>
        <w:tc>
          <w:tcPr>
            <w:tcW w:w="33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If we sell certain of our assets or experience specific kinds of changes of control, we must, subject to certain exceptions, offer to purchase the Notes at 101% of the principal amount. Any redemption of the Notes must also satisfy any accrued and unpaid interest thereon.</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may repurchase Notes in the open market at any time. In the 52 weeks ended September 29, 2019 we purchased $21,580,000 principal amount of Notes in privately negotiated transactions. The transactions resulted in a loss on extinguishment of debt totaling $333,000 in the 52 weeks ended September 29, 2019 which is recorded in Other, net in the Consolidated Statements of Income and Comprehensive Income.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 and Other Matters</w:t>
      </w:r>
    </w:p>
    <w:p>
      <w:pPr>
        <w:spacing w:after="0" w:line="220"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The Indenture and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contain restrictive covenants as discussed more fully below. However, certain of these covenants will cease to apply if the Notes are rated investment grade by either Moody’s Investors Service, Inc. or Standard &amp; Poor’s Ratings Group and there is no default or event of default under the Indenture.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w:t>
      </w:r>
      <w:r>
        <w:rPr>
          <w:rFonts w:ascii="Arial" w:cs="Arial" w:eastAsia="Arial" w:hAnsi="Arial"/>
          <w:sz w:val="30"/>
          <w:szCs w:val="30"/>
          <w:b w:val="1"/>
          <w:bCs w:val="1"/>
          <w:color w:val="auto"/>
          <w:vertAlign w:val="superscript"/>
        </w:rPr>
        <w:t>st</w:t>
      </w:r>
      <w:r>
        <w:rPr>
          <w:rFonts w:ascii="Arial" w:cs="Arial" w:eastAsia="Arial" w:hAnsi="Arial"/>
          <w:sz w:val="18"/>
          <w:szCs w:val="18"/>
          <w:b w:val="1"/>
          <w:bCs w:val="1"/>
          <w:color w:val="auto"/>
        </w:rPr>
        <w:t xml:space="preserve"> Lien Credit Facility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Term Loan was paid in full in November 2018 and has no outstanding balance as of September 29, 2019.</w:t>
      </w:r>
    </w:p>
    <w:p>
      <w:pPr>
        <w:spacing w:after="0" w:line="101"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documents the primary terms of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Term Loan and the Revolving Facility. The $23,120,000 Revolving Facility matures on December 28, 2020 and may be used for working capital and general corporate purposes (including letters of credit). At September 29, 2019, after consideration of letters of credit, we have approximately $17,644,000 available for future use under the Revolving Facility.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Interest</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Interest on the Revolving Facility, which is undrawn at September 29, 2019, accrues, at our option, at either (A) LIBOR plus 5.5%, or (B) 4.5% plus the higher of (i) the prime rate at the time, (ii) the federal funds rate plus 0.5%, or (iii) one month LIBOR plus 1.0%.</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 and Other Matters</w:t>
      </w:r>
    </w:p>
    <w:p>
      <w:pPr>
        <w:spacing w:after="0" w:line="220" w:lineRule="exact"/>
        <w:rPr>
          <w:sz w:val="20"/>
          <w:szCs w:val="20"/>
          <w:color w:val="auto"/>
        </w:rPr>
      </w:pPr>
    </w:p>
    <w:p>
      <w:pPr>
        <w:jc w:val="both"/>
        <w:spacing w:after="0" w:line="199" w:lineRule="auto"/>
        <w:rPr>
          <w:sz w:val="20"/>
          <w:szCs w:val="20"/>
          <w:color w:val="auto"/>
        </w:rPr>
      </w:pPr>
      <w:r>
        <w:rPr>
          <w:rFonts w:ascii="Arial" w:cs="Arial" w:eastAsia="Arial" w:hAnsi="Arial"/>
          <w:sz w:val="18"/>
          <w:szCs w:val="18"/>
          <w:color w:val="auto"/>
        </w:rPr>
        <w:t>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requires that we comply with certain affirmative and negative covenants customary for financing of this nature, including a maximum total leverage ratio, which is only applicable to the Revolving Facility.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56" w:name="page57"/>
    <w:bookmarkEnd w:id="56"/>
    <w:p>
      <w:pPr>
        <w:jc w:val="both"/>
        <w:spacing w:after="0" w:line="193" w:lineRule="auto"/>
        <w:rPr>
          <w:sz w:val="20"/>
          <w:szCs w:val="20"/>
          <w:color w:val="auto"/>
        </w:rPr>
      </w:pPr>
      <w:r>
        <w:rPr>
          <w:rFonts w:ascii="Arial" w:cs="Arial" w:eastAsia="Arial" w:hAnsi="Arial"/>
          <w:sz w:val="18"/>
          <w:szCs w:val="18"/>
          <w:color w:val="auto"/>
        </w:rPr>
        <w:t>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restricts us from paying dividends on our Common Stock. This restriction no longer applies if Lee Legacy Leverage is below 3.25x before and after such payments. Lee Legacy Leverage as defined is 4.19x at September 29, 2019. Further,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restricts or limits, among other things, subject to certain exceptions, the ability of the Company and its subsidiaries to: (i) incur indebtedness, (ii) enter into mergers, acquisitions and asset sales, (iii) incur or create liens and (iv) enter into transactions with certain</w:t>
      </w:r>
    </w:p>
    <w:p>
      <w:pPr>
        <w:spacing w:after="0" w:line="4" w:lineRule="exact"/>
        <w:rPr>
          <w:sz w:val="20"/>
          <w:szCs w:val="20"/>
          <w:color w:val="auto"/>
        </w:rPr>
      </w:pPr>
    </w:p>
    <w:p>
      <w:pPr>
        <w:jc w:val="both"/>
        <w:ind w:right="20"/>
        <w:spacing w:after="0" w:line="233" w:lineRule="auto"/>
        <w:rPr>
          <w:sz w:val="20"/>
          <w:szCs w:val="20"/>
          <w:color w:val="auto"/>
        </w:rPr>
      </w:pPr>
      <w:r>
        <w:rPr>
          <w:rFonts w:ascii="Arial" w:cs="Arial" w:eastAsia="Arial" w:hAnsi="Arial"/>
          <w:sz w:val="17"/>
          <w:szCs w:val="17"/>
          <w:color w:val="auto"/>
        </w:rPr>
        <w:t>affiliates. The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Lien Credit Facility contains various representations and warranties and may be terminated upon occurrence of certain events of default. The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Lien Credit Facility also contains cross-default provisions tied to the terms of each of the Indenture and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Lien Term Loan.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30"/>
          <w:szCs w:val="30"/>
          <w:b w:val="1"/>
          <w:bCs w:val="1"/>
          <w:color w:val="auto"/>
          <w:vertAlign w:val="superscript"/>
        </w:rPr>
        <w:t>nd</w:t>
      </w:r>
      <w:r>
        <w:rPr>
          <w:rFonts w:ascii="Arial" w:cs="Arial" w:eastAsia="Arial" w:hAnsi="Arial"/>
          <w:sz w:val="18"/>
          <w:szCs w:val="18"/>
          <w:b w:val="1"/>
          <w:bCs w:val="1"/>
          <w:color w:val="auto"/>
        </w:rPr>
        <w:t xml:space="preserve"> Lien Term Loan</w:t>
      </w:r>
    </w:p>
    <w:p>
      <w:pPr>
        <w:spacing w:after="0" w:line="119" w:lineRule="exact"/>
        <w:rPr>
          <w:sz w:val="20"/>
          <w:szCs w:val="20"/>
          <w:color w:val="auto"/>
        </w:rPr>
      </w:pPr>
    </w:p>
    <w:p>
      <w:pPr>
        <w:jc w:val="both"/>
        <w:spacing w:after="0" w:line="199" w:lineRule="auto"/>
        <w:rPr>
          <w:sz w:val="20"/>
          <w:szCs w:val="20"/>
          <w:color w:val="auto"/>
        </w:rPr>
      </w:pPr>
      <w:r>
        <w:rPr>
          <w:rFonts w:ascii="Arial" w:cs="Arial" w:eastAsia="Arial" w:hAnsi="Arial"/>
          <w:sz w:val="18"/>
          <w:szCs w:val="18"/>
          <w:color w:val="auto"/>
        </w:rPr>
        <w:t>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which has a balance of $80,207,000 at September 29, 2019, bears interest at a fixed annual rate of 12.0%, payable quarterly, and matures in December 2022.</w:t>
      </w:r>
    </w:p>
    <w:p>
      <w:pPr>
        <w:spacing w:after="0" w:line="168"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Principal Payments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Excluding excess cash flow payments, there are no scheduled mandatory amortization payments required under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w:t>
      </w:r>
    </w:p>
    <w:p>
      <w:pPr>
        <w:spacing w:after="0" w:line="10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Quarterly, we are required to prepare a calculation of excess cash flow of the Pulitzer Subsidiaries ("Pulitzer Excess Cash Flow"). Pulitzer Excess Cash Flow is generally determined as the cash earnings of the Pulitzer Subsidiaries including adjustments for changes in working capital, capital spending, pension contributions, debt principal payments and income tax payments. Pulitzer Excess Cash Flow also includes a deduction for interest costs incurred under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Pulitzer Excess Cash Flow is used to prepay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at par, and is required to be paid 45 days after the end of the quarter.</w:t>
      </w:r>
    </w:p>
    <w:p>
      <w:pPr>
        <w:spacing w:after="0" w:line="10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Payments will also be made on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at par, with proceeds from asset sales by the Pulitzer Subsidiaries that are not reinvested subject to certain other conditions. For September 29, 2019 there were no principal payments, and for the year ended, September 30, 2018 we repaid $4,000,000, on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at par, with net proceeds from the sale of Pulitzer assets.</w:t>
      </w:r>
    </w:p>
    <w:p>
      <w:pPr>
        <w:spacing w:after="0" w:line="65"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During the 13 and 52 weeks ended September 29, 2019, payments on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totaled $3,931,000 and $13,349,000 respectively. For the 13 weeks ended September 29, 2019, Pulitzer Excess Cash Flow totaled $2,954,000, which was used to make a payment on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in November 2019, at par.</w:t>
      </w:r>
    </w:p>
    <w:p>
      <w:pPr>
        <w:spacing w:after="0" w:line="65" w:lineRule="exact"/>
        <w:rPr>
          <w:sz w:val="20"/>
          <w:szCs w:val="20"/>
          <w:color w:val="auto"/>
        </w:rPr>
      </w:pPr>
    </w:p>
    <w:p>
      <w:pPr>
        <w:ind w:right="540"/>
        <w:spacing w:after="0" w:line="217" w:lineRule="auto"/>
        <w:rPr>
          <w:sz w:val="20"/>
          <w:szCs w:val="20"/>
          <w:color w:val="auto"/>
        </w:rPr>
      </w:pPr>
      <w:r>
        <w:rPr>
          <w:rFonts w:ascii="Arial" w:cs="Arial" w:eastAsia="Arial" w:hAnsi="Arial"/>
          <w:sz w:val="18"/>
          <w:szCs w:val="18"/>
          <w:color w:val="auto"/>
        </w:rPr>
        <w:t>Voluntary payments under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are no longer subject to call premiums and are payable at par. The Indenture includes certain restrictions on voluntary payments on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w:t>
      </w:r>
    </w:p>
    <w:p>
      <w:pPr>
        <w:spacing w:after="0" w:line="65" w:lineRule="exact"/>
        <w:rPr>
          <w:sz w:val="20"/>
          <w:szCs w:val="20"/>
          <w:color w:val="auto"/>
        </w:rPr>
      </w:pPr>
    </w:p>
    <w:p>
      <w:pPr>
        <w:spacing w:after="0" w:line="181" w:lineRule="auto"/>
        <w:rPr>
          <w:sz w:val="20"/>
          <w:szCs w:val="20"/>
          <w:color w:val="auto"/>
        </w:rPr>
      </w:pPr>
      <w:r>
        <w:rPr>
          <w:rFonts w:ascii="Arial" w:cs="Arial" w:eastAsia="Arial" w:hAnsi="Arial"/>
          <w:sz w:val="17"/>
          <w:szCs w:val="17"/>
          <w:color w:val="auto"/>
        </w:rPr>
        <w:t>Prior to March 31, 2017, we were required to offer the Pulitzer Excess Cash Flow to the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Lien Lenders to prepay the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Lien Term Loan at par, which payment the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Lien Lenders could accept or reject. After March 31, 2017, the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Lien Lenders can not reject, and Pulitzer Excess</w:t>
      </w:r>
    </w:p>
    <w:p>
      <w:pPr>
        <w:spacing w:after="0" w:line="1" w:lineRule="exact"/>
        <w:rPr>
          <w:sz w:val="20"/>
          <w:szCs w:val="20"/>
          <w:color w:val="auto"/>
        </w:rPr>
      </w:pPr>
    </w:p>
    <w:p>
      <w:pPr>
        <w:spacing w:after="0" w:line="199" w:lineRule="auto"/>
        <w:rPr>
          <w:sz w:val="20"/>
          <w:szCs w:val="20"/>
          <w:color w:val="auto"/>
        </w:rPr>
      </w:pPr>
      <w:r>
        <w:rPr>
          <w:rFonts w:ascii="Arial" w:cs="Arial" w:eastAsia="Arial" w:hAnsi="Arial"/>
          <w:sz w:val="18"/>
          <w:szCs w:val="18"/>
          <w:color w:val="auto"/>
        </w:rPr>
        <w:t>Cash Flow is used to prepay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at par. Pulitzer Excess Cash Flow payments are required to be paid 45 days after the end of the quarter.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Pulitzer Excess Cash Flow and the related payments on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for the previous four quarters are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For the Period Ending</w:t>
            </w:r>
          </w:p>
        </w:tc>
        <w:tc>
          <w:tcPr>
            <w:tcW w:w="5140" w:type="dxa"/>
            <w:vAlign w:val="bottom"/>
            <w:tcBorders>
              <w:top w:val="single" w:sz="8" w:color="auto"/>
            </w:tcBorders>
            <w:vMerge w:val="restart"/>
          </w:tcPr>
          <w:p>
            <w:pPr>
              <w:jc w:val="right"/>
              <w:ind w:right="1330"/>
              <w:spacing w:after="0"/>
              <w:rPr>
                <w:sz w:val="20"/>
                <w:szCs w:val="20"/>
                <w:color w:val="auto"/>
              </w:rPr>
            </w:pPr>
            <w:r>
              <w:rPr>
                <w:rFonts w:ascii="Arial" w:cs="Arial" w:eastAsia="Arial" w:hAnsi="Arial"/>
                <w:sz w:val="18"/>
                <w:szCs w:val="18"/>
                <w:color w:val="auto"/>
              </w:rPr>
              <w:t>Pulitzer Excess Cash</w:t>
            </w:r>
          </w:p>
        </w:tc>
        <w:tc>
          <w:tcPr>
            <w:tcW w:w="25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5140" w:type="dxa"/>
            <w:vAlign w:val="bottom"/>
            <w:vMerge w:val="continue"/>
          </w:tcPr>
          <w:p>
            <w:pPr>
              <w:spacing w:after="0"/>
              <w:rPr>
                <w:sz w:val="16"/>
                <w:szCs w:val="16"/>
                <w:color w:val="auto"/>
              </w:rPr>
            </w:pPr>
          </w:p>
        </w:tc>
        <w:tc>
          <w:tcPr>
            <w:tcW w:w="2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20" w:type="dxa"/>
            <w:vAlign w:val="bottom"/>
            <w:gridSpan w:val="2"/>
          </w:tcPr>
          <w:p>
            <w:pPr>
              <w:spacing w:after="0" w:line="203" w:lineRule="exact"/>
              <w:rPr>
                <w:sz w:val="20"/>
                <w:szCs w:val="20"/>
                <w:color w:val="auto"/>
              </w:rPr>
            </w:pPr>
            <w:r>
              <w:rPr>
                <w:rFonts w:ascii="Arial" w:cs="Arial" w:eastAsia="Arial" w:hAnsi="Arial"/>
                <w:sz w:val="18"/>
                <w:szCs w:val="18"/>
                <w:color w:val="auto"/>
              </w:rPr>
              <w:t>(Thousands of Dollars)</w:t>
            </w:r>
          </w:p>
        </w:tc>
        <w:tc>
          <w:tcPr>
            <w:tcW w:w="5140" w:type="dxa"/>
            <w:vAlign w:val="bottom"/>
          </w:tcPr>
          <w:p>
            <w:pPr>
              <w:jc w:val="right"/>
              <w:ind w:right="1330"/>
              <w:spacing w:after="0" w:line="203" w:lineRule="exact"/>
              <w:rPr>
                <w:sz w:val="20"/>
                <w:szCs w:val="20"/>
                <w:color w:val="auto"/>
              </w:rPr>
            </w:pPr>
            <w:r>
              <w:rPr>
                <w:rFonts w:ascii="Arial" w:cs="Arial" w:eastAsia="Arial" w:hAnsi="Arial"/>
                <w:sz w:val="18"/>
                <w:szCs w:val="18"/>
                <w:color w:val="auto"/>
              </w:rPr>
              <w:t>Flow Payment</w:t>
            </w:r>
          </w:p>
        </w:tc>
        <w:tc>
          <w:tcPr>
            <w:tcW w:w="25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Payment Date</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700" w:type="dxa"/>
            <w:vAlign w:val="bottom"/>
            <w:tcBorders>
              <w:top w:val="single" w:sz="8" w:color="auto"/>
            </w:tcBorders>
          </w:tcPr>
          <w:p>
            <w:pPr>
              <w:spacing w:after="0"/>
              <w:rPr>
                <w:sz w:val="17"/>
                <w:szCs w:val="17"/>
                <w:color w:val="auto"/>
              </w:rPr>
            </w:pPr>
          </w:p>
        </w:tc>
        <w:tc>
          <w:tcPr>
            <w:tcW w:w="5140" w:type="dxa"/>
            <w:vAlign w:val="bottom"/>
            <w:tcBorders>
              <w:top w:val="single" w:sz="8" w:color="auto"/>
            </w:tcBorders>
          </w:tcPr>
          <w:p>
            <w:pPr>
              <w:spacing w:after="0"/>
              <w:rPr>
                <w:sz w:val="17"/>
                <w:szCs w:val="17"/>
                <w:color w:val="auto"/>
              </w:rPr>
            </w:pPr>
          </w:p>
        </w:tc>
        <w:tc>
          <w:tcPr>
            <w:tcW w:w="256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September 30, 2018</w:t>
            </w:r>
          </w:p>
        </w:tc>
        <w:tc>
          <w:tcPr>
            <w:tcW w:w="5140" w:type="dxa"/>
            <w:vAlign w:val="bottom"/>
            <w:shd w:val="clear" w:color="auto" w:fill="CCEEFF"/>
          </w:tcPr>
          <w:p>
            <w:pPr>
              <w:jc w:val="right"/>
              <w:ind w:right="1330"/>
              <w:spacing w:after="0" w:line="202" w:lineRule="exact"/>
              <w:rPr>
                <w:sz w:val="20"/>
                <w:szCs w:val="20"/>
                <w:color w:val="auto"/>
              </w:rPr>
            </w:pPr>
            <w:r>
              <w:rPr>
                <w:rFonts w:ascii="Arial" w:cs="Arial" w:eastAsia="Arial" w:hAnsi="Arial"/>
                <w:sz w:val="18"/>
                <w:szCs w:val="18"/>
                <w:color w:val="auto"/>
              </w:rPr>
              <w:t>724</w:t>
            </w:r>
          </w:p>
        </w:tc>
        <w:tc>
          <w:tcPr>
            <w:tcW w:w="2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Q1 2019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December 30, 2018</w:t>
            </w:r>
          </w:p>
        </w:tc>
        <w:tc>
          <w:tcPr>
            <w:tcW w:w="5140" w:type="dxa"/>
            <w:vAlign w:val="bottom"/>
          </w:tcPr>
          <w:p>
            <w:pPr>
              <w:jc w:val="right"/>
              <w:ind w:right="1330"/>
              <w:spacing w:after="0" w:line="202" w:lineRule="exact"/>
              <w:rPr>
                <w:sz w:val="20"/>
                <w:szCs w:val="20"/>
                <w:color w:val="auto"/>
              </w:rPr>
            </w:pPr>
            <w:r>
              <w:rPr>
                <w:rFonts w:ascii="Arial" w:cs="Arial" w:eastAsia="Arial" w:hAnsi="Arial"/>
                <w:sz w:val="18"/>
                <w:szCs w:val="18"/>
                <w:color w:val="auto"/>
              </w:rPr>
              <w:t>1,377</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Q2 2019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March 31, 2019</w:t>
            </w:r>
          </w:p>
        </w:tc>
        <w:tc>
          <w:tcPr>
            <w:tcW w:w="5140" w:type="dxa"/>
            <w:vAlign w:val="bottom"/>
            <w:shd w:val="clear" w:color="auto" w:fill="CCEEFF"/>
          </w:tcPr>
          <w:p>
            <w:pPr>
              <w:jc w:val="right"/>
              <w:ind w:right="1330"/>
              <w:spacing w:after="0" w:line="202" w:lineRule="exact"/>
              <w:rPr>
                <w:sz w:val="20"/>
                <w:szCs w:val="20"/>
                <w:color w:val="auto"/>
              </w:rPr>
            </w:pPr>
            <w:r>
              <w:rPr>
                <w:rFonts w:ascii="Arial" w:cs="Arial" w:eastAsia="Arial" w:hAnsi="Arial"/>
                <w:sz w:val="18"/>
                <w:szCs w:val="18"/>
                <w:color w:val="auto"/>
              </w:rPr>
              <w:t>7,317</w:t>
            </w:r>
          </w:p>
        </w:tc>
        <w:tc>
          <w:tcPr>
            <w:tcW w:w="2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Q3 2019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June 30, 2019</w:t>
            </w:r>
          </w:p>
        </w:tc>
        <w:tc>
          <w:tcPr>
            <w:tcW w:w="5140" w:type="dxa"/>
            <w:vAlign w:val="bottom"/>
            <w:tcBorders>
              <w:bottom w:val="single" w:sz="8" w:color="auto"/>
            </w:tcBorders>
          </w:tcPr>
          <w:p>
            <w:pPr>
              <w:jc w:val="right"/>
              <w:ind w:right="1330"/>
              <w:spacing w:after="0" w:line="202" w:lineRule="exact"/>
              <w:rPr>
                <w:sz w:val="20"/>
                <w:szCs w:val="20"/>
                <w:color w:val="auto"/>
              </w:rPr>
            </w:pPr>
            <w:r>
              <w:rPr>
                <w:rFonts w:ascii="Arial" w:cs="Arial" w:eastAsia="Arial" w:hAnsi="Arial"/>
                <w:sz w:val="18"/>
                <w:szCs w:val="18"/>
                <w:color w:val="auto"/>
              </w:rPr>
              <w:t>3,931</w:t>
            </w:r>
          </w:p>
        </w:tc>
        <w:tc>
          <w:tcPr>
            <w:tcW w:w="2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Q4 2019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140" w:type="dxa"/>
            <w:vAlign w:val="bottom"/>
          </w:tcPr>
          <w:p>
            <w:pPr>
              <w:jc w:val="right"/>
              <w:ind w:right="2950"/>
              <w:spacing w:after="0"/>
              <w:rPr>
                <w:sz w:val="20"/>
                <w:szCs w:val="20"/>
                <w:color w:val="auto"/>
              </w:rPr>
            </w:pPr>
            <w:r>
              <w:rPr>
                <w:rFonts w:ascii="Arial" w:cs="Arial" w:eastAsia="Arial" w:hAnsi="Arial"/>
                <w:sz w:val="18"/>
                <w:szCs w:val="18"/>
                <w:color w:val="auto"/>
              </w:rPr>
              <w:t>55</w:t>
            </w: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00" w:type="dxa"/>
            <w:vAlign w:val="bottom"/>
            <w:tcBorders>
              <w:bottom w:val="single" w:sz="8" w:color="auto"/>
            </w:tcBorders>
          </w:tcPr>
          <w:p>
            <w:pPr>
              <w:spacing w:after="0"/>
              <w:rPr>
                <w:sz w:val="8"/>
                <w:szCs w:val="8"/>
                <w:color w:val="auto"/>
              </w:rPr>
            </w:pPr>
          </w:p>
        </w:tc>
        <w:tc>
          <w:tcPr>
            <w:tcW w:w="5140" w:type="dxa"/>
            <w:vAlign w:val="bottom"/>
            <w:tcBorders>
              <w:bottom w:val="single" w:sz="8" w:color="auto"/>
            </w:tcBorders>
          </w:tcPr>
          <w:p>
            <w:pPr>
              <w:spacing w:after="0"/>
              <w:rPr>
                <w:sz w:val="8"/>
                <w:szCs w:val="8"/>
                <w:color w:val="auto"/>
              </w:rPr>
            </w:pPr>
          </w:p>
        </w:tc>
        <w:tc>
          <w:tcPr>
            <w:tcW w:w="2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98"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Covenants and Other Matters</w:t>
      </w:r>
    </w:p>
    <w:p>
      <w:pPr>
        <w:spacing w:after="0" w:line="220" w:lineRule="exact"/>
        <w:rPr>
          <w:sz w:val="20"/>
          <w:szCs w:val="20"/>
          <w:color w:val="auto"/>
        </w:rPr>
      </w:pPr>
    </w:p>
    <w:p>
      <w:pPr>
        <w:jc w:val="both"/>
        <w:spacing w:after="0" w:line="193" w:lineRule="auto"/>
        <w:rPr>
          <w:sz w:val="20"/>
          <w:szCs w:val="20"/>
          <w:color w:val="auto"/>
        </w:rPr>
      </w:pPr>
      <w:r>
        <w:rPr>
          <w:rFonts w:ascii="Arial" w:cs="Arial" w:eastAsia="Arial" w:hAnsi="Arial"/>
          <w:sz w:val="18"/>
          <w:szCs w:val="18"/>
          <w:color w:val="auto"/>
        </w:rPr>
        <w:t>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requires that we comply with certain affirmative and negative covenants customary for financing of this nature, including the negative covenants under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discussed above.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contains various representations and warranties and may be terminated upon occurrence of certain events of default.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also contains cross-default provisions tied to the terms of the Indenture and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w:t>
      </w:r>
    </w:p>
    <w:p>
      <w:pPr>
        <w:spacing w:after="0" w:line="65" w:lineRule="exact"/>
        <w:rPr>
          <w:sz w:val="20"/>
          <w:szCs w:val="20"/>
          <w:color w:val="auto"/>
        </w:rPr>
      </w:pPr>
    </w:p>
    <w:p>
      <w:pPr>
        <w:jc w:val="both"/>
        <w:spacing w:after="0" w:line="202" w:lineRule="auto"/>
        <w:rPr>
          <w:sz w:val="20"/>
          <w:szCs w:val="20"/>
          <w:color w:val="auto"/>
        </w:rPr>
      </w:pPr>
      <w:r>
        <w:rPr>
          <w:rFonts w:ascii="Arial" w:cs="Arial" w:eastAsia="Arial" w:hAnsi="Arial"/>
          <w:sz w:val="18"/>
          <w:szCs w:val="18"/>
          <w:color w:val="auto"/>
        </w:rPr>
        <w:t>In connection with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we entered into a Warrant Agreement dated as of March 31, 2014 (the “Warrant Agreement”). Under the Warrant Agreement, certain affiliates or designees of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Lenders received on March 31, 2014 their pro rata share of warrants to purchase, in cash, an initial aggregate of 6,000,000 shares of Common Stock, subject to adjustment pursuant to anti-dilution provisions (the “Warrants”). The Warrants represent, when fully exercised, approximately 10.1% of shares of Common Stock outstanding at March 30, 2014 on a fully diluted basis. The exercise price of the Warrants is $4.19 per share.</w:t>
      </w:r>
    </w:p>
    <w:p>
      <w:pPr>
        <w:spacing w:after="0" w:line="19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Warrant Agreement contains provisions requiring the Warrants to be measured at fair value and included in warrants and other liabilities in our Consolidated Balance Sheets. We re-measure the fair value of the liability each reporting period, with changes reported in other, net non-operating income (expense). The initial fair value of the Warrants was $16,930,000. See Note 9 and Note 12.</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connection with the issuance of the Warrants, we entered into a Registration Rights Agreement dated as of March 31, 2014 (the “Registration Rights Agreement”). The Registration Rights Agreement requires, among other matters, that we use our commercially reasonable efforts to maintain the effectiveness for certain specified periods of a shelf registration statement related to the shares of Common Stock to be issued upon exercise of the Warrants.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w:t>
      </w:r>
    </w:p>
    <w:p>
      <w:pPr>
        <w:spacing w:after="0" w:line="220"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The Notes and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are fully and unconditionally guaranteed on a joint and several first-priority basis by each of the Company's material domestic subsidiaries, excluding MNI, the Pulitzer Subsidiaries and TNI (the "Lee Legacy Assignors"), pursuant to a first lien guarantee and collateral agreement dated as of March 31, 2014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Guarantee and Collateral Agreement").</w:t>
      </w:r>
    </w:p>
    <w:p>
      <w:pPr>
        <w:spacing w:after="0" w:line="65"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The Notes,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and the subsidiary guarantees are secured, subject to certain exceptions, priorities and limitations, by perfected security interests in all property and assets, including certain real estate, of the Lee Legacy Assignors, other than the capital stock of MNI and any property and assets of MNI (the “Lee Legacy Collateral”), on a first-priority basis, equally and ratably with all of the Lee Legacy Assignors' existing and future obligations. The Lee Legacy Collateral includes, among other things, equipment, inventory, accounts receivables, depository accounts, intellectual property and certain of their other tangible and intangible assets.</w:t>
      </w:r>
    </w:p>
    <w:p>
      <w:pPr>
        <w:spacing w:after="0" w:line="19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Also, the Notes and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are secured, subject to certain exceptions, priorities and limitations in the various agreements, by first-priority security interests in the capital stock of, and other equity interests owned by the Lee Legacy Assignors (excluding the capital stock of MNI). The Notes and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are subject to a Pari Passu Intercreditor Agreement dated March 31, 2014.</w:t>
      </w:r>
    </w:p>
    <w:p>
      <w:pPr>
        <w:spacing w:after="0" w:line="268" w:lineRule="exact"/>
        <w:rPr>
          <w:sz w:val="20"/>
          <w:szCs w:val="20"/>
          <w:color w:val="auto"/>
        </w:rPr>
      </w:pPr>
    </w:p>
    <w:p>
      <w:pPr>
        <w:jc w:val="both"/>
        <w:ind w:right="20"/>
        <w:spacing w:after="0" w:line="224" w:lineRule="auto"/>
        <w:rPr>
          <w:sz w:val="20"/>
          <w:szCs w:val="20"/>
          <w:color w:val="auto"/>
        </w:rPr>
      </w:pPr>
      <w:r>
        <w:rPr>
          <w:rFonts w:ascii="Arial" w:cs="Arial" w:eastAsia="Arial" w:hAnsi="Arial"/>
          <w:sz w:val="18"/>
          <w:szCs w:val="18"/>
          <w:color w:val="auto"/>
        </w:rPr>
        <w:t>The Notes,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and the subsidiary guarantees are also secured, subject to permitted liens, by a second-priority security interest in the property and assets of the Pulitzer Subsidiaries that become subsidiary guarantors (the "Pulitzer Assignors") other than assets of or used in the operations or business of TNI (collectively, the “Pulitzer Collateral”). In June 2015 the Pulitzer Assignors became a party to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Guarantee and Collateral Agreement on a second lien basis.</w:t>
      </w:r>
    </w:p>
    <w:p>
      <w:pPr>
        <w:spacing w:after="0" w:line="64"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Also, the Notes and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are secured, subject to certain exceptions, priorities, and limitations in the various agreements, by second-priority security interests in the capital stock of, and other equity interests in, the Pulitzer Assignors and Star Publishing’s interest in TNI.</w:t>
      </w:r>
    </w:p>
    <w:p>
      <w:pPr>
        <w:spacing w:after="0" w:line="190" w:lineRule="exact"/>
        <w:rPr>
          <w:sz w:val="20"/>
          <w:szCs w:val="20"/>
          <w:color w:val="auto"/>
        </w:rPr>
      </w:pPr>
    </w:p>
    <w:p>
      <w:pPr>
        <w:jc w:val="both"/>
        <w:ind w:right="20"/>
        <w:spacing w:after="0" w:line="201" w:lineRule="auto"/>
        <w:rPr>
          <w:sz w:val="20"/>
          <w:szCs w:val="20"/>
          <w:color w:val="auto"/>
        </w:rPr>
      </w:pPr>
      <w:r>
        <w:rPr>
          <w:rFonts w:ascii="Arial" w:cs="Arial" w:eastAsia="Arial" w:hAnsi="Arial"/>
          <w:sz w:val="18"/>
          <w:szCs w:val="18"/>
          <w:color w:val="auto"/>
        </w:rPr>
        <w:t>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is fully and unconditionally guaranteed on a joint and several first-priority basis by the Pulitzer Assignors, pursuant to a Second Lien Guarantee and Collateral Agreement dated as of March 31, 2014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Guarantee and Collateral Agreement”) among the Pulitzer Assignors and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collateral agent.</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58" w:name="page59"/>
    <w:bookmarkEnd w:id="58"/>
    <w:p>
      <w:pPr>
        <w:jc w:val="both"/>
        <w:spacing w:after="0" w:line="221" w:lineRule="auto"/>
        <w:rPr>
          <w:sz w:val="20"/>
          <w:szCs w:val="20"/>
          <w:color w:val="auto"/>
        </w:rPr>
      </w:pPr>
      <w:r>
        <w:rPr>
          <w:rFonts w:ascii="Arial" w:cs="Arial" w:eastAsia="Arial" w:hAnsi="Arial"/>
          <w:sz w:val="18"/>
          <w:szCs w:val="18"/>
          <w:color w:val="auto"/>
        </w:rPr>
        <w:t>Under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Guarantee and Collateral Agreement, the Pulitzer Assignors have granted (i) first-priority security interests, subject to certain priorities and limitations in the various agreements, in the Pulitzer Collateral and (ii) have granted first-priority lien mortgages or deeds of trust covering certain real estate, as collateral for the payment and performance of their obligations under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w:t>
      </w:r>
    </w:p>
    <w:p>
      <w:pPr>
        <w:spacing w:after="0" w:line="65" w:lineRule="exact"/>
        <w:rPr>
          <w:sz w:val="20"/>
          <w:szCs w:val="20"/>
          <w:color w:val="auto"/>
        </w:rPr>
      </w:pPr>
    </w:p>
    <w:p>
      <w:pPr>
        <w:jc w:val="both"/>
        <w:spacing w:after="0" w:line="193" w:lineRule="auto"/>
        <w:rPr>
          <w:sz w:val="20"/>
          <w:szCs w:val="20"/>
          <w:color w:val="auto"/>
        </w:rPr>
      </w:pPr>
      <w:r>
        <w:rPr>
          <w:rFonts w:ascii="Arial" w:cs="Arial" w:eastAsia="Arial" w:hAnsi="Arial"/>
          <w:sz w:val="18"/>
          <w:szCs w:val="18"/>
          <w:color w:val="auto"/>
        </w:rPr>
        <w:t>Also, under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Guarantee and Collateral Agreement, the Lee Legacy Assignors have granted (i) second-priority security interests, subject to certain priorities and limitations in the various agreements, in the Lee Legacy Collateral, and (ii) have granted second-priority lien</w:t>
      </w:r>
    </w:p>
    <w:p>
      <w:pPr>
        <w:spacing w:after="0" w:line="2" w:lineRule="exact"/>
        <w:rPr>
          <w:sz w:val="20"/>
          <w:szCs w:val="20"/>
          <w:color w:val="auto"/>
        </w:rPr>
      </w:pPr>
    </w:p>
    <w:p>
      <w:pPr>
        <w:jc w:val="both"/>
        <w:spacing w:after="0" w:line="199" w:lineRule="auto"/>
        <w:rPr>
          <w:sz w:val="20"/>
          <w:szCs w:val="20"/>
          <w:color w:val="auto"/>
        </w:rPr>
      </w:pPr>
      <w:r>
        <w:rPr>
          <w:rFonts w:ascii="Arial" w:cs="Arial" w:eastAsia="Arial" w:hAnsi="Arial"/>
          <w:sz w:val="18"/>
          <w:szCs w:val="18"/>
          <w:color w:val="auto"/>
        </w:rPr>
        <w:t>mortgages or deeds of trust covering certain real estate, as collateral for the payment and performance of their obligations under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Assets of, or used in the operations or business of, MNI are excluded.</w:t>
      </w:r>
    </w:p>
    <w:p>
      <w:pPr>
        <w:spacing w:after="0" w:line="19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rights of each of the collateral agents with respect to the Lee Legacy Collateral and the Pulitzer Collateral are subject to customary intercreditor and intercompany agreements.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connection with the 2014 Refinancing, we capitalized $ 37,819,000 of debt financing costs. Amortization of debt financing costs totaled $5,773,103, $4,769,000 and $4,447,000 in 2019, 2018 and 2017, respectively. Amortization of such costs is estimated to total $4,105,000 in 2020, $4,275,000 in 2021, $2,675,000 in 2022 and $227,000 in 2023. At September 29, 2019, we have $11,282,000 of unamortized debt financing costs recorded as a reduction of Long-term debt in our Consolidated Balance Sheets.</w:t>
      </w:r>
    </w:p>
    <w:p>
      <w:pPr>
        <w:spacing w:after="0" w:line="18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During the 52 weeks ended September 29, 2019, we identified an adjustment of $1,309,000 related to debt financing costs that should have been recorded in prior periods. The impact of recording this out of period adjustment was an increase to Debt financing and administrative costs of $1,309,000 in the Consolidated Statements of Operations and Comprehensive Income for the 52 weeks ended September 29, 2019 and an increase to debt of $1,309,000 on the Consolidated Balance Sheet. We do not believe the impact of the adjustment is material to our consolidated financial statements for any previously issued financial statements taken as a whole, or to our net income for the 52 weeks ended September 29, 2019. Further, the impact of the corrections was not material to any of our Consolidated Balance Sheets nor our Consolidated Statements of Cash Flows.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At September 29, 2019, after consideration of letters of credit, we have approximately $17,644,000 available for future use under our Revolving Facility. Including cash, our liquidity at September 29, 2019 totals $26,289,000. This liquidity amount excludes any future cash flows. We expect all interest and principal payments due in the next twelve months will be satisfied by existing cash and our cash flows, which will allow us to maintain an adequate level of liquidity. The Warrants, if and when exercised, would provide additional liquidity in an amount up to $25,140,000 subject to a reduction for any amounts the Company may elect to use to repay our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Term Loan and/or the Notes.</w:t>
      </w:r>
    </w:p>
    <w:p>
      <w:pPr>
        <w:spacing w:after="0" w:line="59" w:lineRule="exact"/>
        <w:rPr>
          <w:sz w:val="20"/>
          <w:szCs w:val="20"/>
          <w:color w:val="auto"/>
        </w:rPr>
      </w:pPr>
    </w:p>
    <w:p>
      <w:pPr>
        <w:jc w:val="both"/>
        <w:spacing w:after="0" w:line="206" w:lineRule="auto"/>
        <w:rPr>
          <w:sz w:val="20"/>
          <w:szCs w:val="20"/>
          <w:color w:val="auto"/>
        </w:rPr>
      </w:pPr>
      <w:r>
        <w:rPr>
          <w:rFonts w:ascii="Arial" w:cs="Arial" w:eastAsia="Arial" w:hAnsi="Arial"/>
          <w:sz w:val="17"/>
          <w:szCs w:val="17"/>
          <w:color w:val="auto"/>
        </w:rPr>
        <w:t>There are numerous potential consequences under the Notes,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Lien Credit Facility and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Lien Term Loan, if an event of default, as defined, occurs and is not remedied. Many of those consequences are beyond our control. The occurrence of one or more events of default would give</w:t>
      </w:r>
    </w:p>
    <w:p>
      <w:pPr>
        <w:spacing w:after="0" w:line="2"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rise to the right of the applicable lender(s) to exercise their remedies under the Notes,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and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respectively, including, without limitation, the right to accelerate all outstanding debt and take actions authorized in such circumstances under applicable collateral security documents.</w:t>
      </w:r>
    </w:p>
    <w:p>
      <w:pPr>
        <w:spacing w:after="0" w:line="190"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Our ability to operate as a going concern is dependent on our ability to remain in compliance with debt covenants and to repay, refinance or amend our debt agreements as they become due. The Notes,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and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have only limited affirmative covenants with which we are required to maintain compliance. We are in compliance with our debt covenants at September 29, 2019.</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59" w:name="page60"/>
    <w:bookmarkEnd w:id="59"/>
    <w:p>
      <w:pPr>
        <w:ind w:left="360" w:hanging="352"/>
        <w:spacing w:after="0"/>
        <w:tabs>
          <w:tab w:leader="none" w:pos="3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PENSION PLANS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several non-contributory defined benefit pension plans that together cover selected employees. Benefits under the plans were generally based on salary and years of service. Effective in 2012, substantially all benefits are frozen and only a small amount of additional benefits are being accrued. Our liability and related expense for benefits under the plans are recorded over the service period of employees based upon annual actuarial calculations. Plan funding strategies are influenced by government regulations. Plan assets consist primarily of domestic and foreign corporate equity securities, government and corporate bonds, hedge fund investments and cash.</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net periodic cost (benefit) components of our pension plans are as follows: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80" w:type="dxa"/>
            <w:vAlign w:val="bottom"/>
            <w:tcBorders>
              <w:top w:val="single" w:sz="8" w:color="auto"/>
            </w:tcBorders>
            <w:gridSpan w:val="2"/>
          </w:tcPr>
          <w:p>
            <w:pPr>
              <w:spacing w:after="0"/>
              <w:rPr>
                <w:sz w:val="20"/>
                <w:szCs w:val="20"/>
                <w:color w:val="auto"/>
              </w:rPr>
            </w:pPr>
            <w:r>
              <w:rPr>
                <w:rFonts w:ascii="Arial" w:cs="Arial" w:eastAsia="Arial" w:hAnsi="Arial"/>
                <w:sz w:val="16"/>
                <w:szCs w:val="16"/>
                <w:i w:val="1"/>
                <w:iCs w:val="1"/>
                <w:color w:val="auto"/>
              </w:rPr>
              <w:t>(Thousands of Dollars)</w:t>
            </w:r>
          </w:p>
        </w:tc>
        <w:tc>
          <w:tcPr>
            <w:tcW w:w="10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2019</w:t>
            </w:r>
          </w:p>
        </w:tc>
        <w:tc>
          <w:tcPr>
            <w:tcW w:w="17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2018</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 for benefits earned during the year</w:t>
            </w:r>
          </w:p>
        </w:tc>
        <w:tc>
          <w:tcPr>
            <w:tcW w:w="106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36</w:t>
            </w:r>
          </w:p>
        </w:tc>
        <w:tc>
          <w:tcPr>
            <w:tcW w:w="170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48</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spacing w:after="0" w:line="202" w:lineRule="exact"/>
              <w:rPr>
                <w:sz w:val="20"/>
                <w:szCs w:val="20"/>
                <w:color w:val="auto"/>
              </w:rPr>
            </w:pPr>
            <w:r>
              <w:rPr>
                <w:rFonts w:ascii="Arial" w:cs="Arial" w:eastAsia="Arial" w:hAnsi="Arial"/>
                <w:sz w:val="18"/>
                <w:szCs w:val="18"/>
                <w:color w:val="auto"/>
              </w:rPr>
              <w:t>Interest cost on projected benefit obligation</w:t>
            </w:r>
          </w:p>
        </w:tc>
        <w:tc>
          <w:tcPr>
            <w:tcW w:w="10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6,563</w:t>
            </w:r>
          </w:p>
        </w:tc>
        <w:tc>
          <w:tcPr>
            <w:tcW w:w="17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5,754</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5,394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10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(8,073)</w:t>
            </w:r>
          </w:p>
        </w:tc>
        <w:tc>
          <w:tcPr>
            <w:tcW w:w="170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(7,933)</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spacing w:after="0" w:line="202" w:lineRule="exact"/>
              <w:rPr>
                <w:sz w:val="20"/>
                <w:szCs w:val="20"/>
                <w:color w:val="auto"/>
              </w:rPr>
            </w:pPr>
            <w:r>
              <w:rPr>
                <w:rFonts w:ascii="Arial" w:cs="Arial" w:eastAsia="Arial" w:hAnsi="Arial"/>
                <w:sz w:val="18"/>
                <w:szCs w:val="18"/>
                <w:color w:val="auto"/>
              </w:rPr>
              <w:t>Amortization of net loss</w:t>
            </w:r>
          </w:p>
        </w:tc>
        <w:tc>
          <w:tcPr>
            <w:tcW w:w="10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1,135</w:t>
            </w:r>
          </w:p>
        </w:tc>
        <w:tc>
          <w:tcPr>
            <w:tcW w:w="17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2,025</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Amortization of prior service benefit</w:t>
            </w:r>
          </w:p>
        </w:tc>
        <w:tc>
          <w:tcPr>
            <w:tcW w:w="106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(136)</w:t>
            </w:r>
          </w:p>
        </w:tc>
        <w:tc>
          <w:tcPr>
            <w:tcW w:w="1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7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periodic pension cost (benefit)</w:t>
            </w:r>
          </w:p>
        </w:tc>
        <w:tc>
          <w:tcPr>
            <w:tcW w:w="106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(439)</w:t>
            </w:r>
          </w:p>
        </w:tc>
        <w:tc>
          <w:tcPr>
            <w:tcW w:w="170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(242)</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180" w:type="dxa"/>
            <w:vAlign w:val="bottom"/>
            <w:gridSpan w:val="2"/>
          </w:tcPr>
          <w:p>
            <w:pPr>
              <w:spacing w:after="0"/>
              <w:rPr>
                <w:sz w:val="20"/>
                <w:szCs w:val="20"/>
                <w:color w:val="auto"/>
              </w:rPr>
            </w:pPr>
            <w:r>
              <w:rPr>
                <w:rFonts w:ascii="Arial" w:cs="Arial" w:eastAsia="Arial" w:hAnsi="Arial"/>
                <w:sz w:val="18"/>
                <w:szCs w:val="18"/>
                <w:color w:val="auto"/>
              </w:rPr>
              <w:t>Changes in benefit obligations and plan assets are as follows:</w:t>
            </w:r>
          </w:p>
        </w:tc>
        <w:tc>
          <w:tcPr>
            <w:tcW w:w="10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180" w:type="dxa"/>
            <w:vAlign w:val="bottom"/>
            <w:tcBorders>
              <w:bottom w:val="single" w:sz="8" w:color="auto"/>
            </w:tcBorders>
            <w:gridSpan w:val="2"/>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180" w:type="dxa"/>
            <w:vAlign w:val="bottom"/>
            <w:gridSpan w:val="2"/>
          </w:tcPr>
          <w:p>
            <w:pPr>
              <w:spacing w:after="0"/>
              <w:rPr>
                <w:sz w:val="20"/>
                <w:szCs w:val="20"/>
                <w:color w:val="auto"/>
              </w:rPr>
            </w:pPr>
            <w:r>
              <w:rPr>
                <w:rFonts w:ascii="Arial" w:cs="Arial" w:eastAsia="Arial" w:hAnsi="Arial"/>
                <w:sz w:val="16"/>
                <w:szCs w:val="16"/>
                <w:i w:val="1"/>
                <w:iCs w:val="1"/>
                <w:color w:val="auto"/>
              </w:rPr>
              <w:t>(Thousands of Dollars)</w:t>
            </w:r>
          </w:p>
        </w:tc>
        <w:tc>
          <w:tcPr>
            <w:tcW w:w="1060" w:type="dxa"/>
            <w:vAlign w:val="bottom"/>
          </w:tcPr>
          <w:p>
            <w:pPr>
              <w:spacing w:after="0"/>
              <w:rPr>
                <w:sz w:val="17"/>
                <w:szCs w:val="17"/>
                <w:color w:val="auto"/>
              </w:rPr>
            </w:pPr>
          </w:p>
        </w:tc>
        <w:tc>
          <w:tcPr>
            <w:tcW w:w="170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2019</w:t>
            </w:r>
          </w:p>
        </w:tc>
        <w:tc>
          <w:tcPr>
            <w:tcW w:w="14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Benefit obligation, beginning of year</w:t>
            </w:r>
          </w:p>
        </w:tc>
        <w:tc>
          <w:tcPr>
            <w:tcW w:w="106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176,531</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191,645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spacing w:after="0" w:line="202" w:lineRule="exact"/>
              <w:rPr>
                <w:sz w:val="20"/>
                <w:szCs w:val="20"/>
                <w:color w:val="auto"/>
              </w:rPr>
            </w:pPr>
            <w:r>
              <w:rPr>
                <w:rFonts w:ascii="Arial" w:cs="Arial" w:eastAsia="Arial" w:hAnsi="Arial"/>
                <w:sz w:val="18"/>
                <w:szCs w:val="18"/>
                <w:color w:val="auto"/>
              </w:rPr>
              <w:t>Service cost</w:t>
            </w:r>
          </w:p>
        </w:tc>
        <w:tc>
          <w:tcPr>
            <w:tcW w:w="1060" w:type="dxa"/>
            <w:vAlign w:val="bottom"/>
          </w:tcPr>
          <w:p>
            <w:pPr>
              <w:spacing w:after="0"/>
              <w:rPr>
                <w:sz w:val="17"/>
                <w:szCs w:val="17"/>
                <w:color w:val="auto"/>
              </w:rPr>
            </w:pPr>
          </w:p>
        </w:tc>
        <w:tc>
          <w:tcPr>
            <w:tcW w:w="17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36</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cost</w:t>
            </w:r>
          </w:p>
        </w:tc>
        <w:tc>
          <w:tcPr>
            <w:tcW w:w="106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6,563</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5,754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spacing w:after="0" w:line="202" w:lineRule="exact"/>
              <w:rPr>
                <w:sz w:val="20"/>
                <w:szCs w:val="20"/>
                <w:color w:val="auto"/>
              </w:rPr>
            </w:pPr>
            <w:r>
              <w:rPr>
                <w:rFonts w:ascii="Arial" w:cs="Arial" w:eastAsia="Arial" w:hAnsi="Arial"/>
                <w:sz w:val="18"/>
                <w:szCs w:val="18"/>
                <w:color w:val="auto"/>
              </w:rPr>
              <w:t>Actuarial loss (gain)</w:t>
            </w:r>
          </w:p>
        </w:tc>
        <w:tc>
          <w:tcPr>
            <w:tcW w:w="1060" w:type="dxa"/>
            <w:vAlign w:val="bottom"/>
          </w:tcPr>
          <w:p>
            <w:pPr>
              <w:spacing w:after="0"/>
              <w:rPr>
                <w:sz w:val="17"/>
                <w:szCs w:val="17"/>
                <w:color w:val="auto"/>
              </w:rPr>
            </w:pPr>
          </w:p>
        </w:tc>
        <w:tc>
          <w:tcPr>
            <w:tcW w:w="17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20,687</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(9,464)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Benefits paid</w:t>
            </w:r>
          </w:p>
        </w:tc>
        <w:tc>
          <w:tcPr>
            <w:tcW w:w="106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(11,448)</w:t>
            </w:r>
          </w:p>
        </w:tc>
        <w:tc>
          <w:tcPr>
            <w:tcW w:w="1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(11,452)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Benefit obligation, end of year</w:t>
            </w:r>
          </w:p>
        </w:tc>
        <w:tc>
          <w:tcPr>
            <w:tcW w:w="10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192,369</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176,531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Fair value of plan assets, beginning of year:</w:t>
            </w:r>
          </w:p>
        </w:tc>
        <w:tc>
          <w:tcPr>
            <w:tcW w:w="106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151,255</w:t>
            </w:r>
          </w:p>
        </w:tc>
        <w:tc>
          <w:tcPr>
            <w:tcW w:w="14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149,762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spacing w:after="0" w:line="202" w:lineRule="exact"/>
              <w:rPr>
                <w:sz w:val="20"/>
                <w:szCs w:val="20"/>
                <w:color w:val="auto"/>
              </w:rPr>
            </w:pPr>
            <w:r>
              <w:rPr>
                <w:rFonts w:ascii="Arial" w:cs="Arial" w:eastAsia="Arial" w:hAnsi="Arial"/>
                <w:sz w:val="18"/>
                <w:szCs w:val="18"/>
                <w:color w:val="auto"/>
              </w:rPr>
              <w:t>Actual return on plan assets</w:t>
            </w:r>
          </w:p>
        </w:tc>
        <w:tc>
          <w:tcPr>
            <w:tcW w:w="1060" w:type="dxa"/>
            <w:vAlign w:val="bottom"/>
          </w:tcPr>
          <w:p>
            <w:pPr>
              <w:spacing w:after="0"/>
              <w:rPr>
                <w:sz w:val="17"/>
                <w:szCs w:val="17"/>
                <w:color w:val="auto"/>
              </w:rPr>
            </w:pPr>
          </w:p>
        </w:tc>
        <w:tc>
          <w:tcPr>
            <w:tcW w:w="17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8,705</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10,576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Benefits paid</w:t>
            </w:r>
          </w:p>
        </w:tc>
        <w:tc>
          <w:tcPr>
            <w:tcW w:w="106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(11,448)</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spacing w:after="0" w:line="202" w:lineRule="exact"/>
              <w:rPr>
                <w:sz w:val="20"/>
                <w:szCs w:val="20"/>
                <w:color w:val="auto"/>
              </w:rPr>
            </w:pPr>
            <w:r>
              <w:rPr>
                <w:rFonts w:ascii="Arial" w:cs="Arial" w:eastAsia="Arial" w:hAnsi="Arial"/>
                <w:sz w:val="18"/>
                <w:szCs w:val="18"/>
                <w:color w:val="auto"/>
              </w:rPr>
              <w:t>Administrative expenses paid</w:t>
            </w:r>
          </w:p>
        </w:tc>
        <w:tc>
          <w:tcPr>
            <w:tcW w:w="1060" w:type="dxa"/>
            <w:vAlign w:val="bottom"/>
          </w:tcPr>
          <w:p>
            <w:pPr>
              <w:spacing w:after="0"/>
              <w:rPr>
                <w:sz w:val="17"/>
                <w:szCs w:val="17"/>
                <w:color w:val="auto"/>
              </w:rPr>
            </w:pPr>
          </w:p>
        </w:tc>
        <w:tc>
          <w:tcPr>
            <w:tcW w:w="17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(2,163)</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(2,571)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Employer contributions</w:t>
            </w:r>
          </w:p>
        </w:tc>
        <w:tc>
          <w:tcPr>
            <w:tcW w:w="106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650</w:t>
            </w:r>
          </w:p>
        </w:tc>
        <w:tc>
          <w:tcPr>
            <w:tcW w:w="14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4,940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Fair value of plan assets, end of year</w:t>
            </w:r>
          </w:p>
        </w:tc>
        <w:tc>
          <w:tcPr>
            <w:tcW w:w="10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146,999</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151,255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Funded status</w:t>
            </w:r>
          </w:p>
        </w:tc>
        <w:tc>
          <w:tcPr>
            <w:tcW w:w="106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(45,370)</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(25,276)</w:t>
            </w:r>
          </w:p>
        </w:tc>
        <w:tc>
          <w:tcPr>
            <w:tcW w:w="0" w:type="dxa"/>
            <w:vAlign w:val="bottom"/>
          </w:tcPr>
          <w:p>
            <w:pPr>
              <w:spacing w:after="0"/>
              <w:rPr>
                <w:sz w:val="1"/>
                <w:szCs w:val="1"/>
                <w:color w:val="auto"/>
              </w:rPr>
            </w:pPr>
          </w:p>
        </w:tc>
      </w:tr>
      <w:tr>
        <w:trPr>
          <w:trHeight w:val="399"/>
        </w:trPr>
        <w:tc>
          <w:tcPr>
            <w:tcW w:w="7180" w:type="dxa"/>
            <w:vAlign w:val="bottom"/>
            <w:gridSpan w:val="2"/>
          </w:tcPr>
          <w:p>
            <w:pPr>
              <w:spacing w:after="0"/>
              <w:rPr>
                <w:sz w:val="20"/>
                <w:szCs w:val="20"/>
                <w:color w:val="auto"/>
              </w:rPr>
            </w:pPr>
            <w:r>
              <w:rPr>
                <w:rFonts w:ascii="Arial" w:cs="Arial" w:eastAsia="Arial" w:hAnsi="Arial"/>
                <w:sz w:val="18"/>
                <w:szCs w:val="18"/>
                <w:color w:val="auto"/>
              </w:rPr>
              <w:t>Disaggregated amounts recognized in the Consolidated Balance Sheets are as follows:</w:t>
            </w:r>
          </w:p>
        </w:tc>
        <w:tc>
          <w:tcPr>
            <w:tcW w:w="10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70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September 29</w:t>
            </w:r>
          </w:p>
        </w:tc>
        <w:tc>
          <w:tcPr>
            <w:tcW w:w="14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03"/>
        </w:trPr>
        <w:tc>
          <w:tcPr>
            <w:tcW w:w="7180" w:type="dxa"/>
            <w:vAlign w:val="bottom"/>
            <w:gridSpan w:val="2"/>
          </w:tcPr>
          <w:p>
            <w:pPr>
              <w:spacing w:after="0"/>
              <w:rPr>
                <w:sz w:val="20"/>
                <w:szCs w:val="20"/>
                <w:color w:val="auto"/>
              </w:rPr>
            </w:pPr>
            <w:r>
              <w:rPr>
                <w:rFonts w:ascii="Arial" w:cs="Arial" w:eastAsia="Arial" w:hAnsi="Arial"/>
                <w:sz w:val="16"/>
                <w:szCs w:val="16"/>
                <w:i w:val="1"/>
                <w:iCs w:val="1"/>
                <w:color w:val="auto"/>
              </w:rPr>
              <w:t>(Thousands of Dollars)</w:t>
            </w:r>
          </w:p>
        </w:tc>
        <w:tc>
          <w:tcPr>
            <w:tcW w:w="1060" w:type="dxa"/>
            <w:vAlign w:val="bottom"/>
          </w:tcPr>
          <w:p>
            <w:pPr>
              <w:spacing w:after="0"/>
              <w:rPr>
                <w:sz w:val="17"/>
                <w:szCs w:val="17"/>
                <w:color w:val="auto"/>
              </w:rPr>
            </w:pPr>
          </w:p>
        </w:tc>
        <w:tc>
          <w:tcPr>
            <w:tcW w:w="1700" w:type="dxa"/>
            <w:vAlign w:val="bottom"/>
          </w:tcPr>
          <w:p>
            <w:pPr>
              <w:jc w:val="right"/>
              <w:ind w:right="230"/>
              <w:spacing w:after="0" w:line="203" w:lineRule="exact"/>
              <w:rPr>
                <w:sz w:val="20"/>
                <w:szCs w:val="20"/>
                <w:color w:val="auto"/>
              </w:rPr>
            </w:pPr>
            <w:r>
              <w:rPr>
                <w:rFonts w:ascii="Arial" w:cs="Arial" w:eastAsia="Arial" w:hAnsi="Arial"/>
                <w:sz w:val="18"/>
                <w:szCs w:val="18"/>
                <w:color w:val="auto"/>
              </w:rPr>
              <w:t>2019</w:t>
            </w:r>
          </w:p>
        </w:tc>
        <w:tc>
          <w:tcPr>
            <w:tcW w:w="1480" w:type="dxa"/>
            <w:vAlign w:val="bottom"/>
          </w:tcPr>
          <w:p>
            <w:pPr>
              <w:jc w:val="right"/>
              <w:ind w:right="10"/>
              <w:spacing w:after="0" w:line="203" w:lineRule="exact"/>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Pension obligations</w:t>
            </w:r>
          </w:p>
        </w:tc>
        <w:tc>
          <w:tcPr>
            <w:tcW w:w="106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(45,370)</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(25,276)</w:t>
            </w:r>
          </w:p>
        </w:tc>
        <w:tc>
          <w:tcPr>
            <w:tcW w:w="0" w:type="dxa"/>
            <w:vAlign w:val="bottom"/>
          </w:tcPr>
          <w:p>
            <w:pPr>
              <w:spacing w:after="0"/>
              <w:rPr>
                <w:sz w:val="1"/>
                <w:szCs w:val="1"/>
                <w:color w:val="auto"/>
              </w:rPr>
            </w:pPr>
          </w:p>
        </w:tc>
      </w:tr>
      <w:tr>
        <w:trPr>
          <w:trHeight w:val="203"/>
        </w:trPr>
        <w:tc>
          <w:tcPr>
            <w:tcW w:w="20" w:type="dxa"/>
            <w:vAlign w:val="bottom"/>
            <w:tcBorders>
              <w:bottom w:val="single" w:sz="8" w:color="auto"/>
            </w:tcBorders>
          </w:tcPr>
          <w:p>
            <w:pPr>
              <w:spacing w:after="0"/>
              <w:rPr>
                <w:sz w:val="17"/>
                <w:szCs w:val="17"/>
                <w:color w:val="auto"/>
              </w:rPr>
            </w:pPr>
          </w:p>
        </w:tc>
        <w:tc>
          <w:tcPr>
            <w:tcW w:w="71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Accumulated other comprehensive loss (before income taxes)</w:t>
            </w:r>
          </w:p>
        </w:tc>
        <w:tc>
          <w:tcPr>
            <w:tcW w:w="10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(53,066)</w:t>
            </w: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(31,882)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180" w:type="dxa"/>
            <w:vAlign w:val="bottom"/>
            <w:gridSpan w:val="2"/>
          </w:tcPr>
          <w:p>
            <w:pPr>
              <w:spacing w:after="0"/>
              <w:rPr>
                <w:sz w:val="20"/>
                <w:szCs w:val="20"/>
                <w:color w:val="auto"/>
              </w:rPr>
            </w:pPr>
            <w:r>
              <w:rPr>
                <w:rFonts w:ascii="Arial" w:cs="Arial" w:eastAsia="Arial" w:hAnsi="Arial"/>
                <w:sz w:val="18"/>
                <w:szCs w:val="18"/>
                <w:color w:val="auto"/>
              </w:rPr>
              <w:t>Amounts recognized in accumulated other comprehensive income (loss) are as follows:</w:t>
            </w:r>
          </w:p>
        </w:tc>
        <w:tc>
          <w:tcPr>
            <w:tcW w:w="10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70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September 29</w:t>
            </w:r>
          </w:p>
        </w:tc>
        <w:tc>
          <w:tcPr>
            <w:tcW w:w="14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03"/>
        </w:trPr>
        <w:tc>
          <w:tcPr>
            <w:tcW w:w="7180" w:type="dxa"/>
            <w:vAlign w:val="bottom"/>
            <w:gridSpan w:val="2"/>
          </w:tcPr>
          <w:p>
            <w:pPr>
              <w:spacing w:after="0"/>
              <w:rPr>
                <w:sz w:val="20"/>
                <w:szCs w:val="20"/>
                <w:color w:val="auto"/>
              </w:rPr>
            </w:pPr>
            <w:r>
              <w:rPr>
                <w:rFonts w:ascii="Arial" w:cs="Arial" w:eastAsia="Arial" w:hAnsi="Arial"/>
                <w:sz w:val="16"/>
                <w:szCs w:val="16"/>
                <w:i w:val="1"/>
                <w:iCs w:val="1"/>
                <w:color w:val="auto"/>
              </w:rPr>
              <w:t>(Thousands of Dollars)</w:t>
            </w:r>
          </w:p>
        </w:tc>
        <w:tc>
          <w:tcPr>
            <w:tcW w:w="1060" w:type="dxa"/>
            <w:vAlign w:val="bottom"/>
          </w:tcPr>
          <w:p>
            <w:pPr>
              <w:spacing w:after="0"/>
              <w:rPr>
                <w:sz w:val="17"/>
                <w:szCs w:val="17"/>
                <w:color w:val="auto"/>
              </w:rPr>
            </w:pPr>
          </w:p>
        </w:tc>
        <w:tc>
          <w:tcPr>
            <w:tcW w:w="1700" w:type="dxa"/>
            <w:vAlign w:val="bottom"/>
          </w:tcPr>
          <w:p>
            <w:pPr>
              <w:jc w:val="right"/>
              <w:ind w:right="230"/>
              <w:spacing w:after="0" w:line="203" w:lineRule="exact"/>
              <w:rPr>
                <w:sz w:val="20"/>
                <w:szCs w:val="20"/>
                <w:color w:val="auto"/>
              </w:rPr>
            </w:pPr>
            <w:r>
              <w:rPr>
                <w:rFonts w:ascii="Arial" w:cs="Arial" w:eastAsia="Arial" w:hAnsi="Arial"/>
                <w:sz w:val="18"/>
                <w:szCs w:val="18"/>
                <w:color w:val="auto"/>
              </w:rPr>
              <w:t>2019</w:t>
            </w:r>
          </w:p>
        </w:tc>
        <w:tc>
          <w:tcPr>
            <w:tcW w:w="1480" w:type="dxa"/>
            <w:vAlign w:val="bottom"/>
          </w:tcPr>
          <w:p>
            <w:pPr>
              <w:jc w:val="right"/>
              <w:ind w:right="10"/>
              <w:spacing w:after="0" w:line="203" w:lineRule="exact"/>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Unrecognized net actuarial loss</w:t>
            </w:r>
          </w:p>
        </w:tc>
        <w:tc>
          <w:tcPr>
            <w:tcW w:w="106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(53,072)</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(31,988)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Unrecognized prior service benefit</w:t>
            </w:r>
          </w:p>
        </w:tc>
        <w:tc>
          <w:tcPr>
            <w:tcW w:w="10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6</w:t>
            </w:r>
          </w:p>
        </w:tc>
        <w:tc>
          <w:tcPr>
            <w:tcW w:w="14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(53,066)</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(31,882)</w:t>
            </w:r>
          </w:p>
        </w:tc>
        <w:tc>
          <w:tcPr>
            <w:tcW w:w="0" w:type="dxa"/>
            <w:vAlign w:val="bottom"/>
          </w:tcPr>
          <w:p>
            <w:pPr>
              <w:spacing w:after="0"/>
              <w:rPr>
                <w:sz w:val="1"/>
                <w:szCs w:val="1"/>
                <w:color w:val="auto"/>
              </w:rPr>
            </w:pPr>
          </w:p>
        </w:tc>
      </w:tr>
      <w:tr>
        <w:trPr>
          <w:trHeight w:val="399"/>
        </w:trPr>
        <w:tc>
          <w:tcPr>
            <w:tcW w:w="7180" w:type="dxa"/>
            <w:vAlign w:val="bottom"/>
            <w:gridSpan w:val="2"/>
          </w:tcPr>
          <w:p>
            <w:pPr>
              <w:ind w:left="5620"/>
              <w:spacing w:after="0"/>
              <w:rPr>
                <w:sz w:val="20"/>
                <w:szCs w:val="20"/>
                <w:color w:val="auto"/>
              </w:rPr>
            </w:pPr>
            <w:r>
              <w:rPr>
                <w:rFonts w:ascii="Arial" w:cs="Arial" w:eastAsia="Arial" w:hAnsi="Arial"/>
                <w:sz w:val="18"/>
                <w:szCs w:val="18"/>
                <w:color w:val="auto"/>
              </w:rPr>
              <w:t>58</w:t>
            </w:r>
          </w:p>
        </w:tc>
        <w:tc>
          <w:tcPr>
            <w:tcW w:w="10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19" w:right="239" w:bottom="1440" w:gutter="0" w:footer="0" w:header="0"/>
        </w:sectPr>
      </w:pPr>
    </w:p>
    <w:bookmarkStart w:id="60" w:name="page61"/>
    <w:bookmarkEnd w:id="60"/>
    <w:p>
      <w:pPr>
        <w:jc w:val="both"/>
        <w:spacing w:after="0" w:line="246" w:lineRule="auto"/>
        <w:rPr>
          <w:sz w:val="20"/>
          <w:szCs w:val="20"/>
          <w:color w:val="auto"/>
        </w:rPr>
      </w:pPr>
      <w:r>
        <w:rPr>
          <w:rFonts w:ascii="Arial" w:cs="Arial" w:eastAsia="Arial" w:hAnsi="Arial"/>
          <w:sz w:val="18"/>
          <w:szCs w:val="18"/>
          <w:color w:val="auto"/>
        </w:rPr>
        <w:t>We expect to recognize $3,166,000 and $6,000 of unrecognized net actuarial loss and unrecognized prior service benefit, respectively, in net periodic pension cost in 2020.</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accumulated benefit obligation for the plans total $192,369,000 at September 29, 2019 and $176,531,000 at September 30, 2018. The projected benefit obligation, accumulated benefit obligation and fair value of plan assets for the pension plans with accumulated benefit obligations in excess of plan assets are $192,369,000, $192,369,000 and $146,999,000, respectively, at September 29,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Assumptions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assumptions used to determine benefit obligations are as follows: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September 29</w:t>
            </w: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03"/>
        </w:trPr>
        <w:tc>
          <w:tcPr>
            <w:tcW w:w="7340" w:type="dxa"/>
            <w:vAlign w:val="bottom"/>
            <w:gridSpan w:val="2"/>
          </w:tcPr>
          <w:p>
            <w:pPr>
              <w:spacing w:after="0"/>
              <w:rPr>
                <w:sz w:val="20"/>
                <w:szCs w:val="20"/>
                <w:color w:val="auto"/>
              </w:rPr>
            </w:pPr>
            <w:r>
              <w:rPr>
                <w:rFonts w:ascii="Arial" w:cs="Arial" w:eastAsia="Arial" w:hAnsi="Arial"/>
                <w:sz w:val="16"/>
                <w:szCs w:val="16"/>
                <w:i w:val="1"/>
                <w:iCs w:val="1"/>
                <w:color w:val="auto"/>
              </w:rPr>
              <w:t>(Percent)</w:t>
            </w:r>
          </w:p>
        </w:tc>
        <w:tc>
          <w:tcPr>
            <w:tcW w:w="860" w:type="dxa"/>
            <w:vAlign w:val="bottom"/>
          </w:tcPr>
          <w:p>
            <w:pPr>
              <w:spacing w:after="0"/>
              <w:rPr>
                <w:sz w:val="17"/>
                <w:szCs w:val="17"/>
                <w:color w:val="auto"/>
              </w:rPr>
            </w:pPr>
          </w:p>
        </w:tc>
        <w:tc>
          <w:tcPr>
            <w:tcW w:w="1700" w:type="dxa"/>
            <w:vAlign w:val="bottom"/>
          </w:tcPr>
          <w:p>
            <w:pPr>
              <w:jc w:val="right"/>
              <w:ind w:right="190"/>
              <w:spacing w:after="0" w:line="203" w:lineRule="exact"/>
              <w:rPr>
                <w:sz w:val="20"/>
                <w:szCs w:val="20"/>
                <w:color w:val="auto"/>
              </w:rPr>
            </w:pPr>
            <w:r>
              <w:rPr>
                <w:rFonts w:ascii="Arial" w:cs="Arial" w:eastAsia="Arial" w:hAnsi="Arial"/>
                <w:sz w:val="18"/>
                <w:szCs w:val="18"/>
                <w:color w:val="auto"/>
              </w:rPr>
              <w:t>2019</w:t>
            </w:r>
          </w:p>
        </w:tc>
        <w:tc>
          <w:tcPr>
            <w:tcW w:w="1520" w:type="dxa"/>
            <w:vAlign w:val="bottom"/>
          </w:tcPr>
          <w:p>
            <w:pPr>
              <w:jc w:val="right"/>
              <w:ind w:right="10"/>
              <w:spacing w:after="0" w:line="203" w:lineRule="exact"/>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3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3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Discount rate</w:t>
            </w:r>
          </w:p>
        </w:tc>
        <w:tc>
          <w:tcPr>
            <w:tcW w:w="86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3.1</w:t>
            </w:r>
          </w:p>
        </w:tc>
        <w:tc>
          <w:tcPr>
            <w:tcW w:w="15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99"/>
        </w:trPr>
        <w:tc>
          <w:tcPr>
            <w:tcW w:w="7340" w:type="dxa"/>
            <w:vAlign w:val="bottom"/>
            <w:gridSpan w:val="2"/>
          </w:tcPr>
          <w:p>
            <w:pPr>
              <w:spacing w:after="0"/>
              <w:rPr>
                <w:sz w:val="20"/>
                <w:szCs w:val="20"/>
                <w:color w:val="auto"/>
              </w:rPr>
            </w:pPr>
            <w:r>
              <w:rPr>
                <w:rFonts w:ascii="Arial" w:cs="Arial" w:eastAsia="Arial" w:hAnsi="Arial"/>
                <w:sz w:val="18"/>
                <w:szCs w:val="18"/>
                <w:color w:val="auto"/>
              </w:rPr>
              <w:t>Weighted-average assumptions used to determine net periodic benefit cost are as follows:</w:t>
            </w:r>
          </w:p>
        </w:tc>
        <w:tc>
          <w:tcPr>
            <w:tcW w:w="8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340" w:type="dxa"/>
            <w:vAlign w:val="bottom"/>
            <w:tcBorders>
              <w:bottom w:val="single" w:sz="8" w:color="auto"/>
            </w:tcBorders>
            <w:gridSpan w:val="2"/>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340" w:type="dxa"/>
            <w:vAlign w:val="bottom"/>
            <w:gridSpan w:val="2"/>
          </w:tcPr>
          <w:p>
            <w:pPr>
              <w:spacing w:after="0"/>
              <w:rPr>
                <w:sz w:val="20"/>
                <w:szCs w:val="20"/>
                <w:color w:val="auto"/>
              </w:rPr>
            </w:pPr>
            <w:r>
              <w:rPr>
                <w:rFonts w:ascii="Arial" w:cs="Arial" w:eastAsia="Arial" w:hAnsi="Arial"/>
                <w:sz w:val="16"/>
                <w:szCs w:val="16"/>
                <w:i w:val="1"/>
                <w:iCs w:val="1"/>
                <w:color w:val="auto"/>
              </w:rPr>
              <w:t>(Percent)</w:t>
            </w:r>
          </w:p>
        </w:tc>
        <w:tc>
          <w:tcPr>
            <w:tcW w:w="86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2019</w:t>
            </w:r>
          </w:p>
        </w:tc>
        <w:tc>
          <w:tcPr>
            <w:tcW w:w="1700" w:type="dxa"/>
            <w:vAlign w:val="bottom"/>
          </w:tcPr>
          <w:p>
            <w:pPr>
              <w:jc w:val="right"/>
              <w:ind w:right="190"/>
              <w:spacing w:after="0" w:line="196" w:lineRule="exact"/>
              <w:rPr>
                <w:sz w:val="20"/>
                <w:szCs w:val="20"/>
                <w:color w:val="auto"/>
              </w:rPr>
            </w:pPr>
            <w:r>
              <w:rPr>
                <w:rFonts w:ascii="Arial" w:cs="Arial" w:eastAsia="Arial" w:hAnsi="Arial"/>
                <w:sz w:val="18"/>
                <w:szCs w:val="18"/>
                <w:color w:val="auto"/>
              </w:rPr>
              <w:t>2018</w:t>
            </w:r>
          </w:p>
        </w:tc>
        <w:tc>
          <w:tcPr>
            <w:tcW w:w="1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3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Discount rate - service cost</w:t>
            </w:r>
          </w:p>
        </w:tc>
        <w:tc>
          <w:tcPr>
            <w:tcW w:w="8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4.2</w:t>
            </w:r>
          </w:p>
        </w:tc>
        <w:tc>
          <w:tcPr>
            <w:tcW w:w="170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3.7</w:t>
            </w:r>
          </w:p>
        </w:tc>
        <w:tc>
          <w:tcPr>
            <w:tcW w:w="15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spacing w:after="0" w:line="202" w:lineRule="exact"/>
              <w:rPr>
                <w:sz w:val="20"/>
                <w:szCs w:val="20"/>
                <w:color w:val="auto"/>
              </w:rPr>
            </w:pPr>
            <w:r>
              <w:rPr>
                <w:rFonts w:ascii="Arial" w:cs="Arial" w:eastAsia="Arial" w:hAnsi="Arial"/>
                <w:sz w:val="18"/>
                <w:szCs w:val="18"/>
                <w:color w:val="auto"/>
              </w:rPr>
              <w:t>Discount rate - interest cost</w:t>
            </w:r>
          </w:p>
        </w:tc>
        <w:tc>
          <w:tcPr>
            <w:tcW w:w="8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3.9</w:t>
            </w:r>
          </w:p>
        </w:tc>
        <w:tc>
          <w:tcPr>
            <w:tcW w:w="17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3.1</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Expected long-term return on plan assets</w:t>
            </w:r>
          </w:p>
        </w:tc>
        <w:tc>
          <w:tcPr>
            <w:tcW w:w="86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5.5</w:t>
            </w:r>
          </w:p>
        </w:tc>
        <w:tc>
          <w:tcPr>
            <w:tcW w:w="170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5.5</w:t>
            </w:r>
          </w:p>
        </w:tc>
        <w:tc>
          <w:tcPr>
            <w:tcW w:w="15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2020, the expected long-term return on plan assets is 5.5%. The assumptions related to the expected long-term return on plan assets are developed through an analysis of historical market returns, current market conditions and composition of plan assets.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primary objective of our investment strategy is to satisfy our pension obligations at a reasonable cost. Assets are actively invested to balance real growth of capital through appreciation and reinvestment of dividend and interest income and safety of invested funds.</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investment policy outlines the governance structure for decision making, sets investment objectives and restrictions and establishes criteria for selecting and evaluating investment managers. The use of derivatives is prohibited, except on a case-by-case basis where the manager has a proven capability, and only to hedge quantifiable risks such as exposure to foreign currencies. An investment committee, consisting of certain of our executives and supported by independent consultants, is responsible for monitoring compliance with the investment policy. Assets are periodically redistributed to maintain the appropriate policy allocation.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asset allocation of our pension assets is as follows: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Borders>
              <w:top w:val="single" w:sz="8" w:color="auto"/>
            </w:tcBorders>
            <w:gridSpan w:val="2"/>
          </w:tcPr>
          <w:p>
            <w:pPr>
              <w:spacing w:after="0"/>
              <w:rPr>
                <w:sz w:val="20"/>
                <w:szCs w:val="20"/>
                <w:color w:val="auto"/>
              </w:rPr>
            </w:pPr>
            <w:r>
              <w:rPr>
                <w:rFonts w:ascii="Arial" w:cs="Arial" w:eastAsia="Arial" w:hAnsi="Arial"/>
                <w:sz w:val="16"/>
                <w:szCs w:val="16"/>
                <w:i w:val="1"/>
                <w:iCs w:val="1"/>
                <w:color w:val="auto"/>
              </w:rPr>
              <w:t>(Percent)</w:t>
            </w:r>
          </w:p>
        </w:tc>
        <w:tc>
          <w:tcPr>
            <w:tcW w:w="38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Policy Allocation</w:t>
            </w:r>
          </w:p>
        </w:tc>
        <w:tc>
          <w:tcPr>
            <w:tcW w:w="3220" w:type="dxa"/>
            <w:vAlign w:val="bottom"/>
            <w:tcBorders>
              <w:top w:val="single" w:sz="8" w:color="auto"/>
            </w:tcBorders>
            <w:gridSpan w:val="2"/>
          </w:tcPr>
          <w:p>
            <w:pPr>
              <w:jc w:val="right"/>
              <w:ind w:right="870"/>
              <w:spacing w:after="0"/>
              <w:rPr>
                <w:sz w:val="20"/>
                <w:szCs w:val="20"/>
                <w:color w:val="auto"/>
              </w:rPr>
            </w:pPr>
            <w:r>
              <w:rPr>
                <w:rFonts w:ascii="Arial" w:cs="Arial" w:eastAsia="Arial" w:hAnsi="Arial"/>
                <w:sz w:val="18"/>
                <w:szCs w:val="18"/>
                <w:color w:val="auto"/>
              </w:rPr>
              <w:t>Actual Allocation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360" w:type="dxa"/>
            <w:vAlign w:val="bottom"/>
            <w:tcBorders>
              <w:top w:val="single" w:sz="8" w:color="auto"/>
            </w:tcBorders>
          </w:tcPr>
          <w:p>
            <w:pPr>
              <w:spacing w:after="0"/>
              <w:rPr>
                <w:sz w:val="16"/>
                <w:szCs w:val="16"/>
                <w:color w:val="auto"/>
              </w:rPr>
            </w:pPr>
          </w:p>
        </w:tc>
        <w:tc>
          <w:tcPr>
            <w:tcW w:w="3820" w:type="dxa"/>
            <w:vAlign w:val="bottom"/>
            <w:tcBorders>
              <w:top w:val="single" w:sz="8" w:color="auto"/>
            </w:tcBorders>
          </w:tcPr>
          <w:p>
            <w:pPr>
              <w:jc w:val="right"/>
              <w:ind w:right="210"/>
              <w:spacing w:after="0" w:line="195" w:lineRule="exact"/>
              <w:rPr>
                <w:sz w:val="20"/>
                <w:szCs w:val="20"/>
                <w:color w:val="auto"/>
              </w:rPr>
            </w:pPr>
            <w:r>
              <w:rPr>
                <w:rFonts w:ascii="Arial" w:cs="Arial" w:eastAsia="Arial" w:hAnsi="Arial"/>
                <w:sz w:val="18"/>
                <w:szCs w:val="18"/>
                <w:color w:val="auto"/>
              </w:rPr>
              <w:t>September 29</w:t>
            </w:r>
          </w:p>
        </w:tc>
        <w:tc>
          <w:tcPr>
            <w:tcW w:w="1700" w:type="dxa"/>
            <w:vAlign w:val="bottom"/>
            <w:tcBorders>
              <w:top w:val="single" w:sz="8" w:color="auto"/>
            </w:tcBorders>
          </w:tcPr>
          <w:p>
            <w:pPr>
              <w:jc w:val="right"/>
              <w:ind w:right="190"/>
              <w:spacing w:after="0" w:line="195" w:lineRule="exact"/>
              <w:rPr>
                <w:sz w:val="20"/>
                <w:szCs w:val="20"/>
                <w:color w:val="auto"/>
              </w:rPr>
            </w:pPr>
            <w:r>
              <w:rPr>
                <w:rFonts w:ascii="Arial" w:cs="Arial" w:eastAsia="Arial" w:hAnsi="Arial"/>
                <w:sz w:val="18"/>
                <w:szCs w:val="18"/>
                <w:color w:val="auto"/>
              </w:rPr>
              <w:t>September 29</w:t>
            </w:r>
          </w:p>
        </w:tc>
        <w:tc>
          <w:tcPr>
            <w:tcW w:w="152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03"/>
        </w:trPr>
        <w:tc>
          <w:tcPr>
            <w:tcW w:w="4380" w:type="dxa"/>
            <w:vAlign w:val="bottom"/>
            <w:gridSpan w:val="2"/>
          </w:tcPr>
          <w:p>
            <w:pPr>
              <w:spacing w:after="0" w:line="203" w:lineRule="exact"/>
              <w:rPr>
                <w:sz w:val="20"/>
                <w:szCs w:val="20"/>
                <w:color w:val="auto"/>
              </w:rPr>
            </w:pPr>
            <w:r>
              <w:rPr>
                <w:rFonts w:ascii="Arial" w:cs="Arial" w:eastAsia="Arial" w:hAnsi="Arial"/>
                <w:sz w:val="18"/>
                <w:szCs w:val="18"/>
                <w:color w:val="auto"/>
              </w:rPr>
              <w:t>Asset Class</w:t>
            </w:r>
          </w:p>
        </w:tc>
        <w:tc>
          <w:tcPr>
            <w:tcW w:w="3820" w:type="dxa"/>
            <w:vAlign w:val="bottom"/>
          </w:tcPr>
          <w:p>
            <w:pPr>
              <w:jc w:val="right"/>
              <w:ind w:right="210"/>
              <w:spacing w:after="0" w:line="203" w:lineRule="exact"/>
              <w:rPr>
                <w:sz w:val="20"/>
                <w:szCs w:val="20"/>
                <w:color w:val="auto"/>
              </w:rPr>
            </w:pPr>
            <w:r>
              <w:rPr>
                <w:rFonts w:ascii="Arial" w:cs="Arial" w:eastAsia="Arial" w:hAnsi="Arial"/>
                <w:sz w:val="18"/>
                <w:szCs w:val="18"/>
                <w:color w:val="auto"/>
              </w:rPr>
              <w:t>2019</w:t>
            </w:r>
          </w:p>
        </w:tc>
        <w:tc>
          <w:tcPr>
            <w:tcW w:w="1700" w:type="dxa"/>
            <w:vAlign w:val="bottom"/>
          </w:tcPr>
          <w:p>
            <w:pPr>
              <w:jc w:val="right"/>
              <w:ind w:right="190"/>
              <w:spacing w:after="0" w:line="203" w:lineRule="exact"/>
              <w:rPr>
                <w:sz w:val="20"/>
                <w:szCs w:val="20"/>
                <w:color w:val="auto"/>
              </w:rPr>
            </w:pPr>
            <w:r>
              <w:rPr>
                <w:rFonts w:ascii="Arial" w:cs="Arial" w:eastAsia="Arial" w:hAnsi="Arial"/>
                <w:sz w:val="18"/>
                <w:szCs w:val="18"/>
                <w:color w:val="auto"/>
              </w:rPr>
              <w:t>2019</w:t>
            </w:r>
          </w:p>
        </w:tc>
        <w:tc>
          <w:tcPr>
            <w:tcW w:w="1520" w:type="dxa"/>
            <w:vAlign w:val="bottom"/>
          </w:tcPr>
          <w:p>
            <w:pPr>
              <w:jc w:val="right"/>
              <w:ind w:right="10"/>
              <w:spacing w:after="0" w:line="203" w:lineRule="exact"/>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360" w:type="dxa"/>
            <w:vAlign w:val="bottom"/>
            <w:tcBorders>
              <w:top w:val="single" w:sz="8" w:color="auto"/>
            </w:tcBorders>
          </w:tcPr>
          <w:p>
            <w:pPr>
              <w:spacing w:after="0"/>
              <w:rPr>
                <w:sz w:val="17"/>
                <w:szCs w:val="17"/>
                <w:color w:val="auto"/>
              </w:rPr>
            </w:pPr>
          </w:p>
        </w:tc>
        <w:tc>
          <w:tcPr>
            <w:tcW w:w="38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securities</w:t>
            </w:r>
          </w:p>
        </w:tc>
        <w:tc>
          <w:tcPr>
            <w:tcW w:w="382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50</w:t>
            </w:r>
          </w:p>
        </w:tc>
        <w:tc>
          <w:tcPr>
            <w:tcW w:w="170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49</w:t>
            </w:r>
          </w:p>
        </w:tc>
        <w:tc>
          <w:tcPr>
            <w:tcW w:w="15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line="202" w:lineRule="exact"/>
              <w:rPr>
                <w:sz w:val="20"/>
                <w:szCs w:val="20"/>
                <w:color w:val="auto"/>
              </w:rPr>
            </w:pPr>
            <w:r>
              <w:rPr>
                <w:rFonts w:ascii="Arial" w:cs="Arial" w:eastAsia="Arial" w:hAnsi="Arial"/>
                <w:sz w:val="18"/>
                <w:szCs w:val="18"/>
                <w:color w:val="auto"/>
              </w:rPr>
              <w:t>Debt securities</w:t>
            </w:r>
          </w:p>
        </w:tc>
        <w:tc>
          <w:tcPr>
            <w:tcW w:w="38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35</w:t>
            </w:r>
          </w:p>
        </w:tc>
        <w:tc>
          <w:tcPr>
            <w:tcW w:w="17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34</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TIPS</w:t>
            </w:r>
          </w:p>
        </w:tc>
        <w:tc>
          <w:tcPr>
            <w:tcW w:w="382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5</w:t>
            </w:r>
          </w:p>
        </w:tc>
        <w:tc>
          <w:tcPr>
            <w:tcW w:w="170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5</w:t>
            </w:r>
          </w:p>
        </w:tc>
        <w:tc>
          <w:tcPr>
            <w:tcW w:w="15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line="202" w:lineRule="exact"/>
              <w:rPr>
                <w:sz w:val="20"/>
                <w:szCs w:val="20"/>
                <w:color w:val="auto"/>
              </w:rPr>
            </w:pPr>
            <w:r>
              <w:rPr>
                <w:rFonts w:ascii="Arial" w:cs="Arial" w:eastAsia="Arial" w:hAnsi="Arial"/>
                <w:sz w:val="18"/>
                <w:szCs w:val="18"/>
                <w:color w:val="auto"/>
              </w:rPr>
              <w:t>Hedge fund investments</w:t>
            </w:r>
          </w:p>
        </w:tc>
        <w:tc>
          <w:tcPr>
            <w:tcW w:w="38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10</w:t>
            </w:r>
          </w:p>
        </w:tc>
        <w:tc>
          <w:tcPr>
            <w:tcW w:w="17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10</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382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w:t>
            </w:r>
          </w:p>
        </w:tc>
        <w:tc>
          <w:tcPr>
            <w:tcW w:w="15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Plan assets include no Company securities. Assets include cash and cash equivalents and receivables from time to time due to the need to reallocate assets within policy guidelines.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Fair Value Measurements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of pension assets at September 29, 2019 is as follows: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80" w:type="dxa"/>
            <w:vAlign w:val="bottom"/>
            <w:tcBorders>
              <w:top w:val="single" w:sz="8" w:color="auto"/>
            </w:tcBorders>
            <w:gridSpan w:val="2"/>
          </w:tcPr>
          <w:p>
            <w:pPr>
              <w:spacing w:after="0"/>
              <w:rPr>
                <w:sz w:val="20"/>
                <w:szCs w:val="20"/>
                <w:color w:val="auto"/>
              </w:rPr>
            </w:pPr>
            <w:r>
              <w:rPr>
                <w:rFonts w:ascii="Arial" w:cs="Arial" w:eastAsia="Arial" w:hAnsi="Arial"/>
                <w:sz w:val="16"/>
                <w:szCs w:val="16"/>
                <w:i w:val="1"/>
                <w:iCs w:val="1"/>
                <w:color w:val="auto"/>
              </w:rPr>
              <w:t>(Thousands of Dollars)</w:t>
            </w:r>
          </w:p>
        </w:tc>
        <w:tc>
          <w:tcPr>
            <w:tcW w:w="11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NAV</w:t>
            </w:r>
          </w:p>
        </w:tc>
        <w:tc>
          <w:tcPr>
            <w:tcW w:w="13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Level 1</w:t>
            </w:r>
          </w:p>
        </w:tc>
        <w:tc>
          <w:tcPr>
            <w:tcW w:w="13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Level 2</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4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16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2,970</w:t>
            </w:r>
          </w:p>
        </w:tc>
        <w:tc>
          <w:tcPr>
            <w:tcW w:w="13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tcPr>
          <w:p>
            <w:pPr>
              <w:spacing w:after="0" w:line="202" w:lineRule="exact"/>
              <w:rPr>
                <w:sz w:val="20"/>
                <w:szCs w:val="20"/>
                <w:color w:val="auto"/>
              </w:rPr>
            </w:pPr>
            <w:r>
              <w:rPr>
                <w:rFonts w:ascii="Arial" w:cs="Arial" w:eastAsia="Arial" w:hAnsi="Arial"/>
                <w:sz w:val="18"/>
                <w:szCs w:val="18"/>
                <w:color w:val="auto"/>
              </w:rPr>
              <w:t>Domestic equity securities</w:t>
            </w:r>
          </w:p>
        </w:tc>
        <w:tc>
          <w:tcPr>
            <w:tcW w:w="116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9,524</w:t>
            </w:r>
          </w:p>
        </w:tc>
        <w:tc>
          <w:tcPr>
            <w:tcW w:w="13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8,971</w:t>
            </w:r>
          </w:p>
        </w:tc>
        <w:tc>
          <w:tcPr>
            <w:tcW w:w="13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40,593</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 equity securities</w:t>
            </w:r>
          </w:p>
        </w:tc>
        <w:tc>
          <w:tcPr>
            <w:tcW w:w="116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6,525</w:t>
            </w:r>
          </w:p>
        </w:tc>
        <w:tc>
          <w:tcPr>
            <w:tcW w:w="13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7,283</w:t>
            </w: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tcPr>
          <w:p>
            <w:pPr>
              <w:spacing w:after="0" w:line="202" w:lineRule="exact"/>
              <w:rPr>
                <w:sz w:val="20"/>
                <w:szCs w:val="20"/>
                <w:color w:val="auto"/>
              </w:rPr>
            </w:pPr>
            <w:r>
              <w:rPr>
                <w:rFonts w:ascii="Arial" w:cs="Arial" w:eastAsia="Arial" w:hAnsi="Arial"/>
                <w:sz w:val="18"/>
                <w:szCs w:val="18"/>
                <w:color w:val="auto"/>
              </w:rPr>
              <w:t>TIPS</w:t>
            </w:r>
          </w:p>
        </w:tc>
        <w:tc>
          <w:tcPr>
            <w:tcW w:w="116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6,918</w:t>
            </w:r>
          </w:p>
        </w:tc>
        <w:tc>
          <w:tcPr>
            <w:tcW w:w="13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Debt securities</w:t>
            </w:r>
          </w:p>
        </w:tc>
        <w:tc>
          <w:tcPr>
            <w:tcW w:w="116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26,392</w:t>
            </w:r>
          </w:p>
        </w:tc>
        <w:tc>
          <w:tcPr>
            <w:tcW w:w="13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24,190</w:t>
            </w: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Borders>
              <w:bottom w:val="single" w:sz="8" w:color="auto"/>
            </w:tcBorders>
          </w:tcPr>
          <w:p>
            <w:pPr>
              <w:spacing w:after="0"/>
              <w:rPr>
                <w:sz w:val="17"/>
                <w:szCs w:val="17"/>
                <w:color w:val="auto"/>
              </w:rPr>
            </w:pPr>
          </w:p>
        </w:tc>
        <w:tc>
          <w:tcPr>
            <w:tcW w:w="64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Hedge fund investments</w:t>
            </w:r>
          </w:p>
        </w:tc>
        <w:tc>
          <w:tcPr>
            <w:tcW w:w="116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15,733</w:t>
            </w:r>
          </w:p>
        </w:tc>
        <w:tc>
          <w:tcPr>
            <w:tcW w:w="136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480" w:type="dxa"/>
            <w:vAlign w:val="bottom"/>
            <w:gridSpan w:val="2"/>
          </w:tcPr>
          <w:p>
            <w:pPr>
              <w:spacing w:after="0"/>
              <w:rPr>
                <w:sz w:val="20"/>
                <w:szCs w:val="20"/>
                <w:color w:val="auto"/>
              </w:rPr>
            </w:pPr>
            <w:r>
              <w:rPr>
                <w:rFonts w:ascii="Arial" w:cs="Arial" w:eastAsia="Arial" w:hAnsi="Arial"/>
                <w:sz w:val="18"/>
                <w:szCs w:val="18"/>
                <w:color w:val="auto"/>
              </w:rPr>
              <w:t>The fair value hierarchy of pension assets at September 30, 2018 is as follows:</w:t>
            </w: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480" w:type="dxa"/>
            <w:vAlign w:val="bottom"/>
            <w:tcBorders>
              <w:bottom w:val="single" w:sz="8" w:color="auto"/>
            </w:tcBorders>
            <w:gridSpan w:val="2"/>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80" w:type="dxa"/>
            <w:vAlign w:val="bottom"/>
            <w:gridSpan w:val="2"/>
          </w:tcPr>
          <w:p>
            <w:pPr>
              <w:spacing w:after="0"/>
              <w:rPr>
                <w:sz w:val="20"/>
                <w:szCs w:val="20"/>
                <w:color w:val="auto"/>
              </w:rPr>
            </w:pPr>
            <w:r>
              <w:rPr>
                <w:rFonts w:ascii="Arial" w:cs="Arial" w:eastAsia="Arial" w:hAnsi="Arial"/>
                <w:sz w:val="16"/>
                <w:szCs w:val="16"/>
                <w:i w:val="1"/>
                <w:iCs w:val="1"/>
                <w:color w:val="auto"/>
              </w:rPr>
              <w:t>(Thousands of Dollars)</w:t>
            </w:r>
          </w:p>
        </w:tc>
        <w:tc>
          <w:tcPr>
            <w:tcW w:w="116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NAV</w:t>
            </w:r>
          </w:p>
        </w:tc>
        <w:tc>
          <w:tcPr>
            <w:tcW w:w="136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Level 1</w:t>
            </w:r>
          </w:p>
        </w:tc>
        <w:tc>
          <w:tcPr>
            <w:tcW w:w="134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Level 2</w:t>
            </w:r>
          </w:p>
        </w:tc>
        <w:tc>
          <w:tcPr>
            <w:tcW w:w="10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4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16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5,537</w:t>
            </w:r>
          </w:p>
        </w:tc>
        <w:tc>
          <w:tcPr>
            <w:tcW w:w="13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tcPr>
          <w:p>
            <w:pPr>
              <w:spacing w:after="0" w:line="202" w:lineRule="exact"/>
              <w:rPr>
                <w:sz w:val="20"/>
                <w:szCs w:val="20"/>
                <w:color w:val="auto"/>
              </w:rPr>
            </w:pPr>
            <w:r>
              <w:rPr>
                <w:rFonts w:ascii="Arial" w:cs="Arial" w:eastAsia="Arial" w:hAnsi="Arial"/>
                <w:sz w:val="18"/>
                <w:szCs w:val="18"/>
                <w:color w:val="auto"/>
              </w:rPr>
              <w:t>Domestic equity securities</w:t>
            </w:r>
          </w:p>
        </w:tc>
        <w:tc>
          <w:tcPr>
            <w:tcW w:w="116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10,045</w:t>
            </w:r>
          </w:p>
        </w:tc>
        <w:tc>
          <w:tcPr>
            <w:tcW w:w="13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12,573</w:t>
            </w:r>
          </w:p>
        </w:tc>
        <w:tc>
          <w:tcPr>
            <w:tcW w:w="13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40,083</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 equity securities</w:t>
            </w:r>
          </w:p>
        </w:tc>
        <w:tc>
          <w:tcPr>
            <w:tcW w:w="116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7,070</w:t>
            </w:r>
          </w:p>
        </w:tc>
        <w:tc>
          <w:tcPr>
            <w:tcW w:w="13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7,560</w:t>
            </w: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tcPr>
          <w:p>
            <w:pPr>
              <w:spacing w:after="0" w:line="202" w:lineRule="exact"/>
              <w:rPr>
                <w:sz w:val="20"/>
                <w:szCs w:val="20"/>
                <w:color w:val="auto"/>
              </w:rPr>
            </w:pPr>
            <w:r>
              <w:rPr>
                <w:rFonts w:ascii="Arial" w:cs="Arial" w:eastAsia="Arial" w:hAnsi="Arial"/>
                <w:sz w:val="18"/>
                <w:szCs w:val="18"/>
                <w:color w:val="auto"/>
              </w:rPr>
              <w:t>TIPS</w:t>
            </w:r>
          </w:p>
        </w:tc>
        <w:tc>
          <w:tcPr>
            <w:tcW w:w="116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6,535</w:t>
            </w:r>
          </w:p>
        </w:tc>
        <w:tc>
          <w:tcPr>
            <w:tcW w:w="13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Debt securities</w:t>
            </w:r>
          </w:p>
        </w:tc>
        <w:tc>
          <w:tcPr>
            <w:tcW w:w="116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25,673</w:t>
            </w:r>
          </w:p>
        </w:tc>
        <w:tc>
          <w:tcPr>
            <w:tcW w:w="13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22,523</w:t>
            </w: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Borders>
              <w:bottom w:val="single" w:sz="8" w:color="auto"/>
            </w:tcBorders>
          </w:tcPr>
          <w:p>
            <w:pPr>
              <w:spacing w:after="0"/>
              <w:rPr>
                <w:sz w:val="17"/>
                <w:szCs w:val="17"/>
                <w:color w:val="auto"/>
              </w:rPr>
            </w:pPr>
          </w:p>
        </w:tc>
        <w:tc>
          <w:tcPr>
            <w:tcW w:w="64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Hedge fund investments</w:t>
            </w:r>
          </w:p>
        </w:tc>
        <w:tc>
          <w:tcPr>
            <w:tcW w:w="116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15,767</w:t>
            </w:r>
          </w:p>
        </w:tc>
        <w:tc>
          <w:tcPr>
            <w:tcW w:w="136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There were no purchases, sales or transfers of assets classified as Level 3 in 2019 or 2018. Pension assets included in the fair value hierarchy at net asset value, or "NAV", include three investments:</w:t>
      </w:r>
    </w:p>
    <w:p>
      <w:pPr>
        <w:spacing w:after="0" w:line="183" w:lineRule="exact"/>
        <w:rPr>
          <w:sz w:val="20"/>
          <w:szCs w:val="20"/>
          <w:color w:val="auto"/>
        </w:rPr>
      </w:pPr>
    </w:p>
    <w:p>
      <w:pPr>
        <w:ind w:left="360" w:right="520" w:hanging="122"/>
        <w:spacing w:after="0" w:line="186" w:lineRule="auto"/>
        <w:tabs>
          <w:tab w:leader="none" w:pos="360" w:val="left"/>
        </w:tabs>
        <w:numPr>
          <w:ilvl w:val="0"/>
          <w:numId w:val="28"/>
        </w:numPr>
        <w:rPr>
          <w:rFonts w:ascii="Arial" w:cs="Arial" w:eastAsia="Arial" w:hAnsi="Arial"/>
          <w:sz w:val="31"/>
          <w:szCs w:val="31"/>
          <w:color w:val="auto"/>
          <w:vertAlign w:val="subscript"/>
        </w:rPr>
      </w:pPr>
      <w:r>
        <w:rPr>
          <w:rFonts w:ascii="Arial" w:cs="Arial" w:eastAsia="Arial" w:hAnsi="Arial"/>
          <w:sz w:val="16"/>
          <w:szCs w:val="16"/>
          <w:color w:val="auto"/>
        </w:rPr>
        <w:t>U.S. small cap value equity common/collective fund for which fund prices are not publicly available. The balance of this investment is $9,524,000 and $10,045,000 as of 9/29/2019 and 9/30/2018, respectively. We can redeem this fund on a monthly basis.</w:t>
      </w:r>
    </w:p>
    <w:p>
      <w:pPr>
        <w:spacing w:after="0" w:line="184" w:lineRule="exact"/>
        <w:rPr>
          <w:rFonts w:ascii="Arial" w:cs="Arial" w:eastAsia="Arial" w:hAnsi="Arial"/>
          <w:sz w:val="31"/>
          <w:szCs w:val="31"/>
          <w:color w:val="auto"/>
          <w:vertAlign w:val="subscript"/>
        </w:rPr>
      </w:pPr>
    </w:p>
    <w:p>
      <w:pPr>
        <w:ind w:left="360"/>
        <w:spacing w:after="0"/>
        <w:rPr>
          <w:rFonts w:ascii="Arial" w:cs="Arial" w:eastAsia="Arial" w:hAnsi="Arial"/>
          <w:sz w:val="31"/>
          <w:szCs w:val="31"/>
          <w:color w:val="auto"/>
          <w:vertAlign w:val="subscript"/>
        </w:rPr>
      </w:pPr>
      <w:r>
        <w:rPr>
          <w:rFonts w:ascii="Arial" w:cs="Arial" w:eastAsia="Arial" w:hAnsi="Arial"/>
          <w:sz w:val="18"/>
          <w:szCs w:val="18"/>
          <w:color w:val="auto"/>
        </w:rPr>
        <w:t>Global equity long/short common/collective hedge fund-of-funds for which fund prices are established on a monthly basis. The balance of</w:t>
      </w:r>
    </w:p>
    <w:p>
      <w:pPr>
        <w:jc w:val="both"/>
        <w:ind w:left="360" w:right="60" w:hanging="122"/>
        <w:spacing w:after="0"/>
        <w:tabs>
          <w:tab w:leader="none" w:pos="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investment is $7,923,000 and $8,116,000 as of 9/29/2019 and 9/30/2019, respectively. We can redeem up to 90% of our investment in this fund within 90-120 days of notice with the remaining distributed following completion of the audit of the Fund's financial statements for the year.</w:t>
      </w:r>
    </w:p>
    <w:p>
      <w:pPr>
        <w:spacing w:after="0" w:line="189" w:lineRule="exact"/>
        <w:rPr>
          <w:rFonts w:ascii="Arial" w:cs="Arial" w:eastAsia="Arial" w:hAnsi="Arial"/>
          <w:sz w:val="18"/>
          <w:szCs w:val="18"/>
          <w:color w:val="auto"/>
        </w:rPr>
      </w:pPr>
    </w:p>
    <w:p>
      <w:pPr>
        <w:ind w:left="360" w:right="60" w:hanging="122"/>
        <w:spacing w:after="0" w:line="180" w:lineRule="auto"/>
        <w:tabs>
          <w:tab w:leader="none" w:pos="360" w:val="left"/>
        </w:tabs>
        <w:numPr>
          <w:ilvl w:val="0"/>
          <w:numId w:val="28"/>
        </w:numPr>
        <w:rPr>
          <w:rFonts w:ascii="Arial" w:cs="Arial" w:eastAsia="Arial" w:hAnsi="Arial"/>
          <w:sz w:val="36"/>
          <w:szCs w:val="36"/>
          <w:color w:val="auto"/>
          <w:vertAlign w:val="subscript"/>
        </w:rPr>
      </w:pPr>
      <w:r>
        <w:rPr>
          <w:rFonts w:ascii="Arial" w:cs="Arial" w:eastAsia="Arial" w:hAnsi="Arial"/>
          <w:sz w:val="18"/>
          <w:szCs w:val="18"/>
          <w:color w:val="auto"/>
        </w:rPr>
        <w:t>Global equity long/short common/collective hedge fund-of-funds for which fund prices are established on a monthly basis. The balance of this investment is $7,810,000 and $7,651,000 as of 9/29/2019 and 9/30/2018, respectively. We can redeem up to 50% of our investment in this fund twice per year.</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Based on our forecast at September 29, 2019, we expect to make contributions of $6,718,000 to our pension trust in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anticipate future benefit payments to be paid from the pension trust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(Thousands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12,452</w:t>
            </w: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5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11,770</w:t>
            </w:r>
          </w:p>
        </w:tc>
      </w:tr>
      <w:tr>
        <w:trPr>
          <w:trHeight w:val="203"/>
        </w:trPr>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2022</w:t>
            </w:r>
          </w:p>
        </w:tc>
        <w:tc>
          <w:tcPr>
            <w:tcW w:w="56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11,711</w:t>
            </w: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5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11,725</w:t>
            </w:r>
          </w:p>
        </w:tc>
      </w:tr>
      <w:tr>
        <w:trPr>
          <w:trHeight w:val="203"/>
        </w:trPr>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2024</w:t>
            </w:r>
          </w:p>
        </w:tc>
        <w:tc>
          <w:tcPr>
            <w:tcW w:w="56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11,679</w:t>
            </w:r>
          </w:p>
        </w:tc>
      </w:tr>
      <w:tr>
        <w:trPr>
          <w:trHeight w:val="203"/>
        </w:trPr>
        <w:tc>
          <w:tcPr>
            <w:tcW w:w="58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2025-2029</w:t>
            </w:r>
          </w:p>
        </w:tc>
        <w:tc>
          <w:tcPr>
            <w:tcW w:w="56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56,172</w:t>
            </w:r>
          </w:p>
        </w:tc>
      </w:tr>
      <w:tr>
        <w:trPr>
          <w:trHeight w:val="20"/>
        </w:trPr>
        <w:tc>
          <w:tcPr>
            <w:tcW w:w="5800" w:type="dxa"/>
            <w:vAlign w:val="bottom"/>
            <w:tcBorders>
              <w:bottom w:val="single" w:sz="8" w:color="auto"/>
            </w:tcBorders>
          </w:tcPr>
          <w:p>
            <w:pPr>
              <w:spacing w:after="0" w:line="20" w:lineRule="exact"/>
              <w:rPr>
                <w:sz w:val="1"/>
                <w:szCs w:val="1"/>
                <w:color w:val="auto"/>
              </w:rPr>
            </w:pPr>
          </w:p>
        </w:tc>
        <w:tc>
          <w:tcPr>
            <w:tcW w:w="56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Plans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obligated under an unfunded plan to provide fixed retirement payments to certain former employees. The plan is frozen and no additional benefits are being accrued. The accrued liability under the plan is $1,667,000 and $1,469,000 at September 29, 2019 and September 30, 2018, respectively.</w:t>
      </w:r>
    </w:p>
    <w:p>
      <w:pPr>
        <w:spacing w:after="0" w:line="200" w:lineRule="exact"/>
        <w:rPr>
          <w:sz w:val="20"/>
          <w:szCs w:val="20"/>
          <w:color w:val="auto"/>
        </w:rPr>
      </w:pPr>
    </w:p>
    <w:p>
      <w:pPr>
        <w:spacing w:after="0" w:line="210" w:lineRule="exact"/>
        <w:rPr>
          <w:sz w:val="20"/>
          <w:szCs w:val="20"/>
          <w:color w:val="auto"/>
        </w:rPr>
      </w:pPr>
    </w:p>
    <w:p>
      <w:pPr>
        <w:ind w:left="360" w:hanging="352"/>
        <w:spacing w:after="0"/>
        <w:tabs>
          <w:tab w:leader="none" w:pos="3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POSTRETIREMENT AND POSTEMPLOYMENT BENEFITS</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provide retiree medical and life insurance benefits under postretirement plans at several of our operating locations. The level and adjustment of participant contributions vary depending on the specific plan. In addition, St. Louis Post Dispatch LLC provides postemployment disability benefits to certain employee groups prior to retirement</w:t>
      </w:r>
      <w:r>
        <w:rPr>
          <w:rFonts w:ascii="Arial" w:cs="Arial" w:eastAsia="Arial" w:hAnsi="Arial"/>
          <w:sz w:val="18"/>
          <w:szCs w:val="18"/>
          <w:i w:val="1"/>
          <w:iCs w:val="1"/>
          <w:color w:val="auto"/>
        </w:rPr>
        <w:t>.</w:t>
      </w:r>
      <w:r>
        <w:rPr>
          <w:rFonts w:ascii="Arial" w:cs="Arial" w:eastAsia="Arial" w:hAnsi="Arial"/>
          <w:sz w:val="18"/>
          <w:szCs w:val="18"/>
          <w:color w:val="auto"/>
        </w:rPr>
        <w:t xml:space="preserve"> Our liability and related expense for benefits under the postretirement plans are recorded over the service period of active employees based upon annual actuarial calculations. We accrue postemployment disability benefits when it becomes probable that such benefits will be paid and when sufficient information exists to make reasonable estimates of the amounts to be paid.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235"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The net periodic postretirement benefit cost (benefit) components for our postretirement plans are as follows: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Borders>
              <w:top w:val="single" w:sz="8" w:color="auto"/>
            </w:tcBorders>
            <w:gridSpan w:val="2"/>
          </w:tcPr>
          <w:p>
            <w:pPr>
              <w:spacing w:after="0"/>
              <w:rPr>
                <w:sz w:val="20"/>
                <w:szCs w:val="20"/>
                <w:color w:val="auto"/>
              </w:rPr>
            </w:pPr>
            <w:r>
              <w:rPr>
                <w:rFonts w:ascii="Arial" w:cs="Arial" w:eastAsia="Arial" w:hAnsi="Arial"/>
                <w:sz w:val="16"/>
                <w:szCs w:val="16"/>
                <w:i w:val="1"/>
                <w:iCs w:val="1"/>
                <w:color w:val="auto"/>
              </w:rPr>
              <w:t>(Thousands of Dollars)</w:t>
            </w:r>
          </w:p>
        </w:tc>
        <w:tc>
          <w:tcPr>
            <w:tcW w:w="294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2019</w:t>
            </w:r>
          </w:p>
        </w:tc>
        <w:tc>
          <w:tcPr>
            <w:tcW w:w="170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rPr>
              <w:t>2018</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58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 for benefits earned during the year</w:t>
            </w:r>
          </w:p>
        </w:tc>
        <w:tc>
          <w:tcPr>
            <w:tcW w:w="2940" w:type="dxa"/>
            <w:vAlign w:val="bottom"/>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tcPr>
          <w:p>
            <w:pPr>
              <w:spacing w:after="0" w:line="202" w:lineRule="exact"/>
              <w:rPr>
                <w:sz w:val="20"/>
                <w:szCs w:val="20"/>
                <w:color w:val="auto"/>
              </w:rPr>
            </w:pPr>
            <w:r>
              <w:rPr>
                <w:rFonts w:ascii="Arial" w:cs="Arial" w:eastAsia="Arial" w:hAnsi="Arial"/>
                <w:sz w:val="18"/>
                <w:szCs w:val="18"/>
                <w:color w:val="auto"/>
              </w:rPr>
              <w:t>Interest cost on projected benefit obligation</w:t>
            </w:r>
          </w:p>
        </w:tc>
        <w:tc>
          <w:tcPr>
            <w:tcW w:w="294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412</w:t>
            </w:r>
          </w:p>
        </w:tc>
        <w:tc>
          <w:tcPr>
            <w:tcW w:w="170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365</w:t>
            </w:r>
          </w:p>
        </w:tc>
        <w:tc>
          <w:tcPr>
            <w:tcW w:w="11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2940" w:type="dxa"/>
            <w:vAlign w:val="bottom"/>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rPr>
              <w:t>(1,082)</w:t>
            </w:r>
          </w:p>
        </w:tc>
        <w:tc>
          <w:tcPr>
            <w:tcW w:w="170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(1,080)</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tcPr>
          <w:p>
            <w:pPr>
              <w:spacing w:after="0" w:line="202" w:lineRule="exact"/>
              <w:rPr>
                <w:sz w:val="20"/>
                <w:szCs w:val="20"/>
                <w:color w:val="auto"/>
              </w:rPr>
            </w:pPr>
            <w:r>
              <w:rPr>
                <w:rFonts w:ascii="Arial" w:cs="Arial" w:eastAsia="Arial" w:hAnsi="Arial"/>
                <w:sz w:val="18"/>
                <w:szCs w:val="18"/>
                <w:color w:val="auto"/>
              </w:rPr>
              <w:t>Amortization of net actuarial gain</w:t>
            </w:r>
          </w:p>
        </w:tc>
        <w:tc>
          <w:tcPr>
            <w:tcW w:w="294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(976)</w:t>
            </w:r>
          </w:p>
        </w:tc>
        <w:tc>
          <w:tcPr>
            <w:tcW w:w="170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(984)</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prior service benefit</w:t>
            </w:r>
          </w:p>
        </w:tc>
        <w:tc>
          <w:tcPr>
            <w:tcW w:w="2940" w:type="dxa"/>
            <w:vAlign w:val="bottom"/>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rPr>
              <w:t>(723)</w:t>
            </w:r>
          </w:p>
        </w:tc>
        <w:tc>
          <w:tcPr>
            <w:tcW w:w="170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(785)</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Curtailment gains</w:t>
            </w:r>
          </w:p>
        </w:tc>
        <w:tc>
          <w:tcPr>
            <w:tcW w:w="2940" w:type="dxa"/>
            <w:vAlign w:val="bottom"/>
            <w:tcBorders>
              <w:bottom w:val="single" w:sz="8" w:color="auto"/>
            </w:tcBorders>
          </w:tcPr>
          <w:p>
            <w:pPr>
              <w:jc w:val="right"/>
              <w:ind w:right="550"/>
              <w:spacing w:after="0" w:line="202" w:lineRule="exact"/>
              <w:rPr>
                <w:sz w:val="20"/>
                <w:szCs w:val="20"/>
                <w:color w:val="auto"/>
              </w:rPr>
            </w:pPr>
            <w:r>
              <w:rPr>
                <w:rFonts w:ascii="Arial" w:cs="Arial" w:eastAsia="Arial" w:hAnsi="Arial"/>
                <w:sz w:val="18"/>
                <w:szCs w:val="18"/>
                <w:color w:val="auto"/>
              </w:rPr>
              <w:t>0</w:t>
            </w:r>
          </w:p>
        </w:tc>
        <w:tc>
          <w:tcPr>
            <w:tcW w:w="1700" w:type="dxa"/>
            <w:vAlign w:val="bottom"/>
            <w:tcBorders>
              <w:bottom w:val="single" w:sz="8" w:color="auto"/>
            </w:tcBorders>
          </w:tcPr>
          <w:p>
            <w:pPr>
              <w:jc w:val="right"/>
              <w:ind w:right="470"/>
              <w:spacing w:after="0" w:line="202" w:lineRule="exact"/>
              <w:rPr>
                <w:sz w:val="20"/>
                <w:szCs w:val="20"/>
                <w:color w:val="auto"/>
              </w:rPr>
            </w:pPr>
            <w:r>
              <w:rPr>
                <w:rFonts w:ascii="Arial" w:cs="Arial" w:eastAsia="Arial" w:hAnsi="Arial"/>
                <w:sz w:val="18"/>
                <w:szCs w:val="18"/>
                <w:color w:val="auto"/>
              </w:rPr>
              <w:t>(2,031)</w:t>
            </w: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(3,741)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5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Net periodic postretirement benefit</w:t>
            </w:r>
          </w:p>
        </w:tc>
        <w:tc>
          <w:tcPr>
            <w:tcW w:w="2940" w:type="dxa"/>
            <w:vAlign w:val="bottom"/>
            <w:tcBorders>
              <w:bottom w:val="single" w:sz="8" w:color="auto"/>
            </w:tcBorders>
            <w:shd w:val="clear" w:color="auto" w:fill="CCEEFF"/>
          </w:tcPr>
          <w:p>
            <w:pPr>
              <w:jc w:val="right"/>
              <w:ind w:right="490"/>
              <w:spacing w:after="0" w:line="196" w:lineRule="exact"/>
              <w:rPr>
                <w:sz w:val="20"/>
                <w:szCs w:val="20"/>
                <w:color w:val="auto"/>
              </w:rPr>
            </w:pPr>
            <w:r>
              <w:rPr>
                <w:rFonts w:ascii="Arial" w:cs="Arial" w:eastAsia="Arial" w:hAnsi="Arial"/>
                <w:sz w:val="18"/>
                <w:szCs w:val="18"/>
                <w:color w:val="auto"/>
              </w:rPr>
              <w:t>(2,369)</w:t>
            </w:r>
          </w:p>
        </w:tc>
        <w:tc>
          <w:tcPr>
            <w:tcW w:w="1700" w:type="dxa"/>
            <w:vAlign w:val="bottom"/>
            <w:tcBorders>
              <w:bottom w:val="single" w:sz="8" w:color="auto"/>
            </w:tcBorders>
            <w:shd w:val="clear" w:color="auto" w:fill="CCEEFF"/>
          </w:tcPr>
          <w:p>
            <w:pPr>
              <w:jc w:val="right"/>
              <w:ind w:right="470"/>
              <w:spacing w:after="0" w:line="196" w:lineRule="exact"/>
              <w:rPr>
                <w:sz w:val="20"/>
                <w:szCs w:val="20"/>
                <w:color w:val="auto"/>
              </w:rPr>
            </w:pPr>
            <w:r>
              <w:rPr>
                <w:rFonts w:ascii="Arial" w:cs="Arial" w:eastAsia="Arial" w:hAnsi="Arial"/>
                <w:sz w:val="18"/>
                <w:szCs w:val="18"/>
                <w:color w:val="auto"/>
              </w:rPr>
              <w:t>(4,515)</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(6,818)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March 2017, we notified certain participants in one of our postemployment medical plans of changes to their plan, which included notice that the plan will terminate on December 31, 2017. These changes resulted in a non-cash curtailment gain of $2,031,000 and $3,741,000 in 2018 and 2017, respectively. The curtailment gain is recorded in assets loss (gain) on sales, impairments and other in the Consolidated Statements of Income and Comprehensive Income. These charges also reduced the postemployment benefit obligation by $7,036,000 and reduced accumulated other comprehensive loss by $106,000 and $1,417,000 in 2018 and 2017,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Changes in benefit obligations and plan assets are as follows: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Borders>
              <w:top w:val="single" w:sz="8" w:color="auto"/>
            </w:tcBorders>
            <w:gridSpan w:val="2"/>
          </w:tcPr>
          <w:p>
            <w:pPr>
              <w:spacing w:after="0"/>
              <w:rPr>
                <w:sz w:val="20"/>
                <w:szCs w:val="20"/>
                <w:color w:val="auto"/>
              </w:rPr>
            </w:pPr>
            <w:r>
              <w:rPr>
                <w:rFonts w:ascii="Arial" w:cs="Arial" w:eastAsia="Arial" w:hAnsi="Arial"/>
                <w:sz w:val="16"/>
                <w:szCs w:val="16"/>
                <w:i w:val="1"/>
                <w:iCs w:val="1"/>
                <w:color w:val="auto"/>
              </w:rPr>
              <w:t>(Thousands of Dollars)</w:t>
            </w:r>
          </w:p>
        </w:tc>
        <w:tc>
          <w:tcPr>
            <w:tcW w:w="22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2019</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700" w:type="dxa"/>
            <w:vAlign w:val="bottom"/>
            <w:tcBorders>
              <w:top w:val="single" w:sz="8" w:color="auto"/>
            </w:tcBorders>
          </w:tcPr>
          <w:p>
            <w:pPr>
              <w:spacing w:after="0"/>
              <w:rPr>
                <w:sz w:val="17"/>
                <w:szCs w:val="17"/>
                <w:color w:val="auto"/>
              </w:rPr>
            </w:pPr>
          </w:p>
        </w:tc>
        <w:tc>
          <w:tcPr>
            <w:tcW w:w="22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Benefit obligation, beginning of year</w:t>
            </w:r>
          </w:p>
        </w:tc>
        <w:tc>
          <w:tcPr>
            <w:tcW w:w="22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11,756</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15,667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tcPr>
          <w:p>
            <w:pPr>
              <w:spacing w:after="0" w:line="202" w:lineRule="exact"/>
              <w:rPr>
                <w:sz w:val="20"/>
                <w:szCs w:val="20"/>
                <w:color w:val="auto"/>
              </w:rPr>
            </w:pPr>
            <w:r>
              <w:rPr>
                <w:rFonts w:ascii="Arial" w:cs="Arial" w:eastAsia="Arial" w:hAnsi="Arial"/>
                <w:sz w:val="18"/>
                <w:szCs w:val="18"/>
                <w:color w:val="auto"/>
              </w:rPr>
              <w:t>Service cost</w:t>
            </w:r>
          </w:p>
        </w:tc>
        <w:tc>
          <w:tcPr>
            <w:tcW w:w="22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cost</w:t>
            </w:r>
          </w:p>
        </w:tc>
        <w:tc>
          <w:tcPr>
            <w:tcW w:w="22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412</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tcPr>
          <w:p>
            <w:pPr>
              <w:spacing w:after="0" w:line="202" w:lineRule="exact"/>
              <w:rPr>
                <w:sz w:val="20"/>
                <w:szCs w:val="20"/>
                <w:color w:val="auto"/>
              </w:rPr>
            </w:pPr>
            <w:r>
              <w:rPr>
                <w:rFonts w:ascii="Arial" w:cs="Arial" w:eastAsia="Arial" w:hAnsi="Arial"/>
                <w:sz w:val="18"/>
                <w:szCs w:val="18"/>
                <w:color w:val="auto"/>
              </w:rPr>
              <w:t>Actuarial loss (gain)</w:t>
            </w:r>
          </w:p>
        </w:tc>
        <w:tc>
          <w:tcPr>
            <w:tcW w:w="22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1,033</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Benefits paid, net of premiums received</w:t>
            </w:r>
          </w:p>
        </w:tc>
        <w:tc>
          <w:tcPr>
            <w:tcW w:w="22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(1,507)</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tcPr>
          <w:p>
            <w:pPr>
              <w:spacing w:after="0" w:line="202" w:lineRule="exact"/>
              <w:rPr>
                <w:sz w:val="20"/>
                <w:szCs w:val="20"/>
                <w:color w:val="auto"/>
              </w:rPr>
            </w:pPr>
            <w:r>
              <w:rPr>
                <w:rFonts w:ascii="Arial" w:cs="Arial" w:eastAsia="Arial" w:hAnsi="Arial"/>
                <w:sz w:val="18"/>
                <w:szCs w:val="18"/>
                <w:color w:val="auto"/>
              </w:rPr>
              <w:t>Curtailment</w:t>
            </w:r>
          </w:p>
        </w:tc>
        <w:tc>
          <w:tcPr>
            <w:tcW w:w="22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(1,924)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Medicare Part D subsidies</w:t>
            </w:r>
          </w:p>
        </w:tc>
        <w:tc>
          <w:tcPr>
            <w:tcW w:w="222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58</w:t>
            </w:r>
          </w:p>
        </w:tc>
        <w:tc>
          <w:tcPr>
            <w:tcW w:w="14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Benefit obligation, end of year</w:t>
            </w:r>
          </w:p>
        </w:tc>
        <w:tc>
          <w:tcPr>
            <w:tcW w:w="22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11,752</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11,756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Fair value of plan assets, beginning of year</w:t>
            </w:r>
          </w:p>
        </w:tc>
        <w:tc>
          <w:tcPr>
            <w:tcW w:w="2220" w:type="dxa"/>
            <w:vAlign w:val="bottom"/>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24,647</w:t>
            </w:r>
          </w:p>
        </w:tc>
        <w:tc>
          <w:tcPr>
            <w:tcW w:w="14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24,626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tcPr>
          <w:p>
            <w:pPr>
              <w:spacing w:after="0" w:line="202" w:lineRule="exact"/>
              <w:rPr>
                <w:sz w:val="20"/>
                <w:szCs w:val="20"/>
                <w:color w:val="auto"/>
              </w:rPr>
            </w:pPr>
            <w:r>
              <w:rPr>
                <w:rFonts w:ascii="Arial" w:cs="Arial" w:eastAsia="Arial" w:hAnsi="Arial"/>
                <w:sz w:val="18"/>
                <w:szCs w:val="18"/>
                <w:color w:val="auto"/>
              </w:rPr>
              <w:t>Actual return on plan assets</w:t>
            </w:r>
          </w:p>
        </w:tc>
        <w:tc>
          <w:tcPr>
            <w:tcW w:w="22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2,097</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Employer contributions</w:t>
            </w:r>
          </w:p>
        </w:tc>
        <w:tc>
          <w:tcPr>
            <w:tcW w:w="22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222</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tcPr>
          <w:p>
            <w:pPr>
              <w:spacing w:after="0" w:line="202" w:lineRule="exact"/>
              <w:rPr>
                <w:sz w:val="20"/>
                <w:szCs w:val="20"/>
                <w:color w:val="auto"/>
              </w:rPr>
            </w:pPr>
            <w:r>
              <w:rPr>
                <w:rFonts w:ascii="Arial" w:cs="Arial" w:eastAsia="Arial" w:hAnsi="Arial"/>
                <w:sz w:val="18"/>
                <w:szCs w:val="18"/>
                <w:color w:val="auto"/>
              </w:rPr>
              <w:t>Benefits paid, net of premiums and Medicare Part D subsidies received</w:t>
            </w:r>
          </w:p>
        </w:tc>
        <w:tc>
          <w:tcPr>
            <w:tcW w:w="22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(1,449)</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Benefits paid for active employees</w:t>
            </w:r>
          </w:p>
        </w:tc>
        <w:tc>
          <w:tcPr>
            <w:tcW w:w="222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(1,382)</w:t>
            </w:r>
          </w:p>
        </w:tc>
        <w:tc>
          <w:tcPr>
            <w:tcW w:w="1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Fair value of plan assets at measurement date</w:t>
            </w:r>
          </w:p>
        </w:tc>
        <w:tc>
          <w:tcPr>
            <w:tcW w:w="22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24,135</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24,647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7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Funded status</w:t>
            </w:r>
          </w:p>
        </w:tc>
        <w:tc>
          <w:tcPr>
            <w:tcW w:w="22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12,383</w:t>
            </w:r>
          </w:p>
        </w:tc>
        <w:tc>
          <w:tcPr>
            <w:tcW w:w="14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12,891</w:t>
            </w:r>
          </w:p>
        </w:tc>
        <w:tc>
          <w:tcPr>
            <w:tcW w:w="0" w:type="dxa"/>
            <w:vAlign w:val="bottom"/>
          </w:tcPr>
          <w:p>
            <w:pPr>
              <w:spacing w:after="0"/>
              <w:rPr>
                <w:sz w:val="1"/>
                <w:szCs w:val="1"/>
                <w:color w:val="auto"/>
              </w:rPr>
            </w:pPr>
          </w:p>
        </w:tc>
      </w:tr>
      <w:tr>
        <w:trPr>
          <w:trHeight w:val="399"/>
        </w:trPr>
        <w:tc>
          <w:tcPr>
            <w:tcW w:w="7720" w:type="dxa"/>
            <w:vAlign w:val="bottom"/>
            <w:gridSpan w:val="2"/>
          </w:tcPr>
          <w:p>
            <w:pPr>
              <w:spacing w:after="0"/>
              <w:rPr>
                <w:sz w:val="20"/>
                <w:szCs w:val="20"/>
                <w:color w:val="auto"/>
              </w:rPr>
            </w:pPr>
            <w:r>
              <w:rPr>
                <w:rFonts w:ascii="Arial" w:cs="Arial" w:eastAsia="Arial" w:hAnsi="Arial"/>
                <w:sz w:val="18"/>
                <w:szCs w:val="18"/>
                <w:color w:val="auto"/>
              </w:rPr>
              <w:t>Disaggregated amounts recognized in the Consolidated Balance Sheets are as follows:</w:t>
            </w:r>
          </w:p>
        </w:tc>
        <w:tc>
          <w:tcPr>
            <w:tcW w:w="2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7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222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September 29</w:t>
            </w:r>
          </w:p>
        </w:tc>
        <w:tc>
          <w:tcPr>
            <w:tcW w:w="14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03"/>
        </w:trPr>
        <w:tc>
          <w:tcPr>
            <w:tcW w:w="7720" w:type="dxa"/>
            <w:vAlign w:val="bottom"/>
            <w:gridSpan w:val="2"/>
          </w:tcPr>
          <w:p>
            <w:pPr>
              <w:spacing w:after="0"/>
              <w:rPr>
                <w:sz w:val="20"/>
                <w:szCs w:val="20"/>
                <w:color w:val="auto"/>
              </w:rPr>
            </w:pPr>
            <w:r>
              <w:rPr>
                <w:rFonts w:ascii="Arial" w:cs="Arial" w:eastAsia="Arial" w:hAnsi="Arial"/>
                <w:sz w:val="16"/>
                <w:szCs w:val="16"/>
                <w:i w:val="1"/>
                <w:iCs w:val="1"/>
                <w:color w:val="auto"/>
              </w:rPr>
              <w:t>(Thousands of Dollars)</w:t>
            </w:r>
          </w:p>
        </w:tc>
        <w:tc>
          <w:tcPr>
            <w:tcW w:w="2220" w:type="dxa"/>
            <w:vAlign w:val="bottom"/>
          </w:tcPr>
          <w:p>
            <w:pPr>
              <w:jc w:val="right"/>
              <w:ind w:right="230"/>
              <w:spacing w:after="0" w:line="203" w:lineRule="exact"/>
              <w:rPr>
                <w:sz w:val="20"/>
                <w:szCs w:val="20"/>
                <w:color w:val="auto"/>
              </w:rPr>
            </w:pPr>
            <w:r>
              <w:rPr>
                <w:rFonts w:ascii="Arial" w:cs="Arial" w:eastAsia="Arial" w:hAnsi="Arial"/>
                <w:sz w:val="18"/>
                <w:szCs w:val="18"/>
                <w:color w:val="auto"/>
              </w:rPr>
              <w:t>2019</w:t>
            </w:r>
          </w:p>
        </w:tc>
        <w:tc>
          <w:tcPr>
            <w:tcW w:w="1480" w:type="dxa"/>
            <w:vAlign w:val="bottom"/>
          </w:tcPr>
          <w:p>
            <w:pPr>
              <w:jc w:val="right"/>
              <w:ind w:right="10"/>
              <w:spacing w:after="0" w:line="203" w:lineRule="exact"/>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700" w:type="dxa"/>
            <w:vAlign w:val="bottom"/>
            <w:tcBorders>
              <w:top w:val="single" w:sz="8" w:color="auto"/>
            </w:tcBorders>
          </w:tcPr>
          <w:p>
            <w:pPr>
              <w:spacing w:after="0"/>
              <w:rPr>
                <w:sz w:val="17"/>
                <w:szCs w:val="17"/>
                <w:color w:val="auto"/>
              </w:rPr>
            </w:pPr>
          </w:p>
        </w:tc>
        <w:tc>
          <w:tcPr>
            <w:tcW w:w="22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Non-current assets</w:t>
            </w:r>
          </w:p>
        </w:tc>
        <w:tc>
          <w:tcPr>
            <w:tcW w:w="22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12,383</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12,891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tcPr>
          <w:p>
            <w:pPr>
              <w:spacing w:after="0" w:line="202" w:lineRule="exact"/>
              <w:rPr>
                <w:sz w:val="20"/>
                <w:szCs w:val="20"/>
                <w:color w:val="auto"/>
              </w:rPr>
            </w:pPr>
            <w:r>
              <w:rPr>
                <w:rFonts w:ascii="Arial" w:cs="Arial" w:eastAsia="Arial" w:hAnsi="Arial"/>
                <w:sz w:val="18"/>
                <w:szCs w:val="18"/>
                <w:color w:val="auto"/>
              </w:rPr>
              <w:t>Postretirement benefit obligations</w:t>
            </w:r>
          </w:p>
        </w:tc>
        <w:tc>
          <w:tcPr>
            <w:tcW w:w="22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Accumulated other comprehensive income (before income tax benefit)</w:t>
            </w:r>
          </w:p>
        </w:tc>
        <w:tc>
          <w:tcPr>
            <w:tcW w:w="222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14,818</w:t>
            </w:r>
          </w:p>
        </w:tc>
        <w:tc>
          <w:tcPr>
            <w:tcW w:w="14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17,917</w:t>
            </w:r>
          </w:p>
        </w:tc>
        <w:tc>
          <w:tcPr>
            <w:tcW w:w="0" w:type="dxa"/>
            <w:vAlign w:val="bottom"/>
          </w:tcPr>
          <w:p>
            <w:pPr>
              <w:spacing w:after="0"/>
              <w:rPr>
                <w:sz w:val="1"/>
                <w:szCs w:val="1"/>
                <w:color w:val="auto"/>
              </w:rPr>
            </w:pPr>
          </w:p>
        </w:tc>
      </w:tr>
      <w:tr>
        <w:trPr>
          <w:trHeight w:val="399"/>
        </w:trPr>
        <w:tc>
          <w:tcPr>
            <w:tcW w:w="7720" w:type="dxa"/>
            <w:vAlign w:val="bottom"/>
            <w:gridSpan w:val="2"/>
          </w:tcPr>
          <w:p>
            <w:pPr>
              <w:jc w:val="right"/>
              <w:ind w:right="1810"/>
              <w:spacing w:after="0"/>
              <w:rPr>
                <w:sz w:val="20"/>
                <w:szCs w:val="20"/>
                <w:color w:val="auto"/>
              </w:rPr>
            </w:pPr>
            <w:r>
              <w:rPr>
                <w:rFonts w:ascii="Arial" w:cs="Arial" w:eastAsia="Arial" w:hAnsi="Arial"/>
                <w:sz w:val="18"/>
                <w:szCs w:val="18"/>
                <w:color w:val="auto"/>
              </w:rPr>
              <w:t>61</w:t>
            </w:r>
          </w:p>
        </w:tc>
        <w:tc>
          <w:tcPr>
            <w:tcW w:w="2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0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98"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Amounts recognized in accumulated other comprehensive income are as follows: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600" w:type="dxa"/>
            <w:vAlign w:val="bottom"/>
            <w:tcBorders>
              <w:top w:val="single" w:sz="8" w:color="auto"/>
            </w:tcBorders>
          </w:tcPr>
          <w:p>
            <w:pPr>
              <w:spacing w:after="0"/>
              <w:rPr>
                <w:sz w:val="18"/>
                <w:szCs w:val="18"/>
                <w:color w:val="auto"/>
              </w:rPr>
            </w:pPr>
          </w:p>
        </w:tc>
        <w:tc>
          <w:tcPr>
            <w:tcW w:w="42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September 29</w:t>
            </w: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03"/>
        </w:trPr>
        <w:tc>
          <w:tcPr>
            <w:tcW w:w="5620" w:type="dxa"/>
            <w:vAlign w:val="bottom"/>
            <w:gridSpan w:val="2"/>
          </w:tcPr>
          <w:p>
            <w:pPr>
              <w:spacing w:after="0"/>
              <w:rPr>
                <w:sz w:val="20"/>
                <w:szCs w:val="20"/>
                <w:color w:val="auto"/>
              </w:rPr>
            </w:pPr>
            <w:r>
              <w:rPr>
                <w:rFonts w:ascii="Arial" w:cs="Arial" w:eastAsia="Arial" w:hAnsi="Arial"/>
                <w:sz w:val="16"/>
                <w:szCs w:val="16"/>
                <w:i w:val="1"/>
                <w:iCs w:val="1"/>
                <w:color w:val="auto"/>
              </w:rPr>
              <w:t>(Thousands of Dollars)</w:t>
            </w:r>
          </w:p>
        </w:tc>
        <w:tc>
          <w:tcPr>
            <w:tcW w:w="4280" w:type="dxa"/>
            <w:vAlign w:val="bottom"/>
          </w:tcPr>
          <w:p>
            <w:pPr>
              <w:jc w:val="right"/>
              <w:ind w:right="190"/>
              <w:spacing w:after="0" w:line="203" w:lineRule="exact"/>
              <w:rPr>
                <w:sz w:val="20"/>
                <w:szCs w:val="20"/>
                <w:color w:val="auto"/>
              </w:rPr>
            </w:pPr>
            <w:r>
              <w:rPr>
                <w:rFonts w:ascii="Arial" w:cs="Arial" w:eastAsia="Arial" w:hAnsi="Arial"/>
                <w:sz w:val="18"/>
                <w:szCs w:val="18"/>
                <w:color w:val="auto"/>
              </w:rPr>
              <w:t>2019</w:t>
            </w:r>
          </w:p>
        </w:tc>
        <w:tc>
          <w:tcPr>
            <w:tcW w:w="1520" w:type="dxa"/>
            <w:vAlign w:val="bottom"/>
          </w:tcPr>
          <w:p>
            <w:pPr>
              <w:jc w:val="right"/>
              <w:ind w:right="10"/>
              <w:spacing w:after="0" w:line="203" w:lineRule="exact"/>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600" w:type="dxa"/>
            <w:vAlign w:val="bottom"/>
            <w:tcBorders>
              <w:top w:val="single" w:sz="8" w:color="auto"/>
            </w:tcBorders>
          </w:tcPr>
          <w:p>
            <w:pPr>
              <w:spacing w:after="0"/>
              <w:rPr>
                <w:sz w:val="17"/>
                <w:szCs w:val="17"/>
                <w:color w:val="auto"/>
              </w:rPr>
            </w:pPr>
          </w:p>
        </w:tc>
        <w:tc>
          <w:tcPr>
            <w:tcW w:w="42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Unrecognized net actuarial gain</w:t>
            </w:r>
          </w:p>
        </w:tc>
        <w:tc>
          <w:tcPr>
            <w:tcW w:w="42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4,970</w:t>
            </w:r>
          </w:p>
        </w:tc>
        <w:tc>
          <w:tcPr>
            <w:tcW w:w="15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12,224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Unrecognized prior service benefit</w:t>
            </w:r>
          </w:p>
        </w:tc>
        <w:tc>
          <w:tcPr>
            <w:tcW w:w="428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9,848</w:t>
            </w:r>
          </w:p>
        </w:tc>
        <w:tc>
          <w:tcPr>
            <w:tcW w:w="15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5,693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00" w:type="dxa"/>
            <w:vAlign w:val="bottom"/>
            <w:tcBorders>
              <w:bottom w:val="single" w:sz="8" w:color="auto"/>
            </w:tcBorders>
            <w:shd w:val="clear" w:color="auto" w:fill="CCEEFF"/>
          </w:tcPr>
          <w:p>
            <w:pPr>
              <w:spacing w:after="0"/>
              <w:rPr>
                <w:sz w:val="20"/>
                <w:szCs w:val="20"/>
                <w:color w:val="auto"/>
              </w:rPr>
            </w:pPr>
          </w:p>
        </w:tc>
        <w:tc>
          <w:tcPr>
            <w:tcW w:w="42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14,818</w:t>
            </w:r>
          </w:p>
        </w:tc>
        <w:tc>
          <w:tcPr>
            <w:tcW w:w="15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17,917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expect to recognize $743,000 and $647,000 of unrecognized net actuarial gain and unrecognized prior service benefit, respectively, in net periodic postretirement benefit in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Assumptions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assumptions used to determine postretirement benefit obligations are as follows: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880" w:type="dxa"/>
            <w:vAlign w:val="bottom"/>
            <w:tcBorders>
              <w:top w:val="single" w:sz="8" w:color="auto"/>
            </w:tcBorders>
          </w:tcPr>
          <w:p>
            <w:pPr>
              <w:spacing w:after="0"/>
              <w:rPr>
                <w:sz w:val="18"/>
                <w:szCs w:val="18"/>
                <w:color w:val="auto"/>
              </w:rPr>
            </w:pPr>
          </w:p>
        </w:tc>
        <w:tc>
          <w:tcPr>
            <w:tcW w:w="40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September 29</w:t>
            </w: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03"/>
        </w:trPr>
        <w:tc>
          <w:tcPr>
            <w:tcW w:w="5900" w:type="dxa"/>
            <w:vAlign w:val="bottom"/>
            <w:gridSpan w:val="2"/>
          </w:tcPr>
          <w:p>
            <w:pPr>
              <w:spacing w:after="0"/>
              <w:rPr>
                <w:sz w:val="20"/>
                <w:szCs w:val="20"/>
                <w:color w:val="auto"/>
              </w:rPr>
            </w:pPr>
            <w:r>
              <w:rPr>
                <w:rFonts w:ascii="Arial" w:cs="Arial" w:eastAsia="Arial" w:hAnsi="Arial"/>
                <w:sz w:val="16"/>
                <w:szCs w:val="16"/>
                <w:i w:val="1"/>
                <w:iCs w:val="1"/>
                <w:color w:val="auto"/>
              </w:rPr>
              <w:t>(Percent)</w:t>
            </w:r>
          </w:p>
        </w:tc>
        <w:tc>
          <w:tcPr>
            <w:tcW w:w="4000" w:type="dxa"/>
            <w:vAlign w:val="bottom"/>
          </w:tcPr>
          <w:p>
            <w:pPr>
              <w:jc w:val="right"/>
              <w:ind w:right="190"/>
              <w:spacing w:after="0" w:line="203" w:lineRule="exact"/>
              <w:rPr>
                <w:sz w:val="20"/>
                <w:szCs w:val="20"/>
                <w:color w:val="auto"/>
              </w:rPr>
            </w:pPr>
            <w:r>
              <w:rPr>
                <w:rFonts w:ascii="Arial" w:cs="Arial" w:eastAsia="Arial" w:hAnsi="Arial"/>
                <w:sz w:val="18"/>
                <w:szCs w:val="18"/>
                <w:color w:val="auto"/>
              </w:rPr>
              <w:t>2019</w:t>
            </w:r>
          </w:p>
        </w:tc>
        <w:tc>
          <w:tcPr>
            <w:tcW w:w="1520" w:type="dxa"/>
            <w:vAlign w:val="bottom"/>
          </w:tcPr>
          <w:p>
            <w:pPr>
              <w:jc w:val="right"/>
              <w:ind w:right="10"/>
              <w:spacing w:after="0" w:line="203" w:lineRule="exact"/>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880" w:type="dxa"/>
            <w:vAlign w:val="bottom"/>
            <w:tcBorders>
              <w:top w:val="single" w:sz="8" w:color="auto"/>
            </w:tcBorders>
          </w:tcPr>
          <w:p>
            <w:pPr>
              <w:spacing w:after="0"/>
              <w:rPr>
                <w:sz w:val="17"/>
                <w:szCs w:val="17"/>
                <w:color w:val="auto"/>
              </w:rPr>
            </w:pPr>
          </w:p>
        </w:tc>
        <w:tc>
          <w:tcPr>
            <w:tcW w:w="40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Discount rate</w:t>
            </w:r>
          </w:p>
        </w:tc>
        <w:tc>
          <w:tcPr>
            <w:tcW w:w="400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2.8</w:t>
            </w:r>
          </w:p>
        </w:tc>
        <w:tc>
          <w:tcPr>
            <w:tcW w:w="15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3"/>
        </w:trPr>
        <w:tc>
          <w:tcPr>
            <w:tcW w:w="20" w:type="dxa"/>
            <w:vAlign w:val="bottom"/>
            <w:tcBorders>
              <w:bottom w:val="single" w:sz="8" w:color="auto"/>
            </w:tcBorders>
          </w:tcPr>
          <w:p>
            <w:pPr>
              <w:spacing w:after="0"/>
              <w:rPr>
                <w:sz w:val="17"/>
                <w:szCs w:val="17"/>
                <w:color w:val="auto"/>
              </w:rPr>
            </w:pPr>
          </w:p>
        </w:tc>
        <w:tc>
          <w:tcPr>
            <w:tcW w:w="58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Expected long-term return on plan assets</w:t>
            </w:r>
          </w:p>
        </w:tc>
        <w:tc>
          <w:tcPr>
            <w:tcW w:w="400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4.5</w:t>
            </w:r>
          </w:p>
        </w:tc>
        <w:tc>
          <w:tcPr>
            <w:tcW w:w="15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assumptions related to the expected long-term return on plan assets are developed through an analysis of historical market returns, current market conditions and composition of plan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assumptions used to determine net periodic benefit cost are as follows: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Borders>
              <w:top w:val="single" w:sz="8" w:color="auto"/>
            </w:tcBorders>
            <w:gridSpan w:val="2"/>
          </w:tcPr>
          <w:p>
            <w:pPr>
              <w:spacing w:after="0"/>
              <w:rPr>
                <w:sz w:val="20"/>
                <w:szCs w:val="20"/>
                <w:color w:val="auto"/>
              </w:rPr>
            </w:pPr>
            <w:r>
              <w:rPr>
                <w:rFonts w:ascii="Arial" w:cs="Arial" w:eastAsia="Arial" w:hAnsi="Arial"/>
                <w:sz w:val="16"/>
                <w:szCs w:val="16"/>
                <w:i w:val="1"/>
                <w:iCs w:val="1"/>
                <w:color w:val="auto"/>
              </w:rPr>
              <w:t>(Percent)</w:t>
            </w:r>
          </w:p>
        </w:tc>
        <w:tc>
          <w:tcPr>
            <w:tcW w:w="316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rPr>
              <w:t>2019</w:t>
            </w:r>
          </w:p>
        </w:tc>
        <w:tc>
          <w:tcPr>
            <w:tcW w:w="170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2018</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380" w:type="dxa"/>
            <w:vAlign w:val="bottom"/>
            <w:tcBorders>
              <w:top w:val="single" w:sz="8" w:color="auto"/>
            </w:tcBorders>
          </w:tcPr>
          <w:p>
            <w:pPr>
              <w:spacing w:after="0"/>
              <w:rPr>
                <w:sz w:val="17"/>
                <w:szCs w:val="17"/>
                <w:color w:val="auto"/>
              </w:rPr>
            </w:pPr>
          </w:p>
        </w:tc>
        <w:tc>
          <w:tcPr>
            <w:tcW w:w="316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Discount rate - service cost</w:t>
            </w:r>
          </w:p>
        </w:tc>
        <w:tc>
          <w:tcPr>
            <w:tcW w:w="3160" w:type="dxa"/>
            <w:vAlign w:val="bottom"/>
            <w:shd w:val="clear" w:color="auto" w:fill="CCEEFF"/>
          </w:tcPr>
          <w:p>
            <w:pPr>
              <w:jc w:val="right"/>
              <w:ind w:right="570"/>
              <w:spacing w:after="0" w:line="202" w:lineRule="exact"/>
              <w:rPr>
                <w:sz w:val="20"/>
                <w:szCs w:val="20"/>
                <w:color w:val="auto"/>
              </w:rPr>
            </w:pPr>
            <w:r>
              <w:rPr>
                <w:rFonts w:ascii="Arial" w:cs="Arial" w:eastAsia="Arial" w:hAnsi="Arial"/>
                <w:sz w:val="18"/>
                <w:szCs w:val="18"/>
                <w:color w:val="auto"/>
              </w:rPr>
              <w:t>4.0</w:t>
            </w:r>
          </w:p>
        </w:tc>
        <w:tc>
          <w:tcPr>
            <w:tcW w:w="1700" w:type="dxa"/>
            <w:vAlign w:val="bottom"/>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3.4</w:t>
            </w:r>
          </w:p>
        </w:tc>
        <w:tc>
          <w:tcPr>
            <w:tcW w:w="11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spacing w:after="0" w:line="202" w:lineRule="exact"/>
              <w:rPr>
                <w:sz w:val="20"/>
                <w:szCs w:val="20"/>
                <w:color w:val="auto"/>
              </w:rPr>
            </w:pPr>
            <w:r>
              <w:rPr>
                <w:rFonts w:ascii="Arial" w:cs="Arial" w:eastAsia="Arial" w:hAnsi="Arial"/>
                <w:sz w:val="18"/>
                <w:szCs w:val="18"/>
                <w:color w:val="auto"/>
              </w:rPr>
              <w:t>Discount rate - interest cost</w:t>
            </w:r>
          </w:p>
        </w:tc>
        <w:tc>
          <w:tcPr>
            <w:tcW w:w="316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3.7</w:t>
            </w:r>
          </w:p>
        </w:tc>
        <w:tc>
          <w:tcPr>
            <w:tcW w:w="170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2.8</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Expected long-term return on plan assets</w:t>
            </w:r>
          </w:p>
        </w:tc>
        <w:tc>
          <w:tcPr>
            <w:tcW w:w="3160" w:type="dxa"/>
            <w:vAlign w:val="bottom"/>
            <w:tcBorders>
              <w:bottom w:val="single" w:sz="8" w:color="auto"/>
            </w:tcBorders>
            <w:shd w:val="clear" w:color="auto" w:fill="CCEEFF"/>
          </w:tcPr>
          <w:p>
            <w:pPr>
              <w:jc w:val="right"/>
              <w:ind w:right="570"/>
              <w:spacing w:after="0" w:line="202" w:lineRule="exact"/>
              <w:rPr>
                <w:sz w:val="20"/>
                <w:szCs w:val="20"/>
                <w:color w:val="auto"/>
              </w:rPr>
            </w:pPr>
            <w:r>
              <w:rPr>
                <w:rFonts w:ascii="Arial" w:cs="Arial" w:eastAsia="Arial" w:hAnsi="Arial"/>
                <w:sz w:val="18"/>
                <w:szCs w:val="18"/>
                <w:color w:val="auto"/>
              </w:rPr>
              <w:t>4.5</w:t>
            </w:r>
          </w:p>
        </w:tc>
        <w:tc>
          <w:tcPr>
            <w:tcW w:w="170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4.5</w:t>
            </w:r>
          </w:p>
        </w:tc>
        <w:tc>
          <w:tcPr>
            <w:tcW w:w="11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2019, the expected long-term return on plan assets is 4.5%. The assumptions related to the expected long-term return on plan assets are developed through an analysis of historical market returns, current market conditions and composition of plan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Assumed health care cost trend rates are as follows: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52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September 29</w:t>
            </w: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03"/>
        </w:trPr>
        <w:tc>
          <w:tcPr>
            <w:tcW w:w="7540" w:type="dxa"/>
            <w:vAlign w:val="bottom"/>
            <w:gridSpan w:val="2"/>
          </w:tcPr>
          <w:p>
            <w:pPr>
              <w:spacing w:after="0"/>
              <w:rPr>
                <w:sz w:val="20"/>
                <w:szCs w:val="20"/>
                <w:color w:val="auto"/>
              </w:rPr>
            </w:pPr>
            <w:r>
              <w:rPr>
                <w:rFonts w:ascii="Arial" w:cs="Arial" w:eastAsia="Arial" w:hAnsi="Arial"/>
                <w:sz w:val="16"/>
                <w:szCs w:val="16"/>
                <w:i w:val="1"/>
                <w:iCs w:val="1"/>
                <w:color w:val="auto"/>
              </w:rPr>
              <w:t>(Percent)</w:t>
            </w:r>
          </w:p>
        </w:tc>
        <w:tc>
          <w:tcPr>
            <w:tcW w:w="2360" w:type="dxa"/>
            <w:vAlign w:val="bottom"/>
          </w:tcPr>
          <w:p>
            <w:pPr>
              <w:jc w:val="right"/>
              <w:ind w:right="190"/>
              <w:spacing w:after="0" w:line="203" w:lineRule="exact"/>
              <w:rPr>
                <w:sz w:val="20"/>
                <w:szCs w:val="20"/>
                <w:color w:val="auto"/>
              </w:rPr>
            </w:pPr>
            <w:r>
              <w:rPr>
                <w:rFonts w:ascii="Arial" w:cs="Arial" w:eastAsia="Arial" w:hAnsi="Arial"/>
                <w:sz w:val="18"/>
                <w:szCs w:val="18"/>
                <w:color w:val="auto"/>
              </w:rPr>
              <w:t>2019</w:t>
            </w:r>
          </w:p>
        </w:tc>
        <w:tc>
          <w:tcPr>
            <w:tcW w:w="1520" w:type="dxa"/>
            <w:vAlign w:val="bottom"/>
          </w:tcPr>
          <w:p>
            <w:pPr>
              <w:jc w:val="right"/>
              <w:ind w:right="10"/>
              <w:spacing w:after="0" w:line="203" w:lineRule="exact"/>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520" w:type="dxa"/>
            <w:vAlign w:val="bottom"/>
            <w:tcBorders>
              <w:top w:val="single" w:sz="8" w:color="auto"/>
            </w:tcBorders>
          </w:tcPr>
          <w:p>
            <w:pPr>
              <w:spacing w:after="0"/>
              <w:rPr>
                <w:sz w:val="17"/>
                <w:szCs w:val="17"/>
                <w:color w:val="auto"/>
              </w:rPr>
            </w:pPr>
          </w:p>
        </w:tc>
        <w:tc>
          <w:tcPr>
            <w:tcW w:w="23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Health care cost trend rates</w:t>
            </w:r>
          </w:p>
        </w:tc>
        <w:tc>
          <w:tcPr>
            <w:tcW w:w="23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8.5</w:t>
            </w:r>
          </w:p>
        </w:tc>
        <w:tc>
          <w:tcPr>
            <w:tcW w:w="15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Rate to which the cost trend rate is assumed to decline (the “Ultimate Trend Rate”)</w:t>
            </w:r>
          </w:p>
        </w:tc>
        <w:tc>
          <w:tcPr>
            <w:tcW w:w="23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4.5</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Year in which the rate reaches the Ultimate Trend Rate</w:t>
            </w:r>
          </w:p>
        </w:tc>
        <w:tc>
          <w:tcPr>
            <w:tcW w:w="236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2027</w:t>
            </w:r>
          </w:p>
        </w:tc>
        <w:tc>
          <w:tcPr>
            <w:tcW w:w="15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20" w:right="1860" w:hanging="5605"/>
        <w:spacing w:after="0" w:line="481" w:lineRule="auto"/>
        <w:rPr>
          <w:sz w:val="20"/>
          <w:szCs w:val="20"/>
          <w:color w:val="auto"/>
        </w:rPr>
      </w:pPr>
      <w:r>
        <w:rPr>
          <w:rFonts w:ascii="Arial" w:cs="Arial" w:eastAsia="Arial" w:hAnsi="Arial"/>
          <w:sz w:val="18"/>
          <w:szCs w:val="18"/>
          <w:color w:val="auto"/>
        </w:rPr>
        <w:t>Administrative costs related to indemnity plans are assumed to increase at the health care cost trend rates noted above.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64" w:name="page65"/>
    <w:bookmarkEnd w:id="64"/>
    <w:p>
      <w:pPr>
        <w:jc w:val="both"/>
        <w:spacing w:after="0" w:line="246" w:lineRule="auto"/>
        <w:rPr>
          <w:sz w:val="20"/>
          <w:szCs w:val="20"/>
          <w:color w:val="auto"/>
        </w:rPr>
      </w:pPr>
      <w:r>
        <w:rPr>
          <w:rFonts w:ascii="Arial" w:cs="Arial" w:eastAsia="Arial" w:hAnsi="Arial"/>
          <w:sz w:val="18"/>
          <w:szCs w:val="18"/>
          <w:color w:val="auto"/>
        </w:rPr>
        <w:t>Assumed health care cost trend rates have an effect on the amounts reported for the postretirement plans. A one percentage point change in assumed health care cost trend rates would have the following annualized effects on reported amounts for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6" w:lineRule="exact"/>
        <w:rPr>
          <w:sz w:val="20"/>
          <w:szCs w:val="20"/>
          <w:color w:val="auto"/>
        </w:rPr>
      </w:pPr>
    </w:p>
    <w:p>
      <w:pPr>
        <w:ind w:left="9540"/>
        <w:spacing w:after="0"/>
        <w:rPr>
          <w:sz w:val="20"/>
          <w:szCs w:val="20"/>
          <w:color w:val="auto"/>
        </w:rPr>
      </w:pPr>
      <w:r>
        <w:rPr>
          <w:rFonts w:ascii="Arial" w:cs="Arial" w:eastAsia="Arial" w:hAnsi="Arial"/>
          <w:sz w:val="18"/>
          <w:szCs w:val="18"/>
          <w:color w:val="auto"/>
        </w:rPr>
        <w:t>One Percentage Point</w:t>
      </w:r>
    </w:p>
    <w:tbl>
      <w:tblPr>
        <w:tblLayout w:type="fixed"/>
        <w:tblInd w:w="0" w:type="dxa"/>
        <w:tblCellMar>
          <w:top w:w="0" w:type="dxa"/>
          <w:left w:w="0" w:type="dxa"/>
          <w:bottom w:w="0" w:type="dxa"/>
          <w:right w:w="0" w:type="dxa"/>
        </w:tblCellMar>
      </w:tblPr>
      <w:tr>
        <w:trPr>
          <w:trHeight w:val="196"/>
        </w:trPr>
        <w:tc>
          <w:tcPr>
            <w:tcW w:w="6220" w:type="dxa"/>
            <w:vAlign w:val="bottom"/>
            <w:tcBorders>
              <w:top w:val="single" w:sz="8" w:color="auto"/>
            </w:tcBorders>
            <w:gridSpan w:val="2"/>
          </w:tcPr>
          <w:p>
            <w:pPr>
              <w:spacing w:after="0"/>
              <w:rPr>
                <w:sz w:val="20"/>
                <w:szCs w:val="20"/>
                <w:color w:val="auto"/>
              </w:rPr>
            </w:pPr>
            <w:r>
              <w:rPr>
                <w:rFonts w:ascii="Arial" w:cs="Arial" w:eastAsia="Arial" w:hAnsi="Arial"/>
                <w:sz w:val="16"/>
                <w:szCs w:val="16"/>
                <w:i w:val="1"/>
                <w:iCs w:val="1"/>
                <w:color w:val="auto"/>
              </w:rPr>
              <w:t>(Thousands of Dollars)</w:t>
            </w:r>
          </w:p>
        </w:tc>
        <w:tc>
          <w:tcPr>
            <w:tcW w:w="3860" w:type="dxa"/>
            <w:vAlign w:val="bottom"/>
            <w:tcBorders>
              <w:top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rPr>
              <w:t>Increase</w:t>
            </w:r>
          </w:p>
        </w:tc>
        <w:tc>
          <w:tcPr>
            <w:tcW w:w="1340" w:type="dxa"/>
            <w:vAlign w:val="bottom"/>
            <w:tcBorders>
              <w:top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200" w:type="dxa"/>
            <w:vAlign w:val="bottom"/>
            <w:tcBorders>
              <w:top w:val="single" w:sz="8" w:color="auto"/>
            </w:tcBorders>
          </w:tcPr>
          <w:p>
            <w:pPr>
              <w:spacing w:after="0"/>
              <w:rPr>
                <w:sz w:val="17"/>
                <w:szCs w:val="17"/>
                <w:color w:val="auto"/>
              </w:rPr>
            </w:pPr>
          </w:p>
        </w:tc>
        <w:tc>
          <w:tcPr>
            <w:tcW w:w="38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on net periodic postretirement benefit</w:t>
            </w:r>
          </w:p>
        </w:tc>
        <w:tc>
          <w:tcPr>
            <w:tcW w:w="3860" w:type="dxa"/>
            <w:vAlign w:val="bottom"/>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rPr>
              <w:t>11</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20" w:type="dxa"/>
            <w:vAlign w:val="bottom"/>
            <w:tcBorders>
              <w:bottom w:val="single" w:sz="8" w:color="auto"/>
            </w:tcBorders>
          </w:tcPr>
          <w:p>
            <w:pPr>
              <w:spacing w:after="0"/>
              <w:rPr>
                <w:sz w:val="17"/>
                <w:szCs w:val="17"/>
                <w:color w:val="auto"/>
              </w:rPr>
            </w:pPr>
          </w:p>
        </w:tc>
        <w:tc>
          <w:tcPr>
            <w:tcW w:w="62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Effect on postretirement benefit obligation</w:t>
            </w:r>
          </w:p>
        </w:tc>
        <w:tc>
          <w:tcPr>
            <w:tcW w:w="3860" w:type="dxa"/>
            <w:vAlign w:val="bottom"/>
            <w:tcBorders>
              <w:bottom w:val="single" w:sz="8" w:color="auto"/>
            </w:tcBorders>
          </w:tcPr>
          <w:p>
            <w:pPr>
              <w:jc w:val="right"/>
              <w:ind w:right="370"/>
              <w:spacing w:after="0" w:line="202" w:lineRule="exact"/>
              <w:rPr>
                <w:sz w:val="20"/>
                <w:szCs w:val="20"/>
                <w:color w:val="auto"/>
              </w:rPr>
            </w:pPr>
            <w:r>
              <w:rPr>
                <w:rFonts w:ascii="Arial" w:cs="Arial" w:eastAsia="Arial" w:hAnsi="Arial"/>
                <w:sz w:val="18"/>
                <w:szCs w:val="18"/>
                <w:color w:val="auto"/>
              </w:rPr>
              <w:t>425</w:t>
            </w: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Borders>
              <w:bottom w:val="single" w:sz="8" w:color="auto"/>
            </w:tcBorders>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Assets of the retiree medical plan are invested in a master trust. The master trust also pays benefits of active employee medical plans for the same union employees. The fair value of master trust assets allocated to the active employee medical plans at September 29, 2019 and September 30, 2018 is $1,955,000 and $3,266,000, respectively, which are included within the tables below.</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primary objective of our investment strategy is to satisfy our postretirement obligations at a reasonable cost. Assets are actively invested to balance real growth of capital through appreciation and reinvestment of dividend and interest income and safety of invested funds.</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investment policy outlines the governance structure for decision making, sets investment objectives and restrictions, and establishes criteria for selecting and evaluating investment managers. The use of derivatives is strictly prohibited, except on a case-by-case basis where the manager has a proven capability, and only to hedge quantifiable risks such as exposure to foreign currencies. An investment committee, consisting of certain of our executives and supported by independent consultants, is responsible for monitoring compliance with the investment policy. Assets are periodically redistributed to maintain the appropriate policy allocation.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asset allocation of our postretirement assets is as follows: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Borders>
              <w:top w:val="single" w:sz="8" w:color="auto"/>
            </w:tcBorders>
            <w:gridSpan w:val="2"/>
          </w:tcPr>
          <w:p>
            <w:pPr>
              <w:spacing w:after="0"/>
              <w:rPr>
                <w:sz w:val="20"/>
                <w:szCs w:val="20"/>
                <w:color w:val="auto"/>
              </w:rPr>
            </w:pPr>
            <w:r>
              <w:rPr>
                <w:rFonts w:ascii="Arial" w:cs="Arial" w:eastAsia="Arial" w:hAnsi="Arial"/>
                <w:sz w:val="16"/>
                <w:szCs w:val="16"/>
                <w:i w:val="1"/>
                <w:iCs w:val="1"/>
                <w:color w:val="auto"/>
              </w:rPr>
              <w:t>(Percent)</w:t>
            </w:r>
          </w:p>
        </w:tc>
        <w:tc>
          <w:tcPr>
            <w:tcW w:w="38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Policy Allocation</w:t>
            </w:r>
          </w:p>
        </w:tc>
        <w:tc>
          <w:tcPr>
            <w:tcW w:w="3220" w:type="dxa"/>
            <w:vAlign w:val="bottom"/>
            <w:tcBorders>
              <w:top w:val="single" w:sz="8" w:color="auto"/>
            </w:tcBorders>
            <w:gridSpan w:val="2"/>
          </w:tcPr>
          <w:p>
            <w:pPr>
              <w:jc w:val="right"/>
              <w:ind w:right="930"/>
              <w:spacing w:after="0"/>
              <w:rPr>
                <w:sz w:val="20"/>
                <w:szCs w:val="20"/>
                <w:color w:val="auto"/>
              </w:rPr>
            </w:pPr>
            <w:r>
              <w:rPr>
                <w:rFonts w:ascii="Arial" w:cs="Arial" w:eastAsia="Arial" w:hAnsi="Arial"/>
                <w:sz w:val="18"/>
                <w:szCs w:val="18"/>
                <w:color w:val="auto"/>
              </w:rPr>
              <w:t>Actual Allocation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Borders>
              <w:top w:val="single" w:sz="8" w:color="auto"/>
            </w:tcBorders>
          </w:tcPr>
          <w:p>
            <w:pPr>
              <w:spacing w:after="0"/>
              <w:rPr>
                <w:sz w:val="18"/>
                <w:szCs w:val="18"/>
                <w:color w:val="auto"/>
              </w:rPr>
            </w:pPr>
          </w:p>
        </w:tc>
        <w:tc>
          <w:tcPr>
            <w:tcW w:w="3820" w:type="dxa"/>
            <w:vAlign w:val="bottom"/>
            <w:tcBorders>
              <w:top w:val="single" w:sz="8" w:color="auto"/>
            </w:tcBorders>
            <w:vMerge w:val="restart"/>
          </w:tcPr>
          <w:p>
            <w:pPr>
              <w:jc w:val="right"/>
              <w:ind w:right="210"/>
              <w:spacing w:after="0"/>
              <w:rPr>
                <w:sz w:val="20"/>
                <w:szCs w:val="20"/>
                <w:color w:val="auto"/>
              </w:rPr>
            </w:pPr>
            <w:r>
              <w:rPr>
                <w:rFonts w:ascii="Arial" w:cs="Arial" w:eastAsia="Arial" w:hAnsi="Arial"/>
                <w:sz w:val="18"/>
                <w:szCs w:val="18"/>
                <w:color w:val="auto"/>
              </w:rPr>
              <w:t>September 29</w:t>
            </w:r>
          </w:p>
        </w:tc>
        <w:tc>
          <w:tcPr>
            <w:tcW w:w="17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September 29</w:t>
            </w: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820" w:type="dxa"/>
            <w:vAlign w:val="bottom"/>
            <w:vMerge w:val="continue"/>
          </w:tcPr>
          <w:p>
            <w:pPr>
              <w:spacing w:after="0"/>
              <w:rPr>
                <w:sz w:val="16"/>
                <w:szCs w:val="16"/>
                <w:color w:val="auto"/>
              </w:rPr>
            </w:pPr>
          </w:p>
        </w:tc>
        <w:tc>
          <w:tcPr>
            <w:tcW w:w="17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80" w:type="dxa"/>
            <w:vAlign w:val="bottom"/>
            <w:gridSpan w:val="2"/>
          </w:tcPr>
          <w:p>
            <w:pPr>
              <w:spacing w:after="0" w:line="203" w:lineRule="exact"/>
              <w:rPr>
                <w:sz w:val="20"/>
                <w:szCs w:val="20"/>
                <w:color w:val="auto"/>
              </w:rPr>
            </w:pPr>
            <w:r>
              <w:rPr>
                <w:rFonts w:ascii="Arial" w:cs="Arial" w:eastAsia="Arial" w:hAnsi="Arial"/>
                <w:sz w:val="18"/>
                <w:szCs w:val="18"/>
                <w:color w:val="auto"/>
              </w:rPr>
              <w:t>Asset Class</w:t>
            </w:r>
          </w:p>
        </w:tc>
        <w:tc>
          <w:tcPr>
            <w:tcW w:w="3820" w:type="dxa"/>
            <w:vAlign w:val="bottom"/>
          </w:tcPr>
          <w:p>
            <w:pPr>
              <w:jc w:val="right"/>
              <w:ind w:right="210"/>
              <w:spacing w:after="0" w:line="203" w:lineRule="exact"/>
              <w:rPr>
                <w:sz w:val="20"/>
                <w:szCs w:val="20"/>
                <w:color w:val="auto"/>
              </w:rPr>
            </w:pPr>
            <w:r>
              <w:rPr>
                <w:rFonts w:ascii="Arial" w:cs="Arial" w:eastAsia="Arial" w:hAnsi="Arial"/>
                <w:sz w:val="18"/>
                <w:szCs w:val="18"/>
                <w:color w:val="auto"/>
              </w:rPr>
              <w:t>2019</w:t>
            </w:r>
          </w:p>
        </w:tc>
        <w:tc>
          <w:tcPr>
            <w:tcW w:w="1700" w:type="dxa"/>
            <w:vAlign w:val="bottom"/>
          </w:tcPr>
          <w:p>
            <w:pPr>
              <w:jc w:val="right"/>
              <w:ind w:right="190"/>
              <w:spacing w:after="0" w:line="203" w:lineRule="exact"/>
              <w:rPr>
                <w:sz w:val="20"/>
                <w:szCs w:val="20"/>
                <w:color w:val="auto"/>
              </w:rPr>
            </w:pPr>
            <w:r>
              <w:rPr>
                <w:rFonts w:ascii="Arial" w:cs="Arial" w:eastAsia="Arial" w:hAnsi="Arial"/>
                <w:sz w:val="18"/>
                <w:szCs w:val="18"/>
                <w:color w:val="auto"/>
              </w:rPr>
              <w:t>2019</w:t>
            </w:r>
          </w:p>
        </w:tc>
        <w:tc>
          <w:tcPr>
            <w:tcW w:w="1520" w:type="dxa"/>
            <w:vAlign w:val="bottom"/>
          </w:tcPr>
          <w:p>
            <w:pPr>
              <w:jc w:val="right"/>
              <w:ind w:right="10"/>
              <w:spacing w:after="0" w:line="203" w:lineRule="exact"/>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360" w:type="dxa"/>
            <w:vAlign w:val="bottom"/>
            <w:tcBorders>
              <w:top w:val="single" w:sz="8" w:color="auto"/>
            </w:tcBorders>
          </w:tcPr>
          <w:p>
            <w:pPr>
              <w:spacing w:after="0"/>
              <w:rPr>
                <w:sz w:val="17"/>
                <w:szCs w:val="17"/>
                <w:color w:val="auto"/>
              </w:rPr>
            </w:pPr>
          </w:p>
        </w:tc>
        <w:tc>
          <w:tcPr>
            <w:tcW w:w="38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securities</w:t>
            </w:r>
          </w:p>
        </w:tc>
        <w:tc>
          <w:tcPr>
            <w:tcW w:w="382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20</w:t>
            </w:r>
          </w:p>
        </w:tc>
        <w:tc>
          <w:tcPr>
            <w:tcW w:w="170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18</w:t>
            </w:r>
          </w:p>
        </w:tc>
        <w:tc>
          <w:tcPr>
            <w:tcW w:w="15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line="202" w:lineRule="exact"/>
              <w:rPr>
                <w:sz w:val="20"/>
                <w:szCs w:val="20"/>
                <w:color w:val="auto"/>
              </w:rPr>
            </w:pPr>
            <w:r>
              <w:rPr>
                <w:rFonts w:ascii="Arial" w:cs="Arial" w:eastAsia="Arial" w:hAnsi="Arial"/>
                <w:sz w:val="18"/>
                <w:szCs w:val="18"/>
                <w:color w:val="auto"/>
              </w:rPr>
              <w:t>Debt securities</w:t>
            </w:r>
          </w:p>
        </w:tc>
        <w:tc>
          <w:tcPr>
            <w:tcW w:w="38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70</w:t>
            </w:r>
          </w:p>
        </w:tc>
        <w:tc>
          <w:tcPr>
            <w:tcW w:w="17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68</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Hedge fund investment</w:t>
            </w:r>
          </w:p>
        </w:tc>
        <w:tc>
          <w:tcPr>
            <w:tcW w:w="382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10</w:t>
            </w:r>
          </w:p>
        </w:tc>
        <w:tc>
          <w:tcPr>
            <w:tcW w:w="170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14</w:t>
            </w:r>
          </w:p>
        </w:tc>
        <w:tc>
          <w:tcPr>
            <w:tcW w:w="15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20" w:type="dxa"/>
            <w:vAlign w:val="bottom"/>
            <w:tcBorders>
              <w:bottom w:val="single" w:sz="8" w:color="auto"/>
            </w:tcBorders>
          </w:tcPr>
          <w:p>
            <w:pPr>
              <w:spacing w:after="0"/>
              <w:rPr>
                <w:sz w:val="17"/>
                <w:szCs w:val="17"/>
                <w:color w:val="auto"/>
              </w:rPr>
            </w:pPr>
          </w:p>
        </w:tc>
        <w:tc>
          <w:tcPr>
            <w:tcW w:w="43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Cash and cash equivalents</w:t>
            </w:r>
          </w:p>
        </w:tc>
        <w:tc>
          <w:tcPr>
            <w:tcW w:w="382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Plan assets include no Company securities. Assets include cash and cash equivalents and receivables from time to time due to the need to reallocate assets within policy guidelines.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of postretirement assets at September 29, 2019 is as follows: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Borders>
              <w:top w:val="single" w:sz="8" w:color="auto"/>
            </w:tcBorders>
            <w:gridSpan w:val="2"/>
          </w:tcPr>
          <w:p>
            <w:pPr>
              <w:spacing w:after="0"/>
              <w:rPr>
                <w:sz w:val="20"/>
                <w:szCs w:val="20"/>
                <w:color w:val="auto"/>
              </w:rPr>
            </w:pPr>
            <w:r>
              <w:rPr>
                <w:rFonts w:ascii="Arial" w:cs="Arial" w:eastAsia="Arial" w:hAnsi="Arial"/>
                <w:sz w:val="16"/>
                <w:szCs w:val="16"/>
                <w:i w:val="1"/>
                <w:iCs w:val="1"/>
                <w:color w:val="auto"/>
              </w:rPr>
              <w:t>(Thousands of Dollars)</w:t>
            </w:r>
          </w:p>
        </w:tc>
        <w:tc>
          <w:tcPr>
            <w:tcW w:w="36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NAV</w:t>
            </w:r>
          </w:p>
        </w:tc>
        <w:tc>
          <w:tcPr>
            <w:tcW w:w="13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Level 1</w:t>
            </w:r>
          </w:p>
        </w:tc>
        <w:tc>
          <w:tcPr>
            <w:tcW w:w="13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Level 2</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960" w:type="dxa"/>
            <w:vAlign w:val="bottom"/>
            <w:tcBorders>
              <w:top w:val="single" w:sz="8" w:color="auto"/>
            </w:tcBorders>
          </w:tcPr>
          <w:p>
            <w:pPr>
              <w:spacing w:after="0"/>
              <w:rPr>
                <w:sz w:val="17"/>
                <w:szCs w:val="17"/>
                <w:color w:val="auto"/>
              </w:rPr>
            </w:pPr>
          </w:p>
        </w:tc>
        <w:tc>
          <w:tcPr>
            <w:tcW w:w="36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366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tcPr>
          <w:p>
            <w:pPr>
              <w:spacing w:after="0" w:line="202" w:lineRule="exact"/>
              <w:rPr>
                <w:sz w:val="20"/>
                <w:szCs w:val="20"/>
                <w:color w:val="auto"/>
              </w:rPr>
            </w:pPr>
            <w:r>
              <w:rPr>
                <w:rFonts w:ascii="Arial" w:cs="Arial" w:eastAsia="Arial" w:hAnsi="Arial"/>
                <w:sz w:val="18"/>
                <w:szCs w:val="18"/>
                <w:color w:val="auto"/>
              </w:rPr>
              <w:t>Domestic equity securities</w:t>
            </w:r>
          </w:p>
        </w:tc>
        <w:tc>
          <w:tcPr>
            <w:tcW w:w="366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778</w:t>
            </w:r>
          </w:p>
        </w:tc>
        <w:tc>
          <w:tcPr>
            <w:tcW w:w="13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2,640</w:t>
            </w:r>
          </w:p>
        </w:tc>
        <w:tc>
          <w:tcPr>
            <w:tcW w:w="13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 equity securities</w:t>
            </w:r>
          </w:p>
        </w:tc>
        <w:tc>
          <w:tcPr>
            <w:tcW w:w="366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628</w:t>
            </w:r>
          </w:p>
        </w:tc>
        <w:tc>
          <w:tcPr>
            <w:tcW w:w="13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750</w:t>
            </w: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tcPr>
          <w:p>
            <w:pPr>
              <w:spacing w:after="0" w:line="202" w:lineRule="exact"/>
              <w:rPr>
                <w:sz w:val="20"/>
                <w:szCs w:val="20"/>
                <w:color w:val="auto"/>
              </w:rPr>
            </w:pPr>
            <w:r>
              <w:rPr>
                <w:rFonts w:ascii="Arial" w:cs="Arial" w:eastAsia="Arial" w:hAnsi="Arial"/>
                <w:sz w:val="18"/>
                <w:szCs w:val="18"/>
                <w:color w:val="auto"/>
              </w:rPr>
              <w:t>Debt securities</w:t>
            </w:r>
          </w:p>
        </w:tc>
        <w:tc>
          <w:tcPr>
            <w:tcW w:w="366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17,707</w:t>
            </w:r>
          </w:p>
        </w:tc>
        <w:tc>
          <w:tcPr>
            <w:tcW w:w="13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Hedge fund investment</w:t>
            </w:r>
          </w:p>
        </w:tc>
        <w:tc>
          <w:tcPr>
            <w:tcW w:w="366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3,587</w:t>
            </w:r>
          </w:p>
        </w:tc>
        <w:tc>
          <w:tcPr>
            <w:tcW w:w="136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660" w:type="dxa"/>
            <w:vAlign w:val="bottom"/>
          </w:tcPr>
          <w:p>
            <w:pPr>
              <w:jc w:val="right"/>
              <w:ind w:right="1730"/>
              <w:spacing w:after="0"/>
              <w:rPr>
                <w:sz w:val="20"/>
                <w:szCs w:val="20"/>
                <w:color w:val="auto"/>
              </w:rPr>
            </w:pPr>
            <w:r>
              <w:rPr>
                <w:rFonts w:ascii="Arial" w:cs="Arial" w:eastAsia="Arial" w:hAnsi="Arial"/>
                <w:sz w:val="18"/>
                <w:szCs w:val="18"/>
                <w:color w:val="auto"/>
              </w:rPr>
              <w:t>63</w:t>
            </w: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60" w:type="dxa"/>
            <w:vAlign w:val="bottom"/>
            <w:tcBorders>
              <w:bottom w:val="single" w:sz="8" w:color="auto"/>
            </w:tcBorders>
          </w:tcPr>
          <w:p>
            <w:pPr>
              <w:spacing w:after="0"/>
              <w:rPr>
                <w:sz w:val="8"/>
                <w:szCs w:val="8"/>
                <w:color w:val="auto"/>
              </w:rPr>
            </w:pPr>
          </w:p>
        </w:tc>
        <w:tc>
          <w:tcPr>
            <w:tcW w:w="36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98"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The fair value hierarchy of postretirement assets at September 30, 2018 is as follows: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Borders>
              <w:top w:val="single" w:sz="8" w:color="auto"/>
            </w:tcBorders>
            <w:gridSpan w:val="2"/>
          </w:tcPr>
          <w:p>
            <w:pPr>
              <w:spacing w:after="0"/>
              <w:rPr>
                <w:sz w:val="20"/>
                <w:szCs w:val="20"/>
                <w:color w:val="auto"/>
              </w:rPr>
            </w:pPr>
            <w:r>
              <w:rPr>
                <w:rFonts w:ascii="Arial" w:cs="Arial" w:eastAsia="Arial" w:hAnsi="Arial"/>
                <w:sz w:val="16"/>
                <w:szCs w:val="16"/>
                <w:i w:val="1"/>
                <w:iCs w:val="1"/>
                <w:color w:val="auto"/>
              </w:rPr>
              <w:t>(Thousands of Dollars)</w:t>
            </w:r>
          </w:p>
        </w:tc>
        <w:tc>
          <w:tcPr>
            <w:tcW w:w="30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NAV</w:t>
            </w:r>
          </w:p>
        </w:tc>
        <w:tc>
          <w:tcPr>
            <w:tcW w:w="13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Level 1</w:t>
            </w:r>
          </w:p>
        </w:tc>
        <w:tc>
          <w:tcPr>
            <w:tcW w:w="13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Level 2</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540" w:type="dxa"/>
            <w:vAlign w:val="bottom"/>
            <w:tcBorders>
              <w:top w:val="single" w:sz="8" w:color="auto"/>
            </w:tcBorders>
          </w:tcPr>
          <w:p>
            <w:pPr>
              <w:spacing w:after="0"/>
              <w:rPr>
                <w:sz w:val="17"/>
                <w:szCs w:val="17"/>
                <w:color w:val="auto"/>
              </w:rPr>
            </w:pPr>
          </w:p>
        </w:tc>
        <w:tc>
          <w:tcPr>
            <w:tcW w:w="30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308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242</w:t>
            </w:r>
          </w:p>
        </w:tc>
        <w:tc>
          <w:tcPr>
            <w:tcW w:w="13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spacing w:after="0" w:line="202" w:lineRule="exact"/>
              <w:rPr>
                <w:sz w:val="20"/>
                <w:szCs w:val="20"/>
                <w:color w:val="auto"/>
              </w:rPr>
            </w:pPr>
            <w:r>
              <w:rPr>
                <w:rFonts w:ascii="Arial" w:cs="Arial" w:eastAsia="Arial" w:hAnsi="Arial"/>
                <w:sz w:val="18"/>
                <w:szCs w:val="18"/>
                <w:color w:val="auto"/>
              </w:rPr>
              <w:t>Domestic equity securities</w:t>
            </w:r>
          </w:p>
        </w:tc>
        <w:tc>
          <w:tcPr>
            <w:tcW w:w="30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820</w:t>
            </w:r>
          </w:p>
        </w:tc>
        <w:tc>
          <w:tcPr>
            <w:tcW w:w="13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2,589</w:t>
            </w:r>
          </w:p>
        </w:tc>
        <w:tc>
          <w:tcPr>
            <w:tcW w:w="13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 equity securities</w:t>
            </w:r>
          </w:p>
        </w:tc>
        <w:tc>
          <w:tcPr>
            <w:tcW w:w="308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681</w:t>
            </w:r>
          </w:p>
        </w:tc>
        <w:tc>
          <w:tcPr>
            <w:tcW w:w="13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780</w:t>
            </w: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spacing w:after="0" w:line="202" w:lineRule="exact"/>
              <w:rPr>
                <w:sz w:val="20"/>
                <w:szCs w:val="20"/>
                <w:color w:val="auto"/>
              </w:rPr>
            </w:pPr>
            <w:r>
              <w:rPr>
                <w:rFonts w:ascii="Arial" w:cs="Arial" w:eastAsia="Arial" w:hAnsi="Arial"/>
                <w:sz w:val="18"/>
                <w:szCs w:val="18"/>
                <w:color w:val="auto"/>
              </w:rPr>
              <w:t>Debt securities</w:t>
            </w:r>
          </w:p>
        </w:tc>
        <w:tc>
          <w:tcPr>
            <w:tcW w:w="30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19,185</w:t>
            </w:r>
          </w:p>
        </w:tc>
        <w:tc>
          <w:tcPr>
            <w:tcW w:w="13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Hedge fund investment</w:t>
            </w:r>
          </w:p>
        </w:tc>
        <w:tc>
          <w:tcPr>
            <w:tcW w:w="308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3,616</w:t>
            </w:r>
          </w:p>
        </w:tc>
        <w:tc>
          <w:tcPr>
            <w:tcW w:w="136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There were no purchases, sales or transfers of assets classified as Level 3 in 2019 or 2018. Postretirement assets included in the fair value hierarchy at net asset value, or "NAV", include two investments:</w:t>
      </w:r>
    </w:p>
    <w:p>
      <w:pPr>
        <w:spacing w:after="0" w:line="183" w:lineRule="exact"/>
        <w:rPr>
          <w:sz w:val="20"/>
          <w:szCs w:val="20"/>
          <w:color w:val="auto"/>
        </w:rPr>
      </w:pPr>
    </w:p>
    <w:p>
      <w:pPr>
        <w:ind w:left="360" w:right="520" w:hanging="122"/>
        <w:spacing w:after="0" w:line="186" w:lineRule="auto"/>
        <w:tabs>
          <w:tab w:leader="none" w:pos="360" w:val="left"/>
        </w:tabs>
        <w:numPr>
          <w:ilvl w:val="0"/>
          <w:numId w:val="30"/>
        </w:numPr>
        <w:rPr>
          <w:rFonts w:ascii="Arial" w:cs="Arial" w:eastAsia="Arial" w:hAnsi="Arial"/>
          <w:sz w:val="31"/>
          <w:szCs w:val="31"/>
          <w:color w:val="auto"/>
          <w:vertAlign w:val="subscript"/>
        </w:rPr>
      </w:pPr>
      <w:r>
        <w:rPr>
          <w:rFonts w:ascii="Arial" w:cs="Arial" w:eastAsia="Arial" w:hAnsi="Arial"/>
          <w:sz w:val="16"/>
          <w:szCs w:val="16"/>
          <w:color w:val="auto"/>
        </w:rPr>
        <w:t>U.S. small cap value equity common/collective fund for which fund prices are not publicly available. The balance of this investment is $778,000 and $820,000 as of 9/29/2019 and 9/30/2018, respectively. We can redeem this fund on a monthly basis.</w:t>
      </w:r>
    </w:p>
    <w:p>
      <w:pPr>
        <w:spacing w:after="0" w:line="184" w:lineRule="exact"/>
        <w:rPr>
          <w:rFonts w:ascii="Arial" w:cs="Arial" w:eastAsia="Arial" w:hAnsi="Arial"/>
          <w:sz w:val="31"/>
          <w:szCs w:val="31"/>
          <w:color w:val="auto"/>
          <w:vertAlign w:val="subscript"/>
        </w:rPr>
      </w:pPr>
    </w:p>
    <w:p>
      <w:pPr>
        <w:ind w:left="360"/>
        <w:spacing w:after="0"/>
        <w:rPr>
          <w:rFonts w:ascii="Arial" w:cs="Arial" w:eastAsia="Arial" w:hAnsi="Arial"/>
          <w:sz w:val="31"/>
          <w:szCs w:val="31"/>
          <w:color w:val="auto"/>
          <w:vertAlign w:val="subscript"/>
        </w:rPr>
      </w:pPr>
      <w:r>
        <w:rPr>
          <w:rFonts w:ascii="Arial" w:cs="Arial" w:eastAsia="Arial" w:hAnsi="Arial"/>
          <w:sz w:val="18"/>
          <w:szCs w:val="18"/>
          <w:color w:val="auto"/>
        </w:rPr>
        <w:t>Global equity long/short common/collective hedge fund-of-funds for which fund prices are established on a monthly basis. The balance of</w:t>
      </w:r>
    </w:p>
    <w:p>
      <w:pPr>
        <w:jc w:val="both"/>
        <w:ind w:left="360" w:right="140" w:hanging="122"/>
        <w:spacing w:after="0"/>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investment is $3,587,000 and $3,616,000 as of 9/29/2019 and 9/30/20018, respectively. We can redeem up to 90% of our investment in this fund within 90-120 days of notice with the remaining distributed following completion of the audit of the Fund's financial statements for the year.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Based on our forecast at September 29, 2019, we do not expect to contribute to our postretirement plans in 2019.</w:t>
      </w:r>
    </w:p>
    <w:p>
      <w:pPr>
        <w:spacing w:after="0" w:line="19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Medicare Prescription Drug, Improvement and Modernization Act of 2003 (the “Modernization Act”) introduced a prescription drug benefit under Medicare (“Medicare Part D”) and a federal subsidy to sponsors of retiree health care benefit plans (“Subsidy”) that provide a benefit at least actuarially equivalent (as that term is defined in the Modernization Act) to Medicare Part D. We concluded we qualify for the Subsidy under the Modernization Act since the prescription drug benefits provided under our postretirement health care plans generally require lower premiums from covered retirees and have lower deductibles than the benefits provided in Medicare Part D and, accordingly, are actuarially equivalent to or better than, the benefits provided under the Modernization Act.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We anticipate future benefit payments to be paid either with future contributions to the plan or directly from plan assets, as follows: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140" w:type="dxa"/>
            <w:vAlign w:val="bottom"/>
            <w:tcBorders>
              <w:top w:val="single" w:sz="8" w:color="auto"/>
            </w:tcBorders>
          </w:tcPr>
          <w:p>
            <w:pPr>
              <w:spacing w:after="0"/>
              <w:rPr>
                <w:sz w:val="18"/>
                <w:szCs w:val="18"/>
                <w:color w:val="auto"/>
              </w:rPr>
            </w:pPr>
          </w:p>
        </w:tc>
        <w:tc>
          <w:tcPr>
            <w:tcW w:w="390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Less</w:t>
            </w:r>
          </w:p>
        </w:tc>
        <w:tc>
          <w:tcPr>
            <w:tcW w:w="1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92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Medicare</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390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Gross</w:t>
            </w:r>
          </w:p>
        </w:tc>
        <w:tc>
          <w:tcPr>
            <w:tcW w:w="192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Part D</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03"/>
        </w:trPr>
        <w:tc>
          <w:tcPr>
            <w:tcW w:w="4160" w:type="dxa"/>
            <w:vAlign w:val="bottom"/>
            <w:gridSpan w:val="2"/>
          </w:tcPr>
          <w:p>
            <w:pPr>
              <w:spacing w:after="0"/>
              <w:rPr>
                <w:sz w:val="20"/>
                <w:szCs w:val="20"/>
                <w:color w:val="auto"/>
              </w:rPr>
            </w:pPr>
            <w:r>
              <w:rPr>
                <w:rFonts w:ascii="Arial" w:cs="Arial" w:eastAsia="Arial" w:hAnsi="Arial"/>
                <w:sz w:val="16"/>
                <w:szCs w:val="16"/>
                <w:i w:val="1"/>
                <w:iCs w:val="1"/>
                <w:color w:val="auto"/>
              </w:rPr>
              <w:t>(Thousands of Dollars)</w:t>
            </w:r>
          </w:p>
        </w:tc>
        <w:tc>
          <w:tcPr>
            <w:tcW w:w="3900" w:type="dxa"/>
            <w:vAlign w:val="bottom"/>
          </w:tcPr>
          <w:p>
            <w:pPr>
              <w:jc w:val="right"/>
              <w:ind w:right="510"/>
              <w:spacing w:after="0" w:line="203" w:lineRule="exact"/>
              <w:rPr>
                <w:sz w:val="20"/>
                <w:szCs w:val="20"/>
                <w:color w:val="auto"/>
              </w:rPr>
            </w:pPr>
            <w:r>
              <w:rPr>
                <w:rFonts w:ascii="Arial" w:cs="Arial" w:eastAsia="Arial" w:hAnsi="Arial"/>
                <w:sz w:val="18"/>
                <w:szCs w:val="18"/>
                <w:color w:val="auto"/>
              </w:rPr>
              <w:t>Payments</w:t>
            </w:r>
          </w:p>
        </w:tc>
        <w:tc>
          <w:tcPr>
            <w:tcW w:w="1920" w:type="dxa"/>
            <w:vAlign w:val="bottom"/>
          </w:tcPr>
          <w:p>
            <w:pPr>
              <w:jc w:val="right"/>
              <w:ind w:right="490"/>
              <w:spacing w:after="0" w:line="203" w:lineRule="exact"/>
              <w:rPr>
                <w:sz w:val="20"/>
                <w:szCs w:val="20"/>
                <w:color w:val="auto"/>
              </w:rPr>
            </w:pPr>
            <w:r>
              <w:rPr>
                <w:rFonts w:ascii="Arial" w:cs="Arial" w:eastAsia="Arial" w:hAnsi="Arial"/>
                <w:sz w:val="18"/>
                <w:szCs w:val="18"/>
                <w:color w:val="auto"/>
              </w:rPr>
              <w:t>Subsidy</w:t>
            </w:r>
          </w:p>
        </w:tc>
        <w:tc>
          <w:tcPr>
            <w:tcW w:w="1440" w:type="dxa"/>
            <w:vAlign w:val="bottom"/>
          </w:tcPr>
          <w:p>
            <w:pPr>
              <w:jc w:val="right"/>
              <w:ind w:right="10"/>
              <w:spacing w:after="0" w:line="203" w:lineRule="exact"/>
              <w:rPr>
                <w:sz w:val="20"/>
                <w:szCs w:val="20"/>
                <w:color w:val="auto"/>
              </w:rPr>
            </w:pPr>
            <w:r>
              <w:rPr>
                <w:rFonts w:ascii="Arial" w:cs="Arial" w:eastAsia="Arial" w:hAnsi="Arial"/>
                <w:sz w:val="18"/>
                <w:szCs w:val="18"/>
                <w:color w:val="auto"/>
              </w:rPr>
              <w:t>Payments</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140" w:type="dxa"/>
            <w:vAlign w:val="bottom"/>
            <w:tcBorders>
              <w:top w:val="single" w:sz="8" w:color="auto"/>
            </w:tcBorders>
          </w:tcPr>
          <w:p>
            <w:pPr>
              <w:spacing w:after="0"/>
              <w:rPr>
                <w:sz w:val="17"/>
                <w:szCs w:val="17"/>
                <w:color w:val="auto"/>
              </w:rPr>
            </w:pPr>
          </w:p>
        </w:tc>
        <w:tc>
          <w:tcPr>
            <w:tcW w:w="390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2020</w:t>
            </w:r>
          </w:p>
        </w:tc>
        <w:tc>
          <w:tcPr>
            <w:tcW w:w="3900" w:type="dxa"/>
            <w:vAlign w:val="bottom"/>
            <w:shd w:val="clear" w:color="auto" w:fill="CCEEFF"/>
          </w:tcPr>
          <w:p>
            <w:pPr>
              <w:jc w:val="right"/>
              <w:ind w:right="510"/>
              <w:spacing w:after="0" w:line="202" w:lineRule="exact"/>
              <w:rPr>
                <w:sz w:val="20"/>
                <w:szCs w:val="20"/>
                <w:color w:val="auto"/>
              </w:rPr>
            </w:pPr>
            <w:r>
              <w:rPr>
                <w:rFonts w:ascii="Arial" w:cs="Arial" w:eastAsia="Arial" w:hAnsi="Arial"/>
                <w:sz w:val="18"/>
                <w:szCs w:val="18"/>
                <w:color w:val="auto"/>
              </w:rPr>
              <w:t>1,241</w:t>
            </w:r>
          </w:p>
        </w:tc>
        <w:tc>
          <w:tcPr>
            <w:tcW w:w="1920" w:type="dxa"/>
            <w:vAlign w:val="bottom"/>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(66)</w:t>
            </w:r>
          </w:p>
        </w:tc>
        <w:tc>
          <w:tcPr>
            <w:tcW w:w="14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390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1,201</w:t>
            </w:r>
          </w:p>
        </w:tc>
        <w:tc>
          <w:tcPr>
            <w:tcW w:w="192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(65)</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2022</w:t>
            </w:r>
          </w:p>
        </w:tc>
        <w:tc>
          <w:tcPr>
            <w:tcW w:w="3900" w:type="dxa"/>
            <w:vAlign w:val="bottom"/>
            <w:shd w:val="clear" w:color="auto" w:fill="CCEEFF"/>
          </w:tcPr>
          <w:p>
            <w:pPr>
              <w:jc w:val="right"/>
              <w:ind w:right="510"/>
              <w:spacing w:after="0" w:line="202" w:lineRule="exact"/>
              <w:rPr>
                <w:sz w:val="20"/>
                <w:szCs w:val="20"/>
                <w:color w:val="auto"/>
              </w:rPr>
            </w:pPr>
            <w:r>
              <w:rPr>
                <w:rFonts w:ascii="Arial" w:cs="Arial" w:eastAsia="Arial" w:hAnsi="Arial"/>
                <w:sz w:val="18"/>
                <w:szCs w:val="18"/>
                <w:color w:val="auto"/>
              </w:rPr>
              <w:t>1,154</w:t>
            </w:r>
          </w:p>
        </w:tc>
        <w:tc>
          <w:tcPr>
            <w:tcW w:w="1920" w:type="dxa"/>
            <w:vAlign w:val="bottom"/>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(63)</w:t>
            </w:r>
          </w:p>
        </w:tc>
        <w:tc>
          <w:tcPr>
            <w:tcW w:w="14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390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1,099</w:t>
            </w:r>
          </w:p>
        </w:tc>
        <w:tc>
          <w:tcPr>
            <w:tcW w:w="192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(60)</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2024</w:t>
            </w:r>
          </w:p>
        </w:tc>
        <w:tc>
          <w:tcPr>
            <w:tcW w:w="3900" w:type="dxa"/>
            <w:vAlign w:val="bottom"/>
            <w:shd w:val="clear" w:color="auto" w:fill="CCEEFF"/>
          </w:tcPr>
          <w:p>
            <w:pPr>
              <w:jc w:val="right"/>
              <w:ind w:right="510"/>
              <w:spacing w:after="0" w:line="202" w:lineRule="exact"/>
              <w:rPr>
                <w:sz w:val="20"/>
                <w:szCs w:val="20"/>
                <w:color w:val="auto"/>
              </w:rPr>
            </w:pPr>
            <w:r>
              <w:rPr>
                <w:rFonts w:ascii="Arial" w:cs="Arial" w:eastAsia="Arial" w:hAnsi="Arial"/>
                <w:sz w:val="18"/>
                <w:szCs w:val="18"/>
                <w:color w:val="auto"/>
              </w:rPr>
              <w:t>1,039</w:t>
            </w:r>
          </w:p>
        </w:tc>
        <w:tc>
          <w:tcPr>
            <w:tcW w:w="1920" w:type="dxa"/>
            <w:vAlign w:val="bottom"/>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(57)</w:t>
            </w:r>
          </w:p>
        </w:tc>
        <w:tc>
          <w:tcPr>
            <w:tcW w:w="14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03"/>
        </w:trPr>
        <w:tc>
          <w:tcPr>
            <w:tcW w:w="20" w:type="dxa"/>
            <w:vAlign w:val="bottom"/>
            <w:tcBorders>
              <w:bottom w:val="single" w:sz="8" w:color="auto"/>
            </w:tcBorders>
          </w:tcPr>
          <w:p>
            <w:pPr>
              <w:spacing w:after="0"/>
              <w:rPr>
                <w:sz w:val="17"/>
                <w:szCs w:val="17"/>
                <w:color w:val="auto"/>
              </w:rPr>
            </w:pPr>
          </w:p>
        </w:tc>
        <w:tc>
          <w:tcPr>
            <w:tcW w:w="41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2025-2029</w:t>
            </w:r>
          </w:p>
        </w:tc>
        <w:tc>
          <w:tcPr>
            <w:tcW w:w="3900" w:type="dxa"/>
            <w:vAlign w:val="bottom"/>
            <w:tcBorders>
              <w:bottom w:val="single" w:sz="8" w:color="auto"/>
            </w:tcBorders>
          </w:tcPr>
          <w:p>
            <w:pPr>
              <w:jc w:val="right"/>
              <w:ind w:right="510"/>
              <w:spacing w:after="0" w:line="202" w:lineRule="exact"/>
              <w:rPr>
                <w:sz w:val="20"/>
                <w:szCs w:val="20"/>
                <w:color w:val="auto"/>
              </w:rPr>
            </w:pPr>
            <w:r>
              <w:rPr>
                <w:rFonts w:ascii="Arial" w:cs="Arial" w:eastAsia="Arial" w:hAnsi="Arial"/>
                <w:sz w:val="18"/>
                <w:szCs w:val="18"/>
                <w:color w:val="auto"/>
              </w:rPr>
              <w:t>4,185</w:t>
            </w:r>
          </w:p>
        </w:tc>
        <w:tc>
          <w:tcPr>
            <w:tcW w:w="1920" w:type="dxa"/>
            <w:vAlign w:val="bottom"/>
            <w:tcBorders>
              <w:bottom w:val="single" w:sz="8" w:color="auto"/>
            </w:tcBorders>
          </w:tcPr>
          <w:p>
            <w:pPr>
              <w:jc w:val="right"/>
              <w:ind w:right="430"/>
              <w:spacing w:after="0" w:line="202" w:lineRule="exact"/>
              <w:rPr>
                <w:sz w:val="20"/>
                <w:szCs w:val="20"/>
                <w:color w:val="auto"/>
              </w:rPr>
            </w:pPr>
            <w:r>
              <w:rPr>
                <w:rFonts w:ascii="Arial" w:cs="Arial" w:eastAsia="Arial" w:hAnsi="Arial"/>
                <w:sz w:val="18"/>
                <w:szCs w:val="18"/>
                <w:color w:val="auto"/>
              </w:rPr>
              <w:t>(221)</w:t>
            </w:r>
          </w:p>
        </w:tc>
        <w:tc>
          <w:tcPr>
            <w:tcW w:w="14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3964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Borders>
              <w:bottom w:val="single" w:sz="8" w:color="auto"/>
            </w:tcBorders>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Plan</w:t>
      </w:r>
    </w:p>
    <w:p>
      <w:pPr>
        <w:spacing w:after="0" w:line="202"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Our postemployment benefit obligation, which represents certain disability benefits</w:t>
      </w:r>
      <w:r>
        <w:rPr>
          <w:rFonts w:ascii="Arial" w:cs="Arial" w:eastAsia="Arial" w:hAnsi="Arial"/>
          <w:sz w:val="18"/>
          <w:szCs w:val="18"/>
          <w:i w:val="1"/>
          <w:iCs w:val="1"/>
          <w:color w:val="auto"/>
        </w:rPr>
        <w:t>,</w:t>
      </w:r>
      <w:r>
        <w:rPr>
          <w:rFonts w:ascii="Arial" w:cs="Arial" w:eastAsia="Arial" w:hAnsi="Arial"/>
          <w:sz w:val="18"/>
          <w:szCs w:val="18"/>
          <w:color w:val="auto"/>
        </w:rPr>
        <w:t xml:space="preserve"> is $2,550,000 at September 29, 2019 and $2,580,000 at September 30, 2018.</w:t>
      </w:r>
    </w:p>
    <w:p>
      <w:pPr>
        <w:spacing w:after="0" w:line="386" w:lineRule="exact"/>
        <w:rPr>
          <w:sz w:val="20"/>
          <w:szCs w:val="20"/>
          <w:color w:val="auto"/>
        </w:rPr>
      </w:pPr>
    </w:p>
    <w:p>
      <w:pPr>
        <w:ind w:left="300" w:hanging="292"/>
        <w:spacing w:after="0"/>
        <w:tabs>
          <w:tab w:leader="none" w:pos="3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OTHER RETIREMENT PLANS</w:t>
      </w:r>
    </w:p>
    <w:p>
      <w:pPr>
        <w:spacing w:after="0" w:line="22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Substantially all of our employees are eligible to participate in a qualified defined contribution retirement plan. We also have a non-qualified plan for employees whose incomes exceed qualified plan limits.</w:t>
      </w:r>
    </w:p>
    <w:p>
      <w:pPr>
        <w:spacing w:after="0" w:line="18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Retirement and compensation plan costs, including costs related to stock based compensation and the defined contribution retirement plan, charged to continuing operations are $3,849,000 in 2019, $4,430,000 in 2018 and $4,396,000 in 2017.</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Multiemployer Pension Plans</w:t>
      </w:r>
    </w:p>
    <w:p>
      <w:pPr>
        <w:spacing w:after="0" w:line="22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contributed to three multiemployer defined benefit pension plans under the terms of collective-bargaining agreements ("CBAs"). The risks of participating in these multiemployer plans are different from our company-sponsored plans in the following aspects:</w:t>
      </w:r>
    </w:p>
    <w:p>
      <w:pPr>
        <w:spacing w:after="0" w:line="183" w:lineRule="exact"/>
        <w:rPr>
          <w:sz w:val="20"/>
          <w:szCs w:val="20"/>
          <w:color w:val="auto"/>
        </w:rPr>
      </w:pPr>
    </w:p>
    <w:p>
      <w:pPr>
        <w:ind w:left="820" w:hanging="326"/>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do not manage the plan investments or any other aspect of plan administration;</w:t>
      </w:r>
    </w:p>
    <w:p>
      <w:pPr>
        <w:spacing w:after="0" w:line="198" w:lineRule="exact"/>
        <w:rPr>
          <w:rFonts w:ascii="Arial" w:cs="Arial" w:eastAsia="Arial" w:hAnsi="Arial"/>
          <w:sz w:val="18"/>
          <w:szCs w:val="18"/>
          <w:color w:val="auto"/>
        </w:rPr>
      </w:pPr>
    </w:p>
    <w:p>
      <w:pPr>
        <w:ind w:left="820" w:hanging="326"/>
        <w:spacing w:after="0" w:line="246"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Assets contributed to the multiemployer plan by one employer may be used to provide benefits to employees of other participating employers;</w:t>
      </w:r>
    </w:p>
    <w:p>
      <w:pPr>
        <w:spacing w:after="0" w:line="183" w:lineRule="exact"/>
        <w:rPr>
          <w:rFonts w:ascii="Arial" w:cs="Arial" w:eastAsia="Arial" w:hAnsi="Arial"/>
          <w:sz w:val="18"/>
          <w:szCs w:val="18"/>
          <w:color w:val="auto"/>
        </w:rPr>
      </w:pPr>
    </w:p>
    <w:p>
      <w:pPr>
        <w:ind w:left="820" w:hanging="326"/>
        <w:spacing w:after="0" w:line="246"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 participating employer stops contributing to the plan, the unfunded obligations of the plan may be borne by the remaining participating employers; and</w:t>
      </w:r>
    </w:p>
    <w:p>
      <w:pPr>
        <w:spacing w:after="0" w:line="183" w:lineRule="exact"/>
        <w:rPr>
          <w:rFonts w:ascii="Arial" w:cs="Arial" w:eastAsia="Arial" w:hAnsi="Arial"/>
          <w:sz w:val="18"/>
          <w:szCs w:val="18"/>
          <w:color w:val="auto"/>
        </w:rPr>
      </w:pPr>
    </w:p>
    <w:p>
      <w:pPr>
        <w:ind w:left="820" w:hanging="326"/>
        <w:spacing w:after="0" w:line="246"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we choose to stop participating in one or more multiemployer plans, we may be required to fund over time an amount based on the unfunded status of the plan at the time of withdrawal, referred to as "withdrawal liability".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these plans is outlined in the table below:</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4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Funding</w:t>
            </w:r>
          </w:p>
        </w:tc>
        <w:tc>
          <w:tcPr>
            <w:tcW w:w="1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Improvement</w:t>
            </w: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Zone Status</w:t>
            </w:r>
          </w:p>
        </w:tc>
        <w:tc>
          <w:tcPr>
            <w:tcW w:w="19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Plan/Rehabilitation</w:t>
            </w: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gridSpan w:val="2"/>
          </w:tcPr>
          <w:p>
            <w:pPr>
              <w:spacing w:after="0" w:line="203" w:lineRule="exact"/>
              <w:rPr>
                <w:sz w:val="20"/>
                <w:szCs w:val="20"/>
                <w:color w:val="auto"/>
              </w:rPr>
            </w:pPr>
            <w:r>
              <w:rPr>
                <w:rFonts w:ascii="Arial" w:cs="Arial" w:eastAsia="Arial" w:hAnsi="Arial"/>
                <w:sz w:val="18"/>
                <w:szCs w:val="18"/>
                <w:color w:val="auto"/>
              </w:rPr>
              <w:t>(Thousands of Dollars)</w:t>
            </w:r>
          </w:p>
        </w:tc>
        <w:tc>
          <w:tcPr>
            <w:tcW w:w="16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September 30</w:t>
            </w:r>
          </w:p>
        </w:tc>
        <w:tc>
          <w:tcPr>
            <w:tcW w:w="1920" w:type="dxa"/>
            <w:vAlign w:val="bottom"/>
          </w:tcPr>
          <w:p>
            <w:pPr>
              <w:jc w:val="right"/>
              <w:ind w:right="270"/>
              <w:spacing w:after="0" w:line="203" w:lineRule="exact"/>
              <w:rPr>
                <w:sz w:val="20"/>
                <w:szCs w:val="20"/>
                <w:color w:val="auto"/>
              </w:rPr>
            </w:pPr>
            <w:r>
              <w:rPr>
                <w:rFonts w:ascii="Arial" w:cs="Arial" w:eastAsia="Arial" w:hAnsi="Arial"/>
                <w:sz w:val="18"/>
                <w:szCs w:val="18"/>
                <w:color w:val="auto"/>
              </w:rPr>
              <w:t>Plan Status</w:t>
            </w: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80" w:type="dxa"/>
            <w:vAlign w:val="bottom"/>
          </w:tcPr>
          <w:p>
            <w:pPr>
              <w:jc w:val="right"/>
              <w:ind w:right="90"/>
              <w:spacing w:after="0" w:line="203" w:lineRule="exact"/>
              <w:rPr>
                <w:sz w:val="20"/>
                <w:szCs w:val="20"/>
                <w:color w:val="auto"/>
              </w:rPr>
            </w:pPr>
            <w:r>
              <w:rPr>
                <w:rFonts w:ascii="Arial" w:cs="Arial" w:eastAsia="Arial" w:hAnsi="Arial"/>
                <w:sz w:val="18"/>
                <w:szCs w:val="18"/>
                <w:color w:val="auto"/>
              </w:rPr>
              <w:t>Contributions</w:t>
            </w: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9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Expiration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80" w:type="dxa"/>
            <w:vAlign w:val="bottom"/>
            <w:vMerge w:val="restart"/>
          </w:tcPr>
          <w:p>
            <w:pPr>
              <w:jc w:val="right"/>
              <w:ind w:right="50"/>
              <w:spacing w:after="0"/>
              <w:rPr>
                <w:sz w:val="20"/>
                <w:szCs w:val="20"/>
                <w:color w:val="auto"/>
              </w:rPr>
            </w:pPr>
            <w:r>
              <w:rPr>
                <w:rFonts w:ascii="Arial" w:cs="Arial" w:eastAsia="Arial" w:hAnsi="Arial"/>
                <w:sz w:val="18"/>
                <w:szCs w:val="18"/>
                <w:color w:val="auto"/>
              </w:rPr>
              <w:t>Surcharge</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Dates of</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60" w:type="dxa"/>
            <w:vAlign w:val="bottom"/>
            <w:gridSpan w:val="2"/>
          </w:tcPr>
          <w:p>
            <w:pPr>
              <w:spacing w:after="0" w:line="203" w:lineRule="exact"/>
              <w:rPr>
                <w:sz w:val="20"/>
                <w:szCs w:val="20"/>
                <w:color w:val="auto"/>
              </w:rPr>
            </w:pPr>
            <w:r>
              <w:rPr>
                <w:rFonts w:ascii="Arial" w:cs="Arial" w:eastAsia="Arial" w:hAnsi="Arial"/>
                <w:sz w:val="18"/>
                <w:szCs w:val="18"/>
                <w:color w:val="auto"/>
              </w:rPr>
              <w:t>Pension Plan</w:t>
            </w: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2019</w:t>
            </w: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2018</w:t>
            </w:r>
          </w:p>
        </w:tc>
        <w:tc>
          <w:tcPr>
            <w:tcW w:w="1920" w:type="dxa"/>
            <w:vAlign w:val="bottom"/>
          </w:tcPr>
          <w:p>
            <w:pPr>
              <w:jc w:val="right"/>
              <w:ind w:right="270"/>
              <w:spacing w:after="0" w:line="203" w:lineRule="exact"/>
              <w:rPr>
                <w:sz w:val="20"/>
                <w:szCs w:val="20"/>
                <w:color w:val="auto"/>
              </w:rPr>
            </w:pPr>
            <w:r>
              <w:rPr>
                <w:rFonts w:ascii="Arial" w:cs="Arial" w:eastAsia="Arial" w:hAnsi="Arial"/>
                <w:sz w:val="18"/>
                <w:szCs w:val="18"/>
                <w:color w:val="auto"/>
              </w:rPr>
              <w:t>Status</w:t>
            </w:r>
          </w:p>
        </w:tc>
        <w:tc>
          <w:tcPr>
            <w:tcW w:w="1140" w:type="dxa"/>
            <w:vAlign w:val="bottom"/>
          </w:tcPr>
          <w:p>
            <w:pPr>
              <w:jc w:val="right"/>
              <w:ind w:right="290"/>
              <w:spacing w:after="0" w:line="203" w:lineRule="exact"/>
              <w:rPr>
                <w:sz w:val="20"/>
                <w:szCs w:val="20"/>
                <w:color w:val="auto"/>
              </w:rPr>
            </w:pPr>
            <w:r>
              <w:rPr>
                <w:rFonts w:ascii="Arial" w:cs="Arial" w:eastAsia="Arial" w:hAnsi="Arial"/>
                <w:sz w:val="18"/>
                <w:szCs w:val="18"/>
                <w:color w:val="auto"/>
              </w:rPr>
              <w:t>2019</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2018</w:t>
            </w:r>
          </w:p>
        </w:tc>
        <w:tc>
          <w:tcPr>
            <w:tcW w:w="1280" w:type="dxa"/>
            <w:vAlign w:val="bottom"/>
          </w:tcPr>
          <w:p>
            <w:pPr>
              <w:jc w:val="right"/>
              <w:ind w:right="90"/>
              <w:spacing w:after="0" w:line="203" w:lineRule="exact"/>
              <w:rPr>
                <w:sz w:val="20"/>
                <w:szCs w:val="20"/>
                <w:color w:val="auto"/>
              </w:rPr>
            </w:pPr>
            <w:r>
              <w:rPr>
                <w:rFonts w:ascii="Arial" w:cs="Arial" w:eastAsia="Arial" w:hAnsi="Arial"/>
                <w:sz w:val="18"/>
                <w:szCs w:val="18"/>
                <w:color w:val="auto"/>
              </w:rPr>
              <w:t>2017</w:t>
            </w:r>
          </w:p>
        </w:tc>
        <w:tc>
          <w:tcPr>
            <w:tcW w:w="1180" w:type="dxa"/>
            <w:vAlign w:val="bottom"/>
          </w:tcPr>
          <w:p>
            <w:pPr>
              <w:jc w:val="right"/>
              <w:ind w:right="50"/>
              <w:spacing w:after="0" w:line="203" w:lineRule="exact"/>
              <w:rPr>
                <w:sz w:val="20"/>
                <w:szCs w:val="20"/>
                <w:color w:val="auto"/>
              </w:rPr>
            </w:pPr>
            <w:r>
              <w:rPr>
                <w:rFonts w:ascii="Arial" w:cs="Arial" w:eastAsia="Arial" w:hAnsi="Arial"/>
                <w:sz w:val="18"/>
                <w:szCs w:val="18"/>
                <w:color w:val="auto"/>
              </w:rPr>
              <w:t>Imposed</w:t>
            </w:r>
          </w:p>
        </w:tc>
        <w:tc>
          <w:tcPr>
            <w:tcW w:w="9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CBAs</w:t>
            </w:r>
          </w:p>
        </w:tc>
        <w:tc>
          <w:tcPr>
            <w:tcW w:w="0" w:type="dxa"/>
            <w:vAlign w:val="bottom"/>
          </w:tcPr>
          <w:p>
            <w:pPr>
              <w:spacing w:after="0"/>
              <w:rPr>
                <w:sz w:val="1"/>
                <w:szCs w:val="1"/>
                <w:color w:val="auto"/>
              </w:rPr>
            </w:pPr>
          </w:p>
        </w:tc>
      </w:tr>
      <w:tr>
        <w:trPr>
          <w:trHeight w:val="398"/>
        </w:trPr>
        <w:tc>
          <w:tcPr>
            <w:tcW w:w="24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GCIU- Employer Retirement</w:t>
            </w:r>
          </w:p>
        </w:tc>
        <w:tc>
          <w:tcPr>
            <w:tcW w:w="1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460" w:type="dxa"/>
            <w:vAlign w:val="bottom"/>
            <w:gridSpan w:val="2"/>
          </w:tcPr>
          <w:p>
            <w:pPr>
              <w:spacing w:after="0"/>
              <w:rPr>
                <w:sz w:val="20"/>
                <w:szCs w:val="20"/>
                <w:color w:val="auto"/>
              </w:rPr>
            </w:pPr>
            <w:r>
              <w:rPr>
                <w:rFonts w:ascii="Arial" w:cs="Arial" w:eastAsia="Arial" w:hAnsi="Arial"/>
                <w:sz w:val="18"/>
                <w:szCs w:val="18"/>
                <w:color w:val="auto"/>
              </w:rPr>
              <w:t>Fund 91-6024903/001</w:t>
            </w:r>
          </w:p>
        </w:tc>
        <w:tc>
          <w:tcPr>
            <w:tcW w:w="1140" w:type="dxa"/>
            <w:vAlign w:val="bottom"/>
          </w:tcPr>
          <w:p>
            <w:pPr>
              <w:jc w:val="right"/>
              <w:spacing w:after="0"/>
              <w:rPr>
                <w:sz w:val="20"/>
                <w:szCs w:val="20"/>
                <w:color w:val="auto"/>
              </w:rPr>
            </w:pPr>
            <w:r>
              <w:rPr>
                <w:rFonts w:ascii="Arial" w:cs="Arial" w:eastAsia="Arial" w:hAnsi="Arial"/>
                <w:sz w:val="18"/>
                <w:szCs w:val="18"/>
                <w:color w:val="auto"/>
              </w:rPr>
              <w:t>Critical</w:t>
            </w:r>
          </w:p>
        </w:tc>
        <w:tc>
          <w:tcPr>
            <w:tcW w:w="540" w:type="dxa"/>
            <w:vAlign w:val="bottom"/>
          </w:tcPr>
          <w:p>
            <w:pPr>
              <w:jc w:val="right"/>
              <w:spacing w:after="0"/>
              <w:rPr>
                <w:sz w:val="20"/>
                <w:szCs w:val="20"/>
                <w:color w:val="auto"/>
              </w:rPr>
            </w:pPr>
            <w:r>
              <w:rPr>
                <w:rFonts w:ascii="Arial" w:cs="Arial" w:eastAsia="Arial" w:hAnsi="Arial"/>
                <w:sz w:val="18"/>
                <w:szCs w:val="18"/>
                <w:color w:val="auto"/>
              </w:rPr>
              <w:t>Red</w:t>
            </w:r>
          </w:p>
        </w:tc>
        <w:tc>
          <w:tcPr>
            <w:tcW w:w="1920" w:type="dxa"/>
            <w:vAlign w:val="bottom"/>
          </w:tcPr>
          <w:p>
            <w:pPr>
              <w:jc w:val="right"/>
              <w:ind w:right="270"/>
              <w:spacing w:after="0"/>
              <w:rPr>
                <w:sz w:val="20"/>
                <w:szCs w:val="20"/>
                <w:color w:val="auto"/>
              </w:rPr>
            </w:pPr>
            <w:r>
              <w:rPr>
                <w:rFonts w:ascii="Arial" w:cs="Arial" w:eastAsia="Arial" w:hAnsi="Arial"/>
                <w:sz w:val="18"/>
                <w:szCs w:val="18"/>
                <w:color w:val="auto"/>
              </w:rPr>
              <w:t>Implemented</w:t>
            </w: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98</w:t>
            </w:r>
          </w:p>
        </w:tc>
        <w:tc>
          <w:tcPr>
            <w:tcW w:w="800" w:type="dxa"/>
            <w:vAlign w:val="bottom"/>
          </w:tcPr>
          <w:p>
            <w:pPr>
              <w:jc w:val="right"/>
              <w:spacing w:after="0"/>
              <w:rPr>
                <w:sz w:val="20"/>
                <w:szCs w:val="20"/>
                <w:color w:val="auto"/>
              </w:rPr>
            </w:pPr>
            <w:r>
              <w:rPr>
                <w:rFonts w:ascii="Arial" w:cs="Arial" w:eastAsia="Arial" w:hAnsi="Arial"/>
                <w:sz w:val="18"/>
                <w:szCs w:val="18"/>
                <w:color w:val="auto"/>
              </w:rPr>
              <w:t>107</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123</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No</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3/24/2020</w:t>
            </w:r>
          </w:p>
        </w:tc>
        <w:tc>
          <w:tcPr>
            <w:tcW w:w="0" w:type="dxa"/>
            <w:vAlign w:val="bottom"/>
          </w:tcPr>
          <w:p>
            <w:pPr>
              <w:spacing w:after="0"/>
              <w:rPr>
                <w:sz w:val="1"/>
                <w:szCs w:val="1"/>
                <w:color w:val="auto"/>
              </w:rPr>
            </w:pPr>
          </w:p>
        </w:tc>
      </w:tr>
      <w:tr>
        <w:trPr>
          <w:trHeight w:val="392"/>
        </w:trPr>
        <w:tc>
          <w:tcPr>
            <w:tcW w:w="20" w:type="dxa"/>
            <w:vAlign w:val="bottom"/>
            <w:vMerge w:val="restart"/>
          </w:tcPr>
          <w:p>
            <w:pPr>
              <w:spacing w:after="0"/>
              <w:rPr>
                <w:sz w:val="24"/>
                <w:szCs w:val="24"/>
                <w:color w:val="auto"/>
              </w:rPr>
            </w:pPr>
          </w:p>
        </w:tc>
        <w:tc>
          <w:tcPr>
            <w:tcW w:w="2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District No. 9, International</w:t>
            </w:r>
          </w:p>
        </w:tc>
        <w:tc>
          <w:tcPr>
            <w:tcW w:w="1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Association of Machinists and</w:t>
            </w:r>
          </w:p>
        </w:tc>
        <w:tc>
          <w:tcPr>
            <w:tcW w:w="1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Aerospace Workers Pension</w:t>
            </w:r>
          </w:p>
        </w:tc>
        <w:tc>
          <w:tcPr>
            <w:tcW w:w="1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tcBorders>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Trust 43-0736847/001</w:t>
            </w:r>
          </w:p>
        </w:tc>
        <w:tc>
          <w:tcPr>
            <w:tcW w:w="1680" w:type="dxa"/>
            <w:vAlign w:val="bottom"/>
            <w:tcBorders>
              <w:bottom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Endangered Green</w:t>
            </w:r>
          </w:p>
        </w:tc>
        <w:tc>
          <w:tcPr>
            <w:tcW w:w="1920" w:type="dxa"/>
            <w:vAlign w:val="bottom"/>
            <w:tcBorders>
              <w:bottom w:val="single" w:sz="8" w:color="auto"/>
            </w:tcBorders>
            <w:shd w:val="clear" w:color="auto" w:fill="CCEEFF"/>
          </w:tcPr>
          <w:p>
            <w:pPr>
              <w:jc w:val="right"/>
              <w:ind w:right="270"/>
              <w:spacing w:after="0" w:line="203" w:lineRule="exact"/>
              <w:rPr>
                <w:sz w:val="20"/>
                <w:szCs w:val="20"/>
                <w:color w:val="auto"/>
              </w:rPr>
            </w:pPr>
            <w:r>
              <w:rPr>
                <w:rFonts w:ascii="Arial" w:cs="Arial" w:eastAsia="Arial" w:hAnsi="Arial"/>
                <w:sz w:val="18"/>
                <w:szCs w:val="18"/>
                <w:color w:val="auto"/>
              </w:rPr>
              <w:t>N/A</w:t>
            </w:r>
          </w:p>
        </w:tc>
        <w:tc>
          <w:tcPr>
            <w:tcW w:w="1140" w:type="dxa"/>
            <w:vAlign w:val="bottom"/>
            <w:tcBorders>
              <w:bottom w:val="single" w:sz="8" w:color="auto"/>
            </w:tcBorders>
            <w:shd w:val="clear" w:color="auto" w:fill="CCEEFF"/>
          </w:tcPr>
          <w:p>
            <w:pPr>
              <w:jc w:val="right"/>
              <w:ind w:right="290"/>
              <w:spacing w:after="0" w:line="203" w:lineRule="exact"/>
              <w:rPr>
                <w:sz w:val="20"/>
                <w:szCs w:val="20"/>
                <w:color w:val="auto"/>
              </w:rPr>
            </w:pPr>
            <w:r>
              <w:rPr>
                <w:rFonts w:ascii="Arial" w:cs="Arial" w:eastAsia="Arial" w:hAnsi="Arial"/>
                <w:sz w:val="18"/>
                <w:szCs w:val="18"/>
                <w:color w:val="auto"/>
              </w:rPr>
              <w:t>30</w:t>
            </w:r>
          </w:p>
        </w:tc>
        <w:tc>
          <w:tcPr>
            <w:tcW w:w="8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w:t>
            </w:r>
          </w:p>
        </w:tc>
        <w:tc>
          <w:tcPr>
            <w:tcW w:w="1280" w:type="dxa"/>
            <w:vAlign w:val="bottom"/>
            <w:tcBorders>
              <w:bottom w:val="single" w:sz="8" w:color="auto"/>
            </w:tcBorders>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rPr>
              <w:t>31</w:t>
            </w:r>
          </w:p>
        </w:tc>
        <w:tc>
          <w:tcPr>
            <w:tcW w:w="1180" w:type="dxa"/>
            <w:vAlign w:val="bottom"/>
            <w:tcBorders>
              <w:bottom w:val="single" w:sz="8" w:color="auto"/>
            </w:tcBorders>
            <w:shd w:val="clear" w:color="auto" w:fill="CCEEFF"/>
          </w:tcPr>
          <w:p>
            <w:pPr>
              <w:jc w:val="right"/>
              <w:ind w:right="50"/>
              <w:spacing w:after="0" w:line="203" w:lineRule="exact"/>
              <w:rPr>
                <w:sz w:val="20"/>
                <w:szCs w:val="20"/>
                <w:color w:val="auto"/>
              </w:rPr>
            </w:pPr>
            <w:r>
              <w:rPr>
                <w:rFonts w:ascii="Arial" w:cs="Arial" w:eastAsia="Arial" w:hAnsi="Arial"/>
                <w:sz w:val="18"/>
                <w:szCs w:val="18"/>
                <w:color w:val="auto"/>
              </w:rPr>
              <w:t>N/A</w:t>
            </w:r>
          </w:p>
        </w:tc>
        <w:tc>
          <w:tcPr>
            <w:tcW w:w="9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2/28/2021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GCIU unit at one of our bargaining units withdrew representation and, as a result, precipitated a partial withdrawal from the GCIU Employer Retirement Fund. The Company had previously accrued $2,600,000 in 2017 pending the final assessment from the fund. We received the final assessment in 2019 and increased the accrual to the final assessed amount of $3,181,000.</w:t>
      </w:r>
    </w:p>
    <w:p>
      <w:pPr>
        <w:spacing w:after="0" w:line="18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District 9 IAM plan notified the Company in April 2019 that it is in endangered status. The plan could be either declared red status or modified. The plan has not indicated what action will be taken.</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has effectuated a total withdrawal from the CWA/ITU Pension plan in 2019 which was in critical status as of September 30, 2019. This action was precipitated by a disclaimer of interest by one of our bargaining units, which forced a partial withdrawal from the fund. The Company has elected to precipitate withdrawals from the other units to accomplish a full withdrawal. The full withdrawal will be accomplished by triggering sections of those contracts which allowed for withdrawal from the fund in exchange for benefits and outsourcing of work. The Company has accrued a liability of $3,255,000 in Warrants and other in 2019 to estimate the impact of the full withdrawal.</w:t>
      </w:r>
    </w:p>
    <w:p>
      <w:pPr>
        <w:spacing w:after="0" w:line="200" w:lineRule="exact"/>
        <w:rPr>
          <w:sz w:val="20"/>
          <w:szCs w:val="20"/>
          <w:color w:val="auto"/>
        </w:rPr>
      </w:pPr>
    </w:p>
    <w:p>
      <w:pPr>
        <w:spacing w:after="0" w:line="210" w:lineRule="exact"/>
        <w:rPr>
          <w:sz w:val="20"/>
          <w:szCs w:val="20"/>
          <w:color w:val="auto"/>
        </w:rPr>
      </w:pPr>
    </w:p>
    <w:p>
      <w:pPr>
        <w:ind w:right="6700" w:firstLine="8"/>
        <w:spacing w:after="0" w:line="482" w:lineRule="auto"/>
        <w:tabs>
          <w:tab w:leader="none" w:pos="35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AND CLASS B COMMON STOCK Common Stock</w:t>
      </w:r>
    </w:p>
    <w:p>
      <w:pPr>
        <w:spacing w:after="0" w:line="1"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The par value of our Common Stock was changed from $2.00 per share to $0.01 per share effective January 30, 2012. Holders of our previous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agreement shared in the issuance of 6,743,640 shares of our Common Stock, an amount equal to 13% of outstanding shares on a pro forma basis as of January 30, 2012.</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67" w:name="page68"/>
    <w:bookmarkEnd w:id="67"/>
    <w:p>
      <w:pPr>
        <w:jc w:val="both"/>
        <w:spacing w:after="0" w:line="238" w:lineRule="auto"/>
        <w:rPr>
          <w:sz w:val="20"/>
          <w:szCs w:val="20"/>
          <w:color w:val="auto"/>
        </w:rPr>
      </w:pPr>
      <w:r>
        <w:rPr>
          <w:rFonts w:ascii="Arial" w:cs="Arial" w:eastAsia="Arial" w:hAnsi="Arial"/>
          <w:sz w:val="18"/>
          <w:szCs w:val="18"/>
          <w:color w:val="auto"/>
        </w:rPr>
        <w:t>In connection with the currently outstanding 2nd Lien Term Loan, we entered into the Warrant Agreement. Under the Warrant Agreement, certain affiliates or designees of the 2nd Lien Lenders received on March 31, 2014 their pro rata share of Warrants to purchase, in cash, 6,000,000 shares of Common Stock, subject to adjustment pursuant to anti-dilution provisions. The Warrants represent, when fully exercised, approximately 10.1% of shares of Common Stock outstanding at March 30, 2014 on a fully diluted basis. The exercise price of the Warrants is $4.19 per share.</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Warrant Agreement contains a cash settlement provision in the event of a change of control prior to March 31, 2018, as well as other provisions requiring the Warrants be measured at fair value and classified as warrants and other liabilities in our Consolidated Balance Sheets. We re-measure the liability to fair value each reporting period, with changes reported in other non-operating income (expense). The initial fair value of the Warrants was $16,930,000. At September 29, 2019, the fair value of the Warrants is $1,195,000.</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connection with the issuance of the Warrants, we entered into the Registration Rights Agreement. The Registration Rights Agreement requires, among other matters, that we use our commercially reasonable efforts to file and maintain the effectiveness for certain specified periods of a shelf registration statement covering the shares of Common Stock upon exercise of the Warrants.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B Common Stock</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1986, one share of Class B Common Stock was issued as a dividend for each share of Common Stock held by stockholders of record at the time. The transfer of Class B Common Stock was restricted. As originally anticipated, the number of outstanding Class B shares decreased over time through trading and reached the sunset level of 5,600,000 shares in March 2011. In March 2011, in accordance with the sunset provisions established in 1986, we effected conversion of all outstanding shares of Class B Common Stock to Common Stock. As a result, all stockholders have one vote per share on all future matters. Class B shares formerly had ten votes per share.</w:t>
      </w:r>
    </w:p>
    <w:p>
      <w:pPr>
        <w:spacing w:after="0" w:line="200" w:lineRule="exact"/>
        <w:rPr>
          <w:sz w:val="20"/>
          <w:szCs w:val="20"/>
          <w:color w:val="auto"/>
        </w:rPr>
      </w:pPr>
    </w:p>
    <w:p>
      <w:pPr>
        <w:spacing w:after="0" w:line="2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tab/>
        <w:t>STOCK OWNERSHIP PLANS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Total non-cash stock compensation expense is $1,638,000, $1,857,000 and $2,088,000, in 2019, 2018 and 2017, respectively.</w:t>
      </w:r>
    </w:p>
    <w:p>
      <w:pPr>
        <w:spacing w:after="0" w:line="198"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At September 29, 2019, we have reserved 2,805,000 shares of Common Stock for issuance to employees under an incentive and nonstatutory stock option and restricted stock plan approved by stockholders of which 1,600,000 shares are available for granting of non-qualified stock options or issuance of restricted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Options are granted at a price equal to the fair market value on the date of the grant and are exercisable, upon vesting, over a ten-year period.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is as follows: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Borders>
              <w:top w:val="single" w:sz="8" w:color="auto"/>
            </w:tcBorders>
            <w:gridSpan w:val="2"/>
          </w:tcPr>
          <w:p>
            <w:pPr>
              <w:spacing w:after="0"/>
              <w:rPr>
                <w:sz w:val="20"/>
                <w:szCs w:val="20"/>
                <w:color w:val="auto"/>
              </w:rPr>
            </w:pPr>
            <w:r>
              <w:rPr>
                <w:rFonts w:ascii="Arial" w:cs="Arial" w:eastAsia="Arial" w:hAnsi="Arial"/>
                <w:sz w:val="16"/>
                <w:szCs w:val="16"/>
                <w:i w:val="1"/>
                <w:iCs w:val="1"/>
                <w:color w:val="auto"/>
              </w:rPr>
              <w:t>(Thousands of Shares)</w:t>
            </w:r>
          </w:p>
        </w:tc>
        <w:tc>
          <w:tcPr>
            <w:tcW w:w="352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rPr>
              <w:t>2019</w:t>
            </w:r>
          </w:p>
        </w:tc>
        <w:tc>
          <w:tcPr>
            <w:tcW w:w="170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rPr>
              <w:t>2018</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040" w:type="dxa"/>
            <w:vAlign w:val="bottom"/>
            <w:tcBorders>
              <w:top w:val="single" w:sz="8" w:color="auto"/>
            </w:tcBorders>
          </w:tcPr>
          <w:p>
            <w:pPr>
              <w:spacing w:after="0"/>
              <w:rPr>
                <w:sz w:val="17"/>
                <w:szCs w:val="17"/>
                <w:color w:val="auto"/>
              </w:rPr>
            </w:pPr>
          </w:p>
        </w:tc>
        <w:tc>
          <w:tcPr>
            <w:tcW w:w="35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Under option, beginning of year</w:t>
            </w:r>
          </w:p>
        </w:tc>
        <w:tc>
          <w:tcPr>
            <w:tcW w:w="3520" w:type="dxa"/>
            <w:vAlign w:val="bottom"/>
            <w:shd w:val="clear" w:color="auto" w:fill="CCEEFF"/>
          </w:tcPr>
          <w:p>
            <w:pPr>
              <w:jc w:val="right"/>
              <w:ind w:right="590"/>
              <w:spacing w:after="0" w:line="202" w:lineRule="exact"/>
              <w:rPr>
                <w:sz w:val="20"/>
                <w:szCs w:val="20"/>
                <w:color w:val="auto"/>
              </w:rPr>
            </w:pPr>
            <w:r>
              <w:rPr>
                <w:rFonts w:ascii="Arial" w:cs="Arial" w:eastAsia="Arial" w:hAnsi="Arial"/>
                <w:sz w:val="18"/>
                <w:szCs w:val="18"/>
                <w:color w:val="auto"/>
              </w:rPr>
              <w:t>1,100</w:t>
            </w:r>
          </w:p>
        </w:tc>
        <w:tc>
          <w:tcPr>
            <w:tcW w:w="1700" w:type="dxa"/>
            <w:vAlign w:val="bottom"/>
            <w:shd w:val="clear" w:color="auto" w:fill="CCEEFF"/>
          </w:tcPr>
          <w:p>
            <w:pPr>
              <w:jc w:val="right"/>
              <w:ind w:right="570"/>
              <w:spacing w:after="0" w:line="202" w:lineRule="exact"/>
              <w:rPr>
                <w:sz w:val="20"/>
                <w:szCs w:val="20"/>
                <w:color w:val="auto"/>
              </w:rPr>
            </w:pPr>
            <w:r>
              <w:rPr>
                <w:rFonts w:ascii="Arial" w:cs="Arial" w:eastAsia="Arial" w:hAnsi="Arial"/>
                <w:sz w:val="18"/>
                <w:szCs w:val="18"/>
                <w:color w:val="auto"/>
              </w:rPr>
              <w:t>1,271</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tcPr>
          <w:p>
            <w:pPr>
              <w:spacing w:after="0" w:line="202" w:lineRule="exact"/>
              <w:rPr>
                <w:sz w:val="20"/>
                <w:szCs w:val="20"/>
                <w:color w:val="auto"/>
              </w:rPr>
            </w:pPr>
            <w:r>
              <w:rPr>
                <w:rFonts w:ascii="Arial" w:cs="Arial" w:eastAsia="Arial" w:hAnsi="Arial"/>
                <w:sz w:val="18"/>
                <w:szCs w:val="18"/>
                <w:color w:val="auto"/>
              </w:rPr>
              <w:t>Exercised</w:t>
            </w:r>
          </w:p>
        </w:tc>
        <w:tc>
          <w:tcPr>
            <w:tcW w:w="352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(93)</w:t>
            </w:r>
          </w:p>
        </w:tc>
        <w:tc>
          <w:tcPr>
            <w:tcW w:w="170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(131)</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Canceled</w:t>
            </w:r>
          </w:p>
        </w:tc>
        <w:tc>
          <w:tcPr>
            <w:tcW w:w="3520" w:type="dxa"/>
            <w:vAlign w:val="bottom"/>
            <w:tcBorders>
              <w:bottom w:val="single" w:sz="8" w:color="auto"/>
            </w:tcBorders>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rPr>
              <w:t>(198)</w:t>
            </w:r>
          </w:p>
        </w:tc>
        <w:tc>
          <w:tcPr>
            <w:tcW w:w="1700" w:type="dxa"/>
            <w:vAlign w:val="bottom"/>
            <w:tcBorders>
              <w:bottom w:val="single" w:sz="8" w:color="auto"/>
            </w:tcBorders>
            <w:shd w:val="clear" w:color="auto" w:fill="CCEEFF"/>
          </w:tcPr>
          <w:p>
            <w:pPr>
              <w:jc w:val="right"/>
              <w:ind w:right="510"/>
              <w:spacing w:after="0" w:line="202" w:lineRule="exact"/>
              <w:rPr>
                <w:sz w:val="20"/>
                <w:szCs w:val="20"/>
                <w:color w:val="auto"/>
              </w:rPr>
            </w:pPr>
            <w:r>
              <w:rPr>
                <w:rFonts w:ascii="Arial" w:cs="Arial" w:eastAsia="Arial" w:hAnsi="Arial"/>
                <w:sz w:val="18"/>
                <w:szCs w:val="18"/>
                <w:color w:val="auto"/>
              </w:rPr>
              <w:t>(40)</w:t>
            </w: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Under option, end of year</w:t>
            </w:r>
          </w:p>
        </w:tc>
        <w:tc>
          <w:tcPr>
            <w:tcW w:w="352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color w:val="auto"/>
              </w:rPr>
              <w:t>809</w:t>
            </w:r>
          </w:p>
        </w:tc>
        <w:tc>
          <w:tcPr>
            <w:tcW w:w="170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color w:val="auto"/>
              </w:rPr>
              <w:t>1,100</w:t>
            </w: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Exercisable, end of year</w:t>
            </w:r>
          </w:p>
        </w:tc>
        <w:tc>
          <w:tcPr>
            <w:tcW w:w="3520" w:type="dxa"/>
            <w:vAlign w:val="bottom"/>
            <w:tcBorders>
              <w:bottom w:val="single" w:sz="8" w:color="auto"/>
            </w:tcBorders>
            <w:shd w:val="clear" w:color="auto" w:fill="CCEEFF"/>
          </w:tcPr>
          <w:p>
            <w:pPr>
              <w:jc w:val="right"/>
              <w:ind w:right="590"/>
              <w:spacing w:after="0" w:line="196" w:lineRule="exact"/>
              <w:rPr>
                <w:sz w:val="20"/>
                <w:szCs w:val="20"/>
                <w:color w:val="auto"/>
              </w:rPr>
            </w:pPr>
            <w:r>
              <w:rPr>
                <w:rFonts w:ascii="Arial" w:cs="Arial" w:eastAsia="Arial" w:hAnsi="Arial"/>
                <w:sz w:val="18"/>
                <w:szCs w:val="18"/>
                <w:color w:val="auto"/>
              </w:rPr>
              <w:t>809</w:t>
            </w:r>
          </w:p>
        </w:tc>
        <w:tc>
          <w:tcPr>
            <w:tcW w:w="1700" w:type="dxa"/>
            <w:vAlign w:val="bottom"/>
            <w:tcBorders>
              <w:bottom w:val="single" w:sz="8" w:color="auto"/>
            </w:tcBorders>
            <w:shd w:val="clear" w:color="auto" w:fill="CCEEFF"/>
          </w:tcPr>
          <w:p>
            <w:pPr>
              <w:jc w:val="right"/>
              <w:ind w:right="570"/>
              <w:spacing w:after="0" w:line="196" w:lineRule="exact"/>
              <w:rPr>
                <w:sz w:val="20"/>
                <w:szCs w:val="20"/>
                <w:color w:val="auto"/>
              </w:rPr>
            </w:pPr>
            <w:r>
              <w:rPr>
                <w:rFonts w:ascii="Arial" w:cs="Arial" w:eastAsia="Arial" w:hAnsi="Arial"/>
                <w:sz w:val="18"/>
                <w:szCs w:val="18"/>
                <w:color w:val="auto"/>
              </w:rPr>
              <w:t>1,100</w:t>
            </w:r>
          </w:p>
        </w:tc>
        <w:tc>
          <w:tcPr>
            <w:tcW w:w="11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Weighted average prices of stock options are as follows:</w:t>
            </w:r>
          </w:p>
        </w:tc>
        <w:tc>
          <w:tcPr>
            <w:tcW w:w="35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060" w:type="dxa"/>
            <w:vAlign w:val="bottom"/>
            <w:gridSpan w:val="2"/>
          </w:tcPr>
          <w:p>
            <w:pPr>
              <w:spacing w:after="0"/>
              <w:rPr>
                <w:sz w:val="24"/>
                <w:szCs w:val="24"/>
                <w:color w:val="auto"/>
              </w:rPr>
            </w:pPr>
          </w:p>
        </w:tc>
        <w:tc>
          <w:tcPr>
            <w:tcW w:w="35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(Dollars)</w:t>
            </w:r>
          </w:p>
        </w:tc>
        <w:tc>
          <w:tcPr>
            <w:tcW w:w="3520" w:type="dxa"/>
            <w:vAlign w:val="bottom"/>
            <w:tcBorders>
              <w:top w:val="single" w:sz="8" w:color="auto"/>
              <w:bottom w:val="single" w:sz="8" w:color="auto"/>
            </w:tcBorders>
          </w:tcPr>
          <w:p>
            <w:pPr>
              <w:jc w:val="right"/>
              <w:ind w:right="590"/>
              <w:spacing w:after="0" w:line="196" w:lineRule="exact"/>
              <w:rPr>
                <w:sz w:val="20"/>
                <w:szCs w:val="20"/>
                <w:color w:val="auto"/>
              </w:rPr>
            </w:pPr>
            <w:r>
              <w:rPr>
                <w:rFonts w:ascii="Arial" w:cs="Arial" w:eastAsia="Arial" w:hAnsi="Arial"/>
                <w:sz w:val="18"/>
                <w:szCs w:val="18"/>
                <w:color w:val="auto"/>
              </w:rPr>
              <w:t>2019</w:t>
            </w:r>
          </w:p>
        </w:tc>
        <w:tc>
          <w:tcPr>
            <w:tcW w:w="1700" w:type="dxa"/>
            <w:vAlign w:val="bottom"/>
            <w:tcBorders>
              <w:top w:val="single" w:sz="8" w:color="auto"/>
              <w:bottom w:val="single" w:sz="8" w:color="auto"/>
            </w:tcBorders>
          </w:tcPr>
          <w:p>
            <w:pPr>
              <w:jc w:val="right"/>
              <w:ind w:right="570"/>
              <w:spacing w:after="0" w:line="196" w:lineRule="exact"/>
              <w:rPr>
                <w:sz w:val="20"/>
                <w:szCs w:val="20"/>
                <w:color w:val="auto"/>
              </w:rPr>
            </w:pPr>
            <w:r>
              <w:rPr>
                <w:rFonts w:ascii="Arial" w:cs="Arial" w:eastAsia="Arial" w:hAnsi="Arial"/>
                <w:sz w:val="18"/>
                <w:szCs w:val="18"/>
                <w:color w:val="auto"/>
              </w:rPr>
              <w:t>2018</w:t>
            </w:r>
          </w:p>
        </w:tc>
        <w:tc>
          <w:tcPr>
            <w:tcW w:w="114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0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Exercised</w:t>
            </w:r>
          </w:p>
        </w:tc>
        <w:tc>
          <w:tcPr>
            <w:tcW w:w="3520" w:type="dxa"/>
            <w:vAlign w:val="bottom"/>
            <w:shd w:val="clear" w:color="auto" w:fill="CCEEFF"/>
          </w:tcPr>
          <w:p>
            <w:pPr>
              <w:jc w:val="right"/>
              <w:ind w:right="590"/>
              <w:spacing w:after="0" w:line="202" w:lineRule="exact"/>
              <w:rPr>
                <w:sz w:val="20"/>
                <w:szCs w:val="20"/>
                <w:color w:val="auto"/>
              </w:rPr>
            </w:pPr>
            <w:r>
              <w:rPr>
                <w:rFonts w:ascii="Arial" w:cs="Arial" w:eastAsia="Arial" w:hAnsi="Arial"/>
                <w:sz w:val="18"/>
                <w:szCs w:val="18"/>
                <w:color w:val="auto"/>
              </w:rPr>
              <w:t>2.06</w:t>
            </w:r>
          </w:p>
        </w:tc>
        <w:tc>
          <w:tcPr>
            <w:tcW w:w="1700" w:type="dxa"/>
            <w:vAlign w:val="bottom"/>
            <w:shd w:val="clear" w:color="auto" w:fill="CCEEFF"/>
          </w:tcPr>
          <w:p>
            <w:pPr>
              <w:jc w:val="right"/>
              <w:ind w:right="570"/>
              <w:spacing w:after="0" w:line="202" w:lineRule="exact"/>
              <w:rPr>
                <w:sz w:val="20"/>
                <w:szCs w:val="20"/>
                <w:color w:val="auto"/>
              </w:rPr>
            </w:pPr>
            <w:r>
              <w:rPr>
                <w:rFonts w:ascii="Arial" w:cs="Arial" w:eastAsia="Arial" w:hAnsi="Arial"/>
                <w:sz w:val="18"/>
                <w:szCs w:val="18"/>
                <w:color w:val="auto"/>
              </w:rPr>
              <w:t>1.42</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Cancelled</w:t>
            </w:r>
          </w:p>
        </w:tc>
        <w:tc>
          <w:tcPr>
            <w:tcW w:w="3520" w:type="dxa"/>
            <w:vAlign w:val="bottom"/>
            <w:tcBorders>
              <w:bottom w:val="single" w:sz="8" w:color="auto"/>
            </w:tcBorders>
          </w:tcPr>
          <w:p>
            <w:pPr>
              <w:jc w:val="right"/>
              <w:ind w:right="590"/>
              <w:spacing w:after="0" w:line="202" w:lineRule="exact"/>
              <w:rPr>
                <w:sz w:val="20"/>
                <w:szCs w:val="20"/>
                <w:color w:val="auto"/>
              </w:rPr>
            </w:pPr>
            <w:r>
              <w:rPr>
                <w:rFonts w:ascii="Arial" w:cs="Arial" w:eastAsia="Arial" w:hAnsi="Arial"/>
                <w:sz w:val="18"/>
                <w:szCs w:val="18"/>
                <w:color w:val="auto"/>
              </w:rPr>
              <w:t>2.08</w:t>
            </w:r>
          </w:p>
        </w:tc>
        <w:tc>
          <w:tcPr>
            <w:tcW w:w="1700" w:type="dxa"/>
            <w:vAlign w:val="bottom"/>
            <w:tcBorders>
              <w:bottom w:val="single" w:sz="8" w:color="auto"/>
            </w:tcBorders>
          </w:tcPr>
          <w:p>
            <w:pPr>
              <w:jc w:val="right"/>
              <w:ind w:right="570"/>
              <w:spacing w:after="0" w:line="202" w:lineRule="exact"/>
              <w:rPr>
                <w:sz w:val="20"/>
                <w:szCs w:val="20"/>
                <w:color w:val="auto"/>
              </w:rPr>
            </w:pPr>
            <w:r>
              <w:rPr>
                <w:rFonts w:ascii="Arial" w:cs="Arial" w:eastAsia="Arial" w:hAnsi="Arial"/>
                <w:sz w:val="18"/>
                <w:szCs w:val="18"/>
                <w:color w:val="auto"/>
              </w:rPr>
              <w:t>2.49</w:t>
            </w:r>
          </w:p>
        </w:tc>
        <w:tc>
          <w:tcPr>
            <w:tcW w:w="11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Under option, end of year</w:t>
            </w:r>
          </w:p>
        </w:tc>
        <w:tc>
          <w:tcPr>
            <w:tcW w:w="3520" w:type="dxa"/>
            <w:vAlign w:val="bottom"/>
            <w:tcBorders>
              <w:bottom w:val="single" w:sz="8" w:color="auto"/>
            </w:tcBorders>
            <w:shd w:val="clear" w:color="auto" w:fill="CCEEFF"/>
          </w:tcPr>
          <w:p>
            <w:pPr>
              <w:jc w:val="right"/>
              <w:ind w:right="590"/>
              <w:spacing w:after="0" w:line="196" w:lineRule="exact"/>
              <w:rPr>
                <w:sz w:val="20"/>
                <w:szCs w:val="20"/>
                <w:color w:val="auto"/>
              </w:rPr>
            </w:pPr>
            <w:r>
              <w:rPr>
                <w:rFonts w:ascii="Arial" w:cs="Arial" w:eastAsia="Arial" w:hAnsi="Arial"/>
                <w:sz w:val="18"/>
                <w:szCs w:val="18"/>
                <w:color w:val="auto"/>
              </w:rPr>
              <w:t>1.82</w:t>
            </w:r>
          </w:p>
        </w:tc>
        <w:tc>
          <w:tcPr>
            <w:tcW w:w="1700" w:type="dxa"/>
            <w:vAlign w:val="bottom"/>
            <w:tcBorders>
              <w:bottom w:val="single" w:sz="8" w:color="auto"/>
            </w:tcBorders>
            <w:shd w:val="clear" w:color="auto" w:fill="CCEEFF"/>
          </w:tcPr>
          <w:p>
            <w:pPr>
              <w:jc w:val="right"/>
              <w:ind w:right="570"/>
              <w:spacing w:after="0" w:line="196" w:lineRule="exact"/>
              <w:rPr>
                <w:sz w:val="20"/>
                <w:szCs w:val="20"/>
                <w:color w:val="auto"/>
              </w:rPr>
            </w:pPr>
            <w:r>
              <w:rPr>
                <w:rFonts w:ascii="Arial" w:cs="Arial" w:eastAsia="Arial" w:hAnsi="Arial"/>
                <w:sz w:val="18"/>
                <w:szCs w:val="18"/>
                <w:color w:val="auto"/>
              </w:rPr>
              <w:t>1.88</w:t>
            </w:r>
          </w:p>
        </w:tc>
        <w:tc>
          <w:tcPr>
            <w:tcW w:w="11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3520" w:type="dxa"/>
            <w:vAlign w:val="bottom"/>
          </w:tcPr>
          <w:p>
            <w:pPr>
              <w:jc w:val="right"/>
              <w:ind w:right="2670"/>
              <w:spacing w:after="0"/>
              <w:rPr>
                <w:sz w:val="20"/>
                <w:szCs w:val="20"/>
                <w:color w:val="auto"/>
              </w:rPr>
            </w:pPr>
            <w:r>
              <w:rPr>
                <w:rFonts w:ascii="Arial" w:cs="Arial" w:eastAsia="Arial" w:hAnsi="Arial"/>
                <w:sz w:val="18"/>
                <w:szCs w:val="18"/>
                <w:color w:val="auto"/>
              </w:rPr>
              <w:t>66</w:t>
            </w:r>
          </w:p>
        </w:tc>
        <w:tc>
          <w:tcPr>
            <w:tcW w:w="1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tcBorders>
              <w:bottom w:val="single" w:sz="8" w:color="auto"/>
            </w:tcBorders>
          </w:tcPr>
          <w:p>
            <w:pPr>
              <w:spacing w:after="0"/>
              <w:rPr>
                <w:sz w:val="8"/>
                <w:szCs w:val="8"/>
                <w:color w:val="auto"/>
              </w:rPr>
            </w:pPr>
          </w:p>
        </w:tc>
        <w:tc>
          <w:tcPr>
            <w:tcW w:w="352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98"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A summary of stock options outstanding at September 29, 2019 is as follows: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i w:val="1"/>
                <w:iCs w:val="1"/>
                <w:color w:val="auto"/>
              </w:rPr>
              <w:t>(Dollars)</w:t>
            </w:r>
          </w:p>
        </w:tc>
        <w:tc>
          <w:tcPr>
            <w:tcW w:w="2100" w:type="dxa"/>
            <w:vAlign w:val="bottom"/>
            <w:tcBorders>
              <w:top w:val="single" w:sz="8" w:color="auto"/>
              <w:bottom w:val="single" w:sz="8" w:color="auto"/>
            </w:tcBorders>
          </w:tcPr>
          <w:p>
            <w:pPr>
              <w:spacing w:after="0"/>
              <w:rPr>
                <w:sz w:val="18"/>
                <w:szCs w:val="18"/>
                <w:color w:val="auto"/>
              </w:rPr>
            </w:pPr>
          </w:p>
        </w:tc>
        <w:tc>
          <w:tcPr>
            <w:tcW w:w="1840" w:type="dxa"/>
            <w:vAlign w:val="bottom"/>
            <w:tcBorders>
              <w:top w:val="single" w:sz="8" w:color="auto"/>
              <w:bottom w:val="single" w:sz="8" w:color="auto"/>
            </w:tcBorders>
          </w:tcPr>
          <w:p>
            <w:pPr>
              <w:spacing w:after="0"/>
              <w:rPr>
                <w:sz w:val="18"/>
                <w:szCs w:val="18"/>
                <w:color w:val="auto"/>
              </w:rPr>
            </w:pPr>
          </w:p>
        </w:tc>
        <w:tc>
          <w:tcPr>
            <w:tcW w:w="22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Options Outstanding</w:t>
            </w:r>
          </w:p>
        </w:tc>
        <w:tc>
          <w:tcPr>
            <w:tcW w:w="1660" w:type="dxa"/>
            <w:vAlign w:val="bottom"/>
            <w:tcBorders>
              <w:top w:val="single" w:sz="8" w:color="auto"/>
              <w:bottom w:val="single" w:sz="8" w:color="auto"/>
            </w:tcBorders>
          </w:tcPr>
          <w:p>
            <w:pPr>
              <w:spacing w:after="0"/>
              <w:rPr>
                <w:sz w:val="18"/>
                <w:szCs w:val="18"/>
                <w:color w:val="auto"/>
              </w:rPr>
            </w:pPr>
          </w:p>
        </w:tc>
        <w:tc>
          <w:tcPr>
            <w:tcW w:w="19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Options Exercisable</w:t>
            </w:r>
          </w:p>
        </w:tc>
      </w:tr>
      <w:tr>
        <w:trPr>
          <w:trHeight w:val="177"/>
        </w:trPr>
        <w:tc>
          <w:tcPr>
            <w:tcW w:w="16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840" w:type="dxa"/>
            <w:vAlign w:val="bottom"/>
          </w:tcPr>
          <w:p>
            <w:pPr>
              <w:jc w:val="right"/>
              <w:ind w:right="50"/>
              <w:spacing w:after="0" w:line="177" w:lineRule="exact"/>
              <w:rPr>
                <w:sz w:val="20"/>
                <w:szCs w:val="20"/>
                <w:color w:val="auto"/>
              </w:rPr>
            </w:pPr>
            <w:r>
              <w:rPr>
                <w:rFonts w:ascii="Arial" w:cs="Arial" w:eastAsia="Arial" w:hAnsi="Arial"/>
                <w:sz w:val="18"/>
                <w:szCs w:val="18"/>
                <w:i w:val="1"/>
                <w:iCs w:val="1"/>
                <w:color w:val="auto"/>
              </w:rPr>
              <w:t>Weighted Average</w:t>
            </w:r>
          </w:p>
        </w:tc>
        <w:tc>
          <w:tcPr>
            <w:tcW w:w="2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203"/>
        </w:trPr>
        <w:tc>
          <w:tcPr>
            <w:tcW w:w="1620" w:type="dxa"/>
            <w:vAlign w:val="bottom"/>
          </w:tcPr>
          <w:p>
            <w:pPr>
              <w:spacing w:after="0"/>
              <w:rPr>
                <w:sz w:val="17"/>
                <w:szCs w:val="17"/>
                <w:color w:val="auto"/>
              </w:rPr>
            </w:pPr>
          </w:p>
        </w:tc>
        <w:tc>
          <w:tcPr>
            <w:tcW w:w="2100" w:type="dxa"/>
            <w:vAlign w:val="bottom"/>
          </w:tcPr>
          <w:p>
            <w:pPr>
              <w:jc w:val="right"/>
              <w:ind w:right="130"/>
              <w:spacing w:after="0" w:line="202" w:lineRule="exact"/>
              <w:rPr>
                <w:sz w:val="20"/>
                <w:szCs w:val="20"/>
                <w:color w:val="auto"/>
              </w:rPr>
            </w:pPr>
            <w:r>
              <w:rPr>
                <w:rFonts w:ascii="Arial" w:cs="Arial" w:eastAsia="Arial" w:hAnsi="Arial"/>
                <w:sz w:val="18"/>
                <w:szCs w:val="18"/>
                <w:i w:val="1"/>
                <w:iCs w:val="1"/>
                <w:color w:val="auto"/>
              </w:rPr>
              <w:t>Number</w:t>
            </w:r>
          </w:p>
        </w:tc>
        <w:tc>
          <w:tcPr>
            <w:tcW w:w="1840" w:type="dxa"/>
            <w:vAlign w:val="bottom"/>
          </w:tcPr>
          <w:p>
            <w:pPr>
              <w:jc w:val="right"/>
              <w:ind w:right="50"/>
              <w:spacing w:after="0" w:line="202" w:lineRule="exact"/>
              <w:rPr>
                <w:sz w:val="20"/>
                <w:szCs w:val="20"/>
                <w:color w:val="auto"/>
              </w:rPr>
            </w:pPr>
            <w:r>
              <w:rPr>
                <w:rFonts w:ascii="Arial" w:cs="Arial" w:eastAsia="Arial" w:hAnsi="Arial"/>
                <w:sz w:val="18"/>
                <w:szCs w:val="18"/>
                <w:i w:val="1"/>
                <w:iCs w:val="1"/>
                <w:color w:val="auto"/>
              </w:rPr>
              <w:t>Remaining</w:t>
            </w:r>
          </w:p>
        </w:tc>
        <w:tc>
          <w:tcPr>
            <w:tcW w:w="2240" w:type="dxa"/>
            <w:vAlign w:val="bottom"/>
          </w:tcPr>
          <w:p>
            <w:pPr>
              <w:spacing w:after="0"/>
              <w:rPr>
                <w:sz w:val="17"/>
                <w:szCs w:val="17"/>
                <w:color w:val="auto"/>
              </w:rPr>
            </w:pPr>
          </w:p>
        </w:tc>
        <w:tc>
          <w:tcPr>
            <w:tcW w:w="1660" w:type="dxa"/>
            <w:vAlign w:val="bottom"/>
          </w:tcPr>
          <w:p>
            <w:pPr>
              <w:jc w:val="right"/>
              <w:ind w:right="90"/>
              <w:spacing w:after="0" w:line="202" w:lineRule="exact"/>
              <w:rPr>
                <w:sz w:val="20"/>
                <w:szCs w:val="20"/>
                <w:color w:val="auto"/>
              </w:rPr>
            </w:pPr>
            <w:r>
              <w:rPr>
                <w:rFonts w:ascii="Arial" w:cs="Arial" w:eastAsia="Arial" w:hAnsi="Arial"/>
                <w:sz w:val="18"/>
                <w:szCs w:val="18"/>
                <w:i w:val="1"/>
                <w:iCs w:val="1"/>
                <w:color w:val="auto"/>
              </w:rPr>
              <w:t>Number</w:t>
            </w:r>
          </w:p>
        </w:tc>
        <w:tc>
          <w:tcPr>
            <w:tcW w:w="1960" w:type="dxa"/>
            <w:vAlign w:val="bottom"/>
          </w:tcPr>
          <w:p>
            <w:pPr>
              <w:spacing w:after="0"/>
              <w:rPr>
                <w:sz w:val="17"/>
                <w:szCs w:val="17"/>
                <w:color w:val="auto"/>
              </w:rPr>
            </w:pPr>
          </w:p>
        </w:tc>
      </w:tr>
      <w:tr>
        <w:trPr>
          <w:trHeight w:val="203"/>
        </w:trPr>
        <w:tc>
          <w:tcPr>
            <w:tcW w:w="1620" w:type="dxa"/>
            <w:vAlign w:val="bottom"/>
          </w:tcPr>
          <w:p>
            <w:pPr>
              <w:spacing w:after="0"/>
              <w:rPr>
                <w:sz w:val="17"/>
                <w:szCs w:val="17"/>
                <w:color w:val="auto"/>
              </w:rPr>
            </w:pPr>
          </w:p>
        </w:tc>
        <w:tc>
          <w:tcPr>
            <w:tcW w:w="2100" w:type="dxa"/>
            <w:vAlign w:val="bottom"/>
          </w:tcPr>
          <w:p>
            <w:pPr>
              <w:jc w:val="right"/>
              <w:ind w:right="130"/>
              <w:spacing w:after="0" w:line="202" w:lineRule="exact"/>
              <w:rPr>
                <w:sz w:val="20"/>
                <w:szCs w:val="20"/>
                <w:color w:val="auto"/>
              </w:rPr>
            </w:pPr>
            <w:r>
              <w:rPr>
                <w:rFonts w:ascii="Arial" w:cs="Arial" w:eastAsia="Arial" w:hAnsi="Arial"/>
                <w:sz w:val="18"/>
                <w:szCs w:val="18"/>
                <w:i w:val="1"/>
                <w:iCs w:val="1"/>
                <w:color w:val="auto"/>
              </w:rPr>
              <w:t>Outstanding</w:t>
            </w:r>
          </w:p>
        </w:tc>
        <w:tc>
          <w:tcPr>
            <w:tcW w:w="1840" w:type="dxa"/>
            <w:vAlign w:val="bottom"/>
          </w:tcPr>
          <w:p>
            <w:pPr>
              <w:jc w:val="right"/>
              <w:ind w:right="50"/>
              <w:spacing w:after="0" w:line="202" w:lineRule="exact"/>
              <w:rPr>
                <w:sz w:val="20"/>
                <w:szCs w:val="20"/>
                <w:color w:val="auto"/>
              </w:rPr>
            </w:pPr>
            <w:r>
              <w:rPr>
                <w:rFonts w:ascii="Arial" w:cs="Arial" w:eastAsia="Arial" w:hAnsi="Arial"/>
                <w:sz w:val="18"/>
                <w:szCs w:val="18"/>
                <w:i w:val="1"/>
                <w:iCs w:val="1"/>
                <w:color w:val="auto"/>
              </w:rPr>
              <w:t>Contractual Life</w:t>
            </w:r>
          </w:p>
        </w:tc>
        <w:tc>
          <w:tcPr>
            <w:tcW w:w="224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Weighted Average</w:t>
            </w:r>
          </w:p>
        </w:tc>
        <w:tc>
          <w:tcPr>
            <w:tcW w:w="1660" w:type="dxa"/>
            <w:vAlign w:val="bottom"/>
          </w:tcPr>
          <w:p>
            <w:pPr>
              <w:jc w:val="right"/>
              <w:ind w:right="90"/>
              <w:spacing w:after="0" w:line="202" w:lineRule="exact"/>
              <w:rPr>
                <w:sz w:val="20"/>
                <w:szCs w:val="20"/>
                <w:color w:val="auto"/>
              </w:rPr>
            </w:pPr>
            <w:r>
              <w:rPr>
                <w:rFonts w:ascii="Arial" w:cs="Arial" w:eastAsia="Arial" w:hAnsi="Arial"/>
                <w:sz w:val="18"/>
                <w:szCs w:val="18"/>
                <w:i w:val="1"/>
                <w:iCs w:val="1"/>
                <w:color w:val="auto"/>
              </w:rPr>
              <w:t>Exercisable</w:t>
            </w:r>
          </w:p>
        </w:tc>
        <w:tc>
          <w:tcPr>
            <w:tcW w:w="19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Weighted Average</w:t>
            </w:r>
          </w:p>
        </w:tc>
      </w:tr>
      <w:tr>
        <w:trPr>
          <w:trHeight w:val="235"/>
        </w:trPr>
        <w:tc>
          <w:tcPr>
            <w:tcW w:w="1620" w:type="dxa"/>
            <w:vAlign w:val="bottom"/>
          </w:tcPr>
          <w:p>
            <w:pPr>
              <w:spacing w:after="0"/>
              <w:rPr>
                <w:sz w:val="20"/>
                <w:szCs w:val="20"/>
                <w:color w:val="auto"/>
              </w:rPr>
            </w:pPr>
            <w:r>
              <w:rPr>
                <w:rFonts w:ascii="Arial" w:cs="Arial" w:eastAsia="Arial" w:hAnsi="Arial"/>
                <w:sz w:val="18"/>
                <w:szCs w:val="18"/>
                <w:color w:val="auto"/>
              </w:rPr>
              <w:t>Range of</w:t>
            </w:r>
          </w:p>
        </w:tc>
        <w:tc>
          <w:tcPr>
            <w:tcW w:w="2100" w:type="dxa"/>
            <w:vAlign w:val="bottom"/>
          </w:tcPr>
          <w:p>
            <w:pPr>
              <w:jc w:val="right"/>
              <w:ind w:right="130"/>
              <w:spacing w:after="0"/>
              <w:rPr>
                <w:sz w:val="20"/>
                <w:szCs w:val="20"/>
                <w:color w:val="auto"/>
              </w:rPr>
            </w:pPr>
            <w:r>
              <w:rPr>
                <w:rFonts w:ascii="Arial" w:cs="Arial" w:eastAsia="Arial" w:hAnsi="Arial"/>
                <w:sz w:val="18"/>
                <w:szCs w:val="18"/>
                <w:i w:val="1"/>
                <w:iCs w:val="1"/>
                <w:color w:val="auto"/>
              </w:rPr>
              <w:t>(Thousands)</w:t>
            </w:r>
          </w:p>
        </w:tc>
        <w:tc>
          <w:tcPr>
            <w:tcW w:w="1840" w:type="dxa"/>
            <w:vAlign w:val="bottom"/>
          </w:tcPr>
          <w:p>
            <w:pPr>
              <w:jc w:val="right"/>
              <w:ind w:right="50"/>
              <w:spacing w:after="0"/>
              <w:rPr>
                <w:sz w:val="20"/>
                <w:szCs w:val="20"/>
                <w:color w:val="auto"/>
              </w:rPr>
            </w:pPr>
            <w:r>
              <w:rPr>
                <w:rFonts w:ascii="Arial" w:cs="Arial" w:eastAsia="Arial" w:hAnsi="Arial"/>
                <w:sz w:val="18"/>
                <w:szCs w:val="18"/>
                <w:i w:val="1"/>
                <w:iCs w:val="1"/>
                <w:color w:val="auto"/>
              </w:rPr>
              <w:t>(Years)</w:t>
            </w:r>
          </w:p>
        </w:tc>
        <w:tc>
          <w:tcPr>
            <w:tcW w:w="2240" w:type="dxa"/>
            <w:vAlign w:val="bottom"/>
          </w:tcPr>
          <w:p>
            <w:pPr>
              <w:jc w:val="right"/>
              <w:ind w:right="370"/>
              <w:spacing w:after="0"/>
              <w:rPr>
                <w:sz w:val="20"/>
                <w:szCs w:val="20"/>
                <w:color w:val="auto"/>
              </w:rPr>
            </w:pPr>
            <w:r>
              <w:rPr>
                <w:rFonts w:ascii="Arial" w:cs="Arial" w:eastAsia="Arial" w:hAnsi="Arial"/>
                <w:sz w:val="18"/>
                <w:szCs w:val="18"/>
                <w:color w:val="auto"/>
              </w:rPr>
              <w:t>Exercise Price</w:t>
            </w:r>
          </w:p>
        </w:tc>
        <w:tc>
          <w:tcPr>
            <w:tcW w:w="1660" w:type="dxa"/>
            <w:vAlign w:val="bottom"/>
          </w:tcPr>
          <w:p>
            <w:pPr>
              <w:jc w:val="right"/>
              <w:ind w:right="90"/>
              <w:spacing w:after="0"/>
              <w:rPr>
                <w:sz w:val="20"/>
                <w:szCs w:val="20"/>
                <w:color w:val="auto"/>
              </w:rPr>
            </w:pPr>
            <w:r>
              <w:rPr>
                <w:rFonts w:ascii="Arial" w:cs="Arial" w:eastAsia="Arial" w:hAnsi="Arial"/>
                <w:sz w:val="18"/>
                <w:szCs w:val="18"/>
                <w:i w:val="1"/>
                <w:iCs w:val="1"/>
                <w:color w:val="auto"/>
              </w:rPr>
              <w:t>(Thousands)</w:t>
            </w:r>
          </w:p>
        </w:tc>
        <w:tc>
          <w:tcPr>
            <w:tcW w:w="1960" w:type="dxa"/>
            <w:vAlign w:val="bottom"/>
          </w:tcPr>
          <w:p>
            <w:pPr>
              <w:jc w:val="right"/>
              <w:ind w:right="90"/>
              <w:spacing w:after="0"/>
              <w:rPr>
                <w:sz w:val="20"/>
                <w:szCs w:val="20"/>
                <w:color w:val="auto"/>
              </w:rPr>
            </w:pPr>
            <w:r>
              <w:rPr>
                <w:rFonts w:ascii="Arial" w:cs="Arial" w:eastAsia="Arial" w:hAnsi="Arial"/>
                <w:sz w:val="18"/>
                <w:szCs w:val="18"/>
                <w:color w:val="auto"/>
              </w:rPr>
              <w:t>Exercise Price</w:t>
            </w:r>
          </w:p>
        </w:tc>
      </w:tr>
      <w:tr>
        <w:trPr>
          <w:trHeight w:val="391"/>
        </w:trPr>
        <w:tc>
          <w:tcPr>
            <w:tcW w:w="1620" w:type="dxa"/>
            <w:vAlign w:val="bottom"/>
          </w:tcPr>
          <w:p>
            <w:pPr>
              <w:spacing w:after="0"/>
              <w:rPr>
                <w:sz w:val="20"/>
                <w:szCs w:val="20"/>
                <w:color w:val="auto"/>
              </w:rPr>
            </w:pPr>
            <w:r>
              <w:rPr>
                <w:rFonts w:ascii="Arial" w:cs="Arial" w:eastAsia="Arial" w:hAnsi="Arial"/>
                <w:sz w:val="18"/>
                <w:szCs w:val="18"/>
                <w:color w:val="auto"/>
              </w:rPr>
              <w:t>1 - 2</w:t>
            </w:r>
          </w:p>
        </w:tc>
        <w:tc>
          <w:tcPr>
            <w:tcW w:w="2100" w:type="dxa"/>
            <w:vAlign w:val="bottom"/>
          </w:tcPr>
          <w:p>
            <w:pPr>
              <w:jc w:val="right"/>
              <w:ind w:right="130"/>
              <w:spacing w:after="0"/>
              <w:rPr>
                <w:sz w:val="20"/>
                <w:szCs w:val="20"/>
                <w:color w:val="auto"/>
              </w:rPr>
            </w:pPr>
            <w:r>
              <w:rPr>
                <w:rFonts w:ascii="Arial" w:cs="Arial" w:eastAsia="Arial" w:hAnsi="Arial"/>
                <w:sz w:val="18"/>
                <w:szCs w:val="18"/>
                <w:color w:val="auto"/>
              </w:rPr>
              <w:t>425</w:t>
            </w:r>
          </w:p>
        </w:tc>
        <w:tc>
          <w:tcPr>
            <w:tcW w:w="1840" w:type="dxa"/>
            <w:vAlign w:val="bottom"/>
          </w:tcPr>
          <w:p>
            <w:pPr>
              <w:jc w:val="right"/>
              <w:ind w:right="50"/>
              <w:spacing w:after="0"/>
              <w:rPr>
                <w:sz w:val="20"/>
                <w:szCs w:val="20"/>
                <w:color w:val="auto"/>
              </w:rPr>
            </w:pPr>
            <w:r>
              <w:rPr>
                <w:rFonts w:ascii="Arial" w:cs="Arial" w:eastAsia="Arial" w:hAnsi="Arial"/>
                <w:sz w:val="18"/>
                <w:szCs w:val="18"/>
                <w:color w:val="auto"/>
              </w:rPr>
              <w:t>2.7</w:t>
            </w:r>
          </w:p>
        </w:tc>
        <w:tc>
          <w:tcPr>
            <w:tcW w:w="2240" w:type="dxa"/>
            <w:vAlign w:val="bottom"/>
          </w:tcPr>
          <w:p>
            <w:pPr>
              <w:jc w:val="right"/>
              <w:ind w:right="370"/>
              <w:spacing w:after="0"/>
              <w:rPr>
                <w:sz w:val="20"/>
                <w:szCs w:val="20"/>
                <w:color w:val="auto"/>
              </w:rPr>
            </w:pPr>
            <w:r>
              <w:rPr>
                <w:rFonts w:ascii="Arial" w:cs="Arial" w:eastAsia="Arial" w:hAnsi="Arial"/>
                <w:sz w:val="18"/>
                <w:szCs w:val="18"/>
                <w:color w:val="auto"/>
              </w:rPr>
              <w:t>1.14</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425</w:t>
            </w:r>
          </w:p>
        </w:tc>
        <w:tc>
          <w:tcPr>
            <w:tcW w:w="1960" w:type="dxa"/>
            <w:vAlign w:val="bottom"/>
          </w:tcPr>
          <w:p>
            <w:pPr>
              <w:jc w:val="right"/>
              <w:ind w:right="90"/>
              <w:spacing w:after="0"/>
              <w:rPr>
                <w:sz w:val="20"/>
                <w:szCs w:val="20"/>
                <w:color w:val="auto"/>
              </w:rPr>
            </w:pPr>
            <w:r>
              <w:rPr>
                <w:rFonts w:ascii="Arial" w:cs="Arial" w:eastAsia="Arial" w:hAnsi="Arial"/>
                <w:sz w:val="18"/>
                <w:szCs w:val="18"/>
                <w:color w:val="auto"/>
              </w:rPr>
              <w:t>1.14</w:t>
            </w:r>
          </w:p>
        </w:tc>
      </w:tr>
      <w:tr>
        <w:trPr>
          <w:trHeight w:val="203"/>
        </w:trPr>
        <w:tc>
          <w:tcPr>
            <w:tcW w:w="16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2 - 3</w:t>
            </w:r>
          </w:p>
        </w:tc>
        <w:tc>
          <w:tcPr>
            <w:tcW w:w="210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384</w:t>
            </w:r>
          </w:p>
        </w:tc>
        <w:tc>
          <w:tcPr>
            <w:tcW w:w="18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1.0</w:t>
            </w:r>
          </w:p>
        </w:tc>
        <w:tc>
          <w:tcPr>
            <w:tcW w:w="2240" w:type="dxa"/>
            <w:vAlign w:val="bottom"/>
            <w:tcBorders>
              <w:bottom w:val="single" w:sz="8" w:color="auto"/>
            </w:tcBorders>
          </w:tcPr>
          <w:p>
            <w:pPr>
              <w:jc w:val="right"/>
              <w:ind w:right="370"/>
              <w:spacing w:after="0" w:line="203" w:lineRule="exact"/>
              <w:rPr>
                <w:sz w:val="20"/>
                <w:szCs w:val="20"/>
                <w:color w:val="auto"/>
              </w:rPr>
            </w:pPr>
            <w:r>
              <w:rPr>
                <w:rFonts w:ascii="Arial" w:cs="Arial" w:eastAsia="Arial" w:hAnsi="Arial"/>
                <w:sz w:val="18"/>
                <w:szCs w:val="18"/>
                <w:color w:val="auto"/>
              </w:rPr>
              <w:t>2.57</w:t>
            </w:r>
          </w:p>
        </w:tc>
        <w:tc>
          <w:tcPr>
            <w:tcW w:w="166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384</w:t>
            </w:r>
          </w:p>
        </w:tc>
        <w:tc>
          <w:tcPr>
            <w:tcW w:w="196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2.57</w:t>
            </w:r>
          </w:p>
        </w:tc>
      </w:tr>
      <w:tr>
        <w:trPr>
          <w:trHeight w:val="236"/>
        </w:trPr>
        <w:tc>
          <w:tcPr>
            <w:tcW w:w="1620" w:type="dxa"/>
            <w:vAlign w:val="bottom"/>
            <w:tcBorders>
              <w:bottom w:val="single" w:sz="8" w:color="auto"/>
            </w:tcBorders>
            <w:shd w:val="clear" w:color="auto" w:fill="CCEEFF"/>
          </w:tcPr>
          <w:p>
            <w:pPr>
              <w:spacing w:after="0"/>
              <w:rPr>
                <w:sz w:val="20"/>
                <w:szCs w:val="20"/>
                <w:color w:val="auto"/>
              </w:rPr>
            </w:pPr>
          </w:p>
        </w:tc>
        <w:tc>
          <w:tcPr>
            <w:tcW w:w="210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809</w:t>
            </w:r>
          </w:p>
        </w:tc>
        <w:tc>
          <w:tcPr>
            <w:tcW w:w="18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1.9</w:t>
            </w:r>
          </w:p>
        </w:tc>
        <w:tc>
          <w:tcPr>
            <w:tcW w:w="2240" w:type="dxa"/>
            <w:vAlign w:val="bottom"/>
            <w:tcBorders>
              <w:bottom w:val="single" w:sz="8" w:color="auto"/>
            </w:tcBorders>
            <w:shd w:val="clear" w:color="auto" w:fill="CCEEFF"/>
          </w:tcPr>
          <w:p>
            <w:pPr>
              <w:jc w:val="right"/>
              <w:ind w:right="370"/>
              <w:spacing w:after="0" w:line="196" w:lineRule="exact"/>
              <w:rPr>
                <w:sz w:val="20"/>
                <w:szCs w:val="20"/>
                <w:color w:val="auto"/>
              </w:rPr>
            </w:pPr>
            <w:r>
              <w:rPr>
                <w:rFonts w:ascii="Arial" w:cs="Arial" w:eastAsia="Arial" w:hAnsi="Arial"/>
                <w:sz w:val="18"/>
                <w:szCs w:val="18"/>
                <w:color w:val="auto"/>
              </w:rPr>
              <w:t>1.82</w:t>
            </w:r>
          </w:p>
        </w:tc>
        <w:tc>
          <w:tcPr>
            <w:tcW w:w="166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809</w:t>
            </w:r>
          </w:p>
        </w:tc>
        <w:tc>
          <w:tcPr>
            <w:tcW w:w="196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1.82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is no unrecognized compensation expense for unvested stock options at September 29,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aggregate intrinsic value of stock options outstanding at September 29, 2019 is $179,000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Common Stock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Common Stock activity follows: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40" w:type="dxa"/>
            <w:vAlign w:val="bottom"/>
            <w:tcBorders>
              <w:top w:val="single" w:sz="8" w:color="auto"/>
            </w:tcBorders>
            <w:gridSpan w:val="2"/>
          </w:tcPr>
          <w:p>
            <w:pPr>
              <w:spacing w:after="0"/>
              <w:rPr>
                <w:sz w:val="20"/>
                <w:szCs w:val="20"/>
                <w:color w:val="auto"/>
              </w:rPr>
            </w:pPr>
            <w:r>
              <w:rPr>
                <w:rFonts w:ascii="Arial" w:cs="Arial" w:eastAsia="Arial" w:hAnsi="Arial"/>
                <w:sz w:val="16"/>
                <w:szCs w:val="16"/>
                <w:i w:val="1"/>
                <w:iCs w:val="1"/>
                <w:color w:val="auto"/>
              </w:rPr>
              <w:t>(Thousands of Shares)</w:t>
            </w:r>
          </w:p>
        </w:tc>
        <w:tc>
          <w:tcPr>
            <w:tcW w:w="154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rPr>
              <w:t>2019</w:t>
            </w:r>
          </w:p>
        </w:tc>
        <w:tc>
          <w:tcPr>
            <w:tcW w:w="170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rPr>
              <w:t>2018</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0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beginning of year</w:t>
            </w:r>
          </w:p>
        </w:tc>
        <w:tc>
          <w:tcPr>
            <w:tcW w:w="1540" w:type="dxa"/>
            <w:vAlign w:val="bottom"/>
            <w:shd w:val="clear" w:color="auto" w:fill="CCEEFF"/>
          </w:tcPr>
          <w:p>
            <w:pPr>
              <w:jc w:val="right"/>
              <w:ind w:right="590"/>
              <w:spacing w:after="0" w:line="202" w:lineRule="exact"/>
              <w:rPr>
                <w:sz w:val="20"/>
                <w:szCs w:val="20"/>
                <w:color w:val="auto"/>
              </w:rPr>
            </w:pPr>
            <w:r>
              <w:rPr>
                <w:rFonts w:ascii="Arial" w:cs="Arial" w:eastAsia="Arial" w:hAnsi="Arial"/>
                <w:sz w:val="18"/>
                <w:szCs w:val="18"/>
                <w:color w:val="auto"/>
              </w:rPr>
              <w:t>2,059</w:t>
            </w:r>
          </w:p>
        </w:tc>
        <w:tc>
          <w:tcPr>
            <w:tcW w:w="1700" w:type="dxa"/>
            <w:vAlign w:val="bottom"/>
            <w:shd w:val="clear" w:color="auto" w:fill="CCEEFF"/>
          </w:tcPr>
          <w:p>
            <w:pPr>
              <w:jc w:val="right"/>
              <w:ind w:right="570"/>
              <w:spacing w:after="0" w:line="202" w:lineRule="exact"/>
              <w:rPr>
                <w:sz w:val="20"/>
                <w:szCs w:val="20"/>
                <w:color w:val="auto"/>
              </w:rPr>
            </w:pPr>
            <w:r>
              <w:rPr>
                <w:rFonts w:ascii="Arial" w:cs="Arial" w:eastAsia="Arial" w:hAnsi="Arial"/>
                <w:sz w:val="18"/>
                <w:szCs w:val="18"/>
                <w:color w:val="auto"/>
              </w:rPr>
              <w:t>2,478</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2,462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540" w:type="dxa"/>
            <w:vAlign w:val="bottom"/>
          </w:tcPr>
          <w:p>
            <w:pPr>
              <w:jc w:val="right"/>
              <w:ind w:right="590"/>
              <w:spacing w:after="0" w:line="202" w:lineRule="exact"/>
              <w:rPr>
                <w:sz w:val="20"/>
                <w:szCs w:val="20"/>
                <w:color w:val="auto"/>
              </w:rPr>
            </w:pPr>
            <w:r>
              <w:rPr>
                <w:rFonts w:ascii="Arial" w:cs="Arial" w:eastAsia="Arial" w:hAnsi="Arial"/>
                <w:sz w:val="18"/>
                <w:szCs w:val="18"/>
                <w:color w:val="auto"/>
              </w:rPr>
              <w:t>788</w:t>
            </w:r>
          </w:p>
        </w:tc>
        <w:tc>
          <w:tcPr>
            <w:tcW w:w="170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587</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Vested</w:t>
            </w:r>
          </w:p>
        </w:tc>
        <w:tc>
          <w:tcPr>
            <w:tcW w:w="1540" w:type="dxa"/>
            <w:vAlign w:val="bottom"/>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rPr>
              <w:t>(1,337)</w:t>
            </w:r>
          </w:p>
        </w:tc>
        <w:tc>
          <w:tcPr>
            <w:tcW w:w="1700" w:type="dxa"/>
            <w:vAlign w:val="bottom"/>
            <w:shd w:val="clear" w:color="auto" w:fill="CCEEFF"/>
          </w:tcPr>
          <w:p>
            <w:pPr>
              <w:jc w:val="right"/>
              <w:ind w:right="510"/>
              <w:spacing w:after="0" w:line="202" w:lineRule="exact"/>
              <w:rPr>
                <w:sz w:val="20"/>
                <w:szCs w:val="20"/>
                <w:color w:val="auto"/>
              </w:rPr>
            </w:pPr>
            <w:r>
              <w:rPr>
                <w:rFonts w:ascii="Arial" w:cs="Arial" w:eastAsia="Arial" w:hAnsi="Arial"/>
                <w:sz w:val="18"/>
                <w:szCs w:val="18"/>
                <w:color w:val="auto"/>
              </w:rPr>
              <w:t>(936)</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Forfeited</w:t>
            </w:r>
          </w:p>
        </w:tc>
        <w:tc>
          <w:tcPr>
            <w:tcW w:w="1540" w:type="dxa"/>
            <w:vAlign w:val="bottom"/>
            <w:tcBorders>
              <w:bottom w:val="single" w:sz="8" w:color="auto"/>
            </w:tcBorders>
          </w:tcPr>
          <w:p>
            <w:pPr>
              <w:jc w:val="right"/>
              <w:ind w:right="530"/>
              <w:spacing w:after="0" w:line="202" w:lineRule="exact"/>
              <w:rPr>
                <w:sz w:val="20"/>
                <w:szCs w:val="20"/>
                <w:color w:val="auto"/>
              </w:rPr>
            </w:pPr>
            <w:r>
              <w:rPr>
                <w:rFonts w:ascii="Arial" w:cs="Arial" w:eastAsia="Arial" w:hAnsi="Arial"/>
                <w:sz w:val="18"/>
                <w:szCs w:val="18"/>
                <w:color w:val="auto"/>
              </w:rPr>
              <w:t>(33)</w:t>
            </w:r>
          </w:p>
        </w:tc>
        <w:tc>
          <w:tcPr>
            <w:tcW w:w="1700" w:type="dxa"/>
            <w:vAlign w:val="bottom"/>
            <w:tcBorders>
              <w:bottom w:val="single" w:sz="8" w:color="auto"/>
            </w:tcBorders>
          </w:tcPr>
          <w:p>
            <w:pPr>
              <w:jc w:val="right"/>
              <w:ind w:right="510"/>
              <w:spacing w:after="0" w:line="202" w:lineRule="exact"/>
              <w:rPr>
                <w:sz w:val="20"/>
                <w:szCs w:val="20"/>
                <w:color w:val="auto"/>
              </w:rPr>
            </w:pPr>
            <w:r>
              <w:rPr>
                <w:rFonts w:ascii="Arial" w:cs="Arial" w:eastAsia="Arial" w:hAnsi="Arial"/>
                <w:sz w:val="18"/>
                <w:szCs w:val="18"/>
                <w:color w:val="auto"/>
              </w:rPr>
              <w:t>(70)</w:t>
            </w: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0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end of year</w:t>
            </w:r>
          </w:p>
        </w:tc>
        <w:tc>
          <w:tcPr>
            <w:tcW w:w="1540" w:type="dxa"/>
            <w:vAlign w:val="bottom"/>
            <w:tcBorders>
              <w:bottom w:val="single" w:sz="8" w:color="auto"/>
            </w:tcBorders>
            <w:shd w:val="clear" w:color="auto" w:fill="CCEEFF"/>
          </w:tcPr>
          <w:p>
            <w:pPr>
              <w:jc w:val="right"/>
              <w:ind w:right="590"/>
              <w:spacing w:after="0" w:line="196" w:lineRule="exact"/>
              <w:rPr>
                <w:sz w:val="20"/>
                <w:szCs w:val="20"/>
                <w:color w:val="auto"/>
              </w:rPr>
            </w:pPr>
            <w:r>
              <w:rPr>
                <w:rFonts w:ascii="Arial" w:cs="Arial" w:eastAsia="Arial" w:hAnsi="Arial"/>
                <w:sz w:val="18"/>
                <w:szCs w:val="18"/>
                <w:color w:val="auto"/>
              </w:rPr>
              <w:t>1,477</w:t>
            </w:r>
          </w:p>
        </w:tc>
        <w:tc>
          <w:tcPr>
            <w:tcW w:w="1700" w:type="dxa"/>
            <w:vAlign w:val="bottom"/>
            <w:tcBorders>
              <w:bottom w:val="single" w:sz="8" w:color="auto"/>
            </w:tcBorders>
            <w:shd w:val="clear" w:color="auto" w:fill="CCEEFF"/>
          </w:tcPr>
          <w:p>
            <w:pPr>
              <w:jc w:val="right"/>
              <w:ind w:right="570"/>
              <w:spacing w:after="0" w:line="196" w:lineRule="exact"/>
              <w:rPr>
                <w:sz w:val="20"/>
                <w:szCs w:val="20"/>
                <w:color w:val="auto"/>
              </w:rPr>
            </w:pPr>
            <w:r>
              <w:rPr>
                <w:rFonts w:ascii="Arial" w:cs="Arial" w:eastAsia="Arial" w:hAnsi="Arial"/>
                <w:sz w:val="18"/>
                <w:szCs w:val="18"/>
                <w:color w:val="auto"/>
              </w:rPr>
              <w:t>2,059</w:t>
            </w:r>
          </w:p>
        </w:tc>
        <w:tc>
          <w:tcPr>
            <w:tcW w:w="11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2,478</w:t>
            </w:r>
          </w:p>
        </w:tc>
        <w:tc>
          <w:tcPr>
            <w:tcW w:w="0" w:type="dxa"/>
            <w:vAlign w:val="bottom"/>
          </w:tcPr>
          <w:p>
            <w:pPr>
              <w:spacing w:after="0"/>
              <w:rPr>
                <w:sz w:val="1"/>
                <w:szCs w:val="1"/>
                <w:color w:val="auto"/>
              </w:rPr>
            </w:pPr>
          </w:p>
        </w:tc>
      </w:tr>
      <w:tr>
        <w:trPr>
          <w:trHeight w:val="399"/>
        </w:trPr>
        <w:tc>
          <w:tcPr>
            <w:tcW w:w="7040" w:type="dxa"/>
            <w:vAlign w:val="bottom"/>
            <w:gridSpan w:val="2"/>
          </w:tcPr>
          <w:p>
            <w:pPr>
              <w:spacing w:after="0"/>
              <w:rPr>
                <w:sz w:val="20"/>
                <w:szCs w:val="20"/>
                <w:color w:val="auto"/>
              </w:rPr>
            </w:pPr>
            <w:r>
              <w:rPr>
                <w:rFonts w:ascii="Arial" w:cs="Arial" w:eastAsia="Arial" w:hAnsi="Arial"/>
                <w:sz w:val="18"/>
                <w:szCs w:val="18"/>
                <w:color w:val="auto"/>
              </w:rPr>
              <w:t>Weighted average grant date fair values of restricted Common Stock are as follows:</w:t>
            </w:r>
          </w:p>
        </w:tc>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040" w:type="dxa"/>
            <w:vAlign w:val="bottom"/>
            <w:tcBorders>
              <w:bottom w:val="single" w:sz="8" w:color="auto"/>
            </w:tcBorders>
            <w:gridSpan w:val="2"/>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40" w:type="dxa"/>
            <w:vAlign w:val="bottom"/>
            <w:gridSpan w:val="2"/>
          </w:tcPr>
          <w:p>
            <w:pPr>
              <w:spacing w:after="0"/>
              <w:rPr>
                <w:sz w:val="20"/>
                <w:szCs w:val="20"/>
                <w:color w:val="auto"/>
              </w:rPr>
            </w:pPr>
            <w:r>
              <w:rPr>
                <w:rFonts w:ascii="Arial" w:cs="Arial" w:eastAsia="Arial" w:hAnsi="Arial"/>
                <w:sz w:val="16"/>
                <w:szCs w:val="16"/>
                <w:i w:val="1"/>
                <w:iCs w:val="1"/>
                <w:color w:val="auto"/>
              </w:rPr>
              <w:t>(Dollars)</w:t>
            </w:r>
          </w:p>
        </w:tc>
        <w:tc>
          <w:tcPr>
            <w:tcW w:w="1540" w:type="dxa"/>
            <w:vAlign w:val="bottom"/>
          </w:tcPr>
          <w:p>
            <w:pPr>
              <w:jc w:val="right"/>
              <w:ind w:right="590"/>
              <w:spacing w:after="0" w:line="196" w:lineRule="exact"/>
              <w:rPr>
                <w:sz w:val="20"/>
                <w:szCs w:val="20"/>
                <w:color w:val="auto"/>
              </w:rPr>
            </w:pPr>
            <w:r>
              <w:rPr>
                <w:rFonts w:ascii="Arial" w:cs="Arial" w:eastAsia="Arial" w:hAnsi="Arial"/>
                <w:sz w:val="18"/>
                <w:szCs w:val="18"/>
                <w:color w:val="auto"/>
              </w:rPr>
              <w:t>2019</w:t>
            </w:r>
          </w:p>
        </w:tc>
        <w:tc>
          <w:tcPr>
            <w:tcW w:w="1700" w:type="dxa"/>
            <w:vAlign w:val="bottom"/>
          </w:tcPr>
          <w:p>
            <w:pPr>
              <w:jc w:val="right"/>
              <w:ind w:right="570"/>
              <w:spacing w:after="0" w:line="196" w:lineRule="exact"/>
              <w:rPr>
                <w:sz w:val="20"/>
                <w:szCs w:val="20"/>
                <w:color w:val="auto"/>
              </w:rPr>
            </w:pPr>
            <w:r>
              <w:rPr>
                <w:rFonts w:ascii="Arial" w:cs="Arial" w:eastAsia="Arial" w:hAnsi="Arial"/>
                <w:sz w:val="18"/>
                <w:szCs w:val="18"/>
                <w:color w:val="auto"/>
              </w:rPr>
              <w:t>2018</w:t>
            </w:r>
          </w:p>
        </w:tc>
        <w:tc>
          <w:tcPr>
            <w:tcW w:w="11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0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beginning of year</w:t>
            </w:r>
          </w:p>
        </w:tc>
        <w:tc>
          <w:tcPr>
            <w:tcW w:w="1540" w:type="dxa"/>
            <w:vAlign w:val="bottom"/>
            <w:shd w:val="clear" w:color="auto" w:fill="CCEEFF"/>
          </w:tcPr>
          <w:p>
            <w:pPr>
              <w:jc w:val="right"/>
              <w:ind w:right="590"/>
              <w:spacing w:after="0" w:line="202" w:lineRule="exact"/>
              <w:rPr>
                <w:sz w:val="20"/>
                <w:szCs w:val="20"/>
                <w:color w:val="auto"/>
              </w:rPr>
            </w:pPr>
            <w:r>
              <w:rPr>
                <w:rFonts w:ascii="Arial" w:cs="Arial" w:eastAsia="Arial" w:hAnsi="Arial"/>
                <w:sz w:val="18"/>
                <w:szCs w:val="18"/>
                <w:color w:val="auto"/>
              </w:rPr>
              <w:t>2.31</w:t>
            </w:r>
          </w:p>
        </w:tc>
        <w:tc>
          <w:tcPr>
            <w:tcW w:w="1700" w:type="dxa"/>
            <w:vAlign w:val="bottom"/>
            <w:shd w:val="clear" w:color="auto" w:fill="CCEEFF"/>
          </w:tcPr>
          <w:p>
            <w:pPr>
              <w:jc w:val="right"/>
              <w:ind w:right="570"/>
              <w:spacing w:after="0" w:line="202" w:lineRule="exact"/>
              <w:rPr>
                <w:sz w:val="20"/>
                <w:szCs w:val="20"/>
                <w:color w:val="auto"/>
              </w:rPr>
            </w:pPr>
            <w:r>
              <w:rPr>
                <w:rFonts w:ascii="Arial" w:cs="Arial" w:eastAsia="Arial" w:hAnsi="Arial"/>
                <w:sz w:val="18"/>
                <w:szCs w:val="18"/>
                <w:color w:val="auto"/>
              </w:rPr>
              <w:t>2.69</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540" w:type="dxa"/>
            <w:vAlign w:val="bottom"/>
          </w:tcPr>
          <w:p>
            <w:pPr>
              <w:jc w:val="right"/>
              <w:ind w:right="590"/>
              <w:spacing w:after="0" w:line="202" w:lineRule="exact"/>
              <w:rPr>
                <w:sz w:val="20"/>
                <w:szCs w:val="20"/>
                <w:color w:val="auto"/>
              </w:rPr>
            </w:pPr>
            <w:r>
              <w:rPr>
                <w:rFonts w:ascii="Arial" w:cs="Arial" w:eastAsia="Arial" w:hAnsi="Arial"/>
                <w:sz w:val="18"/>
                <w:szCs w:val="18"/>
                <w:color w:val="auto"/>
              </w:rPr>
              <w:t>2.18</w:t>
            </w:r>
          </w:p>
        </w:tc>
        <w:tc>
          <w:tcPr>
            <w:tcW w:w="170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2.33</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Vested</w:t>
            </w:r>
          </w:p>
        </w:tc>
        <w:tc>
          <w:tcPr>
            <w:tcW w:w="1540" w:type="dxa"/>
            <w:vAlign w:val="bottom"/>
            <w:shd w:val="clear" w:color="auto" w:fill="CCEEFF"/>
          </w:tcPr>
          <w:p>
            <w:pPr>
              <w:jc w:val="right"/>
              <w:ind w:right="590"/>
              <w:spacing w:after="0" w:line="202" w:lineRule="exact"/>
              <w:rPr>
                <w:sz w:val="20"/>
                <w:szCs w:val="20"/>
                <w:color w:val="auto"/>
              </w:rPr>
            </w:pPr>
            <w:r>
              <w:rPr>
                <w:rFonts w:ascii="Arial" w:cs="Arial" w:eastAsia="Arial" w:hAnsi="Arial"/>
                <w:sz w:val="18"/>
                <w:szCs w:val="18"/>
                <w:color w:val="auto"/>
              </w:rPr>
              <w:t>2.03</w:t>
            </w:r>
          </w:p>
        </w:tc>
        <w:tc>
          <w:tcPr>
            <w:tcW w:w="1700" w:type="dxa"/>
            <w:vAlign w:val="bottom"/>
            <w:shd w:val="clear" w:color="auto" w:fill="CCEEFF"/>
          </w:tcPr>
          <w:p>
            <w:pPr>
              <w:jc w:val="right"/>
              <w:ind w:right="570"/>
              <w:spacing w:after="0" w:line="202" w:lineRule="exact"/>
              <w:rPr>
                <w:sz w:val="20"/>
                <w:szCs w:val="20"/>
                <w:color w:val="auto"/>
              </w:rPr>
            </w:pPr>
            <w:r>
              <w:rPr>
                <w:rFonts w:ascii="Arial" w:cs="Arial" w:eastAsia="Arial" w:hAnsi="Arial"/>
                <w:sz w:val="18"/>
                <w:szCs w:val="18"/>
                <w:color w:val="auto"/>
              </w:rPr>
              <w:t>3.31</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Forfeited</w:t>
            </w:r>
          </w:p>
        </w:tc>
        <w:tc>
          <w:tcPr>
            <w:tcW w:w="1540" w:type="dxa"/>
            <w:vAlign w:val="bottom"/>
            <w:tcBorders>
              <w:bottom w:val="single" w:sz="8" w:color="auto"/>
            </w:tcBorders>
          </w:tcPr>
          <w:p>
            <w:pPr>
              <w:jc w:val="right"/>
              <w:ind w:right="590"/>
              <w:spacing w:after="0" w:line="202" w:lineRule="exact"/>
              <w:rPr>
                <w:sz w:val="20"/>
                <w:szCs w:val="20"/>
                <w:color w:val="auto"/>
              </w:rPr>
            </w:pPr>
            <w:r>
              <w:rPr>
                <w:rFonts w:ascii="Arial" w:cs="Arial" w:eastAsia="Arial" w:hAnsi="Arial"/>
                <w:sz w:val="18"/>
                <w:szCs w:val="18"/>
                <w:color w:val="auto"/>
              </w:rPr>
              <w:t>2.13</w:t>
            </w:r>
          </w:p>
        </w:tc>
        <w:tc>
          <w:tcPr>
            <w:tcW w:w="1700" w:type="dxa"/>
            <w:vAlign w:val="bottom"/>
            <w:tcBorders>
              <w:bottom w:val="single" w:sz="8" w:color="auto"/>
            </w:tcBorders>
          </w:tcPr>
          <w:p>
            <w:pPr>
              <w:jc w:val="right"/>
              <w:ind w:right="570"/>
              <w:spacing w:after="0" w:line="202" w:lineRule="exact"/>
              <w:rPr>
                <w:sz w:val="20"/>
                <w:szCs w:val="20"/>
                <w:color w:val="auto"/>
              </w:rPr>
            </w:pPr>
            <w:r>
              <w:rPr>
                <w:rFonts w:ascii="Arial" w:cs="Arial" w:eastAsia="Arial" w:hAnsi="Arial"/>
                <w:sz w:val="18"/>
                <w:szCs w:val="18"/>
                <w:color w:val="auto"/>
              </w:rPr>
              <w:t>2.85</w:t>
            </w:r>
          </w:p>
        </w:tc>
        <w:tc>
          <w:tcPr>
            <w:tcW w:w="11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0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end of year</w:t>
            </w:r>
          </w:p>
        </w:tc>
        <w:tc>
          <w:tcPr>
            <w:tcW w:w="1540" w:type="dxa"/>
            <w:vAlign w:val="bottom"/>
            <w:tcBorders>
              <w:bottom w:val="single" w:sz="8" w:color="auto"/>
            </w:tcBorders>
            <w:shd w:val="clear" w:color="auto" w:fill="CCEEFF"/>
          </w:tcPr>
          <w:p>
            <w:pPr>
              <w:jc w:val="right"/>
              <w:ind w:right="590"/>
              <w:spacing w:after="0" w:line="196" w:lineRule="exact"/>
              <w:rPr>
                <w:sz w:val="20"/>
                <w:szCs w:val="20"/>
                <w:color w:val="auto"/>
              </w:rPr>
            </w:pPr>
            <w:r>
              <w:rPr>
                <w:rFonts w:ascii="Arial" w:cs="Arial" w:eastAsia="Arial" w:hAnsi="Arial"/>
                <w:sz w:val="18"/>
                <w:szCs w:val="18"/>
                <w:color w:val="auto"/>
              </w:rPr>
              <w:t>2.49</w:t>
            </w:r>
          </w:p>
        </w:tc>
        <w:tc>
          <w:tcPr>
            <w:tcW w:w="1700" w:type="dxa"/>
            <w:vAlign w:val="bottom"/>
            <w:tcBorders>
              <w:bottom w:val="single" w:sz="8" w:color="auto"/>
            </w:tcBorders>
            <w:shd w:val="clear" w:color="auto" w:fill="CCEEFF"/>
          </w:tcPr>
          <w:p>
            <w:pPr>
              <w:jc w:val="right"/>
              <w:ind w:right="570"/>
              <w:spacing w:after="0" w:line="196" w:lineRule="exact"/>
              <w:rPr>
                <w:sz w:val="20"/>
                <w:szCs w:val="20"/>
                <w:color w:val="auto"/>
              </w:rPr>
            </w:pPr>
            <w:r>
              <w:rPr>
                <w:rFonts w:ascii="Arial" w:cs="Arial" w:eastAsia="Arial" w:hAnsi="Arial"/>
                <w:sz w:val="18"/>
                <w:szCs w:val="18"/>
                <w:color w:val="auto"/>
              </w:rPr>
              <w:t>2.31</w:t>
            </w:r>
          </w:p>
        </w:tc>
        <w:tc>
          <w:tcPr>
            <w:tcW w:w="11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Total unrecognized compensation expense for unvested restricted Common Stock at September 29, 2019 is $1,350,000, which will be recognized over a weighted average period of 1.2 years.</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December 2019, we expect to issue shares of 724,300 restricted Common Stock to employees. All restrictions with respect to these shares lapse in December 2022.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Purchase Plans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270,000 shares of Common Stock available for issuance pursuant to our Employee Stock Purchase Plan. We also have 8,700 shares of Common Stock available for issuance under our Supplemental Employee Stock Purchase Plan. There has been no activity under these plans in 2019, 2018 or 2017.</w:t>
      </w:r>
    </w:p>
    <w:p>
      <w:pPr>
        <w:spacing w:after="0" w:line="200" w:lineRule="exact"/>
        <w:rPr>
          <w:sz w:val="20"/>
          <w:szCs w:val="20"/>
          <w:color w:val="auto"/>
        </w:rPr>
      </w:pPr>
    </w:p>
    <w:p>
      <w:pPr>
        <w:spacing w:after="0" w:line="2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INCOME TAXES</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December 22, 2017, the 2017 Tax Act was signed into law. Among other provisions, the 2017 Tax Act reduces the federal statutory corporate income tax rate from 35% to 21%. The reduction of the corporate tax rate caused us to re-measure our deferred tax assets and liabilities to the lower federal base rate of 21%. We reported a discrete adjustment from revaluing our deferred tax assets and liabilities which resulted in a provisional net decrease in income tax expense of $24,872,000 for the 13 weeks ended December 24, 2017.</w:t>
      </w:r>
    </w:p>
    <w:p>
      <w:pPr>
        <w:spacing w:after="0" w:line="18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Securities Exchange Commission issued rules that allow for a measurement period of up to one year after the enactment date of the 2017 Tax Act to finalize the recording of the related transitional impact. Apart from any future changes in interpretations, legislative action or changes in accounting standards, we have finalized and recorded the resulting adjustments as of September 29, 2019. The impact of the re-measurement did not change materially for the 52 weeks ended September 29, 2019.</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Income tax expense (benefit) consists of the following:</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39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17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2018</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r>
      <w:tr>
        <w:trPr>
          <w:trHeight w:val="399"/>
        </w:trPr>
        <w:tc>
          <w:tcPr>
            <w:tcW w:w="4520" w:type="dxa"/>
            <w:vAlign w:val="bottom"/>
          </w:tcPr>
          <w:p>
            <w:pPr>
              <w:spacing w:after="0"/>
              <w:rPr>
                <w:sz w:val="20"/>
                <w:szCs w:val="20"/>
                <w:color w:val="auto"/>
              </w:rPr>
            </w:pPr>
            <w:r>
              <w:rPr>
                <w:rFonts w:ascii="Arial" w:cs="Arial" w:eastAsia="Arial" w:hAnsi="Arial"/>
                <w:sz w:val="18"/>
                <w:szCs w:val="18"/>
                <w:color w:val="auto"/>
              </w:rPr>
              <w:t>Current:</w:t>
            </w:r>
          </w:p>
        </w:tc>
        <w:tc>
          <w:tcPr>
            <w:tcW w:w="3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45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Federal</w:t>
            </w:r>
          </w:p>
        </w:tc>
        <w:tc>
          <w:tcPr>
            <w:tcW w:w="3980" w:type="dxa"/>
            <w:vAlign w:val="bottom"/>
            <w:shd w:val="clear" w:color="auto" w:fill="CCEEFF"/>
          </w:tcPr>
          <w:p>
            <w:pPr>
              <w:jc w:val="right"/>
              <w:ind w:right="510"/>
              <w:spacing w:after="0" w:line="202" w:lineRule="exact"/>
              <w:rPr>
                <w:sz w:val="20"/>
                <w:szCs w:val="20"/>
                <w:color w:val="auto"/>
              </w:rPr>
            </w:pPr>
            <w:r>
              <w:rPr>
                <w:rFonts w:ascii="Arial" w:cs="Arial" w:eastAsia="Arial" w:hAnsi="Arial"/>
                <w:sz w:val="18"/>
                <w:szCs w:val="18"/>
                <w:color w:val="auto"/>
              </w:rPr>
              <w:t>8,763</w:t>
            </w:r>
          </w:p>
        </w:tc>
        <w:tc>
          <w:tcPr>
            <w:tcW w:w="1720" w:type="dxa"/>
            <w:vAlign w:val="bottom"/>
            <w:shd w:val="clear" w:color="auto" w:fill="CCEEFF"/>
          </w:tcPr>
          <w:p>
            <w:pPr>
              <w:jc w:val="right"/>
              <w:ind w:right="510"/>
              <w:spacing w:after="0" w:line="202" w:lineRule="exact"/>
              <w:rPr>
                <w:sz w:val="20"/>
                <w:szCs w:val="20"/>
                <w:color w:val="auto"/>
              </w:rPr>
            </w:pPr>
            <w:r>
              <w:rPr>
                <w:rFonts w:ascii="Arial" w:cs="Arial" w:eastAsia="Arial" w:hAnsi="Arial"/>
                <w:sz w:val="18"/>
                <w:szCs w:val="18"/>
                <w:color w:val="auto"/>
              </w:rPr>
              <w:t>275</w:t>
            </w:r>
          </w:p>
        </w:tc>
        <w:tc>
          <w:tcPr>
            <w:tcW w:w="1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394</w:t>
            </w:r>
          </w:p>
        </w:tc>
      </w:tr>
      <w:tr>
        <w:trPr>
          <w:trHeight w:val="203"/>
        </w:trPr>
        <w:tc>
          <w:tcPr>
            <w:tcW w:w="4520" w:type="dxa"/>
            <w:vAlign w:val="bottom"/>
          </w:tcPr>
          <w:p>
            <w:pPr>
              <w:ind w:left="180"/>
              <w:spacing w:after="0" w:line="202" w:lineRule="exact"/>
              <w:rPr>
                <w:sz w:val="20"/>
                <w:szCs w:val="20"/>
                <w:color w:val="auto"/>
              </w:rPr>
            </w:pPr>
            <w:r>
              <w:rPr>
                <w:rFonts w:ascii="Arial" w:cs="Arial" w:eastAsia="Arial" w:hAnsi="Arial"/>
                <w:sz w:val="18"/>
                <w:szCs w:val="18"/>
                <w:color w:val="auto"/>
              </w:rPr>
              <w:t>State</w:t>
            </w:r>
          </w:p>
        </w:tc>
        <w:tc>
          <w:tcPr>
            <w:tcW w:w="398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1,171</w:t>
            </w:r>
          </w:p>
        </w:tc>
        <w:tc>
          <w:tcPr>
            <w:tcW w:w="172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875</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819</w:t>
            </w:r>
          </w:p>
        </w:tc>
      </w:tr>
      <w:tr>
        <w:trPr>
          <w:trHeight w:val="203"/>
        </w:trPr>
        <w:tc>
          <w:tcPr>
            <w:tcW w:w="45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Deferred</w:t>
            </w:r>
          </w:p>
        </w:tc>
        <w:tc>
          <w:tcPr>
            <w:tcW w:w="3980" w:type="dxa"/>
            <w:vAlign w:val="bottom"/>
            <w:tcBorders>
              <w:bottom w:val="single" w:sz="8" w:color="auto"/>
            </w:tcBorders>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(2,003)</w:t>
            </w:r>
          </w:p>
        </w:tc>
        <w:tc>
          <w:tcPr>
            <w:tcW w:w="1720" w:type="dxa"/>
            <w:vAlign w:val="bottom"/>
            <w:tcBorders>
              <w:bottom w:val="single" w:sz="8" w:color="auto"/>
            </w:tcBorders>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(17,378)</w:t>
            </w:r>
          </w:p>
        </w:tc>
        <w:tc>
          <w:tcPr>
            <w:tcW w:w="12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10,398</w:t>
            </w:r>
          </w:p>
        </w:tc>
      </w:tr>
      <w:tr>
        <w:trPr>
          <w:trHeight w:val="196"/>
        </w:trPr>
        <w:tc>
          <w:tcPr>
            <w:tcW w:w="4520" w:type="dxa"/>
            <w:vAlign w:val="bottom"/>
            <w:tcBorders>
              <w:bottom w:val="single" w:sz="8" w:color="auto"/>
            </w:tcBorders>
          </w:tcPr>
          <w:p>
            <w:pPr>
              <w:spacing w:after="0"/>
              <w:rPr>
                <w:sz w:val="17"/>
                <w:szCs w:val="17"/>
                <w:color w:val="auto"/>
              </w:rPr>
            </w:pPr>
          </w:p>
        </w:tc>
        <w:tc>
          <w:tcPr>
            <w:tcW w:w="398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7,931</w:t>
            </w:r>
          </w:p>
        </w:tc>
        <w:tc>
          <w:tcPr>
            <w:tcW w:w="172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(16,228)</w:t>
            </w:r>
          </w:p>
        </w:tc>
        <w:tc>
          <w:tcPr>
            <w:tcW w:w="1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11,611</w:t>
            </w:r>
          </w:p>
        </w:tc>
      </w:tr>
      <w:tr>
        <w:trPr>
          <w:trHeight w:val="20"/>
        </w:trPr>
        <w:tc>
          <w:tcPr>
            <w:tcW w:w="4520" w:type="dxa"/>
            <w:vAlign w:val="bottom"/>
            <w:tcBorders>
              <w:bottom w:val="single" w:sz="8" w:color="auto"/>
            </w:tcBorders>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Income tax expense (benefit) related to continuing operations differs from the amounts computed by applying the U.S. federal income tax rate to income (loss) before income taxes. The reasons for these differences are as follows: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60" w:type="dxa"/>
            <w:vAlign w:val="bottom"/>
            <w:tcBorders>
              <w:top w:val="single" w:sz="8" w:color="auto"/>
            </w:tcBorders>
            <w:gridSpan w:val="2"/>
          </w:tcPr>
          <w:p>
            <w:pPr>
              <w:spacing w:after="0"/>
              <w:rPr>
                <w:sz w:val="20"/>
                <w:szCs w:val="20"/>
                <w:color w:val="auto"/>
              </w:rPr>
            </w:pPr>
            <w:r>
              <w:rPr>
                <w:rFonts w:ascii="Arial" w:cs="Arial" w:eastAsia="Arial" w:hAnsi="Arial"/>
                <w:sz w:val="16"/>
                <w:szCs w:val="16"/>
                <w:i w:val="1"/>
                <w:iCs w:val="1"/>
                <w:color w:val="auto"/>
              </w:rPr>
              <w:t>(Percent of Income (Loss) Before Income Taxes)</w:t>
            </w:r>
          </w:p>
        </w:tc>
        <w:tc>
          <w:tcPr>
            <w:tcW w:w="16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2019</w:t>
            </w:r>
          </w:p>
        </w:tc>
        <w:tc>
          <w:tcPr>
            <w:tcW w:w="17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2018</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5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Computed “expected” income tax expense (benefit)</w:t>
            </w:r>
          </w:p>
        </w:tc>
        <w:tc>
          <w:tcPr>
            <w:tcW w:w="168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21.0</w:t>
            </w:r>
          </w:p>
        </w:tc>
        <w:tc>
          <w:tcPr>
            <w:tcW w:w="170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24.7</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Pr>
          <w:p>
            <w:pPr>
              <w:spacing w:after="0" w:line="202" w:lineRule="exact"/>
              <w:rPr>
                <w:sz w:val="20"/>
                <w:szCs w:val="20"/>
                <w:color w:val="auto"/>
              </w:rPr>
            </w:pPr>
            <w:r>
              <w:rPr>
                <w:rFonts w:ascii="Arial" w:cs="Arial" w:eastAsia="Arial" w:hAnsi="Arial"/>
                <w:sz w:val="18"/>
                <w:szCs w:val="18"/>
                <w:color w:val="auto"/>
              </w:rPr>
              <w:t>State income tax expense (benefit), net of federal tax impact</w:t>
            </w:r>
          </w:p>
        </w:tc>
        <w:tc>
          <w:tcPr>
            <w:tcW w:w="16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1.3</w:t>
            </w:r>
          </w:p>
        </w:tc>
        <w:tc>
          <w:tcPr>
            <w:tcW w:w="17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2.6</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of associated companies taxed at dividend rates</w:t>
            </w:r>
          </w:p>
        </w:tc>
        <w:tc>
          <w:tcPr>
            <w:tcW w:w="16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(3.9)</w:t>
            </w:r>
          </w:p>
        </w:tc>
        <w:tc>
          <w:tcPr>
            <w:tcW w:w="170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(5.1)</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Pr>
          <w:p>
            <w:pPr>
              <w:spacing w:after="0" w:line="202" w:lineRule="exact"/>
              <w:rPr>
                <w:sz w:val="20"/>
                <w:szCs w:val="20"/>
                <w:color w:val="auto"/>
              </w:rPr>
            </w:pPr>
            <w:r>
              <w:rPr>
                <w:rFonts w:ascii="Arial" w:cs="Arial" w:eastAsia="Arial" w:hAnsi="Arial"/>
                <w:sz w:val="18"/>
                <w:szCs w:val="18"/>
                <w:color w:val="auto"/>
              </w:rPr>
              <w:t>Resolution of tax matters</w:t>
            </w:r>
          </w:p>
        </w:tc>
        <w:tc>
          <w:tcPr>
            <w:tcW w:w="16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1.7</w:t>
            </w:r>
          </w:p>
        </w:tc>
        <w:tc>
          <w:tcPr>
            <w:tcW w:w="17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(8.4)</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Non-deductible expenses</w:t>
            </w:r>
          </w:p>
        </w:tc>
        <w:tc>
          <w:tcPr>
            <w:tcW w:w="168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3.4</w:t>
            </w:r>
          </w:p>
        </w:tc>
        <w:tc>
          <w:tcPr>
            <w:tcW w:w="170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2.9</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Pr>
          <w:p>
            <w:pPr>
              <w:spacing w:after="0" w:line="202" w:lineRule="exact"/>
              <w:rPr>
                <w:sz w:val="20"/>
                <w:szCs w:val="20"/>
                <w:color w:val="auto"/>
              </w:rPr>
            </w:pPr>
            <w:r>
              <w:rPr>
                <w:rFonts w:ascii="Arial" w:cs="Arial" w:eastAsia="Arial" w:hAnsi="Arial"/>
                <w:sz w:val="18"/>
                <w:szCs w:val="18"/>
                <w:color w:val="auto"/>
              </w:rPr>
              <w:t>Valuation allowance</w:t>
            </w:r>
          </w:p>
        </w:tc>
        <w:tc>
          <w:tcPr>
            <w:tcW w:w="16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10.8</w:t>
            </w:r>
          </w:p>
        </w:tc>
        <w:tc>
          <w:tcPr>
            <w:tcW w:w="17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9.9</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 valuation</w:t>
            </w:r>
          </w:p>
        </w:tc>
        <w:tc>
          <w:tcPr>
            <w:tcW w:w="16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(0.6)</w:t>
            </w:r>
          </w:p>
        </w:tc>
        <w:tc>
          <w:tcPr>
            <w:tcW w:w="170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0.2</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Pr>
          <w:p>
            <w:pPr>
              <w:spacing w:after="0" w:line="202" w:lineRule="exact"/>
              <w:rPr>
                <w:sz w:val="20"/>
                <w:szCs w:val="20"/>
                <w:color w:val="auto"/>
              </w:rPr>
            </w:pPr>
            <w:r>
              <w:rPr>
                <w:rFonts w:ascii="Arial" w:cs="Arial" w:eastAsia="Arial" w:hAnsi="Arial"/>
                <w:sz w:val="18"/>
                <w:szCs w:val="18"/>
                <w:color w:val="auto"/>
              </w:rPr>
              <w:t>Revaluation of deferred income taxes due to law charges</w:t>
            </w:r>
          </w:p>
        </w:tc>
        <w:tc>
          <w:tcPr>
            <w:tcW w:w="16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7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(79.1)</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68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(0.4)</w:t>
            </w:r>
          </w:p>
        </w:tc>
        <w:tc>
          <w:tcPr>
            <w:tcW w:w="170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(0.4)</w:t>
            </w:r>
          </w:p>
        </w:tc>
        <w:tc>
          <w:tcPr>
            <w:tcW w:w="1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33.3</w:t>
            </w:r>
          </w:p>
        </w:tc>
        <w:tc>
          <w:tcPr>
            <w:tcW w:w="170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(52.7)</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560" w:type="dxa"/>
            <w:vAlign w:val="bottom"/>
            <w:gridSpan w:val="2"/>
          </w:tcPr>
          <w:p>
            <w:pPr>
              <w:spacing w:after="0"/>
              <w:rPr>
                <w:sz w:val="20"/>
                <w:szCs w:val="20"/>
                <w:color w:val="auto"/>
              </w:rPr>
            </w:pPr>
            <w:r>
              <w:rPr>
                <w:rFonts w:ascii="Arial" w:cs="Arial" w:eastAsia="Arial" w:hAnsi="Arial"/>
                <w:sz w:val="18"/>
                <w:szCs w:val="18"/>
                <w:color w:val="auto"/>
              </w:rPr>
              <w:t>Net deferred income tax liabilities consist of the following components:</w:t>
            </w:r>
          </w:p>
        </w:tc>
        <w:tc>
          <w:tcPr>
            <w:tcW w:w="1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5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5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70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September 29</w:t>
            </w:r>
          </w:p>
        </w:tc>
        <w:tc>
          <w:tcPr>
            <w:tcW w:w="14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03"/>
        </w:trPr>
        <w:tc>
          <w:tcPr>
            <w:tcW w:w="6560" w:type="dxa"/>
            <w:vAlign w:val="bottom"/>
            <w:tcBorders>
              <w:bottom w:val="single" w:sz="8" w:color="auto"/>
            </w:tcBorders>
            <w:gridSpan w:val="2"/>
          </w:tcPr>
          <w:p>
            <w:pPr>
              <w:spacing w:after="0"/>
              <w:rPr>
                <w:sz w:val="20"/>
                <w:szCs w:val="20"/>
                <w:color w:val="auto"/>
              </w:rPr>
            </w:pPr>
            <w:r>
              <w:rPr>
                <w:rFonts w:ascii="Arial" w:cs="Arial" w:eastAsia="Arial" w:hAnsi="Arial"/>
                <w:sz w:val="16"/>
                <w:szCs w:val="16"/>
                <w:i w:val="1"/>
                <w:iCs w:val="1"/>
                <w:color w:val="auto"/>
              </w:rPr>
              <w:t>(Thousands of Dollars)</w:t>
            </w:r>
          </w:p>
        </w:tc>
        <w:tc>
          <w:tcPr>
            <w:tcW w:w="16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2019</w:t>
            </w:r>
          </w:p>
        </w:tc>
        <w:tc>
          <w:tcPr>
            <w:tcW w:w="14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399"/>
        </w:trPr>
        <w:tc>
          <w:tcPr>
            <w:tcW w:w="6560" w:type="dxa"/>
            <w:vAlign w:val="bottom"/>
            <w:gridSpan w:val="2"/>
          </w:tcPr>
          <w:p>
            <w:pPr>
              <w:spacing w:after="0"/>
              <w:rPr>
                <w:sz w:val="20"/>
                <w:szCs w:val="20"/>
                <w:color w:val="auto"/>
              </w:rPr>
            </w:pPr>
            <w:r>
              <w:rPr>
                <w:rFonts w:ascii="Arial" w:cs="Arial" w:eastAsia="Arial" w:hAnsi="Arial"/>
                <w:sz w:val="18"/>
                <w:szCs w:val="18"/>
                <w:color w:val="auto"/>
              </w:rPr>
              <w:t>Deferred income tax liabilities:</w:t>
            </w:r>
          </w:p>
        </w:tc>
        <w:tc>
          <w:tcPr>
            <w:tcW w:w="1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Property and equipment</w:t>
            </w:r>
          </w:p>
        </w:tc>
        <w:tc>
          <w:tcPr>
            <w:tcW w:w="168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(14,424)</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(16,506)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Pr>
          <w:p>
            <w:pPr>
              <w:ind w:left="160"/>
              <w:spacing w:after="0" w:line="202" w:lineRule="exact"/>
              <w:rPr>
                <w:sz w:val="20"/>
                <w:szCs w:val="20"/>
                <w:color w:val="auto"/>
              </w:rPr>
            </w:pPr>
            <w:r>
              <w:rPr>
                <w:rFonts w:ascii="Arial" w:cs="Arial" w:eastAsia="Arial" w:hAnsi="Arial"/>
                <w:sz w:val="18"/>
                <w:szCs w:val="18"/>
                <w:color w:val="auto"/>
              </w:rPr>
              <w:t>Identified intangible assets</w:t>
            </w:r>
          </w:p>
        </w:tc>
        <w:tc>
          <w:tcPr>
            <w:tcW w:w="1680" w:type="dxa"/>
            <w:vAlign w:val="bottom"/>
          </w:tcPr>
          <w:p>
            <w:pPr>
              <w:spacing w:after="0"/>
              <w:rPr>
                <w:sz w:val="17"/>
                <w:szCs w:val="17"/>
                <w:color w:val="auto"/>
              </w:rPr>
            </w:pPr>
          </w:p>
        </w:tc>
        <w:tc>
          <w:tcPr>
            <w:tcW w:w="17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(15,358)</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(18,486)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Long-term debt</w:t>
            </w:r>
          </w:p>
        </w:tc>
        <w:tc>
          <w:tcPr>
            <w:tcW w:w="168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(6,647)</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Pr>
          <w:p>
            <w:pPr>
              <w:ind w:left="160"/>
              <w:spacing w:after="0" w:line="202" w:lineRule="exact"/>
              <w:rPr>
                <w:sz w:val="20"/>
                <w:szCs w:val="20"/>
                <w:color w:val="auto"/>
              </w:rPr>
            </w:pPr>
            <w:r>
              <w:rPr>
                <w:rFonts w:ascii="Arial" w:cs="Arial" w:eastAsia="Arial" w:hAnsi="Arial"/>
                <w:sz w:val="18"/>
                <w:szCs w:val="18"/>
                <w:color w:val="auto"/>
              </w:rPr>
              <w:t>Accrued compensation</w:t>
            </w:r>
          </w:p>
        </w:tc>
        <w:tc>
          <w:tcPr>
            <w:tcW w:w="1680" w:type="dxa"/>
            <w:vAlign w:val="bottom"/>
          </w:tcPr>
          <w:p>
            <w:pPr>
              <w:spacing w:after="0"/>
              <w:rPr>
                <w:sz w:val="17"/>
                <w:szCs w:val="17"/>
                <w:color w:val="auto"/>
              </w:rPr>
            </w:pPr>
          </w:p>
        </w:tc>
        <w:tc>
          <w:tcPr>
            <w:tcW w:w="17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(189)</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Borders>
              <w:bottom w:val="single" w:sz="8" w:color="auto"/>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Investments</w:t>
            </w:r>
          </w:p>
        </w:tc>
        <w:tc>
          <w:tcPr>
            <w:tcW w:w="168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(3,164)</w:t>
            </w:r>
          </w:p>
        </w:tc>
        <w:tc>
          <w:tcPr>
            <w:tcW w:w="1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(6,472)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(39,782)</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(50,136)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income tax assets:</w:t>
            </w:r>
          </w:p>
        </w:tc>
        <w:tc>
          <w:tcPr>
            <w:tcW w:w="16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Pr>
          <w:p>
            <w:pPr>
              <w:spacing w:after="0" w:line="202" w:lineRule="exact"/>
              <w:rPr>
                <w:sz w:val="20"/>
                <w:szCs w:val="20"/>
                <w:color w:val="auto"/>
              </w:rPr>
            </w:pPr>
            <w:r>
              <w:rPr>
                <w:rFonts w:ascii="Arial" w:cs="Arial" w:eastAsia="Arial" w:hAnsi="Arial"/>
                <w:sz w:val="18"/>
                <w:szCs w:val="18"/>
                <w:color w:val="auto"/>
              </w:rPr>
              <w:t>Allowance for doubtful accounts and losses on loans</w:t>
            </w:r>
          </w:p>
        </w:tc>
        <w:tc>
          <w:tcPr>
            <w:tcW w:w="1680" w:type="dxa"/>
            <w:vAlign w:val="bottom"/>
          </w:tcPr>
          <w:p>
            <w:pPr>
              <w:spacing w:after="0"/>
              <w:rPr>
                <w:sz w:val="17"/>
                <w:szCs w:val="17"/>
                <w:color w:val="auto"/>
              </w:rPr>
            </w:pPr>
          </w:p>
        </w:tc>
        <w:tc>
          <w:tcPr>
            <w:tcW w:w="17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1,279</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Pension and postretirement benefits</w:t>
            </w:r>
          </w:p>
        </w:tc>
        <w:tc>
          <w:tcPr>
            <w:tcW w:w="168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4,048</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2,305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Pr>
          <w:p>
            <w:pPr>
              <w:ind w:left="160"/>
              <w:spacing w:after="0" w:line="202" w:lineRule="exact"/>
              <w:rPr>
                <w:sz w:val="20"/>
                <w:szCs w:val="20"/>
                <w:color w:val="auto"/>
              </w:rPr>
            </w:pPr>
            <w:r>
              <w:rPr>
                <w:rFonts w:ascii="Arial" w:cs="Arial" w:eastAsia="Arial" w:hAnsi="Arial"/>
                <w:sz w:val="18"/>
                <w:szCs w:val="18"/>
                <w:color w:val="auto"/>
              </w:rPr>
              <w:t>Operating loss carryforwards</w:t>
            </w:r>
          </w:p>
        </w:tc>
        <w:tc>
          <w:tcPr>
            <w:tcW w:w="1680" w:type="dxa"/>
            <w:vAlign w:val="bottom"/>
          </w:tcPr>
          <w:p>
            <w:pPr>
              <w:spacing w:after="0"/>
              <w:rPr>
                <w:sz w:val="17"/>
                <w:szCs w:val="17"/>
                <w:color w:val="auto"/>
              </w:rPr>
            </w:pPr>
          </w:p>
        </w:tc>
        <w:tc>
          <w:tcPr>
            <w:tcW w:w="17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41,610</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41,663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Accrued expenses</w:t>
            </w:r>
          </w:p>
        </w:tc>
        <w:tc>
          <w:tcPr>
            <w:tcW w:w="168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426</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Borders>
              <w:bottom w:val="single" w:sz="8" w:color="auto"/>
            </w:tcBorders>
          </w:tcPr>
          <w:p>
            <w:pPr>
              <w:ind w:left="160"/>
              <w:spacing w:after="0" w:line="202" w:lineRule="exact"/>
              <w:rPr>
                <w:sz w:val="20"/>
                <w:szCs w:val="20"/>
                <w:color w:val="auto"/>
              </w:rPr>
            </w:pPr>
            <w:r>
              <w:rPr>
                <w:rFonts w:ascii="Arial" w:cs="Arial" w:eastAsia="Arial" w:hAnsi="Arial"/>
                <w:sz w:val="18"/>
                <w:szCs w:val="18"/>
                <w:color w:val="auto"/>
              </w:rPr>
              <w:t>Other</w:t>
            </w:r>
          </w:p>
        </w:tc>
        <w:tc>
          <w:tcPr>
            <w:tcW w:w="16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2,526</w:t>
            </w:r>
          </w:p>
        </w:tc>
        <w:tc>
          <w:tcPr>
            <w:tcW w:w="14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3,075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49,889</w:t>
            </w:r>
          </w:p>
        </w:tc>
        <w:tc>
          <w:tcPr>
            <w:tcW w:w="14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48,377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Valuation allowance</w:t>
            </w:r>
          </w:p>
        </w:tc>
        <w:tc>
          <w:tcPr>
            <w:tcW w:w="16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(39,913)</w:t>
            </w: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(37,349)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5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Net deferred income tax liabilities</w:t>
            </w:r>
          </w:p>
        </w:tc>
        <w:tc>
          <w:tcPr>
            <w:tcW w:w="168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(29,806)</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(39,108)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All deferred taxes are categorized as non-current.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A reconciliation of 2019 and 2018 changes in gross unrecognized tax benefits is as follows: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Borders>
              <w:top w:val="single" w:sz="8" w:color="auto"/>
            </w:tcBorders>
            <w:gridSpan w:val="2"/>
          </w:tcPr>
          <w:p>
            <w:pPr>
              <w:spacing w:after="0"/>
              <w:rPr>
                <w:sz w:val="20"/>
                <w:szCs w:val="20"/>
                <w:color w:val="auto"/>
              </w:rPr>
            </w:pPr>
            <w:r>
              <w:rPr>
                <w:rFonts w:ascii="Arial" w:cs="Arial" w:eastAsia="Arial" w:hAnsi="Arial"/>
                <w:sz w:val="16"/>
                <w:szCs w:val="16"/>
                <w:i w:val="1"/>
                <w:iCs w:val="1"/>
                <w:color w:val="auto"/>
              </w:rPr>
              <w:t>(Thousands of Dollars)</w:t>
            </w:r>
          </w:p>
        </w:tc>
        <w:tc>
          <w:tcPr>
            <w:tcW w:w="358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620" w:type="dxa"/>
            <w:vAlign w:val="bottom"/>
            <w:tcBorders>
              <w:top w:val="single" w:sz="8" w:color="auto"/>
            </w:tcBorders>
          </w:tcPr>
          <w:p>
            <w:pPr>
              <w:spacing w:after="0"/>
              <w:rPr>
                <w:sz w:val="17"/>
                <w:szCs w:val="17"/>
                <w:color w:val="auto"/>
              </w:rPr>
            </w:pPr>
          </w:p>
        </w:tc>
        <w:tc>
          <w:tcPr>
            <w:tcW w:w="35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year</w:t>
            </w:r>
          </w:p>
        </w:tc>
        <w:tc>
          <w:tcPr>
            <w:tcW w:w="3580" w:type="dxa"/>
            <w:vAlign w:val="bottom"/>
            <w:shd w:val="clear" w:color="auto" w:fill="CCEEFF"/>
          </w:tcPr>
          <w:p>
            <w:pPr>
              <w:jc w:val="right"/>
              <w:ind w:right="510"/>
              <w:spacing w:after="0" w:line="202" w:lineRule="exact"/>
              <w:rPr>
                <w:sz w:val="20"/>
                <w:szCs w:val="20"/>
                <w:color w:val="auto"/>
              </w:rPr>
            </w:pPr>
            <w:r>
              <w:rPr>
                <w:rFonts w:ascii="Arial" w:cs="Arial" w:eastAsia="Arial" w:hAnsi="Arial"/>
                <w:sz w:val="18"/>
                <w:szCs w:val="18"/>
                <w:color w:val="auto"/>
              </w:rPr>
              <w:t>16,104</w:t>
            </w:r>
          </w:p>
        </w:tc>
        <w:tc>
          <w:tcPr>
            <w:tcW w:w="1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13,915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spacing w:after="0" w:line="202" w:lineRule="exact"/>
              <w:rPr>
                <w:sz w:val="20"/>
                <w:szCs w:val="20"/>
                <w:color w:val="auto"/>
              </w:rPr>
            </w:pPr>
            <w:r>
              <w:rPr>
                <w:rFonts w:ascii="Arial" w:cs="Arial" w:eastAsia="Arial" w:hAnsi="Arial"/>
                <w:sz w:val="18"/>
                <w:szCs w:val="18"/>
                <w:color w:val="auto"/>
              </w:rPr>
              <w:t>Increases (decreases) in tax positions for prior years</w:t>
            </w:r>
          </w:p>
        </w:tc>
        <w:tc>
          <w:tcPr>
            <w:tcW w:w="358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33</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Increases in tax positions for the current year</w:t>
            </w:r>
          </w:p>
        </w:tc>
        <w:tc>
          <w:tcPr>
            <w:tcW w:w="3580" w:type="dxa"/>
            <w:vAlign w:val="bottom"/>
            <w:shd w:val="clear" w:color="auto" w:fill="CCEEFF"/>
          </w:tcPr>
          <w:p>
            <w:pPr>
              <w:jc w:val="right"/>
              <w:ind w:right="510"/>
              <w:spacing w:after="0" w:line="202" w:lineRule="exact"/>
              <w:rPr>
                <w:sz w:val="20"/>
                <w:szCs w:val="20"/>
                <w:color w:val="auto"/>
              </w:rPr>
            </w:pPr>
            <w:r>
              <w:rPr>
                <w:rFonts w:ascii="Arial" w:cs="Arial" w:eastAsia="Arial" w:hAnsi="Arial"/>
                <w:sz w:val="18"/>
                <w:szCs w:val="18"/>
                <w:color w:val="auto"/>
              </w:rPr>
              <w:t>2,472</w:t>
            </w:r>
          </w:p>
        </w:tc>
        <w:tc>
          <w:tcPr>
            <w:tcW w:w="1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Lapse in statute of limitations</w:t>
            </w:r>
          </w:p>
        </w:tc>
        <w:tc>
          <w:tcPr>
            <w:tcW w:w="3580" w:type="dxa"/>
            <w:vAlign w:val="bottom"/>
            <w:tcBorders>
              <w:bottom w:val="single" w:sz="8" w:color="auto"/>
            </w:tcBorders>
          </w:tcPr>
          <w:p>
            <w:pPr>
              <w:jc w:val="right"/>
              <w:ind w:right="450"/>
              <w:spacing w:after="0" w:line="202" w:lineRule="exact"/>
              <w:rPr>
                <w:sz w:val="20"/>
                <w:szCs w:val="20"/>
                <w:color w:val="auto"/>
              </w:rPr>
            </w:pPr>
            <w:r>
              <w:rPr>
                <w:rFonts w:ascii="Arial" w:cs="Arial" w:eastAsia="Arial" w:hAnsi="Arial"/>
                <w:sz w:val="18"/>
                <w:szCs w:val="18"/>
                <w:color w:val="auto"/>
              </w:rPr>
              <w:t>(357)</w:t>
            </w: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Balance, end of year</w:t>
            </w:r>
          </w:p>
        </w:tc>
        <w:tc>
          <w:tcPr>
            <w:tcW w:w="3580" w:type="dxa"/>
            <w:vAlign w:val="bottom"/>
            <w:tcBorders>
              <w:bottom w:val="single" w:sz="8" w:color="auto"/>
            </w:tcBorders>
            <w:shd w:val="clear" w:color="auto" w:fill="CCEEFF"/>
          </w:tcPr>
          <w:p>
            <w:pPr>
              <w:jc w:val="right"/>
              <w:ind w:right="510"/>
              <w:spacing w:after="0" w:line="196" w:lineRule="exact"/>
              <w:rPr>
                <w:sz w:val="20"/>
                <w:szCs w:val="20"/>
                <w:color w:val="auto"/>
              </w:rPr>
            </w:pPr>
            <w:r>
              <w:rPr>
                <w:rFonts w:ascii="Arial" w:cs="Arial" w:eastAsia="Arial" w:hAnsi="Arial"/>
                <w:sz w:val="18"/>
                <w:szCs w:val="18"/>
                <w:color w:val="auto"/>
              </w:rPr>
              <w:t>18,252</w:t>
            </w:r>
          </w:p>
        </w:tc>
        <w:tc>
          <w:tcPr>
            <w:tcW w:w="1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16,104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Approximately $10,665,000 and $10,312,000 of the gross unrecognized tax benefit balances for 2019 and 2018, respectively, relate to state net operating losses which are netted against deferred taxes on our balance sheet. The total amount of unrecognized tax benefits that, if recognized, would impact the effective tax rate was $14,019,000 at September 29, 2019. We recognize interest and penalties related to unrecognized tax benefits as a component of income tax expense. The amount of accrued interest related to unrecognized tax benefits was, net of tax, $ 848,000 at September 29, 2019 and $563,000 at September 30, 2018. There were no amounts provided for penalties at September 29, 2019 or September 30, 2018.</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At September 29, 2019, we had a deferred tax asset of $4,255,000 related to disallowed interest expense.</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No significant income tax audits are currently in progress and the Company has not received any notices of intent to audit. Certain of the Company's state income tax returns for the year ended September 29, 2013 are open for examination. The Federal and remaining state returns are open beginning with the September 29, 2014 year.</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At September 29, 2019, we have state tax benefits of approximately $63,338,000 in net operating loss ("NOL") carryforwards that expire between 2020 and 2039. These NOL carryforwards result in a deferred income tax asset of $50,037,000 at September 29, 2019, a portion of which is offset by a valuation allowance.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As expected, we reported a taxable income in 2018 in excess of our remaining NOL, so that no Federal NOL is available in fiscal year 2019.</w:t>
      </w:r>
    </w:p>
    <w:p>
      <w:pPr>
        <w:spacing w:after="0" w:line="200" w:lineRule="exact"/>
        <w:rPr>
          <w:sz w:val="20"/>
          <w:szCs w:val="20"/>
          <w:color w:val="auto"/>
        </w:rPr>
      </w:pPr>
    </w:p>
    <w:p>
      <w:pPr>
        <w:spacing w:after="0" w:line="21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FAIR VALUE OF FINANCIAL INSTRUMENTS</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following methods and assumptions are used to estimate the fair value of each class of financial instruments for which it is practicable to estimate value.</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carrying amounts of cash equivalents, accounts receivable and accounts payable approximate fair value because of the short maturity of those instruments. Investments totaling $6,068,000, including our 16.7% ownership of the non-voting common stock and 0.7% of the voting common stock of TCT, which represents 8.7% of total TCT stock, and a private equity investment, are carried at cost. As of September 29, 2019, the approximate fair value of the private equity investment is $10,268,000 which is a level 3 fair value measurement.</w:t>
      </w:r>
    </w:p>
    <w:p>
      <w:pPr>
        <w:spacing w:after="0" w:line="202" w:lineRule="exact"/>
        <w:rPr>
          <w:sz w:val="20"/>
          <w:szCs w:val="20"/>
          <w:color w:val="auto"/>
        </w:rPr>
      </w:pPr>
    </w:p>
    <w:p>
      <w:pPr>
        <w:jc w:val="both"/>
        <w:spacing w:after="0" w:line="193" w:lineRule="auto"/>
        <w:rPr>
          <w:sz w:val="20"/>
          <w:szCs w:val="20"/>
          <w:color w:val="auto"/>
        </w:rPr>
      </w:pPr>
      <w:r>
        <w:rPr>
          <w:rFonts w:ascii="Arial" w:cs="Arial" w:eastAsia="Arial" w:hAnsi="Arial"/>
          <w:sz w:val="18"/>
          <w:szCs w:val="18"/>
          <w:color w:val="auto"/>
        </w:rPr>
        <w:t>At September 29, 2019 we had no floating rate debt. Our fixed rate debt consists of $363,420,000 principal amount of the Notes and, $80,207,000 principal amount under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At September 29, 2019, based on an average of private market price quotations,</w:t>
      </w:r>
    </w:p>
    <w:p>
      <w:pPr>
        <w:spacing w:after="0" w:line="2" w:lineRule="exact"/>
        <w:rPr>
          <w:sz w:val="20"/>
          <w:szCs w:val="20"/>
          <w:color w:val="auto"/>
        </w:rPr>
      </w:pPr>
    </w:p>
    <w:p>
      <w:pPr>
        <w:jc w:val="both"/>
        <w:ind w:right="20"/>
        <w:spacing w:after="0" w:line="199" w:lineRule="auto"/>
        <w:rPr>
          <w:sz w:val="20"/>
          <w:szCs w:val="20"/>
          <w:color w:val="auto"/>
        </w:rPr>
      </w:pPr>
      <w:r>
        <w:rPr>
          <w:rFonts w:ascii="Arial" w:cs="Arial" w:eastAsia="Arial" w:hAnsi="Arial"/>
          <w:sz w:val="18"/>
          <w:szCs w:val="18"/>
          <w:color w:val="auto"/>
        </w:rPr>
        <w:t>the fair values were $364,328,550 and $80,207,214 for the Notes and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respectively. These represent Level 2 fair value measurements.</w:t>
      </w:r>
    </w:p>
    <w:p>
      <w:pPr>
        <w:spacing w:after="0" w:line="19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discussed more fully in Notes 5 and 9, we recorded a liability for the Warrants issued in connection with the Warrant Agreement. The liability was initially measured at its fair value and we will re-measure the liability to fair value each reporting period, with changes reported in other non-operating income (expense). The initial fair value of the Warrants was $16,930,000. The fair value of the Warrants at September 29, 2019, September 30, 2018 and September 24, 2017 are $1,195,000, $1,807,000 and $1,580,000, respectively. In other, net non-operating income (expense) in the Consolidated Statements of Income and Comprehensive Income, we recognized income of $612,000 in 2019, expense of $226,000 in 2018 and income of $10,181,000 in 2017, for adjustments in the fair value of the Warrants.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The following assumptions were used to estimate the fair value of the Warrants: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0" w:type="dxa"/>
            <w:vAlign w:val="bottom"/>
            <w:tcBorders>
              <w:top w:val="single" w:sz="8" w:color="auto"/>
              <w:bottom w:val="single" w:sz="8" w:color="auto"/>
            </w:tcBorders>
          </w:tcPr>
          <w:p>
            <w:pPr>
              <w:spacing w:after="0"/>
              <w:rPr>
                <w:sz w:val="18"/>
                <w:szCs w:val="18"/>
                <w:color w:val="auto"/>
              </w:rPr>
            </w:pPr>
          </w:p>
        </w:tc>
        <w:tc>
          <w:tcPr>
            <w:tcW w:w="35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2019</w:t>
            </w:r>
          </w:p>
        </w:tc>
        <w:tc>
          <w:tcPr>
            <w:tcW w:w="17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2018</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1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0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Volatility (Percent)</w:t>
            </w:r>
          </w:p>
        </w:tc>
        <w:tc>
          <w:tcPr>
            <w:tcW w:w="3540" w:type="dxa"/>
            <w:vAlign w:val="bottom"/>
            <w:shd w:val="clear" w:color="auto" w:fill="CCEEFF"/>
          </w:tcPr>
          <w:p>
            <w:pPr>
              <w:jc w:val="right"/>
              <w:ind w:right="570"/>
              <w:spacing w:after="0" w:line="202" w:lineRule="exact"/>
              <w:rPr>
                <w:sz w:val="20"/>
                <w:szCs w:val="20"/>
                <w:color w:val="auto"/>
              </w:rPr>
            </w:pPr>
            <w:r>
              <w:rPr>
                <w:rFonts w:ascii="Arial" w:cs="Arial" w:eastAsia="Arial" w:hAnsi="Arial"/>
                <w:sz w:val="18"/>
                <w:szCs w:val="18"/>
                <w:color w:val="auto"/>
              </w:rPr>
              <w:t>48</w:t>
            </w:r>
          </w:p>
        </w:tc>
        <w:tc>
          <w:tcPr>
            <w:tcW w:w="1700" w:type="dxa"/>
            <w:vAlign w:val="bottom"/>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31</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spacing w:after="0" w:line="202" w:lineRule="exact"/>
              <w:rPr>
                <w:sz w:val="20"/>
                <w:szCs w:val="20"/>
                <w:color w:val="auto"/>
              </w:rPr>
            </w:pPr>
            <w:r>
              <w:rPr>
                <w:rFonts w:ascii="Arial" w:cs="Arial" w:eastAsia="Arial" w:hAnsi="Arial"/>
                <w:sz w:val="18"/>
                <w:szCs w:val="18"/>
                <w:color w:val="auto"/>
              </w:rPr>
              <w:t>Risk-free interest rate (Percent)</w:t>
            </w:r>
          </w:p>
        </w:tc>
        <w:tc>
          <w:tcPr>
            <w:tcW w:w="354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1.58</w:t>
            </w:r>
          </w:p>
        </w:tc>
        <w:tc>
          <w:tcPr>
            <w:tcW w:w="170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2.91</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term (Years)</w:t>
            </w:r>
          </w:p>
        </w:tc>
        <w:tc>
          <w:tcPr>
            <w:tcW w:w="3540" w:type="dxa"/>
            <w:vAlign w:val="bottom"/>
            <w:shd w:val="clear" w:color="auto" w:fill="CCEEFF"/>
          </w:tcPr>
          <w:p>
            <w:pPr>
              <w:jc w:val="right"/>
              <w:ind w:right="570"/>
              <w:spacing w:after="0" w:line="202" w:lineRule="exact"/>
              <w:rPr>
                <w:sz w:val="20"/>
                <w:szCs w:val="20"/>
                <w:color w:val="auto"/>
              </w:rPr>
            </w:pPr>
            <w:r>
              <w:rPr>
                <w:rFonts w:ascii="Arial" w:cs="Arial" w:eastAsia="Arial" w:hAnsi="Arial"/>
                <w:sz w:val="18"/>
                <w:szCs w:val="18"/>
                <w:color w:val="auto"/>
              </w:rPr>
              <w:t>2.5</w:t>
            </w:r>
          </w:p>
        </w:tc>
        <w:tc>
          <w:tcPr>
            <w:tcW w:w="1700" w:type="dxa"/>
            <w:vAlign w:val="bottom"/>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3.5</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auto"/>
            </w:tcBorders>
          </w:tcPr>
          <w:p>
            <w:pPr>
              <w:spacing w:after="0"/>
              <w:rPr>
                <w:sz w:val="17"/>
                <w:szCs w:val="17"/>
                <w:color w:val="auto"/>
              </w:rPr>
            </w:pPr>
          </w:p>
        </w:tc>
        <w:tc>
          <w:tcPr>
            <w:tcW w:w="50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Estimated fair value (Dollars)</w:t>
            </w:r>
          </w:p>
        </w:tc>
        <w:tc>
          <w:tcPr>
            <w:tcW w:w="3540" w:type="dxa"/>
            <w:vAlign w:val="bottom"/>
            <w:tcBorders>
              <w:bottom w:val="single" w:sz="8" w:color="auto"/>
            </w:tcBorders>
          </w:tcPr>
          <w:p>
            <w:pPr>
              <w:jc w:val="right"/>
              <w:ind w:right="570"/>
              <w:spacing w:after="0" w:line="202" w:lineRule="exact"/>
              <w:rPr>
                <w:sz w:val="20"/>
                <w:szCs w:val="20"/>
                <w:color w:val="auto"/>
              </w:rPr>
            </w:pPr>
            <w:r>
              <w:rPr>
                <w:rFonts w:ascii="Arial" w:cs="Arial" w:eastAsia="Arial" w:hAnsi="Arial"/>
                <w:sz w:val="18"/>
                <w:szCs w:val="18"/>
                <w:color w:val="auto"/>
              </w:rPr>
              <w:t>0.20</w:t>
            </w:r>
          </w:p>
        </w:tc>
        <w:tc>
          <w:tcPr>
            <w:tcW w:w="1700" w:type="dxa"/>
            <w:vAlign w:val="bottom"/>
            <w:tcBorders>
              <w:bottom w:val="single" w:sz="8" w:color="auto"/>
            </w:tcBorders>
          </w:tcPr>
          <w:p>
            <w:pPr>
              <w:jc w:val="right"/>
              <w:ind w:right="550"/>
              <w:spacing w:after="0" w:line="202" w:lineRule="exact"/>
              <w:rPr>
                <w:sz w:val="20"/>
                <w:szCs w:val="20"/>
                <w:color w:val="auto"/>
              </w:rPr>
            </w:pPr>
            <w:r>
              <w:rPr>
                <w:rFonts w:ascii="Arial" w:cs="Arial" w:eastAsia="Arial" w:hAnsi="Arial"/>
                <w:sz w:val="18"/>
                <w:szCs w:val="18"/>
                <w:color w:val="auto"/>
              </w:rPr>
              <w:t>0.30</w:t>
            </w: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Borders>
              <w:bottom w:val="single" w:sz="8" w:color="auto"/>
            </w:tcBorders>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EARNINGS PER COMMON SHARE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tcBorders>
              <w:top w:val="single" w:sz="8" w:color="auto"/>
            </w:tcBorders>
            <w:gridSpan w:val="2"/>
          </w:tcPr>
          <w:p>
            <w:pPr>
              <w:spacing w:after="0"/>
              <w:rPr>
                <w:sz w:val="20"/>
                <w:szCs w:val="20"/>
                <w:color w:val="auto"/>
              </w:rPr>
            </w:pPr>
            <w:r>
              <w:rPr>
                <w:rFonts w:ascii="Arial" w:cs="Arial" w:eastAsia="Arial" w:hAnsi="Arial"/>
                <w:sz w:val="16"/>
                <w:szCs w:val="16"/>
                <w:i w:val="1"/>
                <w:iCs w:val="1"/>
                <w:color w:val="auto"/>
              </w:rPr>
              <w:t>(Thousands of Dollars and Shares, Except Per Common Share Data)</w:t>
            </w:r>
          </w:p>
        </w:tc>
        <w:tc>
          <w:tcPr>
            <w:tcW w:w="236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rPr>
              <w:t>2019</w:t>
            </w:r>
          </w:p>
        </w:tc>
        <w:tc>
          <w:tcPr>
            <w:tcW w:w="17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rPr>
              <w:t>2018</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r>
      <w:tr>
        <w:trPr>
          <w:trHeight w:val="196"/>
        </w:trPr>
        <w:tc>
          <w:tcPr>
            <w:tcW w:w="20" w:type="dxa"/>
            <w:vAlign w:val="bottom"/>
          </w:tcPr>
          <w:p>
            <w:pPr>
              <w:spacing w:after="0"/>
              <w:rPr>
                <w:sz w:val="17"/>
                <w:szCs w:val="17"/>
                <w:color w:val="auto"/>
              </w:rPr>
            </w:pPr>
          </w:p>
        </w:tc>
        <w:tc>
          <w:tcPr>
            <w:tcW w:w="6140" w:type="dxa"/>
            <w:vAlign w:val="bottom"/>
            <w:tcBorders>
              <w:top w:val="single" w:sz="8" w:color="auto"/>
              <w:bottom w:val="single" w:sz="8" w:color="auto"/>
            </w:tcBorders>
          </w:tcPr>
          <w:p>
            <w:pPr>
              <w:spacing w:after="0"/>
              <w:rPr>
                <w:sz w:val="17"/>
                <w:szCs w:val="17"/>
                <w:color w:val="auto"/>
              </w:rPr>
            </w:pPr>
          </w:p>
        </w:tc>
        <w:tc>
          <w:tcPr>
            <w:tcW w:w="2360" w:type="dxa"/>
            <w:vAlign w:val="bottom"/>
            <w:tcBorders>
              <w:top w:val="single" w:sz="8" w:color="auto"/>
              <w:bottom w:val="single" w:sz="8" w:color="auto"/>
            </w:tcBorders>
          </w:tcPr>
          <w:p>
            <w:pPr>
              <w:spacing w:after="0"/>
              <w:rPr>
                <w:sz w:val="17"/>
                <w:szCs w:val="17"/>
                <w:color w:val="auto"/>
              </w:rPr>
            </w:pPr>
          </w:p>
        </w:tc>
        <w:tc>
          <w:tcPr>
            <w:tcW w:w="17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attributable to Lee Enterprises, Incorporated:</w:t>
            </w:r>
          </w:p>
        </w:tc>
        <w:tc>
          <w:tcPr>
            <w:tcW w:w="2360" w:type="dxa"/>
            <w:vAlign w:val="bottom"/>
            <w:shd w:val="clear" w:color="auto" w:fill="CCEEFF"/>
          </w:tcPr>
          <w:p>
            <w:pPr>
              <w:jc w:val="right"/>
              <w:ind w:right="530"/>
              <w:spacing w:after="0" w:line="196" w:lineRule="exact"/>
              <w:rPr>
                <w:sz w:val="20"/>
                <w:szCs w:val="20"/>
                <w:color w:val="auto"/>
              </w:rPr>
            </w:pPr>
            <w:r>
              <w:rPr>
                <w:rFonts w:ascii="Arial" w:cs="Arial" w:eastAsia="Arial" w:hAnsi="Arial"/>
                <w:sz w:val="18"/>
                <w:szCs w:val="18"/>
                <w:color w:val="auto"/>
              </w:rPr>
              <w:t>14,268</w:t>
            </w:r>
          </w:p>
        </w:tc>
        <w:tc>
          <w:tcPr>
            <w:tcW w:w="1700" w:type="dxa"/>
            <w:vAlign w:val="bottom"/>
            <w:shd w:val="clear" w:color="auto" w:fill="CCEEFF"/>
          </w:tcPr>
          <w:p>
            <w:pPr>
              <w:jc w:val="right"/>
              <w:ind w:right="510"/>
              <w:spacing w:after="0" w:line="196" w:lineRule="exact"/>
              <w:rPr>
                <w:sz w:val="20"/>
                <w:szCs w:val="20"/>
                <w:color w:val="auto"/>
              </w:rPr>
            </w:pPr>
            <w:r>
              <w:rPr>
                <w:rFonts w:ascii="Arial" w:cs="Arial" w:eastAsia="Arial" w:hAnsi="Arial"/>
                <w:sz w:val="18"/>
                <w:szCs w:val="18"/>
                <w:color w:val="auto"/>
              </w:rPr>
              <w:t>45,766</w:t>
            </w:r>
          </w:p>
        </w:tc>
        <w:tc>
          <w:tcPr>
            <w:tcW w:w="1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27,481</w:t>
            </w:r>
          </w:p>
        </w:tc>
      </w:tr>
      <w:tr>
        <w:trPr>
          <w:trHeight w:val="203"/>
        </w:trPr>
        <w:tc>
          <w:tcPr>
            <w:tcW w:w="20" w:type="dxa"/>
            <w:vAlign w:val="bottom"/>
          </w:tcPr>
          <w:p>
            <w:pPr>
              <w:spacing w:after="0"/>
              <w:rPr>
                <w:sz w:val="17"/>
                <w:szCs w:val="17"/>
                <w:color w:val="auto"/>
              </w:rPr>
            </w:pPr>
          </w:p>
        </w:tc>
        <w:tc>
          <w:tcPr>
            <w:tcW w:w="614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Common Stock</w:t>
            </w:r>
          </w:p>
        </w:tc>
        <w:tc>
          <w:tcPr>
            <w:tcW w:w="2360" w:type="dxa"/>
            <w:vAlign w:val="bottom"/>
            <w:shd w:val="clear" w:color="auto" w:fill="CCEEFF"/>
          </w:tcPr>
          <w:p>
            <w:pPr>
              <w:jc w:val="right"/>
              <w:ind w:right="530"/>
              <w:spacing w:after="0" w:line="196" w:lineRule="exact"/>
              <w:rPr>
                <w:sz w:val="20"/>
                <w:szCs w:val="20"/>
                <w:color w:val="auto"/>
              </w:rPr>
            </w:pPr>
            <w:r>
              <w:rPr>
                <w:rFonts w:ascii="Arial" w:cs="Arial" w:eastAsia="Arial" w:hAnsi="Arial"/>
                <w:sz w:val="18"/>
                <w:szCs w:val="18"/>
                <w:color w:val="auto"/>
              </w:rPr>
              <w:t>57,648</w:t>
            </w:r>
          </w:p>
        </w:tc>
        <w:tc>
          <w:tcPr>
            <w:tcW w:w="1700" w:type="dxa"/>
            <w:vAlign w:val="bottom"/>
            <w:shd w:val="clear" w:color="auto" w:fill="CCEEFF"/>
          </w:tcPr>
          <w:p>
            <w:pPr>
              <w:jc w:val="right"/>
              <w:ind w:right="510"/>
              <w:spacing w:after="0" w:line="196" w:lineRule="exact"/>
              <w:rPr>
                <w:sz w:val="20"/>
                <w:szCs w:val="20"/>
                <w:color w:val="auto"/>
              </w:rPr>
            </w:pPr>
            <w:r>
              <w:rPr>
                <w:rFonts w:ascii="Arial" w:cs="Arial" w:eastAsia="Arial" w:hAnsi="Arial"/>
                <w:sz w:val="18"/>
                <w:szCs w:val="18"/>
                <w:color w:val="auto"/>
              </w:rPr>
              <w:t>57,009</w:t>
            </w:r>
          </w:p>
        </w:tc>
        <w:tc>
          <w:tcPr>
            <w:tcW w:w="1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56,481</w:t>
            </w:r>
          </w:p>
        </w:tc>
      </w:tr>
      <w:tr>
        <w:trPr>
          <w:trHeight w:val="203"/>
        </w:trPr>
        <w:tc>
          <w:tcPr>
            <w:tcW w:w="20" w:type="dxa"/>
            <w:vAlign w:val="bottom"/>
          </w:tcPr>
          <w:p>
            <w:pPr>
              <w:spacing w:after="0"/>
              <w:rPr>
                <w:sz w:val="17"/>
                <w:szCs w:val="17"/>
                <w:color w:val="auto"/>
              </w:rPr>
            </w:pPr>
          </w:p>
        </w:tc>
        <w:tc>
          <w:tcPr>
            <w:tcW w:w="61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Less non-vested restricted Common Stock</w:t>
            </w:r>
          </w:p>
        </w:tc>
        <w:tc>
          <w:tcPr>
            <w:tcW w:w="2360" w:type="dxa"/>
            <w:vAlign w:val="bottom"/>
            <w:tcBorders>
              <w:bottom w:val="single" w:sz="8" w:color="auto"/>
            </w:tcBorders>
          </w:tcPr>
          <w:p>
            <w:pPr>
              <w:jc w:val="right"/>
              <w:ind w:right="470"/>
              <w:spacing w:after="0" w:line="202" w:lineRule="exact"/>
              <w:rPr>
                <w:sz w:val="20"/>
                <w:szCs w:val="20"/>
                <w:color w:val="auto"/>
              </w:rPr>
            </w:pPr>
            <w:r>
              <w:rPr>
                <w:rFonts w:ascii="Arial" w:cs="Arial" w:eastAsia="Arial" w:hAnsi="Arial"/>
                <w:sz w:val="18"/>
                <w:szCs w:val="18"/>
                <w:color w:val="auto"/>
              </w:rPr>
              <w:t>(2,083)</w:t>
            </w:r>
          </w:p>
        </w:tc>
        <w:tc>
          <w:tcPr>
            <w:tcW w:w="1700" w:type="dxa"/>
            <w:vAlign w:val="bottom"/>
            <w:tcBorders>
              <w:bottom w:val="single" w:sz="8" w:color="auto"/>
            </w:tcBorders>
          </w:tcPr>
          <w:p>
            <w:pPr>
              <w:jc w:val="right"/>
              <w:ind w:right="450"/>
              <w:spacing w:after="0" w:line="202" w:lineRule="exact"/>
              <w:rPr>
                <w:sz w:val="20"/>
                <w:szCs w:val="20"/>
                <w:color w:val="auto"/>
              </w:rPr>
            </w:pPr>
            <w:r>
              <w:rPr>
                <w:rFonts w:ascii="Arial" w:cs="Arial" w:eastAsia="Arial" w:hAnsi="Arial"/>
                <w:sz w:val="18"/>
                <w:szCs w:val="18"/>
                <w:color w:val="auto"/>
              </w:rPr>
              <w:t>(2,307)</w:t>
            </w: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(2,491)</w:t>
            </w:r>
          </w:p>
        </w:tc>
      </w:tr>
      <w:tr>
        <w:trPr>
          <w:trHeight w:val="196"/>
        </w:trPr>
        <w:tc>
          <w:tcPr>
            <w:tcW w:w="20" w:type="dxa"/>
            <w:vAlign w:val="bottom"/>
          </w:tcPr>
          <w:p>
            <w:pPr>
              <w:spacing w:after="0"/>
              <w:rPr>
                <w:sz w:val="17"/>
                <w:szCs w:val="17"/>
                <w:color w:val="auto"/>
              </w:rPr>
            </w:pPr>
          </w:p>
        </w:tc>
        <w:tc>
          <w:tcPr>
            <w:tcW w:w="6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average Common Stock</w:t>
            </w:r>
          </w:p>
        </w:tc>
        <w:tc>
          <w:tcPr>
            <w:tcW w:w="2360" w:type="dxa"/>
            <w:vAlign w:val="bottom"/>
            <w:shd w:val="clear" w:color="auto" w:fill="CCEEFF"/>
          </w:tcPr>
          <w:p>
            <w:pPr>
              <w:jc w:val="right"/>
              <w:ind w:right="530"/>
              <w:spacing w:after="0" w:line="196" w:lineRule="exact"/>
              <w:rPr>
                <w:sz w:val="20"/>
                <w:szCs w:val="20"/>
                <w:color w:val="auto"/>
              </w:rPr>
            </w:pPr>
            <w:r>
              <w:rPr>
                <w:rFonts w:ascii="Arial" w:cs="Arial" w:eastAsia="Arial" w:hAnsi="Arial"/>
                <w:sz w:val="18"/>
                <w:szCs w:val="18"/>
                <w:color w:val="auto"/>
              </w:rPr>
              <w:t>55,565</w:t>
            </w:r>
          </w:p>
        </w:tc>
        <w:tc>
          <w:tcPr>
            <w:tcW w:w="1700" w:type="dxa"/>
            <w:vAlign w:val="bottom"/>
            <w:shd w:val="clear" w:color="auto" w:fill="CCEEFF"/>
          </w:tcPr>
          <w:p>
            <w:pPr>
              <w:jc w:val="right"/>
              <w:ind w:right="510"/>
              <w:spacing w:after="0" w:line="196" w:lineRule="exact"/>
              <w:rPr>
                <w:sz w:val="20"/>
                <w:szCs w:val="20"/>
                <w:color w:val="auto"/>
              </w:rPr>
            </w:pPr>
            <w:r>
              <w:rPr>
                <w:rFonts w:ascii="Arial" w:cs="Arial" w:eastAsia="Arial" w:hAnsi="Arial"/>
                <w:sz w:val="18"/>
                <w:szCs w:val="18"/>
                <w:color w:val="auto"/>
              </w:rPr>
              <w:t>54,702</w:t>
            </w:r>
          </w:p>
        </w:tc>
        <w:tc>
          <w:tcPr>
            <w:tcW w:w="1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53,990</w:t>
            </w:r>
          </w:p>
        </w:tc>
      </w:tr>
      <w:tr>
        <w:trPr>
          <w:trHeight w:val="203"/>
        </w:trPr>
        <w:tc>
          <w:tcPr>
            <w:tcW w:w="20" w:type="dxa"/>
            <w:vAlign w:val="bottom"/>
          </w:tcPr>
          <w:p>
            <w:pPr>
              <w:spacing w:after="0"/>
              <w:rPr>
                <w:sz w:val="17"/>
                <w:szCs w:val="17"/>
                <w:color w:val="auto"/>
              </w:rPr>
            </w:pPr>
          </w:p>
        </w:tc>
        <w:tc>
          <w:tcPr>
            <w:tcW w:w="61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Dilutive stock options and restricted Common Stock</w:t>
            </w:r>
          </w:p>
        </w:tc>
        <w:tc>
          <w:tcPr>
            <w:tcW w:w="2360" w:type="dxa"/>
            <w:vAlign w:val="bottom"/>
            <w:tcBorders>
              <w:bottom w:val="single" w:sz="8" w:color="auto"/>
            </w:tcBorders>
          </w:tcPr>
          <w:p>
            <w:pPr>
              <w:jc w:val="right"/>
              <w:ind w:right="530"/>
              <w:spacing w:after="0" w:line="202" w:lineRule="exact"/>
              <w:rPr>
                <w:sz w:val="20"/>
                <w:szCs w:val="20"/>
                <w:color w:val="auto"/>
              </w:rPr>
            </w:pPr>
            <w:r>
              <w:rPr>
                <w:rFonts w:ascii="Arial" w:cs="Arial" w:eastAsia="Arial" w:hAnsi="Arial"/>
                <w:sz w:val="18"/>
                <w:szCs w:val="18"/>
                <w:color w:val="auto"/>
              </w:rPr>
              <w:t>1,319</w:t>
            </w:r>
          </w:p>
        </w:tc>
        <w:tc>
          <w:tcPr>
            <w:tcW w:w="1700" w:type="dxa"/>
            <w:vAlign w:val="bottom"/>
            <w:tcBorders>
              <w:bottom w:val="single" w:sz="8" w:color="auto"/>
            </w:tcBorders>
          </w:tcPr>
          <w:p>
            <w:pPr>
              <w:jc w:val="right"/>
              <w:ind w:right="510"/>
              <w:spacing w:after="0" w:line="202" w:lineRule="exact"/>
              <w:rPr>
                <w:sz w:val="20"/>
                <w:szCs w:val="20"/>
                <w:color w:val="auto"/>
              </w:rPr>
            </w:pPr>
            <w:r>
              <w:rPr>
                <w:rFonts w:ascii="Arial" w:cs="Arial" w:eastAsia="Arial" w:hAnsi="Arial"/>
                <w:sz w:val="18"/>
                <w:szCs w:val="18"/>
                <w:color w:val="auto"/>
              </w:rPr>
              <w:t>1,246</w:t>
            </w:r>
          </w:p>
        </w:tc>
        <w:tc>
          <w:tcPr>
            <w:tcW w:w="12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1,402</w:t>
            </w:r>
          </w:p>
        </w:tc>
      </w:tr>
      <w:tr>
        <w:trPr>
          <w:trHeight w:val="236"/>
        </w:trPr>
        <w:tc>
          <w:tcPr>
            <w:tcW w:w="20" w:type="dxa"/>
            <w:vAlign w:val="bottom"/>
          </w:tcPr>
          <w:p>
            <w:pPr>
              <w:spacing w:after="0"/>
              <w:rPr>
                <w:sz w:val="20"/>
                <w:szCs w:val="20"/>
                <w:color w:val="auto"/>
              </w:rPr>
            </w:pPr>
          </w:p>
        </w:tc>
        <w:tc>
          <w:tcPr>
            <w:tcW w:w="61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Diluted average Common Stock</w:t>
            </w:r>
          </w:p>
        </w:tc>
        <w:tc>
          <w:tcPr>
            <w:tcW w:w="2360" w:type="dxa"/>
            <w:vAlign w:val="bottom"/>
            <w:tcBorders>
              <w:bottom w:val="single" w:sz="8" w:color="auto"/>
            </w:tcBorders>
            <w:shd w:val="clear" w:color="auto" w:fill="CCEEFF"/>
          </w:tcPr>
          <w:p>
            <w:pPr>
              <w:jc w:val="right"/>
              <w:ind w:right="530"/>
              <w:spacing w:after="0" w:line="196" w:lineRule="exact"/>
              <w:rPr>
                <w:sz w:val="20"/>
                <w:szCs w:val="20"/>
                <w:color w:val="auto"/>
              </w:rPr>
            </w:pPr>
            <w:r>
              <w:rPr>
                <w:rFonts w:ascii="Arial" w:cs="Arial" w:eastAsia="Arial" w:hAnsi="Arial"/>
                <w:sz w:val="18"/>
                <w:szCs w:val="18"/>
                <w:color w:val="auto"/>
              </w:rPr>
              <w:t>56,884</w:t>
            </w:r>
          </w:p>
        </w:tc>
        <w:tc>
          <w:tcPr>
            <w:tcW w:w="1700" w:type="dxa"/>
            <w:vAlign w:val="bottom"/>
            <w:tcBorders>
              <w:bottom w:val="single" w:sz="8" w:color="auto"/>
            </w:tcBorders>
            <w:shd w:val="clear" w:color="auto" w:fill="CCEEFF"/>
          </w:tcPr>
          <w:p>
            <w:pPr>
              <w:jc w:val="right"/>
              <w:ind w:right="510"/>
              <w:spacing w:after="0" w:line="196" w:lineRule="exact"/>
              <w:rPr>
                <w:sz w:val="20"/>
                <w:szCs w:val="20"/>
                <w:color w:val="auto"/>
              </w:rPr>
            </w:pPr>
            <w:r>
              <w:rPr>
                <w:rFonts w:ascii="Arial" w:cs="Arial" w:eastAsia="Arial" w:hAnsi="Arial"/>
                <w:sz w:val="18"/>
                <w:szCs w:val="18"/>
                <w:color w:val="auto"/>
              </w:rPr>
              <w:t>55,948</w:t>
            </w:r>
          </w:p>
        </w:tc>
        <w:tc>
          <w:tcPr>
            <w:tcW w:w="1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55,392</w:t>
            </w:r>
          </w:p>
        </w:tc>
      </w:tr>
      <w:tr>
        <w:trPr>
          <w:trHeight w:val="183"/>
        </w:trPr>
        <w:tc>
          <w:tcPr>
            <w:tcW w:w="20" w:type="dxa"/>
            <w:vAlign w:val="bottom"/>
          </w:tcPr>
          <w:p>
            <w:pPr>
              <w:spacing w:after="0"/>
              <w:rPr>
                <w:sz w:val="15"/>
                <w:szCs w:val="15"/>
                <w:color w:val="auto"/>
              </w:rPr>
            </w:pPr>
          </w:p>
        </w:tc>
        <w:tc>
          <w:tcPr>
            <w:tcW w:w="6140" w:type="dxa"/>
            <w:vAlign w:val="bottom"/>
          </w:tcPr>
          <w:p>
            <w:pPr>
              <w:spacing w:after="0" w:line="183" w:lineRule="exact"/>
              <w:rPr>
                <w:sz w:val="20"/>
                <w:szCs w:val="20"/>
                <w:color w:val="auto"/>
              </w:rPr>
            </w:pPr>
            <w:r>
              <w:rPr>
                <w:rFonts w:ascii="Arial" w:cs="Arial" w:eastAsia="Arial" w:hAnsi="Arial"/>
                <w:sz w:val="18"/>
                <w:szCs w:val="18"/>
                <w:color w:val="auto"/>
              </w:rPr>
              <w:t>Earnings per common share:</w:t>
            </w:r>
          </w:p>
        </w:tc>
        <w:tc>
          <w:tcPr>
            <w:tcW w:w="23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Basic:</w:t>
            </w:r>
          </w:p>
        </w:tc>
        <w:tc>
          <w:tcPr>
            <w:tcW w:w="2360" w:type="dxa"/>
            <w:vAlign w:val="bottom"/>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rPr>
              <w:t>0.26</w:t>
            </w:r>
          </w:p>
        </w:tc>
        <w:tc>
          <w:tcPr>
            <w:tcW w:w="1700" w:type="dxa"/>
            <w:vAlign w:val="bottom"/>
            <w:shd w:val="clear" w:color="auto" w:fill="CCEEFF"/>
          </w:tcPr>
          <w:p>
            <w:pPr>
              <w:jc w:val="right"/>
              <w:ind w:right="510"/>
              <w:spacing w:after="0" w:line="202" w:lineRule="exact"/>
              <w:rPr>
                <w:sz w:val="20"/>
                <w:szCs w:val="20"/>
                <w:color w:val="auto"/>
              </w:rPr>
            </w:pPr>
            <w:r>
              <w:rPr>
                <w:rFonts w:ascii="Arial" w:cs="Arial" w:eastAsia="Arial" w:hAnsi="Arial"/>
                <w:sz w:val="18"/>
                <w:szCs w:val="18"/>
                <w:color w:val="auto"/>
              </w:rPr>
              <w:t>0.84</w:t>
            </w:r>
          </w:p>
        </w:tc>
        <w:tc>
          <w:tcPr>
            <w:tcW w:w="1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0.51</w:t>
            </w:r>
          </w:p>
        </w:tc>
      </w:tr>
      <w:tr>
        <w:trPr>
          <w:trHeight w:val="203"/>
        </w:trPr>
        <w:tc>
          <w:tcPr>
            <w:tcW w:w="20" w:type="dxa"/>
            <w:vAlign w:val="bottom"/>
          </w:tcPr>
          <w:p>
            <w:pPr>
              <w:spacing w:after="0"/>
              <w:rPr>
                <w:sz w:val="17"/>
                <w:szCs w:val="17"/>
                <w:color w:val="auto"/>
              </w:rPr>
            </w:pPr>
          </w:p>
        </w:tc>
        <w:tc>
          <w:tcPr>
            <w:tcW w:w="6140" w:type="dxa"/>
            <w:vAlign w:val="bottom"/>
            <w:tcBorders>
              <w:bottom w:val="single" w:sz="8" w:color="auto"/>
            </w:tcBorders>
          </w:tcPr>
          <w:p>
            <w:pPr>
              <w:ind w:left="160"/>
              <w:spacing w:after="0" w:line="202" w:lineRule="exact"/>
              <w:rPr>
                <w:sz w:val="20"/>
                <w:szCs w:val="20"/>
                <w:color w:val="auto"/>
              </w:rPr>
            </w:pPr>
            <w:r>
              <w:rPr>
                <w:rFonts w:ascii="Arial" w:cs="Arial" w:eastAsia="Arial" w:hAnsi="Arial"/>
                <w:sz w:val="18"/>
                <w:szCs w:val="18"/>
                <w:color w:val="auto"/>
              </w:rPr>
              <w:t>Diluted</w:t>
            </w:r>
          </w:p>
        </w:tc>
        <w:tc>
          <w:tcPr>
            <w:tcW w:w="2360" w:type="dxa"/>
            <w:vAlign w:val="bottom"/>
            <w:tcBorders>
              <w:bottom w:val="single" w:sz="8" w:color="auto"/>
            </w:tcBorders>
          </w:tcPr>
          <w:p>
            <w:pPr>
              <w:jc w:val="right"/>
              <w:ind w:right="530"/>
              <w:spacing w:after="0" w:line="202" w:lineRule="exact"/>
              <w:rPr>
                <w:sz w:val="20"/>
                <w:szCs w:val="20"/>
                <w:color w:val="auto"/>
              </w:rPr>
            </w:pPr>
            <w:r>
              <w:rPr>
                <w:rFonts w:ascii="Arial" w:cs="Arial" w:eastAsia="Arial" w:hAnsi="Arial"/>
                <w:sz w:val="18"/>
                <w:szCs w:val="18"/>
                <w:color w:val="auto"/>
              </w:rPr>
              <w:t>0.25</w:t>
            </w:r>
          </w:p>
        </w:tc>
        <w:tc>
          <w:tcPr>
            <w:tcW w:w="1700" w:type="dxa"/>
            <w:vAlign w:val="bottom"/>
            <w:tcBorders>
              <w:bottom w:val="single" w:sz="8" w:color="auto"/>
            </w:tcBorders>
          </w:tcPr>
          <w:p>
            <w:pPr>
              <w:jc w:val="right"/>
              <w:ind w:right="510"/>
              <w:spacing w:after="0" w:line="202" w:lineRule="exact"/>
              <w:rPr>
                <w:sz w:val="20"/>
                <w:szCs w:val="20"/>
                <w:color w:val="auto"/>
              </w:rPr>
            </w:pPr>
            <w:r>
              <w:rPr>
                <w:rFonts w:ascii="Arial" w:cs="Arial" w:eastAsia="Arial" w:hAnsi="Arial"/>
                <w:sz w:val="18"/>
                <w:szCs w:val="18"/>
                <w:color w:val="auto"/>
              </w:rPr>
              <w:t>0.82</w:t>
            </w:r>
          </w:p>
        </w:tc>
        <w:tc>
          <w:tcPr>
            <w:tcW w:w="12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0.50</w:t>
            </w:r>
          </w:p>
        </w:tc>
      </w:tr>
      <w:tr>
        <w:trPr>
          <w:trHeight w:val="20"/>
        </w:trPr>
        <w:tc>
          <w:tcPr>
            <w:tcW w:w="20" w:type="dxa"/>
            <w:vAlign w:val="bottom"/>
          </w:tcPr>
          <w:p>
            <w:pPr>
              <w:spacing w:after="0" w:line="20" w:lineRule="exact"/>
              <w:rPr>
                <w:sz w:val="1"/>
                <w:szCs w:val="1"/>
                <w:color w:val="auto"/>
              </w:rPr>
            </w:pPr>
          </w:p>
        </w:tc>
        <w:tc>
          <w:tcPr>
            <w:tcW w:w="614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For 2019, 2018 and 2017, we had 6,384,000, 7,206,000 and 7,577,000 weighted average shares, respectively, not considered in the computation of diluted earnings per common share because the exercise prices of the related stock options and Warrants were in excess of the fair market value of our Common Stock.</w:t>
      </w:r>
    </w:p>
    <w:p>
      <w:pPr>
        <w:spacing w:after="0" w:line="200" w:lineRule="exact"/>
        <w:rPr>
          <w:sz w:val="20"/>
          <w:szCs w:val="20"/>
          <w:color w:val="auto"/>
        </w:rPr>
      </w:pPr>
    </w:p>
    <w:p>
      <w:pPr>
        <w:spacing w:after="0" w:line="2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ALLOWANCE FOR DOUBTFUL ACCOUNTS</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Valuation and qualifying account information related to the allowance for doubtful accounts receivable related to continuing operations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460" w:type="dxa"/>
            <w:vAlign w:val="bottom"/>
            <w:gridSpan w:val="2"/>
          </w:tcPr>
          <w:p>
            <w:pPr>
              <w:spacing w:after="0"/>
              <w:rPr>
                <w:sz w:val="20"/>
                <w:szCs w:val="20"/>
                <w:color w:val="auto"/>
              </w:rPr>
            </w:pPr>
            <w:r>
              <w:rPr>
                <w:rFonts w:ascii="Arial" w:cs="Arial" w:eastAsia="Arial" w:hAnsi="Arial"/>
                <w:sz w:val="18"/>
                <w:szCs w:val="18"/>
                <w:i w:val="1"/>
                <w:iCs w:val="1"/>
                <w:color w:val="auto"/>
              </w:rPr>
              <w:t>(Thousands of Dollars)</w:t>
            </w:r>
          </w:p>
        </w:tc>
        <w:tc>
          <w:tcPr>
            <w:tcW w:w="278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1700" w:type="dxa"/>
            <w:vAlign w:val="bottom"/>
          </w:tcPr>
          <w:p>
            <w:pPr>
              <w:jc w:val="right"/>
              <w:ind w:right="230"/>
              <w:spacing w:after="0"/>
              <w:rPr>
                <w:sz w:val="20"/>
                <w:szCs w:val="20"/>
                <w:color w:val="auto"/>
              </w:rPr>
            </w:pPr>
            <w:r>
              <w:rPr>
                <w:rFonts w:ascii="Arial" w:cs="Arial" w:eastAsia="Arial" w:hAnsi="Arial"/>
                <w:sz w:val="18"/>
                <w:szCs w:val="18"/>
                <w:color w:val="auto"/>
              </w:rPr>
              <w:t>2018</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440" w:type="dxa"/>
            <w:vAlign w:val="bottom"/>
            <w:tcBorders>
              <w:top w:val="single" w:sz="8" w:color="auto"/>
            </w:tcBorders>
          </w:tcPr>
          <w:p>
            <w:pPr>
              <w:spacing w:after="0"/>
              <w:rPr>
                <w:sz w:val="17"/>
                <w:szCs w:val="17"/>
                <w:color w:val="auto"/>
              </w:rPr>
            </w:pPr>
          </w:p>
        </w:tc>
        <w:tc>
          <w:tcPr>
            <w:tcW w:w="278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year</w:t>
            </w:r>
          </w:p>
        </w:tc>
        <w:tc>
          <w:tcPr>
            <w:tcW w:w="278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4,806</w:t>
            </w:r>
          </w:p>
        </w:tc>
        <w:tc>
          <w:tcPr>
            <w:tcW w:w="170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4,796</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4,327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spacing w:after="0" w:line="202" w:lineRule="exact"/>
              <w:rPr>
                <w:sz w:val="20"/>
                <w:szCs w:val="20"/>
                <w:color w:val="auto"/>
              </w:rPr>
            </w:pPr>
            <w:r>
              <w:rPr>
                <w:rFonts w:ascii="Arial" w:cs="Arial" w:eastAsia="Arial" w:hAnsi="Arial"/>
                <w:sz w:val="18"/>
                <w:szCs w:val="18"/>
                <w:color w:val="auto"/>
              </w:rPr>
              <w:t>Additions charged to expense</w:t>
            </w:r>
          </w:p>
        </w:tc>
        <w:tc>
          <w:tcPr>
            <w:tcW w:w="27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2,751</w:t>
            </w:r>
          </w:p>
        </w:tc>
        <w:tc>
          <w:tcPr>
            <w:tcW w:w="17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1,952</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Deductions from reserves</w:t>
            </w:r>
          </w:p>
        </w:tc>
        <w:tc>
          <w:tcPr>
            <w:tcW w:w="278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(1,123)</w:t>
            </w:r>
          </w:p>
        </w:tc>
        <w:tc>
          <w:tcPr>
            <w:tcW w:w="170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(1,942)</w:t>
            </w:r>
          </w:p>
        </w:tc>
        <w:tc>
          <w:tcPr>
            <w:tcW w:w="1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4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Balance, end of year</w:t>
            </w:r>
          </w:p>
        </w:tc>
        <w:tc>
          <w:tcPr>
            <w:tcW w:w="278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6,434</w:t>
            </w:r>
          </w:p>
        </w:tc>
        <w:tc>
          <w:tcPr>
            <w:tcW w:w="17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4,806</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4,796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15  OTHER INFORMATION</w:t>
            </w:r>
          </w:p>
        </w:tc>
        <w:tc>
          <w:tcPr>
            <w:tcW w:w="2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460" w:type="dxa"/>
            <w:vAlign w:val="bottom"/>
            <w:gridSpan w:val="2"/>
          </w:tcPr>
          <w:p>
            <w:pPr>
              <w:spacing w:after="0"/>
              <w:rPr>
                <w:sz w:val="20"/>
                <w:szCs w:val="20"/>
                <w:color w:val="auto"/>
              </w:rPr>
            </w:pPr>
            <w:r>
              <w:rPr>
                <w:rFonts w:ascii="Arial" w:cs="Arial" w:eastAsia="Arial" w:hAnsi="Arial"/>
                <w:sz w:val="18"/>
                <w:szCs w:val="18"/>
                <w:color w:val="auto"/>
              </w:rPr>
              <w:t>Compensation and other accrued liabilities consist of the following:</w:t>
            </w:r>
          </w:p>
        </w:tc>
        <w:tc>
          <w:tcPr>
            <w:tcW w:w="2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70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September 29</w:t>
            </w:r>
          </w:p>
        </w:tc>
        <w:tc>
          <w:tcPr>
            <w:tcW w:w="14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03"/>
        </w:trPr>
        <w:tc>
          <w:tcPr>
            <w:tcW w:w="5460" w:type="dxa"/>
            <w:vAlign w:val="bottom"/>
            <w:gridSpan w:val="2"/>
          </w:tcPr>
          <w:p>
            <w:pPr>
              <w:spacing w:after="0"/>
              <w:rPr>
                <w:sz w:val="20"/>
                <w:szCs w:val="20"/>
                <w:color w:val="auto"/>
              </w:rPr>
            </w:pPr>
            <w:r>
              <w:rPr>
                <w:rFonts w:ascii="Arial" w:cs="Arial" w:eastAsia="Arial" w:hAnsi="Arial"/>
                <w:sz w:val="16"/>
                <w:szCs w:val="16"/>
                <w:i w:val="1"/>
                <w:iCs w:val="1"/>
                <w:color w:val="auto"/>
              </w:rPr>
              <w:t>(Thousands of Dollars)</w:t>
            </w:r>
          </w:p>
        </w:tc>
        <w:tc>
          <w:tcPr>
            <w:tcW w:w="2780" w:type="dxa"/>
            <w:vAlign w:val="bottom"/>
          </w:tcPr>
          <w:p>
            <w:pPr>
              <w:spacing w:after="0"/>
              <w:rPr>
                <w:sz w:val="17"/>
                <w:szCs w:val="17"/>
                <w:color w:val="auto"/>
              </w:rPr>
            </w:pPr>
          </w:p>
        </w:tc>
        <w:tc>
          <w:tcPr>
            <w:tcW w:w="1700" w:type="dxa"/>
            <w:vAlign w:val="bottom"/>
          </w:tcPr>
          <w:p>
            <w:pPr>
              <w:jc w:val="right"/>
              <w:ind w:right="230"/>
              <w:spacing w:after="0" w:line="203" w:lineRule="exact"/>
              <w:rPr>
                <w:sz w:val="20"/>
                <w:szCs w:val="20"/>
                <w:color w:val="auto"/>
              </w:rPr>
            </w:pPr>
            <w:r>
              <w:rPr>
                <w:rFonts w:ascii="Arial" w:cs="Arial" w:eastAsia="Arial" w:hAnsi="Arial"/>
                <w:sz w:val="18"/>
                <w:szCs w:val="18"/>
                <w:color w:val="auto"/>
              </w:rPr>
              <w:t>2019</w:t>
            </w:r>
          </w:p>
        </w:tc>
        <w:tc>
          <w:tcPr>
            <w:tcW w:w="1480" w:type="dxa"/>
            <w:vAlign w:val="bottom"/>
          </w:tcPr>
          <w:p>
            <w:pPr>
              <w:jc w:val="right"/>
              <w:ind w:right="10"/>
              <w:spacing w:after="0" w:line="203" w:lineRule="exact"/>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440" w:type="dxa"/>
            <w:vAlign w:val="bottom"/>
            <w:tcBorders>
              <w:top w:val="single" w:sz="8" w:color="auto"/>
            </w:tcBorders>
          </w:tcPr>
          <w:p>
            <w:pPr>
              <w:spacing w:after="0"/>
              <w:rPr>
                <w:sz w:val="17"/>
                <w:szCs w:val="17"/>
                <w:color w:val="auto"/>
              </w:rPr>
            </w:pPr>
          </w:p>
        </w:tc>
        <w:tc>
          <w:tcPr>
            <w:tcW w:w="278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Compensation</w:t>
            </w:r>
          </w:p>
        </w:tc>
        <w:tc>
          <w:tcPr>
            <w:tcW w:w="278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9,170</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10,363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spacing w:after="0" w:line="202" w:lineRule="exact"/>
              <w:rPr>
                <w:sz w:val="20"/>
                <w:szCs w:val="20"/>
                <w:color w:val="auto"/>
              </w:rPr>
            </w:pPr>
            <w:r>
              <w:rPr>
                <w:rFonts w:ascii="Arial" w:cs="Arial" w:eastAsia="Arial" w:hAnsi="Arial"/>
                <w:sz w:val="18"/>
                <w:szCs w:val="18"/>
                <w:color w:val="auto"/>
              </w:rPr>
              <w:t>Retirement plans</w:t>
            </w:r>
          </w:p>
        </w:tc>
        <w:tc>
          <w:tcPr>
            <w:tcW w:w="2780" w:type="dxa"/>
            <w:vAlign w:val="bottom"/>
          </w:tcPr>
          <w:p>
            <w:pPr>
              <w:spacing w:after="0"/>
              <w:rPr>
                <w:sz w:val="17"/>
                <w:szCs w:val="17"/>
                <w:color w:val="auto"/>
              </w:rPr>
            </w:pPr>
          </w:p>
        </w:tc>
        <w:tc>
          <w:tcPr>
            <w:tcW w:w="17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2,637</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78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5,904</w:t>
            </w:r>
          </w:p>
        </w:tc>
        <w:tc>
          <w:tcPr>
            <w:tcW w:w="14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6,605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17,711</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19,641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780" w:type="dxa"/>
            <w:vAlign w:val="bottom"/>
          </w:tcPr>
          <w:p>
            <w:pPr>
              <w:jc w:val="right"/>
              <w:ind w:right="2330"/>
              <w:spacing w:after="0"/>
              <w:rPr>
                <w:sz w:val="20"/>
                <w:szCs w:val="20"/>
                <w:color w:val="auto"/>
              </w:rPr>
            </w:pPr>
            <w:r>
              <w:rPr>
                <w:rFonts w:ascii="Arial" w:cs="Arial" w:eastAsia="Arial" w:hAnsi="Arial"/>
                <w:sz w:val="18"/>
                <w:szCs w:val="18"/>
                <w:color w:val="auto"/>
              </w:rPr>
              <w:t>70</w:t>
            </w:r>
          </w:p>
        </w:tc>
        <w:tc>
          <w:tcPr>
            <w:tcW w:w="1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40" w:type="dxa"/>
            <w:vAlign w:val="bottom"/>
            <w:tcBorders>
              <w:bottom w:val="single" w:sz="8" w:color="auto"/>
            </w:tcBorders>
          </w:tcPr>
          <w:p>
            <w:pPr>
              <w:spacing w:after="0"/>
              <w:rPr>
                <w:sz w:val="8"/>
                <w:szCs w:val="8"/>
                <w:color w:val="auto"/>
              </w:rPr>
            </w:pPr>
          </w:p>
        </w:tc>
        <w:tc>
          <w:tcPr>
            <w:tcW w:w="278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98"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Supplemental cash flow information includes the following cash payments: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Borders>
              <w:top w:val="single" w:sz="8" w:color="auto"/>
            </w:tcBorders>
            <w:gridSpan w:val="2"/>
          </w:tcPr>
          <w:p>
            <w:pPr>
              <w:spacing w:after="0"/>
              <w:rPr>
                <w:sz w:val="20"/>
                <w:szCs w:val="20"/>
                <w:color w:val="auto"/>
              </w:rPr>
            </w:pPr>
            <w:r>
              <w:rPr>
                <w:rFonts w:ascii="Arial" w:cs="Arial" w:eastAsia="Arial" w:hAnsi="Arial"/>
                <w:sz w:val="18"/>
                <w:szCs w:val="18"/>
                <w:i w:val="1"/>
                <w:iCs w:val="1"/>
                <w:color w:val="auto"/>
              </w:rPr>
              <w:t>(Thousands of Dollars)</w:t>
            </w:r>
          </w:p>
        </w:tc>
        <w:tc>
          <w:tcPr>
            <w:tcW w:w="324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17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240" w:type="dxa"/>
            <w:vAlign w:val="bottom"/>
            <w:tcBorders>
              <w:top w:val="single" w:sz="8" w:color="auto"/>
            </w:tcBorders>
          </w:tcPr>
          <w:p>
            <w:pPr>
              <w:spacing w:after="0"/>
              <w:rPr>
                <w:sz w:val="17"/>
                <w:szCs w:val="17"/>
                <w:color w:val="auto"/>
              </w:rPr>
            </w:pPr>
          </w:p>
        </w:tc>
        <w:tc>
          <w:tcPr>
            <w:tcW w:w="324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w:t>
            </w:r>
          </w:p>
        </w:tc>
        <w:tc>
          <w:tcPr>
            <w:tcW w:w="3240" w:type="dxa"/>
            <w:vAlign w:val="bottom"/>
            <w:shd w:val="clear" w:color="auto" w:fill="CCEEFF"/>
          </w:tcPr>
          <w:p>
            <w:pPr>
              <w:jc w:val="right"/>
              <w:ind w:right="510"/>
              <w:spacing w:after="0" w:line="202" w:lineRule="exact"/>
              <w:rPr>
                <w:sz w:val="20"/>
                <w:szCs w:val="20"/>
                <w:color w:val="auto"/>
              </w:rPr>
            </w:pPr>
            <w:r>
              <w:rPr>
                <w:rFonts w:ascii="Arial" w:cs="Arial" w:eastAsia="Arial" w:hAnsi="Arial"/>
                <w:sz w:val="18"/>
                <w:szCs w:val="18"/>
                <w:color w:val="auto"/>
              </w:rPr>
              <w:t>47,555</w:t>
            </w:r>
          </w:p>
        </w:tc>
        <w:tc>
          <w:tcPr>
            <w:tcW w:w="1700" w:type="dxa"/>
            <w:vAlign w:val="bottom"/>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rPr>
              <w:t>52,180</w:t>
            </w:r>
          </w:p>
        </w:tc>
        <w:tc>
          <w:tcPr>
            <w:tcW w:w="1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58,844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tcPr>
          <w:p>
            <w:pPr>
              <w:spacing w:after="0" w:line="202" w:lineRule="exact"/>
              <w:rPr>
                <w:sz w:val="20"/>
                <w:szCs w:val="20"/>
                <w:color w:val="auto"/>
              </w:rPr>
            </w:pPr>
            <w:r>
              <w:rPr>
                <w:rFonts w:ascii="Arial" w:cs="Arial" w:eastAsia="Arial" w:hAnsi="Arial"/>
                <w:sz w:val="18"/>
                <w:szCs w:val="18"/>
                <w:color w:val="auto"/>
              </w:rPr>
              <w:t>Debt financing and reorganization costs</w:t>
            </w:r>
          </w:p>
        </w:tc>
        <w:tc>
          <w:tcPr>
            <w:tcW w:w="324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1,773</w:t>
            </w:r>
          </w:p>
        </w:tc>
        <w:tc>
          <w:tcPr>
            <w:tcW w:w="170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437</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Income tax payments, net</w:t>
            </w:r>
          </w:p>
        </w:tc>
        <w:tc>
          <w:tcPr>
            <w:tcW w:w="3240" w:type="dxa"/>
            <w:vAlign w:val="bottom"/>
            <w:tcBorders>
              <w:bottom w:val="single" w:sz="8" w:color="auto"/>
            </w:tcBorders>
            <w:shd w:val="clear" w:color="auto" w:fill="CCEEFF"/>
          </w:tcPr>
          <w:p>
            <w:pPr>
              <w:jc w:val="right"/>
              <w:ind w:right="510"/>
              <w:spacing w:after="0" w:line="202" w:lineRule="exact"/>
              <w:rPr>
                <w:sz w:val="20"/>
                <w:szCs w:val="20"/>
                <w:color w:val="auto"/>
              </w:rPr>
            </w:pPr>
            <w:r>
              <w:rPr>
                <w:rFonts w:ascii="Arial" w:cs="Arial" w:eastAsia="Arial" w:hAnsi="Arial"/>
                <w:sz w:val="18"/>
                <w:szCs w:val="18"/>
                <w:color w:val="auto"/>
              </w:rPr>
              <w:t>8,439</w:t>
            </w:r>
          </w:p>
        </w:tc>
        <w:tc>
          <w:tcPr>
            <w:tcW w:w="1700" w:type="dxa"/>
            <w:vAlign w:val="bottom"/>
            <w:tcBorders>
              <w:bottom w:val="single" w:sz="8" w:color="auto"/>
            </w:tcBorders>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rPr>
              <w:t>464</w:t>
            </w:r>
          </w:p>
        </w:tc>
        <w:tc>
          <w:tcPr>
            <w:tcW w:w="12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Accumulated other comprehensive income (loss), net of deferred income taxes at September 29, 2019 and September 30, 2018, is related to pension and postretirement benefits.</w:t>
      </w:r>
    </w:p>
    <w:p>
      <w:pPr>
        <w:spacing w:after="0" w:line="200" w:lineRule="exact"/>
        <w:rPr>
          <w:sz w:val="20"/>
          <w:szCs w:val="20"/>
          <w:color w:val="auto"/>
        </w:rPr>
      </w:pPr>
    </w:p>
    <w:p>
      <w:pPr>
        <w:spacing w:after="0" w:line="205" w:lineRule="exact"/>
        <w:rPr>
          <w:sz w:val="20"/>
          <w:szCs w:val="20"/>
          <w:color w:val="auto"/>
        </w:rPr>
      </w:pPr>
    </w:p>
    <w:p>
      <w:pPr>
        <w:ind w:right="6900" w:firstLine="8"/>
        <w:spacing w:after="0" w:line="482" w:lineRule="auto"/>
        <w:tabs>
          <w:tab w:leader="none" w:pos="4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 Operating Leases</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operating lease commitments for certain of our office, production and distribution facilities. Management expects that in the normal course of business, existing leases will be renewed or replaced. Minimum lease payments during the five years ending September 2024 and thereafter are $3,403,000, $ 2,290,000, $2,238,000, $1,637,000, $1,367,000 and $4,991,000, respectively. In 2019, 2018 and 2017 total operating lease expense was $4,993,000, $4,064,000 and $3,866,000,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At September 29, 2019, we had construction and equipment purchase commitments totaling approximately $1,642,000.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0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 xml:space="preserve">Commitments exclude unrecognized tax benefits to be recorded in accordance with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We are unable to reasonably estimate the ultimate amount or timing of cash settlements with the respective taxing authorities for such matters. See Note 11.</w:t>
      </w:r>
    </w:p>
    <w:p>
      <w:pPr>
        <w:spacing w:after="0" w:line="16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file income tax returns with the Internal Revenue Service ("IRS") and various state tax jurisdictions. From time to time, we are subject to routine audits by those agencies, and those audits may result in proposed adjustments. We have considered the alternative interpretations that may be assumed by the various taxing agencies, believe our positions taken regarding our filings are valid, and that adequate tax liabilities have been recorded to resolve such matters. However, the actual outcome cannot be determined with certainty and the difference could be material, either positively or negatively, to the Consolidated Statements of Income and Comprehensive Income (Loss) in the periods in which such matters are ultimately determined. We do not believe the final resolution of such matters will be material to our consolidated financial position or cash flows.</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have various income tax examinations ongoing and at various stages of completion, but generally our income tax returns have been audited or closed to audit through 2013.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not have a material adverse effect on our Consolidated Financial Statements, taken as a whole.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Multiemployer Pension Plans</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effectuated a total withdrawal from the CWA/ITU plan in 2019 as discussed in Note 8. As a result, we are subject to a claim from the multiemployer pension plan for a withdrawal liability. The amount and timing of such liability will be dependent on actions taken, or not taken, by the Company and the pension plan, as well as the future investment performance and funding status of the plan. In 2019, we accrued a liability of $3,255,000 related to this withdrawal. The withdrawal liability determined to be due under this plan will be funded over a period of 20 years.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73" w:name="page74"/>
    <w:bookmarkEnd w:id="73"/>
    <w:p>
      <w:pPr>
        <w:spacing w:after="0"/>
        <w:tabs>
          <w:tab w:leader="none" w:pos="3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7"/>
          <w:szCs w:val="17"/>
          <w:b w:val="1"/>
          <w:bCs w:val="1"/>
          <w:color w:val="auto"/>
        </w:rPr>
        <w:t>QUARTERLY FINANCIAL DATA (UNAUDITED)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Per share amounts may not add due to rounding.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60" w:type="dxa"/>
            <w:vAlign w:val="bottom"/>
            <w:tcBorders>
              <w:top w:val="single" w:sz="8" w:color="auto"/>
              <w:bottom w:val="single" w:sz="8" w:color="auto"/>
            </w:tcBorders>
          </w:tcPr>
          <w:p>
            <w:pPr>
              <w:spacing w:after="0"/>
              <w:rPr>
                <w:sz w:val="18"/>
                <w:szCs w:val="18"/>
                <w:color w:val="auto"/>
              </w:rPr>
            </w:pPr>
          </w:p>
        </w:tc>
        <w:tc>
          <w:tcPr>
            <w:tcW w:w="25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Quarter Ended</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0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i w:val="1"/>
                <w:iCs w:val="1"/>
                <w:color w:val="auto"/>
              </w:rPr>
              <w:t>(Thousands of Dollars, Except Per Common Share Data)</w:t>
            </w:r>
          </w:p>
        </w:tc>
        <w:tc>
          <w:tcPr>
            <w:tcW w:w="25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December</w:t>
            </w:r>
          </w:p>
        </w:tc>
        <w:tc>
          <w:tcPr>
            <w:tcW w:w="140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March</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June</w:t>
            </w:r>
          </w:p>
        </w:tc>
        <w:tc>
          <w:tcPr>
            <w:tcW w:w="13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September</w:t>
            </w:r>
          </w:p>
        </w:tc>
        <w:tc>
          <w:tcPr>
            <w:tcW w:w="0" w:type="dxa"/>
            <w:vAlign w:val="bottom"/>
          </w:tcPr>
          <w:p>
            <w:pPr>
              <w:spacing w:after="0"/>
              <w:rPr>
                <w:sz w:val="1"/>
                <w:szCs w:val="1"/>
                <w:color w:val="auto"/>
              </w:rPr>
            </w:pPr>
          </w:p>
        </w:tc>
      </w:tr>
      <w:tr>
        <w:trPr>
          <w:trHeight w:val="399"/>
        </w:trPr>
        <w:tc>
          <w:tcPr>
            <w:tcW w:w="5080" w:type="dxa"/>
            <w:vAlign w:val="bottom"/>
            <w:gridSpan w:val="2"/>
          </w:tcPr>
          <w:p>
            <w:pPr>
              <w:spacing w:after="0"/>
              <w:rPr>
                <w:sz w:val="20"/>
                <w:szCs w:val="20"/>
                <w:color w:val="auto"/>
              </w:rPr>
            </w:pPr>
            <w:r>
              <w:rPr>
                <w:rFonts w:ascii="Arial" w:cs="Arial" w:eastAsia="Arial" w:hAnsi="Arial"/>
                <w:sz w:val="18"/>
                <w:szCs w:val="18"/>
                <w:color w:val="auto"/>
              </w:rPr>
              <w:t>2019</w:t>
            </w:r>
          </w:p>
        </w:tc>
        <w:tc>
          <w:tcPr>
            <w:tcW w:w="2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06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Operating revenue</w:t>
            </w:r>
          </w:p>
        </w:tc>
        <w:tc>
          <w:tcPr>
            <w:tcW w:w="252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136,201</w:t>
            </w:r>
          </w:p>
        </w:tc>
        <w:tc>
          <w:tcPr>
            <w:tcW w:w="140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122,704</w:t>
            </w: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127,284</w:t>
            </w:r>
          </w:p>
        </w:tc>
        <w:tc>
          <w:tcPr>
            <w:tcW w:w="13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123,665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06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Net income</w:t>
            </w:r>
          </w:p>
        </w:tc>
        <w:tc>
          <w:tcPr>
            <w:tcW w:w="252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10,719</w:t>
            </w:r>
          </w:p>
        </w:tc>
        <w:tc>
          <w:tcPr>
            <w:tcW w:w="140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(2,327)</w:t>
            </w: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6,172</w:t>
            </w:r>
          </w:p>
        </w:tc>
        <w:tc>
          <w:tcPr>
            <w:tcW w:w="13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06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Income attributable to Lee Enterprises, Incorporated</w:t>
            </w:r>
          </w:p>
        </w:tc>
        <w:tc>
          <w:tcPr>
            <w:tcW w:w="252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10,361</w:t>
            </w:r>
          </w:p>
        </w:tc>
        <w:tc>
          <w:tcPr>
            <w:tcW w:w="140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(2,678)</w:t>
            </w: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5,766</w:t>
            </w:r>
          </w:p>
        </w:tc>
        <w:tc>
          <w:tcPr>
            <w:tcW w:w="13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06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60" w:type="dxa"/>
            <w:vAlign w:val="bottom"/>
          </w:tcPr>
          <w:p>
            <w:pPr>
              <w:spacing w:after="0" w:line="202" w:lineRule="exact"/>
              <w:rPr>
                <w:sz w:val="20"/>
                <w:szCs w:val="20"/>
                <w:color w:val="auto"/>
              </w:rPr>
            </w:pPr>
            <w:r>
              <w:rPr>
                <w:rFonts w:ascii="Arial" w:cs="Arial" w:eastAsia="Arial" w:hAnsi="Arial"/>
                <w:sz w:val="18"/>
                <w:szCs w:val="18"/>
                <w:color w:val="auto"/>
              </w:rPr>
              <w:t>Earnings per common share:</w:t>
            </w:r>
          </w:p>
        </w:tc>
        <w:tc>
          <w:tcPr>
            <w:tcW w:w="25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Basic</w:t>
            </w:r>
          </w:p>
        </w:tc>
        <w:tc>
          <w:tcPr>
            <w:tcW w:w="25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0.19</w:t>
            </w:r>
          </w:p>
        </w:tc>
        <w:tc>
          <w:tcPr>
            <w:tcW w:w="140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(0.05)</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0.10</w:t>
            </w:r>
          </w:p>
        </w:tc>
        <w:tc>
          <w:tcPr>
            <w:tcW w:w="13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tcPr>
          <w:p>
            <w:pPr>
              <w:ind w:left="160"/>
              <w:spacing w:after="0" w:line="202" w:lineRule="exact"/>
              <w:rPr>
                <w:sz w:val="20"/>
                <w:szCs w:val="20"/>
                <w:color w:val="auto"/>
              </w:rPr>
            </w:pPr>
            <w:r>
              <w:rPr>
                <w:rFonts w:ascii="Arial" w:cs="Arial" w:eastAsia="Arial" w:hAnsi="Arial"/>
                <w:sz w:val="18"/>
                <w:szCs w:val="18"/>
                <w:color w:val="auto"/>
              </w:rPr>
              <w:t>Diluted</w:t>
            </w:r>
          </w:p>
        </w:tc>
        <w:tc>
          <w:tcPr>
            <w:tcW w:w="25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0.18</w:t>
            </w:r>
          </w:p>
        </w:tc>
        <w:tc>
          <w:tcPr>
            <w:tcW w:w="14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(0.05)</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0.10</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06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60" w:type="dxa"/>
            <w:vAlign w:val="bottom"/>
          </w:tcPr>
          <w:p>
            <w:pPr>
              <w:spacing w:after="0" w:line="202" w:lineRule="exact"/>
              <w:rPr>
                <w:sz w:val="20"/>
                <w:szCs w:val="20"/>
                <w:color w:val="auto"/>
              </w:rPr>
            </w:pPr>
            <w:r>
              <w:rPr>
                <w:rFonts w:ascii="Arial" w:cs="Arial" w:eastAsia="Arial" w:hAnsi="Arial"/>
                <w:sz w:val="18"/>
                <w:szCs w:val="18"/>
                <w:color w:val="auto"/>
              </w:rPr>
              <w:t>2018</w:t>
            </w:r>
          </w:p>
        </w:tc>
        <w:tc>
          <w:tcPr>
            <w:tcW w:w="25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06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Operating revenue</w:t>
            </w:r>
          </w:p>
        </w:tc>
        <w:tc>
          <w:tcPr>
            <w:tcW w:w="252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143,786</w:t>
            </w:r>
          </w:p>
        </w:tc>
        <w:tc>
          <w:tcPr>
            <w:tcW w:w="140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127,805</w:t>
            </w: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132,618</w:t>
            </w:r>
          </w:p>
        </w:tc>
        <w:tc>
          <w:tcPr>
            <w:tcW w:w="13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139,746</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06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Net income</w:t>
            </w:r>
          </w:p>
        </w:tc>
        <w:tc>
          <w:tcPr>
            <w:tcW w:w="252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35,327</w:t>
            </w:r>
          </w:p>
        </w:tc>
        <w:tc>
          <w:tcPr>
            <w:tcW w:w="140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2,533</w:t>
            </w: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4,750</w:t>
            </w:r>
          </w:p>
        </w:tc>
        <w:tc>
          <w:tcPr>
            <w:tcW w:w="13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4,438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06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Income attributable to Lee Enterprises, Incorporated</w:t>
            </w:r>
          </w:p>
        </w:tc>
        <w:tc>
          <w:tcPr>
            <w:tcW w:w="252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35,003</w:t>
            </w:r>
          </w:p>
        </w:tc>
        <w:tc>
          <w:tcPr>
            <w:tcW w:w="140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2,239</w:t>
            </w: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4,458</w:t>
            </w:r>
          </w:p>
        </w:tc>
        <w:tc>
          <w:tcPr>
            <w:tcW w:w="13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4,066</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06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60" w:type="dxa"/>
            <w:vAlign w:val="bottom"/>
          </w:tcPr>
          <w:p>
            <w:pPr>
              <w:spacing w:after="0" w:line="202" w:lineRule="exact"/>
              <w:rPr>
                <w:sz w:val="20"/>
                <w:szCs w:val="20"/>
                <w:color w:val="auto"/>
              </w:rPr>
            </w:pPr>
            <w:r>
              <w:rPr>
                <w:rFonts w:ascii="Arial" w:cs="Arial" w:eastAsia="Arial" w:hAnsi="Arial"/>
                <w:sz w:val="18"/>
                <w:szCs w:val="18"/>
                <w:color w:val="auto"/>
              </w:rPr>
              <w:t>Earnings (loss) per common share:</w:t>
            </w:r>
          </w:p>
        </w:tc>
        <w:tc>
          <w:tcPr>
            <w:tcW w:w="25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Basic</w:t>
            </w:r>
          </w:p>
        </w:tc>
        <w:tc>
          <w:tcPr>
            <w:tcW w:w="25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0.64</w:t>
            </w:r>
          </w:p>
        </w:tc>
        <w:tc>
          <w:tcPr>
            <w:tcW w:w="140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0.04</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0.08</w:t>
            </w:r>
          </w:p>
        </w:tc>
        <w:tc>
          <w:tcPr>
            <w:tcW w:w="13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tcBorders>
              <w:bottom w:val="single" w:sz="8" w:color="auto"/>
            </w:tcBorders>
          </w:tcPr>
          <w:p>
            <w:pPr>
              <w:ind w:left="160"/>
              <w:spacing w:after="0" w:line="202" w:lineRule="exact"/>
              <w:rPr>
                <w:sz w:val="20"/>
                <w:szCs w:val="20"/>
                <w:color w:val="auto"/>
              </w:rPr>
            </w:pPr>
            <w:r>
              <w:rPr>
                <w:rFonts w:ascii="Arial" w:cs="Arial" w:eastAsia="Arial" w:hAnsi="Arial"/>
                <w:sz w:val="18"/>
                <w:szCs w:val="18"/>
                <w:color w:val="auto"/>
              </w:rPr>
              <w:t>Diluted</w:t>
            </w:r>
          </w:p>
        </w:tc>
        <w:tc>
          <w:tcPr>
            <w:tcW w:w="252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0.63</w:t>
            </w:r>
          </w:p>
        </w:tc>
        <w:tc>
          <w:tcPr>
            <w:tcW w:w="140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0.04</w:t>
            </w: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0.08</w:t>
            </w:r>
          </w:p>
        </w:tc>
        <w:tc>
          <w:tcPr>
            <w:tcW w:w="13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520" w:type="dxa"/>
            <w:vAlign w:val="bottom"/>
          </w:tcPr>
          <w:p>
            <w:pPr>
              <w:jc w:val="right"/>
              <w:ind w:right="1690"/>
              <w:spacing w:after="0"/>
              <w:rPr>
                <w:sz w:val="20"/>
                <w:szCs w:val="20"/>
                <w:color w:val="auto"/>
              </w:rPr>
            </w:pPr>
            <w:r>
              <w:rPr>
                <w:rFonts w:ascii="Arial" w:cs="Arial" w:eastAsia="Arial" w:hAnsi="Arial"/>
                <w:sz w:val="18"/>
                <w:szCs w:val="18"/>
                <w:color w:val="auto"/>
              </w:rPr>
              <w:t>72</w:t>
            </w: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Borders>
              <w:bottom w:val="single" w:sz="8" w:color="auto"/>
            </w:tcBorders>
          </w:tcPr>
          <w:p>
            <w:pPr>
              <w:spacing w:after="0"/>
              <w:rPr>
                <w:sz w:val="8"/>
                <w:szCs w:val="8"/>
                <w:color w:val="auto"/>
              </w:rPr>
            </w:pPr>
          </w:p>
        </w:tc>
        <w:tc>
          <w:tcPr>
            <w:tcW w:w="252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19" w:right="239" w:bottom="1440" w:gutter="0" w:footer="0" w:header="0"/>
        </w:sectPr>
      </w:pPr>
    </w:p>
    <w:bookmarkStart w:id="74" w:name="page75"/>
    <w:bookmarkEnd w:id="74"/>
    <w:p>
      <w:pPr>
        <w:ind w:left="30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Lee Enterprises, Incorporated:</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21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have audited the accompanying consolidated balance sheets of Lee Enterprises, Incorporated and subsidiaries (the Company) as of September 29, 2019 and September 30, 2018, the related consolidated statements of income, comprehensive income, stockholders’ equity (deficit), and cash flows for the 52-week period ended September 29, 2019, the 53-week period ended September 30, 2018 and the 52-week period ended September 24, 2017 and the related notes (collectively, the consolidated financial statements). In our opinion, the consolidated financial statements present fairly, in all material respects, the financial position of the Company as of September 29, 2019 and September 30, 2018, and the results of its operations and its cash flows for the 52-week period ended September 29, 2019, the 53-week period ended September 30, 2018 and the 52-week period ended September 24, 2017, in conformity with U.S. generally accepted accounting principles.</w:t>
      </w:r>
    </w:p>
    <w:p>
      <w:pPr>
        <w:spacing w:after="0" w:line="19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September 29, 2019,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December 13,</w:t>
      </w:r>
      <w:r>
        <w:rPr>
          <w:rFonts w:ascii="Arial" w:cs="Arial" w:eastAsia="Arial" w:hAnsi="Arial"/>
          <w:sz w:val="18"/>
          <w:szCs w:val="18"/>
          <w:i w:val="1"/>
          <w:iCs w:val="1"/>
          <w:color w:val="auto"/>
        </w:rPr>
        <w:t xml:space="preserve"> </w:t>
      </w:r>
      <w:r>
        <w:rPr>
          <w:rFonts w:ascii="Arial" w:cs="Arial" w:eastAsia="Arial" w:hAnsi="Arial"/>
          <w:sz w:val="18"/>
          <w:szCs w:val="18"/>
          <w:color w:val="auto"/>
        </w:rPr>
        <w:t>2019 expressed an unqualified opinion on the effectiveness of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1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rPr>
          <w:sz w:val="20"/>
          <w:szCs w:val="20"/>
          <w:color w:val="auto"/>
        </w:rPr>
      </w:pPr>
      <w:r>
        <w:rPr>
          <w:rFonts w:ascii="Arial" w:cs="Arial" w:eastAsia="Arial" w:hAnsi="Arial"/>
          <w:sz w:val="18"/>
          <w:szCs w:val="18"/>
          <w:color w:val="auto"/>
        </w:rPr>
        <w:t>December 13, 2019</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66040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20"/>
          </w:cols>
          <w:pgMar w:left="380" w:top="819" w:right="39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 on the 13</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December 2019.</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80" w:type="dxa"/>
            <w:vAlign w:val="bottom"/>
          </w:tcPr>
          <w:p>
            <w:pPr>
              <w:spacing w:after="0"/>
              <w:rPr>
                <w:sz w:val="20"/>
                <w:szCs w:val="20"/>
                <w:color w:val="auto"/>
              </w:rPr>
            </w:pPr>
            <w:r>
              <w:rPr>
                <w:rFonts w:ascii="Arial" w:cs="Arial" w:eastAsia="Arial" w:hAnsi="Arial"/>
                <w:sz w:val="18"/>
                <w:szCs w:val="18"/>
                <w:color w:val="auto"/>
              </w:rPr>
              <w:t>LEE ENTERPRISES, INCORPORATED</w:t>
            </w:r>
          </w:p>
        </w:tc>
        <w:tc>
          <w:tcPr>
            <w:tcW w:w="440" w:type="dxa"/>
            <w:vAlign w:val="bottom"/>
          </w:tcPr>
          <w:p>
            <w:pPr>
              <w:spacing w:after="0"/>
              <w:rPr>
                <w:sz w:val="18"/>
                <w:szCs w:val="18"/>
                <w:color w:val="auto"/>
              </w:rPr>
            </w:pPr>
          </w:p>
        </w:tc>
        <w:tc>
          <w:tcPr>
            <w:tcW w:w="5600" w:type="dxa"/>
            <w:vAlign w:val="bottom"/>
          </w:tcPr>
          <w:p>
            <w:pPr>
              <w:spacing w:after="0"/>
              <w:rPr>
                <w:sz w:val="18"/>
                <w:szCs w:val="18"/>
                <w:color w:val="auto"/>
              </w:rPr>
            </w:pPr>
          </w:p>
        </w:tc>
      </w:tr>
      <w:tr>
        <w:trPr>
          <w:trHeight w:val="392"/>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D. Mowbray</w:t>
            </w:r>
          </w:p>
        </w:tc>
        <w:tc>
          <w:tcPr>
            <w:tcW w:w="440" w:type="dxa"/>
            <w:vAlign w:val="bottom"/>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R. Millage</w:t>
            </w:r>
          </w:p>
        </w:tc>
      </w:tr>
      <w:tr>
        <w:trPr>
          <w:trHeight w:val="195"/>
        </w:trPr>
        <w:tc>
          <w:tcPr>
            <w:tcW w:w="5380" w:type="dxa"/>
            <w:vAlign w:val="bottom"/>
          </w:tcPr>
          <w:p>
            <w:pPr>
              <w:spacing w:after="0" w:line="195" w:lineRule="exact"/>
              <w:rPr>
                <w:sz w:val="20"/>
                <w:szCs w:val="20"/>
                <w:color w:val="auto"/>
              </w:rPr>
            </w:pPr>
            <w:r>
              <w:rPr>
                <w:rFonts w:ascii="Arial" w:cs="Arial" w:eastAsia="Arial" w:hAnsi="Arial"/>
                <w:sz w:val="18"/>
                <w:szCs w:val="18"/>
                <w:color w:val="auto"/>
              </w:rPr>
              <w:t>Kevin D. Mowbray</w:t>
            </w:r>
          </w:p>
        </w:tc>
        <w:tc>
          <w:tcPr>
            <w:tcW w:w="440" w:type="dxa"/>
            <w:vAlign w:val="bottom"/>
          </w:tcPr>
          <w:p>
            <w:pPr>
              <w:spacing w:after="0"/>
              <w:rPr>
                <w:sz w:val="16"/>
                <w:szCs w:val="16"/>
                <w:color w:val="auto"/>
              </w:rPr>
            </w:pPr>
          </w:p>
        </w:tc>
        <w:tc>
          <w:tcPr>
            <w:tcW w:w="5600" w:type="dxa"/>
            <w:vAlign w:val="bottom"/>
          </w:tcPr>
          <w:p>
            <w:pPr>
              <w:spacing w:after="0" w:line="195" w:lineRule="exact"/>
              <w:rPr>
                <w:sz w:val="20"/>
                <w:szCs w:val="20"/>
                <w:color w:val="auto"/>
              </w:rPr>
            </w:pPr>
            <w:r>
              <w:rPr>
                <w:rFonts w:ascii="Arial" w:cs="Arial" w:eastAsia="Arial" w:hAnsi="Arial"/>
                <w:sz w:val="18"/>
                <w:szCs w:val="18"/>
                <w:color w:val="auto"/>
              </w:rPr>
              <w:t>Timothy R. Millage</w:t>
            </w: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President and Chief Executive Officer</w:t>
            </w:r>
          </w:p>
        </w:tc>
        <w:tc>
          <w:tcPr>
            <w:tcW w:w="440" w:type="dxa"/>
            <w:vAlign w:val="bottom"/>
          </w:tcPr>
          <w:p>
            <w:pPr>
              <w:spacing w:after="0"/>
              <w:rPr>
                <w:sz w:val="17"/>
                <w:szCs w:val="17"/>
                <w:color w:val="auto"/>
              </w:rPr>
            </w:pPr>
          </w:p>
        </w:tc>
        <w:tc>
          <w:tcPr>
            <w:tcW w:w="5600" w:type="dxa"/>
            <w:vAlign w:val="bottom"/>
          </w:tcPr>
          <w:p>
            <w:pPr>
              <w:spacing w:after="0" w:line="202" w:lineRule="exact"/>
              <w:rPr>
                <w:sz w:val="20"/>
                <w:szCs w:val="20"/>
                <w:color w:val="auto"/>
              </w:rPr>
            </w:pPr>
            <w:r>
              <w:rPr>
                <w:rFonts w:ascii="Arial" w:cs="Arial" w:eastAsia="Arial" w:hAnsi="Arial"/>
                <w:sz w:val="18"/>
                <w:szCs w:val="18"/>
                <w:color w:val="auto"/>
              </w:rPr>
              <w:t>Vice President, Chief Financial Officer and Treasurer</w:t>
            </w:r>
          </w:p>
        </w:tc>
      </w:tr>
      <w:tr>
        <w:trPr>
          <w:trHeight w:val="217"/>
        </w:trPr>
        <w:tc>
          <w:tcPr>
            <w:tcW w:w="538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4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18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their respective capacities on the 13</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December 2019.</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180" w:type="dxa"/>
            <w:vAlign w:val="bottom"/>
          </w:tcPr>
          <w:p>
            <w:pPr>
              <w:spacing w:after="0"/>
              <w:rPr>
                <w:sz w:val="18"/>
                <w:szCs w:val="18"/>
                <w:color w:val="auto"/>
              </w:rPr>
            </w:pPr>
          </w:p>
        </w:tc>
        <w:tc>
          <w:tcPr>
            <w:tcW w:w="9240" w:type="dxa"/>
            <w:vAlign w:val="bottom"/>
            <w:gridSpan w:val="2"/>
          </w:tcPr>
          <w:p>
            <w:pPr>
              <w:jc w:val="right"/>
              <w:ind w:right="8250"/>
              <w:spacing w:after="0"/>
              <w:rPr>
                <w:sz w:val="20"/>
                <w:szCs w:val="20"/>
                <w:color w:val="auto"/>
              </w:rPr>
            </w:pPr>
            <w:r>
              <w:rPr>
                <w:rFonts w:ascii="Arial" w:cs="Arial" w:eastAsia="Arial" w:hAnsi="Arial"/>
                <w:sz w:val="18"/>
                <w:szCs w:val="18"/>
                <w:color w:val="auto"/>
              </w:rPr>
              <w:t>Signature</w:t>
            </w:r>
          </w:p>
        </w:tc>
      </w:tr>
      <w:tr>
        <w:trPr>
          <w:trHeight w:val="594"/>
        </w:trPr>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R. Cole</w:t>
            </w:r>
          </w:p>
        </w:tc>
        <w:tc>
          <w:tcPr>
            <w:tcW w:w="3200" w:type="dxa"/>
            <w:vAlign w:val="bottom"/>
            <w:tcBorders>
              <w:bottom w:val="single" w:sz="8" w:color="auto"/>
            </w:tcBorders>
          </w:tcPr>
          <w:p>
            <w:pPr>
              <w:spacing w:after="0"/>
              <w:rPr>
                <w:sz w:val="24"/>
                <w:szCs w:val="24"/>
                <w:color w:val="auto"/>
              </w:rPr>
            </w:pPr>
          </w:p>
        </w:tc>
        <w:tc>
          <w:tcPr>
            <w:tcW w:w="6040" w:type="dxa"/>
            <w:vAlign w:val="bottom"/>
          </w:tcPr>
          <w:p>
            <w:pPr>
              <w:ind w:left="440"/>
              <w:spacing w:after="0"/>
              <w:rPr>
                <w:sz w:val="20"/>
                <w:szCs w:val="20"/>
                <w:color w:val="auto"/>
              </w:rPr>
            </w:pPr>
            <w:r>
              <w:rPr>
                <w:rFonts w:ascii="Arial" w:cs="Arial" w:eastAsia="Arial" w:hAnsi="Arial"/>
                <w:sz w:val="18"/>
                <w:szCs w:val="18"/>
                <w:color w:val="auto"/>
              </w:rPr>
              <w:t>Director</w:t>
            </w:r>
          </w:p>
        </w:tc>
      </w:tr>
      <w:tr>
        <w:trPr>
          <w:trHeight w:val="210"/>
        </w:trPr>
        <w:tc>
          <w:tcPr>
            <w:tcW w:w="2180" w:type="dxa"/>
            <w:vAlign w:val="bottom"/>
          </w:tcPr>
          <w:p>
            <w:pPr>
              <w:spacing w:after="0"/>
              <w:rPr>
                <w:sz w:val="20"/>
                <w:szCs w:val="20"/>
                <w:color w:val="auto"/>
              </w:rPr>
            </w:pPr>
            <w:r>
              <w:rPr>
                <w:rFonts w:ascii="Arial" w:cs="Arial" w:eastAsia="Arial" w:hAnsi="Arial"/>
                <w:sz w:val="18"/>
                <w:szCs w:val="18"/>
                <w:color w:val="auto"/>
              </w:rPr>
              <w:t>Richard R. Cole</w:t>
            </w:r>
          </w:p>
        </w:tc>
        <w:tc>
          <w:tcPr>
            <w:tcW w:w="3200" w:type="dxa"/>
            <w:vAlign w:val="bottom"/>
          </w:tcPr>
          <w:p>
            <w:pPr>
              <w:spacing w:after="0"/>
              <w:rPr>
                <w:sz w:val="18"/>
                <w:szCs w:val="18"/>
                <w:color w:val="auto"/>
              </w:rPr>
            </w:pPr>
          </w:p>
        </w:tc>
        <w:tc>
          <w:tcPr>
            <w:tcW w:w="6040" w:type="dxa"/>
            <w:vAlign w:val="bottom"/>
          </w:tcPr>
          <w:p>
            <w:pPr>
              <w:spacing w:after="0"/>
              <w:rPr>
                <w:sz w:val="18"/>
                <w:szCs w:val="18"/>
                <w:color w:val="auto"/>
              </w:rPr>
            </w:pPr>
          </w:p>
        </w:tc>
      </w:tr>
      <w:tr>
        <w:trPr>
          <w:trHeight w:val="391"/>
        </w:trPr>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Nancy S. Donovan</w:t>
            </w:r>
          </w:p>
        </w:tc>
        <w:tc>
          <w:tcPr>
            <w:tcW w:w="3200" w:type="dxa"/>
            <w:vAlign w:val="bottom"/>
            <w:tcBorders>
              <w:bottom w:val="single" w:sz="8" w:color="auto"/>
            </w:tcBorders>
          </w:tcPr>
          <w:p>
            <w:pPr>
              <w:spacing w:after="0"/>
              <w:rPr>
                <w:sz w:val="24"/>
                <w:szCs w:val="24"/>
                <w:color w:val="auto"/>
              </w:rPr>
            </w:pPr>
          </w:p>
        </w:tc>
        <w:tc>
          <w:tcPr>
            <w:tcW w:w="6040" w:type="dxa"/>
            <w:vAlign w:val="bottom"/>
          </w:tcPr>
          <w:p>
            <w:pPr>
              <w:ind w:left="440"/>
              <w:spacing w:after="0"/>
              <w:rPr>
                <w:sz w:val="20"/>
                <w:szCs w:val="20"/>
                <w:color w:val="auto"/>
              </w:rPr>
            </w:pPr>
            <w:r>
              <w:rPr>
                <w:rFonts w:ascii="Arial" w:cs="Arial" w:eastAsia="Arial" w:hAnsi="Arial"/>
                <w:sz w:val="18"/>
                <w:szCs w:val="18"/>
                <w:color w:val="auto"/>
              </w:rPr>
              <w:t>Director</w:t>
            </w:r>
          </w:p>
        </w:tc>
      </w:tr>
      <w:tr>
        <w:trPr>
          <w:trHeight w:val="210"/>
        </w:trPr>
        <w:tc>
          <w:tcPr>
            <w:tcW w:w="2180" w:type="dxa"/>
            <w:vAlign w:val="bottom"/>
          </w:tcPr>
          <w:p>
            <w:pPr>
              <w:spacing w:after="0"/>
              <w:rPr>
                <w:sz w:val="20"/>
                <w:szCs w:val="20"/>
                <w:color w:val="auto"/>
              </w:rPr>
            </w:pPr>
            <w:r>
              <w:rPr>
                <w:rFonts w:ascii="Arial" w:cs="Arial" w:eastAsia="Arial" w:hAnsi="Arial"/>
                <w:sz w:val="18"/>
                <w:szCs w:val="18"/>
                <w:color w:val="auto"/>
              </w:rPr>
              <w:t>Nancy S. Donovan</w:t>
            </w:r>
          </w:p>
        </w:tc>
        <w:tc>
          <w:tcPr>
            <w:tcW w:w="3200" w:type="dxa"/>
            <w:vAlign w:val="bottom"/>
          </w:tcPr>
          <w:p>
            <w:pPr>
              <w:spacing w:after="0"/>
              <w:rPr>
                <w:sz w:val="18"/>
                <w:szCs w:val="18"/>
                <w:color w:val="auto"/>
              </w:rPr>
            </w:pPr>
          </w:p>
        </w:tc>
        <w:tc>
          <w:tcPr>
            <w:tcW w:w="6040" w:type="dxa"/>
            <w:vAlign w:val="bottom"/>
          </w:tcPr>
          <w:p>
            <w:pPr>
              <w:spacing w:after="0"/>
              <w:rPr>
                <w:sz w:val="18"/>
                <w:szCs w:val="18"/>
                <w:color w:val="auto"/>
              </w:rPr>
            </w:pPr>
          </w:p>
        </w:tc>
      </w:tr>
      <w:tr>
        <w:trPr>
          <w:trHeight w:val="391"/>
        </w:trPr>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Leonard J. Elmore</w:t>
            </w:r>
          </w:p>
        </w:tc>
        <w:tc>
          <w:tcPr>
            <w:tcW w:w="3200" w:type="dxa"/>
            <w:vAlign w:val="bottom"/>
            <w:tcBorders>
              <w:bottom w:val="single" w:sz="8" w:color="auto"/>
            </w:tcBorders>
          </w:tcPr>
          <w:p>
            <w:pPr>
              <w:spacing w:after="0"/>
              <w:rPr>
                <w:sz w:val="24"/>
                <w:szCs w:val="24"/>
                <w:color w:val="auto"/>
              </w:rPr>
            </w:pPr>
          </w:p>
        </w:tc>
        <w:tc>
          <w:tcPr>
            <w:tcW w:w="6040" w:type="dxa"/>
            <w:vAlign w:val="bottom"/>
          </w:tcPr>
          <w:p>
            <w:pPr>
              <w:ind w:left="440"/>
              <w:spacing w:after="0"/>
              <w:rPr>
                <w:sz w:val="20"/>
                <w:szCs w:val="20"/>
                <w:color w:val="auto"/>
              </w:rPr>
            </w:pPr>
            <w:r>
              <w:rPr>
                <w:rFonts w:ascii="Arial" w:cs="Arial" w:eastAsia="Arial" w:hAnsi="Arial"/>
                <w:sz w:val="18"/>
                <w:szCs w:val="18"/>
                <w:color w:val="auto"/>
              </w:rPr>
              <w:t>Director</w:t>
            </w:r>
          </w:p>
        </w:tc>
      </w:tr>
      <w:tr>
        <w:trPr>
          <w:trHeight w:val="210"/>
        </w:trPr>
        <w:tc>
          <w:tcPr>
            <w:tcW w:w="2180" w:type="dxa"/>
            <w:vAlign w:val="bottom"/>
          </w:tcPr>
          <w:p>
            <w:pPr>
              <w:spacing w:after="0"/>
              <w:rPr>
                <w:sz w:val="20"/>
                <w:szCs w:val="20"/>
                <w:color w:val="auto"/>
              </w:rPr>
            </w:pPr>
            <w:r>
              <w:rPr>
                <w:rFonts w:ascii="Arial" w:cs="Arial" w:eastAsia="Arial" w:hAnsi="Arial"/>
                <w:sz w:val="18"/>
                <w:szCs w:val="18"/>
                <w:color w:val="auto"/>
              </w:rPr>
              <w:t>Leonard J. Elmore</w:t>
            </w:r>
          </w:p>
        </w:tc>
        <w:tc>
          <w:tcPr>
            <w:tcW w:w="3200" w:type="dxa"/>
            <w:vAlign w:val="bottom"/>
          </w:tcPr>
          <w:p>
            <w:pPr>
              <w:spacing w:after="0"/>
              <w:rPr>
                <w:sz w:val="18"/>
                <w:szCs w:val="18"/>
                <w:color w:val="auto"/>
              </w:rPr>
            </w:pPr>
          </w:p>
        </w:tc>
        <w:tc>
          <w:tcPr>
            <w:tcW w:w="6040" w:type="dxa"/>
            <w:vAlign w:val="bottom"/>
          </w:tcPr>
          <w:p>
            <w:pPr>
              <w:spacing w:after="0"/>
              <w:rPr>
                <w:sz w:val="18"/>
                <w:szCs w:val="18"/>
                <w:color w:val="auto"/>
              </w:rPr>
            </w:pPr>
          </w:p>
        </w:tc>
      </w:tr>
      <w:tr>
        <w:trPr>
          <w:trHeight w:val="391"/>
        </w:trPr>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Margaret R. Liberman</w:t>
            </w:r>
          </w:p>
        </w:tc>
        <w:tc>
          <w:tcPr>
            <w:tcW w:w="3200" w:type="dxa"/>
            <w:vAlign w:val="bottom"/>
            <w:tcBorders>
              <w:bottom w:val="single" w:sz="8" w:color="auto"/>
            </w:tcBorders>
          </w:tcPr>
          <w:p>
            <w:pPr>
              <w:spacing w:after="0"/>
              <w:rPr>
                <w:sz w:val="24"/>
                <w:szCs w:val="24"/>
                <w:color w:val="auto"/>
              </w:rPr>
            </w:pPr>
          </w:p>
        </w:tc>
        <w:tc>
          <w:tcPr>
            <w:tcW w:w="6040" w:type="dxa"/>
            <w:vAlign w:val="bottom"/>
          </w:tcPr>
          <w:p>
            <w:pPr>
              <w:ind w:left="440"/>
              <w:spacing w:after="0"/>
              <w:rPr>
                <w:sz w:val="20"/>
                <w:szCs w:val="20"/>
                <w:color w:val="auto"/>
              </w:rPr>
            </w:pPr>
            <w:r>
              <w:rPr>
                <w:rFonts w:ascii="Arial" w:cs="Arial" w:eastAsia="Arial" w:hAnsi="Arial"/>
                <w:sz w:val="18"/>
                <w:szCs w:val="18"/>
                <w:color w:val="auto"/>
              </w:rPr>
              <w:t>Director</w:t>
            </w:r>
          </w:p>
        </w:tc>
      </w:tr>
      <w:tr>
        <w:trPr>
          <w:trHeight w:val="210"/>
        </w:trPr>
        <w:tc>
          <w:tcPr>
            <w:tcW w:w="2180" w:type="dxa"/>
            <w:vAlign w:val="bottom"/>
          </w:tcPr>
          <w:p>
            <w:pPr>
              <w:spacing w:after="0"/>
              <w:rPr>
                <w:sz w:val="20"/>
                <w:szCs w:val="20"/>
                <w:color w:val="auto"/>
              </w:rPr>
            </w:pPr>
            <w:r>
              <w:rPr>
                <w:rFonts w:ascii="Arial" w:cs="Arial" w:eastAsia="Arial" w:hAnsi="Arial"/>
                <w:sz w:val="18"/>
                <w:szCs w:val="18"/>
                <w:color w:val="auto"/>
              </w:rPr>
              <w:t>Margaret R. Liberman</w:t>
            </w:r>
          </w:p>
        </w:tc>
        <w:tc>
          <w:tcPr>
            <w:tcW w:w="3200" w:type="dxa"/>
            <w:vAlign w:val="bottom"/>
          </w:tcPr>
          <w:p>
            <w:pPr>
              <w:spacing w:after="0"/>
              <w:rPr>
                <w:sz w:val="18"/>
                <w:szCs w:val="18"/>
                <w:color w:val="auto"/>
              </w:rPr>
            </w:pPr>
          </w:p>
        </w:tc>
        <w:tc>
          <w:tcPr>
            <w:tcW w:w="6040" w:type="dxa"/>
            <w:vAlign w:val="bottom"/>
          </w:tcPr>
          <w:p>
            <w:pPr>
              <w:spacing w:after="0"/>
              <w:rPr>
                <w:sz w:val="18"/>
                <w:szCs w:val="18"/>
                <w:color w:val="auto"/>
              </w:rPr>
            </w:pPr>
          </w:p>
        </w:tc>
      </w:tr>
      <w:tr>
        <w:trPr>
          <w:trHeight w:val="391"/>
        </w:trPr>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Mary E. Junck</w:t>
            </w:r>
          </w:p>
        </w:tc>
        <w:tc>
          <w:tcPr>
            <w:tcW w:w="3200" w:type="dxa"/>
            <w:vAlign w:val="bottom"/>
            <w:tcBorders>
              <w:bottom w:val="single" w:sz="8" w:color="auto"/>
            </w:tcBorders>
          </w:tcPr>
          <w:p>
            <w:pPr>
              <w:spacing w:after="0"/>
              <w:rPr>
                <w:sz w:val="24"/>
                <w:szCs w:val="24"/>
                <w:color w:val="auto"/>
              </w:rPr>
            </w:pPr>
          </w:p>
        </w:tc>
        <w:tc>
          <w:tcPr>
            <w:tcW w:w="6040" w:type="dxa"/>
            <w:vAlign w:val="bottom"/>
          </w:tcPr>
          <w:p>
            <w:pPr>
              <w:ind w:left="440"/>
              <w:spacing w:after="0"/>
              <w:rPr>
                <w:sz w:val="20"/>
                <w:szCs w:val="20"/>
                <w:color w:val="auto"/>
              </w:rPr>
            </w:pPr>
            <w:r>
              <w:rPr>
                <w:rFonts w:ascii="Arial" w:cs="Arial" w:eastAsia="Arial" w:hAnsi="Arial"/>
                <w:sz w:val="18"/>
                <w:szCs w:val="18"/>
                <w:color w:val="auto"/>
              </w:rPr>
              <w:t>Director</w:t>
            </w:r>
          </w:p>
        </w:tc>
      </w:tr>
      <w:tr>
        <w:trPr>
          <w:trHeight w:val="210"/>
        </w:trPr>
        <w:tc>
          <w:tcPr>
            <w:tcW w:w="2180" w:type="dxa"/>
            <w:vAlign w:val="bottom"/>
          </w:tcPr>
          <w:p>
            <w:pPr>
              <w:spacing w:after="0"/>
              <w:rPr>
                <w:sz w:val="20"/>
                <w:szCs w:val="20"/>
                <w:color w:val="auto"/>
              </w:rPr>
            </w:pPr>
            <w:r>
              <w:rPr>
                <w:rFonts w:ascii="Arial" w:cs="Arial" w:eastAsia="Arial" w:hAnsi="Arial"/>
                <w:sz w:val="18"/>
                <w:szCs w:val="18"/>
                <w:color w:val="auto"/>
              </w:rPr>
              <w:t>Mary E. Junck</w:t>
            </w:r>
          </w:p>
        </w:tc>
        <w:tc>
          <w:tcPr>
            <w:tcW w:w="3200" w:type="dxa"/>
            <w:vAlign w:val="bottom"/>
          </w:tcPr>
          <w:p>
            <w:pPr>
              <w:spacing w:after="0"/>
              <w:rPr>
                <w:sz w:val="18"/>
                <w:szCs w:val="18"/>
                <w:color w:val="auto"/>
              </w:rPr>
            </w:pPr>
          </w:p>
        </w:tc>
        <w:tc>
          <w:tcPr>
            <w:tcW w:w="6040" w:type="dxa"/>
            <w:vAlign w:val="bottom"/>
          </w:tcPr>
          <w:p>
            <w:pPr>
              <w:spacing w:after="0"/>
              <w:rPr>
                <w:sz w:val="18"/>
                <w:szCs w:val="18"/>
                <w:color w:val="auto"/>
              </w:rPr>
            </w:pPr>
          </w:p>
        </w:tc>
      </w:tr>
      <w:tr>
        <w:trPr>
          <w:trHeight w:val="391"/>
        </w:trPr>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Brent M. Magid</w:t>
            </w:r>
          </w:p>
        </w:tc>
        <w:tc>
          <w:tcPr>
            <w:tcW w:w="3200" w:type="dxa"/>
            <w:vAlign w:val="bottom"/>
            <w:tcBorders>
              <w:bottom w:val="single" w:sz="8" w:color="auto"/>
            </w:tcBorders>
          </w:tcPr>
          <w:p>
            <w:pPr>
              <w:spacing w:after="0"/>
              <w:rPr>
                <w:sz w:val="24"/>
                <w:szCs w:val="24"/>
                <w:color w:val="auto"/>
              </w:rPr>
            </w:pPr>
          </w:p>
        </w:tc>
        <w:tc>
          <w:tcPr>
            <w:tcW w:w="6040" w:type="dxa"/>
            <w:vAlign w:val="bottom"/>
          </w:tcPr>
          <w:p>
            <w:pPr>
              <w:ind w:left="440"/>
              <w:spacing w:after="0"/>
              <w:rPr>
                <w:sz w:val="20"/>
                <w:szCs w:val="20"/>
                <w:color w:val="auto"/>
              </w:rPr>
            </w:pPr>
            <w:r>
              <w:rPr>
                <w:rFonts w:ascii="Arial" w:cs="Arial" w:eastAsia="Arial" w:hAnsi="Arial"/>
                <w:sz w:val="18"/>
                <w:szCs w:val="18"/>
                <w:color w:val="auto"/>
              </w:rPr>
              <w:t>Director</w:t>
            </w:r>
          </w:p>
        </w:tc>
      </w:tr>
      <w:tr>
        <w:trPr>
          <w:trHeight w:val="210"/>
        </w:trPr>
        <w:tc>
          <w:tcPr>
            <w:tcW w:w="2180" w:type="dxa"/>
            <w:vAlign w:val="bottom"/>
          </w:tcPr>
          <w:p>
            <w:pPr>
              <w:spacing w:after="0"/>
              <w:rPr>
                <w:sz w:val="20"/>
                <w:szCs w:val="20"/>
                <w:color w:val="auto"/>
              </w:rPr>
            </w:pPr>
            <w:r>
              <w:rPr>
                <w:rFonts w:ascii="Arial" w:cs="Arial" w:eastAsia="Arial" w:hAnsi="Arial"/>
                <w:sz w:val="18"/>
                <w:szCs w:val="18"/>
                <w:color w:val="auto"/>
              </w:rPr>
              <w:t>Brent Magid</w:t>
            </w:r>
          </w:p>
        </w:tc>
        <w:tc>
          <w:tcPr>
            <w:tcW w:w="3200" w:type="dxa"/>
            <w:vAlign w:val="bottom"/>
          </w:tcPr>
          <w:p>
            <w:pPr>
              <w:spacing w:after="0"/>
              <w:rPr>
                <w:sz w:val="18"/>
                <w:szCs w:val="18"/>
                <w:color w:val="auto"/>
              </w:rPr>
            </w:pPr>
          </w:p>
        </w:tc>
        <w:tc>
          <w:tcPr>
            <w:tcW w:w="6040" w:type="dxa"/>
            <w:vAlign w:val="bottom"/>
          </w:tcPr>
          <w:p>
            <w:pPr>
              <w:spacing w:after="0"/>
              <w:rPr>
                <w:sz w:val="18"/>
                <w:szCs w:val="18"/>
                <w:color w:val="auto"/>
              </w:rPr>
            </w:pPr>
          </w:p>
        </w:tc>
      </w:tr>
      <w:tr>
        <w:trPr>
          <w:trHeight w:val="391"/>
        </w:trPr>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E. Mayer</w:t>
            </w:r>
          </w:p>
        </w:tc>
        <w:tc>
          <w:tcPr>
            <w:tcW w:w="3200" w:type="dxa"/>
            <w:vAlign w:val="bottom"/>
            <w:tcBorders>
              <w:bottom w:val="single" w:sz="8" w:color="auto"/>
            </w:tcBorders>
          </w:tcPr>
          <w:p>
            <w:pPr>
              <w:spacing w:after="0"/>
              <w:rPr>
                <w:sz w:val="24"/>
                <w:szCs w:val="24"/>
                <w:color w:val="auto"/>
              </w:rPr>
            </w:pPr>
          </w:p>
        </w:tc>
        <w:tc>
          <w:tcPr>
            <w:tcW w:w="6040" w:type="dxa"/>
            <w:vAlign w:val="bottom"/>
          </w:tcPr>
          <w:p>
            <w:pPr>
              <w:ind w:left="440"/>
              <w:spacing w:after="0"/>
              <w:rPr>
                <w:sz w:val="20"/>
                <w:szCs w:val="20"/>
                <w:color w:val="auto"/>
              </w:rPr>
            </w:pPr>
            <w:r>
              <w:rPr>
                <w:rFonts w:ascii="Arial" w:cs="Arial" w:eastAsia="Arial" w:hAnsi="Arial"/>
                <w:sz w:val="18"/>
                <w:szCs w:val="18"/>
                <w:color w:val="auto"/>
              </w:rPr>
              <w:t>Director</w:t>
            </w:r>
          </w:p>
        </w:tc>
      </w:tr>
      <w:tr>
        <w:trPr>
          <w:trHeight w:val="210"/>
        </w:trPr>
        <w:tc>
          <w:tcPr>
            <w:tcW w:w="2180" w:type="dxa"/>
            <w:vAlign w:val="bottom"/>
          </w:tcPr>
          <w:p>
            <w:pPr>
              <w:spacing w:after="0"/>
              <w:rPr>
                <w:sz w:val="20"/>
                <w:szCs w:val="20"/>
                <w:color w:val="auto"/>
              </w:rPr>
            </w:pPr>
            <w:r>
              <w:rPr>
                <w:rFonts w:ascii="Arial" w:cs="Arial" w:eastAsia="Arial" w:hAnsi="Arial"/>
                <w:sz w:val="18"/>
                <w:szCs w:val="18"/>
                <w:color w:val="auto"/>
              </w:rPr>
              <w:t>William E. Mayer</w:t>
            </w:r>
          </w:p>
        </w:tc>
        <w:tc>
          <w:tcPr>
            <w:tcW w:w="3200" w:type="dxa"/>
            <w:vAlign w:val="bottom"/>
          </w:tcPr>
          <w:p>
            <w:pPr>
              <w:spacing w:after="0"/>
              <w:rPr>
                <w:sz w:val="18"/>
                <w:szCs w:val="18"/>
                <w:color w:val="auto"/>
              </w:rPr>
            </w:pPr>
          </w:p>
        </w:tc>
        <w:tc>
          <w:tcPr>
            <w:tcW w:w="6040" w:type="dxa"/>
            <w:vAlign w:val="bottom"/>
          </w:tcPr>
          <w:p>
            <w:pPr>
              <w:spacing w:after="0"/>
              <w:rPr>
                <w:sz w:val="18"/>
                <w:szCs w:val="18"/>
                <w:color w:val="auto"/>
              </w:rPr>
            </w:pPr>
          </w:p>
        </w:tc>
      </w:tr>
      <w:tr>
        <w:trPr>
          <w:trHeight w:val="391"/>
        </w:trPr>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Herbert W. Moloney III</w:t>
            </w:r>
          </w:p>
        </w:tc>
        <w:tc>
          <w:tcPr>
            <w:tcW w:w="3200" w:type="dxa"/>
            <w:vAlign w:val="bottom"/>
            <w:tcBorders>
              <w:bottom w:val="single" w:sz="8" w:color="auto"/>
            </w:tcBorders>
          </w:tcPr>
          <w:p>
            <w:pPr>
              <w:spacing w:after="0"/>
              <w:rPr>
                <w:sz w:val="24"/>
                <w:szCs w:val="24"/>
                <w:color w:val="auto"/>
              </w:rPr>
            </w:pPr>
          </w:p>
        </w:tc>
        <w:tc>
          <w:tcPr>
            <w:tcW w:w="6040" w:type="dxa"/>
            <w:vAlign w:val="bottom"/>
          </w:tcPr>
          <w:p>
            <w:pPr>
              <w:ind w:left="440"/>
              <w:spacing w:after="0"/>
              <w:rPr>
                <w:sz w:val="20"/>
                <w:szCs w:val="20"/>
                <w:color w:val="auto"/>
              </w:rPr>
            </w:pPr>
            <w:r>
              <w:rPr>
                <w:rFonts w:ascii="Arial" w:cs="Arial" w:eastAsia="Arial" w:hAnsi="Arial"/>
                <w:sz w:val="18"/>
                <w:szCs w:val="18"/>
                <w:color w:val="auto"/>
              </w:rPr>
              <w:t>Director</w:t>
            </w:r>
          </w:p>
        </w:tc>
      </w:tr>
      <w:tr>
        <w:trPr>
          <w:trHeight w:val="210"/>
        </w:trPr>
        <w:tc>
          <w:tcPr>
            <w:tcW w:w="2180" w:type="dxa"/>
            <w:vAlign w:val="bottom"/>
          </w:tcPr>
          <w:p>
            <w:pPr>
              <w:spacing w:after="0"/>
              <w:rPr>
                <w:sz w:val="20"/>
                <w:szCs w:val="20"/>
                <w:color w:val="auto"/>
              </w:rPr>
            </w:pPr>
            <w:r>
              <w:rPr>
                <w:rFonts w:ascii="Arial" w:cs="Arial" w:eastAsia="Arial" w:hAnsi="Arial"/>
                <w:sz w:val="18"/>
                <w:szCs w:val="18"/>
                <w:color w:val="auto"/>
              </w:rPr>
              <w:t>Herbert W. Moloney III</w:t>
            </w:r>
          </w:p>
        </w:tc>
        <w:tc>
          <w:tcPr>
            <w:tcW w:w="3200" w:type="dxa"/>
            <w:vAlign w:val="bottom"/>
          </w:tcPr>
          <w:p>
            <w:pPr>
              <w:spacing w:after="0"/>
              <w:rPr>
                <w:sz w:val="18"/>
                <w:szCs w:val="18"/>
                <w:color w:val="auto"/>
              </w:rPr>
            </w:pPr>
          </w:p>
        </w:tc>
        <w:tc>
          <w:tcPr>
            <w:tcW w:w="6040" w:type="dxa"/>
            <w:vAlign w:val="bottom"/>
          </w:tcPr>
          <w:p>
            <w:pPr>
              <w:spacing w:after="0"/>
              <w:rPr>
                <w:sz w:val="18"/>
                <w:szCs w:val="18"/>
                <w:color w:val="auto"/>
              </w:rPr>
            </w:pPr>
          </w:p>
        </w:tc>
      </w:tr>
      <w:tr>
        <w:trPr>
          <w:trHeight w:val="391"/>
        </w:trPr>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D. Mowbray</w:t>
            </w:r>
          </w:p>
        </w:tc>
        <w:tc>
          <w:tcPr>
            <w:tcW w:w="3200" w:type="dxa"/>
            <w:vAlign w:val="bottom"/>
            <w:tcBorders>
              <w:bottom w:val="single" w:sz="8" w:color="auto"/>
            </w:tcBorders>
          </w:tcPr>
          <w:p>
            <w:pPr>
              <w:spacing w:after="0"/>
              <w:rPr>
                <w:sz w:val="24"/>
                <w:szCs w:val="24"/>
                <w:color w:val="auto"/>
              </w:rPr>
            </w:pPr>
          </w:p>
        </w:tc>
        <w:tc>
          <w:tcPr>
            <w:tcW w:w="6040" w:type="dxa"/>
            <w:vAlign w:val="bottom"/>
          </w:tcPr>
          <w:p>
            <w:pPr>
              <w:ind w:left="440"/>
              <w:spacing w:after="0"/>
              <w:rPr>
                <w:sz w:val="20"/>
                <w:szCs w:val="20"/>
                <w:color w:val="auto"/>
              </w:rPr>
            </w:pPr>
            <w:r>
              <w:rPr>
                <w:rFonts w:ascii="Arial" w:cs="Arial" w:eastAsia="Arial" w:hAnsi="Arial"/>
                <w:sz w:val="18"/>
                <w:szCs w:val="18"/>
                <w:color w:val="auto"/>
              </w:rPr>
              <w:t>President and Chief Executive Officer, and Director</w:t>
            </w:r>
          </w:p>
        </w:tc>
      </w:tr>
      <w:tr>
        <w:trPr>
          <w:trHeight w:val="210"/>
        </w:trPr>
        <w:tc>
          <w:tcPr>
            <w:tcW w:w="2180" w:type="dxa"/>
            <w:vAlign w:val="bottom"/>
          </w:tcPr>
          <w:p>
            <w:pPr>
              <w:spacing w:after="0"/>
              <w:rPr>
                <w:sz w:val="20"/>
                <w:szCs w:val="20"/>
                <w:color w:val="auto"/>
              </w:rPr>
            </w:pPr>
            <w:r>
              <w:rPr>
                <w:rFonts w:ascii="Arial" w:cs="Arial" w:eastAsia="Arial" w:hAnsi="Arial"/>
                <w:sz w:val="18"/>
                <w:szCs w:val="18"/>
                <w:color w:val="auto"/>
              </w:rPr>
              <w:t>Kevin D. Mowbray</w:t>
            </w:r>
          </w:p>
        </w:tc>
        <w:tc>
          <w:tcPr>
            <w:tcW w:w="3200" w:type="dxa"/>
            <w:vAlign w:val="bottom"/>
          </w:tcPr>
          <w:p>
            <w:pPr>
              <w:spacing w:after="0"/>
              <w:rPr>
                <w:sz w:val="18"/>
                <w:szCs w:val="18"/>
                <w:color w:val="auto"/>
              </w:rPr>
            </w:pPr>
          </w:p>
        </w:tc>
        <w:tc>
          <w:tcPr>
            <w:tcW w:w="6040" w:type="dxa"/>
            <w:vAlign w:val="bottom"/>
          </w:tcPr>
          <w:p>
            <w:pPr>
              <w:spacing w:after="0"/>
              <w:rPr>
                <w:sz w:val="18"/>
                <w:szCs w:val="18"/>
                <w:color w:val="auto"/>
              </w:rPr>
            </w:pPr>
          </w:p>
        </w:tc>
      </w:tr>
      <w:tr>
        <w:trPr>
          <w:trHeight w:val="391"/>
        </w:trPr>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P. Schermer</w:t>
            </w:r>
          </w:p>
        </w:tc>
        <w:tc>
          <w:tcPr>
            <w:tcW w:w="3200" w:type="dxa"/>
            <w:vAlign w:val="bottom"/>
            <w:tcBorders>
              <w:bottom w:val="single" w:sz="8" w:color="auto"/>
            </w:tcBorders>
          </w:tcPr>
          <w:p>
            <w:pPr>
              <w:spacing w:after="0"/>
              <w:rPr>
                <w:sz w:val="24"/>
                <w:szCs w:val="24"/>
                <w:color w:val="auto"/>
              </w:rPr>
            </w:pPr>
          </w:p>
        </w:tc>
        <w:tc>
          <w:tcPr>
            <w:tcW w:w="6040" w:type="dxa"/>
            <w:vAlign w:val="bottom"/>
          </w:tcPr>
          <w:p>
            <w:pPr>
              <w:ind w:left="440"/>
              <w:spacing w:after="0"/>
              <w:rPr>
                <w:sz w:val="20"/>
                <w:szCs w:val="20"/>
                <w:color w:val="auto"/>
              </w:rPr>
            </w:pPr>
            <w:r>
              <w:rPr>
                <w:rFonts w:ascii="Arial" w:cs="Arial" w:eastAsia="Arial" w:hAnsi="Arial"/>
                <w:sz w:val="18"/>
                <w:szCs w:val="18"/>
                <w:color w:val="auto"/>
              </w:rPr>
              <w:t>Director</w:t>
            </w:r>
          </w:p>
        </w:tc>
      </w:tr>
      <w:tr>
        <w:trPr>
          <w:trHeight w:val="210"/>
        </w:trPr>
        <w:tc>
          <w:tcPr>
            <w:tcW w:w="2180" w:type="dxa"/>
            <w:vAlign w:val="bottom"/>
          </w:tcPr>
          <w:p>
            <w:pPr>
              <w:spacing w:after="0"/>
              <w:rPr>
                <w:sz w:val="20"/>
                <w:szCs w:val="20"/>
                <w:color w:val="auto"/>
              </w:rPr>
            </w:pPr>
            <w:r>
              <w:rPr>
                <w:rFonts w:ascii="Arial" w:cs="Arial" w:eastAsia="Arial" w:hAnsi="Arial"/>
                <w:sz w:val="18"/>
                <w:szCs w:val="18"/>
                <w:color w:val="auto"/>
              </w:rPr>
              <w:t>Gregory P. Schermer</w:t>
            </w:r>
          </w:p>
        </w:tc>
        <w:tc>
          <w:tcPr>
            <w:tcW w:w="3200" w:type="dxa"/>
            <w:vAlign w:val="bottom"/>
          </w:tcPr>
          <w:p>
            <w:pPr>
              <w:spacing w:after="0"/>
              <w:rPr>
                <w:sz w:val="18"/>
                <w:szCs w:val="18"/>
                <w:color w:val="auto"/>
              </w:rPr>
            </w:pPr>
          </w:p>
        </w:tc>
        <w:tc>
          <w:tcPr>
            <w:tcW w:w="6040" w:type="dxa"/>
            <w:vAlign w:val="bottom"/>
          </w:tcPr>
          <w:p>
            <w:pPr>
              <w:spacing w:after="0"/>
              <w:rPr>
                <w:sz w:val="18"/>
                <w:szCs w:val="18"/>
                <w:color w:val="auto"/>
              </w:rPr>
            </w:pPr>
          </w:p>
        </w:tc>
      </w:tr>
      <w:tr>
        <w:trPr>
          <w:trHeight w:val="391"/>
        </w:trPr>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R. Millage</w:t>
            </w:r>
          </w:p>
        </w:tc>
        <w:tc>
          <w:tcPr>
            <w:tcW w:w="3200" w:type="dxa"/>
            <w:vAlign w:val="bottom"/>
            <w:tcBorders>
              <w:bottom w:val="single" w:sz="8" w:color="auto"/>
            </w:tcBorders>
          </w:tcPr>
          <w:p>
            <w:pPr>
              <w:spacing w:after="0"/>
              <w:rPr>
                <w:sz w:val="24"/>
                <w:szCs w:val="24"/>
                <w:color w:val="auto"/>
              </w:rPr>
            </w:pPr>
          </w:p>
        </w:tc>
        <w:tc>
          <w:tcPr>
            <w:tcW w:w="6040" w:type="dxa"/>
            <w:vAlign w:val="bottom"/>
          </w:tcPr>
          <w:p>
            <w:pPr>
              <w:ind w:left="440"/>
              <w:spacing w:after="0"/>
              <w:rPr>
                <w:sz w:val="20"/>
                <w:szCs w:val="20"/>
                <w:color w:val="auto"/>
              </w:rPr>
            </w:pPr>
            <w:r>
              <w:rPr>
                <w:rFonts w:ascii="Arial" w:cs="Arial" w:eastAsia="Arial" w:hAnsi="Arial"/>
                <w:sz w:val="18"/>
                <w:szCs w:val="18"/>
                <w:color w:val="auto"/>
              </w:rPr>
              <w:t>Vice President, Chief Financial Officer and Treasurer</w:t>
            </w:r>
          </w:p>
        </w:tc>
      </w:tr>
      <w:tr>
        <w:trPr>
          <w:trHeight w:val="210"/>
        </w:trPr>
        <w:tc>
          <w:tcPr>
            <w:tcW w:w="2180" w:type="dxa"/>
            <w:vAlign w:val="bottom"/>
          </w:tcPr>
          <w:p>
            <w:pPr>
              <w:spacing w:after="0"/>
              <w:rPr>
                <w:sz w:val="20"/>
                <w:szCs w:val="20"/>
                <w:color w:val="auto"/>
              </w:rPr>
            </w:pPr>
            <w:r>
              <w:rPr>
                <w:rFonts w:ascii="Arial" w:cs="Arial" w:eastAsia="Arial" w:hAnsi="Arial"/>
                <w:sz w:val="18"/>
                <w:szCs w:val="18"/>
                <w:color w:val="auto"/>
              </w:rPr>
              <w:t>Timothy R. Millage</w:t>
            </w:r>
          </w:p>
        </w:tc>
        <w:tc>
          <w:tcPr>
            <w:tcW w:w="3200" w:type="dxa"/>
            <w:vAlign w:val="bottom"/>
          </w:tcPr>
          <w:p>
            <w:pPr>
              <w:spacing w:after="0"/>
              <w:rPr>
                <w:sz w:val="18"/>
                <w:szCs w:val="18"/>
                <w:color w:val="auto"/>
              </w:rPr>
            </w:pPr>
          </w:p>
        </w:tc>
        <w:tc>
          <w:tcPr>
            <w:tcW w:w="6040" w:type="dxa"/>
            <w:vAlign w:val="bottom"/>
          </w:tcPr>
          <w:p>
            <w:pPr>
              <w:spacing w:after="0"/>
              <w:rPr>
                <w:sz w:val="18"/>
                <w:szCs w:val="18"/>
                <w:color w:val="auto"/>
              </w:rPr>
            </w:pPr>
          </w:p>
        </w:tc>
      </w:tr>
      <w:tr>
        <w:trPr>
          <w:trHeight w:val="850"/>
        </w:trPr>
        <w:tc>
          <w:tcPr>
            <w:tcW w:w="2180" w:type="dxa"/>
            <w:vAlign w:val="bottom"/>
          </w:tcPr>
          <w:p>
            <w:pPr>
              <w:spacing w:after="0"/>
              <w:rPr>
                <w:sz w:val="24"/>
                <w:szCs w:val="24"/>
                <w:color w:val="auto"/>
              </w:rPr>
            </w:pPr>
          </w:p>
        </w:tc>
        <w:tc>
          <w:tcPr>
            <w:tcW w:w="9240" w:type="dxa"/>
            <w:vAlign w:val="bottom"/>
            <w:gridSpan w:val="2"/>
          </w:tcPr>
          <w:p>
            <w:pPr>
              <w:jc w:val="right"/>
              <w:ind w:right="5510"/>
              <w:spacing w:after="0"/>
              <w:rPr>
                <w:sz w:val="20"/>
                <w:szCs w:val="20"/>
                <w:color w:val="auto"/>
              </w:rPr>
            </w:pPr>
            <w:r>
              <w:rPr>
                <w:rFonts w:ascii="Arial" w:cs="Arial" w:eastAsia="Arial" w:hAnsi="Arial"/>
                <w:sz w:val="18"/>
                <w:szCs w:val="18"/>
                <w:color w:val="auto"/>
              </w:rPr>
              <w:t>74</w:t>
            </w:r>
          </w:p>
        </w:tc>
      </w:tr>
      <w:tr>
        <w:trPr>
          <w:trHeight w:val="102"/>
        </w:trPr>
        <w:tc>
          <w:tcPr>
            <w:tcW w:w="2180" w:type="dxa"/>
            <w:vAlign w:val="bottom"/>
            <w:tcBorders>
              <w:bottom w:val="single" w:sz="8" w:color="auto"/>
            </w:tcBorders>
          </w:tcPr>
          <w:p>
            <w:pPr>
              <w:spacing w:after="0"/>
              <w:rPr>
                <w:sz w:val="8"/>
                <w:szCs w:val="8"/>
                <w:color w:val="auto"/>
              </w:rPr>
            </w:pPr>
          </w:p>
        </w:tc>
        <w:tc>
          <w:tcPr>
            <w:tcW w:w="3200" w:type="dxa"/>
            <w:vAlign w:val="bottom"/>
            <w:tcBorders>
              <w:bottom w:val="single" w:sz="8" w:color="auto"/>
            </w:tcBorders>
          </w:tcPr>
          <w:p>
            <w:pPr>
              <w:spacing w:after="0"/>
              <w:rPr>
                <w:sz w:val="8"/>
                <w:szCs w:val="8"/>
                <w:color w:val="auto"/>
              </w:rPr>
            </w:pPr>
          </w:p>
        </w:tc>
        <w:tc>
          <w:tcPr>
            <w:tcW w:w="604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819"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EXHIBIT INDEX</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Exhibits marked with an asterisk (*) are incorporated by reference to documents previously filed by us with the SEC, as indicated. Exhibits marked with a plus (+) are management contracts or compensatory plan contracts or arrangements filed pursuant to Item 601(b)(10)(iii)(A) of Regulation S-K. All other documents listed are filed with this Annual Report on Form 10-K.</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4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540" w:type="dxa"/>
            <w:vAlign w:val="bottom"/>
            <w:tcBorders>
              <w:top w:val="single" w:sz="8" w:color="auto"/>
              <w:bottom w:val="single" w:sz="8" w:color="auto"/>
            </w:tcBorders>
            <w:gridSpan w:val="8"/>
          </w:tcPr>
          <w:p>
            <w:pPr>
              <w:ind w:left="20"/>
              <w:spacing w:after="0"/>
              <w:rPr>
                <w:sz w:val="20"/>
                <w:szCs w:val="20"/>
                <w:color w:val="auto"/>
              </w:rPr>
            </w:pPr>
            <w:r>
              <w:rPr>
                <w:rFonts w:ascii="Arial" w:cs="Arial" w:eastAsia="Arial" w:hAnsi="Arial"/>
                <w:sz w:val="18"/>
                <w:szCs w:val="18"/>
                <w:color w:val="auto"/>
              </w:rPr>
              <w:t>Description</w:t>
            </w: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3.1 *</w:t>
            </w:r>
          </w:p>
        </w:tc>
        <w:tc>
          <w:tcPr>
            <w:tcW w:w="10160" w:type="dxa"/>
            <w:vAlign w:val="bottom"/>
            <w:tcBorders>
              <w:bottom w:val="single" w:sz="8" w:color="0000EE"/>
            </w:tcBorders>
            <w:gridSpan w:val="16"/>
          </w:tcPr>
          <w:p>
            <w:pPr>
              <w:spacing w:after="0"/>
              <w:rPr>
                <w:rFonts w:ascii="Arial" w:cs="Arial" w:eastAsia="Arial" w:hAnsi="Arial"/>
                <w:sz w:val="18"/>
                <w:szCs w:val="18"/>
                <w:color w:val="0000EE"/>
              </w:rPr>
            </w:pPr>
            <w:hyperlink r:id="rId78">
              <w:r>
                <w:rPr>
                  <w:rFonts w:ascii="Arial" w:cs="Arial" w:eastAsia="Arial" w:hAnsi="Arial"/>
                  <w:sz w:val="18"/>
                  <w:szCs w:val="18"/>
                  <w:color w:val="0000EE"/>
                </w:rPr>
                <w:t>Amended and Restated Certificate of Incorporation of Lee Enterprises, Incorporated effective as of January 30, 2012 (Exhibit</w:t>
              </w:r>
            </w:hyperlink>
          </w:p>
        </w:tc>
      </w:tr>
      <w:tr>
        <w:trPr>
          <w:trHeight w:val="183"/>
        </w:trPr>
        <w:tc>
          <w:tcPr>
            <w:tcW w:w="1260" w:type="dxa"/>
            <w:vAlign w:val="bottom"/>
          </w:tcPr>
          <w:p>
            <w:pPr>
              <w:spacing w:after="0"/>
              <w:rPr>
                <w:sz w:val="15"/>
                <w:szCs w:val="15"/>
                <w:color w:val="auto"/>
              </w:rPr>
            </w:pPr>
          </w:p>
        </w:tc>
        <w:tc>
          <w:tcPr>
            <w:tcW w:w="10160" w:type="dxa"/>
            <w:vAlign w:val="bottom"/>
            <w:gridSpan w:val="16"/>
          </w:tcPr>
          <w:p>
            <w:pPr>
              <w:spacing w:after="0" w:line="182" w:lineRule="exact"/>
              <w:rPr>
                <w:rFonts w:ascii="Arial" w:cs="Arial" w:eastAsia="Arial" w:hAnsi="Arial"/>
                <w:sz w:val="18"/>
                <w:szCs w:val="18"/>
                <w:color w:val="0000EE"/>
              </w:rPr>
            </w:pPr>
            <w:hyperlink r:id="rId78">
              <w:r>
                <w:rPr>
                  <w:rFonts w:ascii="Arial" w:cs="Arial" w:eastAsia="Arial" w:hAnsi="Arial"/>
                  <w:sz w:val="18"/>
                  <w:szCs w:val="18"/>
                  <w:color w:val="0000EE"/>
                </w:rPr>
                <w:t>3.</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Form 8-K filed on February 3, 2012)</w:t>
              </w:r>
            </w:hyperlink>
          </w:p>
        </w:tc>
      </w:tr>
      <w:tr>
        <w:trPr>
          <w:trHeight w:val="20"/>
        </w:trPr>
        <w:tc>
          <w:tcPr>
            <w:tcW w:w="12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60" w:type="dxa"/>
            <w:vAlign w:val="bottom"/>
          </w:tcPr>
          <w:p>
            <w:pPr>
              <w:spacing w:after="0"/>
              <w:rPr>
                <w:sz w:val="20"/>
                <w:szCs w:val="20"/>
                <w:color w:val="auto"/>
              </w:rPr>
            </w:pPr>
            <w:r>
              <w:rPr>
                <w:rFonts w:ascii="Arial" w:cs="Arial" w:eastAsia="Arial" w:hAnsi="Arial"/>
                <w:sz w:val="18"/>
                <w:szCs w:val="18"/>
                <w:color w:val="auto"/>
              </w:rPr>
              <w:t>3.2 *</w:t>
            </w:r>
          </w:p>
        </w:tc>
        <w:tc>
          <w:tcPr>
            <w:tcW w:w="10160" w:type="dxa"/>
            <w:vAlign w:val="bottom"/>
            <w:tcBorders>
              <w:bottom w:val="single" w:sz="8" w:color="0000EE"/>
            </w:tcBorders>
            <w:gridSpan w:val="16"/>
          </w:tcPr>
          <w:p>
            <w:pPr>
              <w:spacing w:after="0"/>
              <w:rPr>
                <w:rFonts w:ascii="Arial" w:cs="Arial" w:eastAsia="Arial" w:hAnsi="Arial"/>
                <w:sz w:val="18"/>
                <w:szCs w:val="18"/>
                <w:color w:val="0000EE"/>
              </w:rPr>
            </w:pPr>
            <w:hyperlink r:id="rId79">
              <w:r>
                <w:rPr>
                  <w:rFonts w:ascii="Arial" w:cs="Arial" w:eastAsia="Arial" w:hAnsi="Arial"/>
                  <w:sz w:val="18"/>
                  <w:szCs w:val="18"/>
                  <w:color w:val="0000EE"/>
                </w:rPr>
                <w:t>Second Amended and Restated By-Laws of Lee Enterprises, Incorporated effective as of June 26, 2019 (Exhibit 3.1 to Form 8-</w:t>
              </w:r>
            </w:hyperlink>
          </w:p>
        </w:tc>
      </w:tr>
      <w:tr>
        <w:trPr>
          <w:trHeight w:val="183"/>
        </w:trPr>
        <w:tc>
          <w:tcPr>
            <w:tcW w:w="1260" w:type="dxa"/>
            <w:vAlign w:val="bottom"/>
          </w:tcPr>
          <w:p>
            <w:pPr>
              <w:spacing w:after="0"/>
              <w:rPr>
                <w:sz w:val="15"/>
                <w:szCs w:val="15"/>
                <w:color w:val="auto"/>
              </w:rPr>
            </w:pPr>
          </w:p>
        </w:tc>
        <w:tc>
          <w:tcPr>
            <w:tcW w:w="176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r:id="rId79">
              <w:r>
                <w:rPr>
                  <w:rFonts w:ascii="Arial" w:cs="Arial" w:eastAsia="Arial" w:hAnsi="Arial"/>
                  <w:sz w:val="18"/>
                  <w:szCs w:val="18"/>
                  <w:color w:val="0000EE"/>
                  <w:w w:val="99"/>
                </w:rPr>
                <w:t>K filed June 27, 2019)</w:t>
              </w:r>
            </w:hyperlink>
          </w:p>
        </w:tc>
        <w:tc>
          <w:tcPr>
            <w:tcW w:w="8400" w:type="dxa"/>
            <w:vAlign w:val="bottom"/>
            <w:gridSpan w:val="12"/>
          </w:tcPr>
          <w:p>
            <w:pPr>
              <w:spacing w:after="0"/>
              <w:rPr>
                <w:sz w:val="15"/>
                <w:szCs w:val="15"/>
                <w:color w:val="auto"/>
              </w:rPr>
            </w:pPr>
          </w:p>
        </w:tc>
      </w:tr>
      <w:tr>
        <w:trPr>
          <w:trHeight w:val="385"/>
        </w:trPr>
        <w:tc>
          <w:tcPr>
            <w:tcW w:w="1260" w:type="dxa"/>
            <w:vAlign w:val="bottom"/>
          </w:tcPr>
          <w:p>
            <w:pPr>
              <w:spacing w:after="0"/>
              <w:rPr>
                <w:sz w:val="20"/>
                <w:szCs w:val="20"/>
                <w:color w:val="auto"/>
              </w:rPr>
            </w:pPr>
            <w:r>
              <w:rPr>
                <w:rFonts w:ascii="Arial" w:cs="Arial" w:eastAsia="Arial" w:hAnsi="Arial"/>
                <w:sz w:val="18"/>
                <w:szCs w:val="18"/>
                <w:color w:val="auto"/>
              </w:rPr>
              <w:t>4.1 *</w:t>
            </w:r>
          </w:p>
        </w:tc>
        <w:tc>
          <w:tcPr>
            <w:tcW w:w="10160" w:type="dxa"/>
            <w:vAlign w:val="bottom"/>
            <w:tcBorders>
              <w:bottom w:val="single" w:sz="8" w:color="0000EE"/>
            </w:tcBorders>
            <w:gridSpan w:val="16"/>
          </w:tcPr>
          <w:p>
            <w:pPr>
              <w:spacing w:after="0"/>
              <w:rPr>
                <w:rFonts w:ascii="Arial" w:cs="Arial" w:eastAsia="Arial" w:hAnsi="Arial"/>
                <w:sz w:val="18"/>
                <w:szCs w:val="18"/>
                <w:color w:val="0000EE"/>
              </w:rPr>
            </w:pPr>
            <w:hyperlink r:id="rId80">
              <w:r>
                <w:rPr>
                  <w:rFonts w:ascii="Arial" w:cs="Arial" w:eastAsia="Arial" w:hAnsi="Arial"/>
                  <w:sz w:val="18"/>
                  <w:szCs w:val="18"/>
                  <w:color w:val="0000EE"/>
                </w:rPr>
                <w:t>Indenture dated as of March 31, 2014 among Lee Enterprises, Incorporated, certain subsidiaries from time to time parties</w:t>
              </w:r>
            </w:hyperlink>
          </w:p>
        </w:tc>
      </w:tr>
      <w:tr>
        <w:trPr>
          <w:trHeight w:val="183"/>
        </w:trPr>
        <w:tc>
          <w:tcPr>
            <w:tcW w:w="1260" w:type="dxa"/>
            <w:vAlign w:val="bottom"/>
          </w:tcPr>
          <w:p>
            <w:pPr>
              <w:spacing w:after="0"/>
              <w:rPr>
                <w:sz w:val="15"/>
                <w:szCs w:val="15"/>
                <w:color w:val="auto"/>
              </w:rPr>
            </w:pPr>
          </w:p>
        </w:tc>
        <w:tc>
          <w:tcPr>
            <w:tcW w:w="10160" w:type="dxa"/>
            <w:vAlign w:val="bottom"/>
            <w:tcBorders>
              <w:bottom w:val="single" w:sz="8" w:color="0000EE"/>
            </w:tcBorders>
            <w:gridSpan w:val="16"/>
          </w:tcPr>
          <w:p>
            <w:pPr>
              <w:spacing w:after="0" w:line="182" w:lineRule="exact"/>
              <w:rPr>
                <w:rFonts w:ascii="Arial" w:cs="Arial" w:eastAsia="Arial" w:hAnsi="Arial"/>
                <w:sz w:val="18"/>
                <w:szCs w:val="18"/>
                <w:color w:val="0000EE"/>
              </w:rPr>
            </w:pPr>
            <w:hyperlink r:id="rId80">
              <w:r>
                <w:rPr>
                  <w:rFonts w:ascii="Arial" w:cs="Arial" w:eastAsia="Arial" w:hAnsi="Arial"/>
                  <w:sz w:val="18"/>
                  <w:szCs w:val="18"/>
                  <w:color w:val="0000EE"/>
                </w:rPr>
                <w:t>thereto, U.S. Bank National Association, as Trustee, and Deutsche Bank Trust Company Americas, as Collateral Agent (Exhibit</w:t>
              </w:r>
            </w:hyperlink>
          </w:p>
        </w:tc>
      </w:tr>
      <w:tr>
        <w:trPr>
          <w:trHeight w:val="183"/>
        </w:trPr>
        <w:tc>
          <w:tcPr>
            <w:tcW w:w="1260" w:type="dxa"/>
            <w:vAlign w:val="bottom"/>
          </w:tcPr>
          <w:p>
            <w:pPr>
              <w:spacing w:after="0"/>
              <w:rPr>
                <w:sz w:val="15"/>
                <w:szCs w:val="15"/>
                <w:color w:val="auto"/>
              </w:rPr>
            </w:pPr>
          </w:p>
        </w:tc>
        <w:tc>
          <w:tcPr>
            <w:tcW w:w="10160" w:type="dxa"/>
            <w:vAlign w:val="bottom"/>
            <w:gridSpan w:val="16"/>
          </w:tcPr>
          <w:p>
            <w:pPr>
              <w:spacing w:after="0" w:line="182" w:lineRule="exact"/>
              <w:rPr>
                <w:rFonts w:ascii="Arial" w:cs="Arial" w:eastAsia="Arial" w:hAnsi="Arial"/>
                <w:sz w:val="18"/>
                <w:szCs w:val="18"/>
                <w:color w:val="0000EE"/>
              </w:rPr>
            </w:pPr>
            <w:hyperlink r:id="rId80">
              <w:r>
                <w:rPr>
                  <w:rFonts w:ascii="Arial" w:cs="Arial" w:eastAsia="Arial" w:hAnsi="Arial"/>
                  <w:sz w:val="18"/>
                  <w:szCs w:val="18"/>
                  <w:color w:val="0000EE"/>
                </w:rPr>
                <w:t>4.</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Form 8-K filed on April 4, 2014)</w:t>
              </w:r>
            </w:hyperlink>
          </w:p>
        </w:tc>
      </w:tr>
      <w:tr>
        <w:trPr>
          <w:trHeight w:val="20"/>
        </w:trPr>
        <w:tc>
          <w:tcPr>
            <w:tcW w:w="12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60" w:type="dxa"/>
            <w:vAlign w:val="bottom"/>
          </w:tcPr>
          <w:p>
            <w:pPr>
              <w:spacing w:after="0"/>
              <w:rPr>
                <w:sz w:val="20"/>
                <w:szCs w:val="20"/>
                <w:color w:val="auto"/>
              </w:rPr>
            </w:pPr>
            <w:r>
              <w:rPr>
                <w:rFonts w:ascii="Arial" w:cs="Arial" w:eastAsia="Arial" w:hAnsi="Arial"/>
                <w:sz w:val="18"/>
                <w:szCs w:val="18"/>
                <w:color w:val="auto"/>
              </w:rPr>
              <w:t>4.2 *</w:t>
            </w:r>
          </w:p>
        </w:tc>
        <w:tc>
          <w:tcPr>
            <w:tcW w:w="10160" w:type="dxa"/>
            <w:vAlign w:val="bottom"/>
            <w:tcBorders>
              <w:bottom w:val="single" w:sz="8" w:color="0000EE"/>
            </w:tcBorders>
            <w:gridSpan w:val="16"/>
          </w:tcPr>
          <w:p>
            <w:pPr>
              <w:spacing w:after="0"/>
              <w:rPr>
                <w:rFonts w:ascii="Arial" w:cs="Arial" w:eastAsia="Arial" w:hAnsi="Arial"/>
                <w:sz w:val="18"/>
                <w:szCs w:val="18"/>
                <w:color w:val="0000EE"/>
              </w:rPr>
            </w:pPr>
            <w:hyperlink r:id="rId81">
              <w:r>
                <w:rPr>
                  <w:rFonts w:ascii="Arial" w:cs="Arial" w:eastAsia="Arial" w:hAnsi="Arial"/>
                  <w:sz w:val="18"/>
                  <w:szCs w:val="18"/>
                  <w:color w:val="0000EE"/>
                </w:rPr>
                <w:t>Warrant Agreement dated as of March 31, 2014 between Lee Enterprises, Incorporated and Wells Fargo Bank, National</w:t>
              </w:r>
            </w:hyperlink>
          </w:p>
        </w:tc>
      </w:tr>
      <w:tr>
        <w:trPr>
          <w:trHeight w:val="183"/>
        </w:trPr>
        <w:tc>
          <w:tcPr>
            <w:tcW w:w="1260" w:type="dxa"/>
            <w:vAlign w:val="bottom"/>
          </w:tcPr>
          <w:p>
            <w:pPr>
              <w:spacing w:after="0"/>
              <w:rPr>
                <w:sz w:val="15"/>
                <w:szCs w:val="15"/>
                <w:color w:val="auto"/>
              </w:rPr>
            </w:pPr>
          </w:p>
        </w:tc>
        <w:tc>
          <w:tcPr>
            <w:tcW w:w="10160" w:type="dxa"/>
            <w:vAlign w:val="bottom"/>
            <w:gridSpan w:val="16"/>
          </w:tcPr>
          <w:p>
            <w:pPr>
              <w:spacing w:after="0" w:line="182" w:lineRule="exact"/>
              <w:rPr>
                <w:rFonts w:ascii="Arial" w:cs="Arial" w:eastAsia="Arial" w:hAnsi="Arial"/>
                <w:sz w:val="18"/>
                <w:szCs w:val="18"/>
                <w:color w:val="0000EE"/>
              </w:rPr>
            </w:pPr>
            <w:hyperlink r:id="rId81">
              <w:r>
                <w:rPr>
                  <w:rFonts w:ascii="Arial" w:cs="Arial" w:eastAsia="Arial" w:hAnsi="Arial"/>
                  <w:sz w:val="18"/>
                  <w:szCs w:val="18"/>
                  <w:color w:val="0000EE"/>
                </w:rPr>
                <w:t>Association (Exhibit 4.2 to Form 8-K filed on April 4, 2014)</w:t>
              </w:r>
            </w:hyperlink>
          </w:p>
        </w:tc>
      </w:tr>
      <w:tr>
        <w:trPr>
          <w:trHeight w:val="20"/>
        </w:trPr>
        <w:tc>
          <w:tcPr>
            <w:tcW w:w="12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60" w:type="dxa"/>
            <w:vAlign w:val="bottom"/>
            <w:gridSpan w:val="4"/>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60" w:type="dxa"/>
            <w:vAlign w:val="bottom"/>
          </w:tcPr>
          <w:p>
            <w:pPr>
              <w:spacing w:after="0"/>
              <w:rPr>
                <w:sz w:val="20"/>
                <w:szCs w:val="20"/>
                <w:color w:val="auto"/>
              </w:rPr>
            </w:pPr>
            <w:r>
              <w:rPr>
                <w:rFonts w:ascii="Arial" w:cs="Arial" w:eastAsia="Arial" w:hAnsi="Arial"/>
                <w:sz w:val="18"/>
                <w:szCs w:val="18"/>
                <w:color w:val="auto"/>
              </w:rPr>
              <w:t>4.3 *</w:t>
            </w:r>
          </w:p>
        </w:tc>
        <w:tc>
          <w:tcPr>
            <w:tcW w:w="10160" w:type="dxa"/>
            <w:vAlign w:val="bottom"/>
            <w:tcBorders>
              <w:bottom w:val="single" w:sz="8" w:color="0000EE"/>
            </w:tcBorders>
            <w:gridSpan w:val="16"/>
          </w:tcPr>
          <w:p>
            <w:pPr>
              <w:spacing w:after="0"/>
              <w:rPr>
                <w:rFonts w:ascii="Arial" w:cs="Arial" w:eastAsia="Arial" w:hAnsi="Arial"/>
                <w:sz w:val="18"/>
                <w:szCs w:val="18"/>
                <w:color w:val="0000EE"/>
              </w:rPr>
            </w:pPr>
            <w:hyperlink r:id="rId82">
              <w:r>
                <w:rPr>
                  <w:rFonts w:ascii="Arial" w:cs="Arial" w:eastAsia="Arial" w:hAnsi="Arial"/>
                  <w:sz w:val="18"/>
                  <w:szCs w:val="18"/>
                  <w:color w:val="0000EE"/>
                </w:rPr>
                <w:t>Registration  Rights  Agreement  dated  as  of  March  31,  2014  among  Lee  Enterprises,  Incorporated,  Mudrick  Capital</w:t>
              </w:r>
            </w:hyperlink>
          </w:p>
        </w:tc>
      </w:tr>
      <w:tr>
        <w:trPr>
          <w:trHeight w:val="183"/>
        </w:trPr>
        <w:tc>
          <w:tcPr>
            <w:tcW w:w="1260" w:type="dxa"/>
            <w:vAlign w:val="bottom"/>
          </w:tcPr>
          <w:p>
            <w:pPr>
              <w:spacing w:after="0"/>
              <w:rPr>
                <w:sz w:val="15"/>
                <w:szCs w:val="15"/>
                <w:color w:val="auto"/>
              </w:rPr>
            </w:pPr>
          </w:p>
        </w:tc>
        <w:tc>
          <w:tcPr>
            <w:tcW w:w="10160" w:type="dxa"/>
            <w:vAlign w:val="bottom"/>
            <w:tcBorders>
              <w:bottom w:val="single" w:sz="8" w:color="0000EE"/>
            </w:tcBorders>
            <w:gridSpan w:val="16"/>
          </w:tcPr>
          <w:p>
            <w:pPr>
              <w:spacing w:after="0" w:line="182" w:lineRule="exact"/>
              <w:rPr>
                <w:rFonts w:ascii="Arial" w:cs="Arial" w:eastAsia="Arial" w:hAnsi="Arial"/>
                <w:sz w:val="18"/>
                <w:szCs w:val="18"/>
                <w:color w:val="0000EE"/>
              </w:rPr>
            </w:pPr>
            <w:hyperlink r:id="rId82">
              <w:r>
                <w:rPr>
                  <w:rFonts w:ascii="Arial" w:cs="Arial" w:eastAsia="Arial" w:hAnsi="Arial"/>
                  <w:sz w:val="18"/>
                  <w:szCs w:val="18"/>
                  <w:color w:val="0000EE"/>
                </w:rPr>
                <w:t>Management, LP, Hawkeye Capital Management, LLC, Cohanzick Management, LLC, Aristeia Capital, L.L.C., CVC Credit</w:t>
              </w:r>
            </w:hyperlink>
          </w:p>
        </w:tc>
      </w:tr>
      <w:tr>
        <w:trPr>
          <w:trHeight w:val="183"/>
        </w:trPr>
        <w:tc>
          <w:tcPr>
            <w:tcW w:w="1260" w:type="dxa"/>
            <w:vAlign w:val="bottom"/>
          </w:tcPr>
          <w:p>
            <w:pPr>
              <w:spacing w:after="0"/>
              <w:rPr>
                <w:sz w:val="15"/>
                <w:szCs w:val="15"/>
                <w:color w:val="auto"/>
              </w:rPr>
            </w:pPr>
          </w:p>
        </w:tc>
        <w:tc>
          <w:tcPr>
            <w:tcW w:w="990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r:id="rId82">
              <w:r>
                <w:rPr>
                  <w:rFonts w:ascii="Arial" w:cs="Arial" w:eastAsia="Arial" w:hAnsi="Arial"/>
                  <w:sz w:val="18"/>
                  <w:szCs w:val="18"/>
                  <w:color w:val="0000EE"/>
                  <w:w w:val="99"/>
                </w:rPr>
                <w:t>Partners, LLC, Franklin Mutual Advisors, LLC and Wingspan Master Fund, LP (Exhibit 4.3 to Form 8-K filed on April 4, 2014)</w:t>
              </w:r>
            </w:hyperlink>
          </w:p>
        </w:tc>
        <w:tc>
          <w:tcPr>
            <w:tcW w:w="260" w:type="dxa"/>
            <w:vAlign w:val="bottom"/>
            <w:gridSpan w:val="3"/>
          </w:tcPr>
          <w:p>
            <w:pPr>
              <w:spacing w:after="0"/>
              <w:rPr>
                <w:sz w:val="15"/>
                <w:szCs w:val="15"/>
                <w:color w:val="auto"/>
              </w:rPr>
            </w:pPr>
          </w:p>
        </w:tc>
      </w:tr>
      <w:tr>
        <w:trPr>
          <w:trHeight w:val="385"/>
        </w:trPr>
        <w:tc>
          <w:tcPr>
            <w:tcW w:w="1260" w:type="dxa"/>
            <w:vAlign w:val="bottom"/>
          </w:tcPr>
          <w:p>
            <w:pPr>
              <w:spacing w:after="0"/>
              <w:rPr>
                <w:sz w:val="20"/>
                <w:szCs w:val="20"/>
                <w:color w:val="auto"/>
              </w:rPr>
            </w:pPr>
            <w:r>
              <w:rPr>
                <w:rFonts w:ascii="Arial" w:cs="Arial" w:eastAsia="Arial" w:hAnsi="Arial"/>
                <w:sz w:val="18"/>
                <w:szCs w:val="18"/>
                <w:color w:val="auto"/>
              </w:rPr>
              <w:t>10.1 *</w:t>
            </w:r>
          </w:p>
        </w:tc>
        <w:tc>
          <w:tcPr>
            <w:tcW w:w="10160" w:type="dxa"/>
            <w:vAlign w:val="bottom"/>
            <w:tcBorders>
              <w:bottom w:val="single" w:sz="8" w:color="0000EE"/>
            </w:tcBorders>
            <w:gridSpan w:val="16"/>
          </w:tcPr>
          <w:p>
            <w:pPr>
              <w:spacing w:after="0"/>
              <w:rPr>
                <w:rFonts w:ascii="Arial" w:cs="Arial" w:eastAsia="Arial" w:hAnsi="Arial"/>
                <w:sz w:val="18"/>
                <w:szCs w:val="18"/>
                <w:color w:val="0000EE"/>
              </w:rPr>
            </w:pPr>
            <w:hyperlink r:id="rId83">
              <w:r>
                <w:rPr>
                  <w:rFonts w:ascii="Arial" w:cs="Arial" w:eastAsia="Arial" w:hAnsi="Arial"/>
                  <w:sz w:val="18"/>
                  <w:szCs w:val="18"/>
                  <w:color w:val="0000EE"/>
                </w:rPr>
                <w:t>Purchase Agreement dated March 21, 2014 among Lee Enterprises, Incorporated, certain subsidiaries party thereto from time</w:t>
              </w:r>
            </w:hyperlink>
          </w:p>
        </w:tc>
      </w:tr>
      <w:tr>
        <w:trPr>
          <w:trHeight w:val="183"/>
        </w:trPr>
        <w:tc>
          <w:tcPr>
            <w:tcW w:w="1260" w:type="dxa"/>
            <w:vAlign w:val="bottom"/>
          </w:tcPr>
          <w:p>
            <w:pPr>
              <w:spacing w:after="0"/>
              <w:rPr>
                <w:sz w:val="15"/>
                <w:szCs w:val="15"/>
                <w:color w:val="auto"/>
              </w:rPr>
            </w:pPr>
          </w:p>
        </w:tc>
        <w:tc>
          <w:tcPr>
            <w:tcW w:w="10160" w:type="dxa"/>
            <w:vAlign w:val="bottom"/>
            <w:tcBorders>
              <w:bottom w:val="single" w:sz="8" w:color="0000EE"/>
            </w:tcBorders>
            <w:gridSpan w:val="16"/>
          </w:tcPr>
          <w:p>
            <w:pPr>
              <w:spacing w:after="0" w:line="182" w:lineRule="exact"/>
              <w:rPr>
                <w:rFonts w:ascii="Arial" w:cs="Arial" w:eastAsia="Arial" w:hAnsi="Arial"/>
                <w:sz w:val="18"/>
                <w:szCs w:val="18"/>
                <w:color w:val="0000EE"/>
              </w:rPr>
            </w:pPr>
            <w:hyperlink r:id="rId83">
              <w:r>
                <w:rPr>
                  <w:rFonts w:ascii="Arial" w:cs="Arial" w:eastAsia="Arial" w:hAnsi="Arial"/>
                  <w:sz w:val="18"/>
                  <w:szCs w:val="18"/>
                  <w:color w:val="0000EE"/>
                </w:rPr>
                <w:t>to time, U.S. Bank National Association, as Trustee, and Deutsche Bank Trust Company Americas, as Collateral Agent,</w:t>
              </w:r>
            </w:hyperlink>
          </w:p>
        </w:tc>
      </w:tr>
      <w:tr>
        <w:trPr>
          <w:trHeight w:val="183"/>
        </w:trPr>
        <w:tc>
          <w:tcPr>
            <w:tcW w:w="1260" w:type="dxa"/>
            <w:vAlign w:val="bottom"/>
          </w:tcPr>
          <w:p>
            <w:pPr>
              <w:spacing w:after="0"/>
              <w:rPr>
                <w:sz w:val="15"/>
                <w:szCs w:val="15"/>
                <w:color w:val="auto"/>
              </w:rPr>
            </w:pPr>
          </w:p>
        </w:tc>
        <w:tc>
          <w:tcPr>
            <w:tcW w:w="10160" w:type="dxa"/>
            <w:vAlign w:val="bottom"/>
            <w:tcBorders>
              <w:bottom w:val="single" w:sz="8" w:color="0000EE"/>
            </w:tcBorders>
            <w:gridSpan w:val="16"/>
          </w:tcPr>
          <w:p>
            <w:pPr>
              <w:spacing w:after="0" w:line="182" w:lineRule="exact"/>
              <w:rPr>
                <w:rFonts w:ascii="Arial" w:cs="Arial" w:eastAsia="Arial" w:hAnsi="Arial"/>
                <w:sz w:val="18"/>
                <w:szCs w:val="18"/>
                <w:color w:val="0000EE"/>
              </w:rPr>
            </w:pPr>
            <w:hyperlink r:id="rId83">
              <w:r>
                <w:rPr>
                  <w:rFonts w:ascii="Arial" w:cs="Arial" w:eastAsia="Arial" w:hAnsi="Arial"/>
                  <w:sz w:val="18"/>
                  <w:szCs w:val="18"/>
                  <w:color w:val="0000EE"/>
                </w:rPr>
                <w:t xml:space="preserve">involving a </w:t>
              </w:r>
              <w:r>
                <w:rPr>
                  <w:rFonts w:ascii="Arial" w:cs="Arial" w:eastAsia="Arial" w:hAnsi="Arial"/>
                  <w:sz w:val="18"/>
                  <w:szCs w:val="18"/>
                  <w:u w:val="single" w:color="auto"/>
                  <w:color w:val="0000EE"/>
                </w:rPr>
                <w:t>$</w:t>
              </w:r>
              <w:r>
                <w:rPr>
                  <w:rFonts w:ascii="Arial" w:cs="Arial" w:eastAsia="Arial" w:hAnsi="Arial"/>
                  <w:sz w:val="18"/>
                  <w:szCs w:val="18"/>
                  <w:color w:val="0000EE"/>
                </w:rPr>
                <w:t>400,000,000 aggregate principal amount of 9.5% Senior Secured Notes, pursuant to an Indenture dated as of</w:t>
              </w:r>
            </w:hyperlink>
          </w:p>
        </w:tc>
      </w:tr>
      <w:tr>
        <w:trPr>
          <w:trHeight w:val="183"/>
        </w:trPr>
        <w:tc>
          <w:tcPr>
            <w:tcW w:w="1260" w:type="dxa"/>
            <w:vAlign w:val="bottom"/>
          </w:tcPr>
          <w:p>
            <w:pPr>
              <w:spacing w:after="0"/>
              <w:rPr>
                <w:sz w:val="15"/>
                <w:szCs w:val="15"/>
                <w:color w:val="auto"/>
              </w:rPr>
            </w:pPr>
          </w:p>
        </w:tc>
        <w:tc>
          <w:tcPr>
            <w:tcW w:w="530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r:id="rId83">
              <w:r>
                <w:rPr>
                  <w:rFonts w:ascii="Arial" w:cs="Arial" w:eastAsia="Arial" w:hAnsi="Arial"/>
                  <w:sz w:val="18"/>
                  <w:szCs w:val="18"/>
                  <w:color w:val="0000EE"/>
                  <w:w w:val="99"/>
                </w:rPr>
                <w:t>March 31, 2014 (Exhibit 10.1 to Form 8-K filed on March 27, 2014)</w:t>
              </w:r>
            </w:hyperlink>
          </w:p>
        </w:tc>
        <w:tc>
          <w:tcPr>
            <w:tcW w:w="4860" w:type="dxa"/>
            <w:vAlign w:val="bottom"/>
            <w:gridSpan w:val="7"/>
          </w:tcPr>
          <w:p>
            <w:pPr>
              <w:spacing w:after="0"/>
              <w:rPr>
                <w:sz w:val="15"/>
                <w:szCs w:val="15"/>
                <w:color w:val="auto"/>
              </w:rPr>
            </w:pPr>
          </w:p>
        </w:tc>
      </w:tr>
      <w:tr>
        <w:trPr>
          <w:trHeight w:val="385"/>
        </w:trPr>
        <w:tc>
          <w:tcPr>
            <w:tcW w:w="1260" w:type="dxa"/>
            <w:vAlign w:val="bottom"/>
          </w:tcPr>
          <w:p>
            <w:pPr>
              <w:spacing w:after="0"/>
              <w:rPr>
                <w:sz w:val="20"/>
                <w:szCs w:val="20"/>
                <w:color w:val="auto"/>
              </w:rPr>
            </w:pPr>
            <w:r>
              <w:rPr>
                <w:rFonts w:ascii="Arial" w:cs="Arial" w:eastAsia="Arial" w:hAnsi="Arial"/>
                <w:sz w:val="18"/>
                <w:szCs w:val="18"/>
                <w:color w:val="auto"/>
              </w:rPr>
              <w:t>10.2 *</w:t>
            </w:r>
          </w:p>
        </w:tc>
        <w:tc>
          <w:tcPr>
            <w:tcW w:w="10160" w:type="dxa"/>
            <w:vAlign w:val="bottom"/>
            <w:tcBorders>
              <w:bottom w:val="single" w:sz="8" w:color="0000EE"/>
            </w:tcBorders>
            <w:gridSpan w:val="16"/>
          </w:tcPr>
          <w:p>
            <w:pPr>
              <w:spacing w:after="0"/>
              <w:rPr>
                <w:rFonts w:ascii="Arial" w:cs="Arial" w:eastAsia="Arial" w:hAnsi="Arial"/>
                <w:sz w:val="18"/>
                <w:szCs w:val="18"/>
                <w:color w:val="0000EE"/>
              </w:rPr>
            </w:pPr>
            <w:hyperlink r:id="rId84">
              <w:r>
                <w:rPr>
                  <w:rFonts w:ascii="Arial" w:cs="Arial" w:eastAsia="Arial" w:hAnsi="Arial"/>
                  <w:sz w:val="18"/>
                  <w:szCs w:val="18"/>
                  <w:color w:val="0000EE"/>
                </w:rPr>
                <w:t>Joinder Agreement dated as of June 25, 2015, made by each Subsidiary Guarantor a party thereto in favor of U.S. Bank</w:t>
              </w:r>
            </w:hyperlink>
          </w:p>
        </w:tc>
      </w:tr>
      <w:tr>
        <w:trPr>
          <w:trHeight w:val="183"/>
        </w:trPr>
        <w:tc>
          <w:tcPr>
            <w:tcW w:w="1260" w:type="dxa"/>
            <w:vAlign w:val="bottom"/>
          </w:tcPr>
          <w:p>
            <w:pPr>
              <w:spacing w:after="0"/>
              <w:rPr>
                <w:sz w:val="15"/>
                <w:szCs w:val="15"/>
                <w:color w:val="auto"/>
              </w:rPr>
            </w:pPr>
          </w:p>
        </w:tc>
        <w:tc>
          <w:tcPr>
            <w:tcW w:w="10160" w:type="dxa"/>
            <w:vAlign w:val="bottom"/>
            <w:tcBorders>
              <w:bottom w:val="single" w:sz="8" w:color="0000EE"/>
            </w:tcBorders>
            <w:gridSpan w:val="16"/>
          </w:tcPr>
          <w:p>
            <w:pPr>
              <w:spacing w:after="0" w:line="182" w:lineRule="exact"/>
              <w:rPr>
                <w:rFonts w:ascii="Arial" w:cs="Arial" w:eastAsia="Arial" w:hAnsi="Arial"/>
                <w:sz w:val="18"/>
                <w:szCs w:val="18"/>
                <w:color w:val="0000EE"/>
              </w:rPr>
            </w:pPr>
            <w:hyperlink r:id="rId84">
              <w:r>
                <w:rPr>
                  <w:rFonts w:ascii="Arial" w:cs="Arial" w:eastAsia="Arial" w:hAnsi="Arial"/>
                  <w:sz w:val="18"/>
                  <w:szCs w:val="18"/>
                  <w:color w:val="0000EE"/>
                </w:rPr>
                <w:t>National Association, as Trustee and Deutsche Bank Trust Company Americas, as collateral agent (Exhibit 10.1 to Form 8-K</w:t>
              </w:r>
            </w:hyperlink>
          </w:p>
        </w:tc>
      </w:tr>
      <w:tr>
        <w:trPr>
          <w:trHeight w:val="183"/>
        </w:trPr>
        <w:tc>
          <w:tcPr>
            <w:tcW w:w="1260" w:type="dxa"/>
            <w:vAlign w:val="bottom"/>
          </w:tcPr>
          <w:p>
            <w:pPr>
              <w:spacing w:after="0"/>
              <w:rPr>
                <w:sz w:val="15"/>
                <w:szCs w:val="15"/>
                <w:color w:val="auto"/>
              </w:rPr>
            </w:pPr>
          </w:p>
        </w:tc>
        <w:tc>
          <w:tcPr>
            <w:tcW w:w="10160" w:type="dxa"/>
            <w:vAlign w:val="bottom"/>
            <w:gridSpan w:val="16"/>
          </w:tcPr>
          <w:p>
            <w:pPr>
              <w:spacing w:after="0" w:line="182" w:lineRule="exact"/>
              <w:rPr>
                <w:rFonts w:ascii="Arial" w:cs="Arial" w:eastAsia="Arial" w:hAnsi="Arial"/>
                <w:sz w:val="18"/>
                <w:szCs w:val="18"/>
                <w:color w:val="0000EE"/>
              </w:rPr>
            </w:pPr>
            <w:hyperlink r:id="rId84">
              <w:r>
                <w:rPr>
                  <w:rFonts w:ascii="Arial" w:cs="Arial" w:eastAsia="Arial" w:hAnsi="Arial"/>
                  <w:sz w:val="18"/>
                  <w:szCs w:val="18"/>
                  <w:color w:val="0000EE"/>
                </w:rPr>
                <w:t>filed on July 1, 2015)</w:t>
              </w:r>
            </w:hyperlink>
          </w:p>
        </w:tc>
      </w:tr>
      <w:tr>
        <w:trPr>
          <w:trHeight w:val="20"/>
        </w:trPr>
        <w:tc>
          <w:tcPr>
            <w:tcW w:w="12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60" w:type="dxa"/>
            <w:vAlign w:val="bottom"/>
          </w:tcPr>
          <w:p>
            <w:pPr>
              <w:spacing w:after="0"/>
              <w:rPr>
                <w:sz w:val="20"/>
                <w:szCs w:val="20"/>
                <w:color w:val="auto"/>
              </w:rPr>
            </w:pPr>
            <w:r>
              <w:rPr>
                <w:rFonts w:ascii="Arial" w:cs="Arial" w:eastAsia="Arial" w:hAnsi="Arial"/>
                <w:sz w:val="18"/>
                <w:szCs w:val="18"/>
                <w:color w:val="auto"/>
              </w:rPr>
              <w:t>10.3 *</w:t>
            </w:r>
          </w:p>
        </w:tc>
        <w:tc>
          <w:tcPr>
            <w:tcW w:w="10160" w:type="dxa"/>
            <w:vAlign w:val="bottom"/>
            <w:tcBorders>
              <w:bottom w:val="single" w:sz="8" w:color="0000EE"/>
            </w:tcBorders>
            <w:gridSpan w:val="16"/>
          </w:tcPr>
          <w:p>
            <w:pPr>
              <w:spacing w:after="0"/>
              <w:rPr>
                <w:rFonts w:ascii="Arial" w:cs="Arial" w:eastAsia="Arial" w:hAnsi="Arial"/>
                <w:sz w:val="18"/>
                <w:szCs w:val="18"/>
                <w:color w:val="0000EE"/>
              </w:rPr>
            </w:pPr>
            <w:hyperlink r:id="rId85">
              <w:r>
                <w:rPr>
                  <w:rFonts w:ascii="Arial" w:cs="Arial" w:eastAsia="Arial" w:hAnsi="Arial"/>
                  <w:sz w:val="18"/>
                  <w:szCs w:val="18"/>
                  <w:color w:val="0000EE"/>
                </w:rPr>
                <w:t>First Lien Credit Agreement dated as of March 31, 2014 among Lee Enterprises, Incorporated, the Lenders from time to time</w:t>
              </w:r>
            </w:hyperlink>
          </w:p>
        </w:tc>
      </w:tr>
      <w:tr>
        <w:trPr>
          <w:trHeight w:val="183"/>
        </w:trPr>
        <w:tc>
          <w:tcPr>
            <w:tcW w:w="1260" w:type="dxa"/>
            <w:vAlign w:val="bottom"/>
          </w:tcPr>
          <w:p>
            <w:pPr>
              <w:spacing w:after="0"/>
              <w:rPr>
                <w:sz w:val="15"/>
                <w:szCs w:val="15"/>
                <w:color w:val="auto"/>
              </w:rPr>
            </w:pPr>
          </w:p>
        </w:tc>
        <w:tc>
          <w:tcPr>
            <w:tcW w:w="10160" w:type="dxa"/>
            <w:vAlign w:val="bottom"/>
            <w:tcBorders>
              <w:bottom w:val="single" w:sz="8" w:color="0000EE"/>
            </w:tcBorders>
            <w:gridSpan w:val="16"/>
          </w:tcPr>
          <w:p>
            <w:pPr>
              <w:spacing w:after="0" w:line="182" w:lineRule="exact"/>
              <w:rPr>
                <w:rFonts w:ascii="Arial" w:cs="Arial" w:eastAsia="Arial" w:hAnsi="Arial"/>
                <w:sz w:val="18"/>
                <w:szCs w:val="18"/>
                <w:color w:val="0000EE"/>
              </w:rPr>
            </w:pPr>
            <w:hyperlink r:id="rId85">
              <w:r>
                <w:rPr>
                  <w:rFonts w:ascii="Arial" w:cs="Arial" w:eastAsia="Arial" w:hAnsi="Arial"/>
                  <w:sz w:val="18"/>
                  <w:szCs w:val="18"/>
                  <w:color w:val="0000EE"/>
                </w:rPr>
                <w:t>parties thereto, JPMorgan Chase Bank, N.A., as Administrative Agent and Collateral Agent, and JPMorgan Securities LLC and</w:t>
              </w:r>
            </w:hyperlink>
          </w:p>
        </w:tc>
      </w:tr>
      <w:tr>
        <w:trPr>
          <w:trHeight w:val="183"/>
        </w:trPr>
        <w:tc>
          <w:tcPr>
            <w:tcW w:w="1260" w:type="dxa"/>
            <w:vAlign w:val="bottom"/>
          </w:tcPr>
          <w:p>
            <w:pPr>
              <w:spacing w:after="0"/>
              <w:rPr>
                <w:sz w:val="15"/>
                <w:szCs w:val="15"/>
                <w:color w:val="auto"/>
              </w:rPr>
            </w:pPr>
          </w:p>
        </w:tc>
        <w:tc>
          <w:tcPr>
            <w:tcW w:w="10160" w:type="dxa"/>
            <w:vAlign w:val="bottom"/>
            <w:tcBorders>
              <w:bottom w:val="single" w:sz="8" w:color="0000EE"/>
            </w:tcBorders>
            <w:gridSpan w:val="16"/>
          </w:tcPr>
          <w:p>
            <w:pPr>
              <w:spacing w:after="0" w:line="182" w:lineRule="exact"/>
              <w:rPr>
                <w:rFonts w:ascii="Arial" w:cs="Arial" w:eastAsia="Arial" w:hAnsi="Arial"/>
                <w:sz w:val="18"/>
                <w:szCs w:val="18"/>
                <w:color w:val="0000EE"/>
              </w:rPr>
            </w:pPr>
            <w:hyperlink r:id="rId85">
              <w:r>
                <w:rPr>
                  <w:rFonts w:ascii="Arial" w:cs="Arial" w:eastAsia="Arial" w:hAnsi="Arial"/>
                  <w:sz w:val="18"/>
                  <w:szCs w:val="18"/>
                  <w:color w:val="0000EE"/>
                </w:rPr>
                <w:t>Deutsche Bank Securities Inc., as Joint Lead Arrangers and as Joint Bookrunners (Exhibit 10.1 to Form 8-K filed on April 4,</w:t>
              </w:r>
            </w:hyperlink>
          </w:p>
        </w:tc>
      </w:tr>
      <w:tr>
        <w:trPr>
          <w:trHeight w:val="183"/>
        </w:trPr>
        <w:tc>
          <w:tcPr>
            <w:tcW w:w="1260" w:type="dxa"/>
            <w:vAlign w:val="bottom"/>
          </w:tcPr>
          <w:p>
            <w:pPr>
              <w:spacing w:after="0"/>
              <w:rPr>
                <w:sz w:val="15"/>
                <w:szCs w:val="15"/>
                <w:color w:val="auto"/>
              </w:rPr>
            </w:pPr>
          </w:p>
        </w:tc>
        <w:tc>
          <w:tcPr>
            <w:tcW w:w="460" w:type="dxa"/>
            <w:vAlign w:val="bottom"/>
            <w:tcBorders>
              <w:bottom w:val="single" w:sz="8" w:color="0000EE"/>
            </w:tcBorders>
          </w:tcPr>
          <w:p>
            <w:pPr>
              <w:spacing w:after="0" w:line="182" w:lineRule="exact"/>
              <w:rPr>
                <w:rFonts w:ascii="Arial" w:cs="Arial" w:eastAsia="Arial" w:hAnsi="Arial"/>
                <w:sz w:val="18"/>
                <w:szCs w:val="18"/>
                <w:color w:val="0000EE"/>
                <w:w w:val="95"/>
              </w:rPr>
            </w:pPr>
            <w:hyperlink r:id="rId85">
              <w:r>
                <w:rPr>
                  <w:rFonts w:ascii="Arial" w:cs="Arial" w:eastAsia="Arial" w:hAnsi="Arial"/>
                  <w:sz w:val="18"/>
                  <w:szCs w:val="18"/>
                  <w:color w:val="0000EE"/>
                  <w:w w:val="95"/>
                </w:rPr>
                <w:t>2014)</w:t>
              </w:r>
            </w:hyperlink>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1260" w:type="dxa"/>
            <w:vAlign w:val="bottom"/>
          </w:tcPr>
          <w:p>
            <w:pPr>
              <w:spacing w:after="0"/>
              <w:rPr>
                <w:sz w:val="20"/>
                <w:szCs w:val="20"/>
                <w:color w:val="auto"/>
              </w:rPr>
            </w:pPr>
            <w:r>
              <w:rPr>
                <w:rFonts w:ascii="Arial" w:cs="Arial" w:eastAsia="Arial" w:hAnsi="Arial"/>
                <w:sz w:val="18"/>
                <w:szCs w:val="18"/>
                <w:color w:val="auto"/>
              </w:rPr>
              <w:t>10.4 *</w:t>
            </w:r>
          </w:p>
        </w:tc>
        <w:tc>
          <w:tcPr>
            <w:tcW w:w="10160" w:type="dxa"/>
            <w:vAlign w:val="bottom"/>
            <w:tcBorders>
              <w:bottom w:val="single" w:sz="8" w:color="0000EE"/>
            </w:tcBorders>
            <w:gridSpan w:val="16"/>
          </w:tcPr>
          <w:p>
            <w:pPr>
              <w:spacing w:after="0"/>
              <w:rPr>
                <w:rFonts w:ascii="Arial" w:cs="Arial" w:eastAsia="Arial" w:hAnsi="Arial"/>
                <w:sz w:val="18"/>
                <w:szCs w:val="18"/>
                <w:color w:val="0000EE"/>
              </w:rPr>
            </w:pPr>
            <w:hyperlink r:id="rId86">
              <w:r>
                <w:rPr>
                  <w:rFonts w:ascii="Arial" w:cs="Arial" w:eastAsia="Arial" w:hAnsi="Arial"/>
                  <w:sz w:val="18"/>
                  <w:szCs w:val="18"/>
                  <w:color w:val="0000EE"/>
                </w:rPr>
                <w:t>Second Lien Loan Agreement dated as of March 31, 2014 among Lee Enterprises, Incorporated, the Lenders from time to time</w:t>
              </w:r>
            </w:hyperlink>
          </w:p>
        </w:tc>
      </w:tr>
      <w:tr>
        <w:trPr>
          <w:trHeight w:val="183"/>
        </w:trPr>
        <w:tc>
          <w:tcPr>
            <w:tcW w:w="1260" w:type="dxa"/>
            <w:vAlign w:val="bottom"/>
          </w:tcPr>
          <w:p>
            <w:pPr>
              <w:spacing w:after="0"/>
              <w:rPr>
                <w:sz w:val="15"/>
                <w:szCs w:val="15"/>
                <w:color w:val="auto"/>
              </w:rPr>
            </w:pPr>
          </w:p>
        </w:tc>
        <w:tc>
          <w:tcPr>
            <w:tcW w:w="10160" w:type="dxa"/>
            <w:vAlign w:val="bottom"/>
            <w:tcBorders>
              <w:bottom w:val="single" w:sz="8" w:color="0000EE"/>
            </w:tcBorders>
            <w:gridSpan w:val="16"/>
          </w:tcPr>
          <w:p>
            <w:pPr>
              <w:spacing w:after="0" w:line="182" w:lineRule="exact"/>
              <w:rPr>
                <w:rFonts w:ascii="Arial" w:cs="Arial" w:eastAsia="Arial" w:hAnsi="Arial"/>
                <w:sz w:val="18"/>
                <w:szCs w:val="18"/>
                <w:color w:val="0000EE"/>
              </w:rPr>
            </w:pPr>
            <w:hyperlink r:id="rId86">
              <w:r>
                <w:rPr>
                  <w:rFonts w:ascii="Arial" w:cs="Arial" w:eastAsia="Arial" w:hAnsi="Arial"/>
                  <w:sz w:val="18"/>
                  <w:szCs w:val="18"/>
                  <w:color w:val="0000EE"/>
                </w:rPr>
                <w:t>parties thereto, Wilmington Trust, National Association, as Administrative Agent and Collateral Agent, and JPMorgan Securities</w:t>
              </w:r>
            </w:hyperlink>
          </w:p>
        </w:tc>
      </w:tr>
      <w:tr>
        <w:trPr>
          <w:trHeight w:val="183"/>
        </w:trPr>
        <w:tc>
          <w:tcPr>
            <w:tcW w:w="1260" w:type="dxa"/>
            <w:vAlign w:val="bottom"/>
          </w:tcPr>
          <w:p>
            <w:pPr>
              <w:spacing w:after="0"/>
              <w:rPr>
                <w:sz w:val="15"/>
                <w:szCs w:val="15"/>
                <w:color w:val="auto"/>
              </w:rPr>
            </w:pPr>
          </w:p>
        </w:tc>
        <w:tc>
          <w:tcPr>
            <w:tcW w:w="10160" w:type="dxa"/>
            <w:vAlign w:val="bottom"/>
            <w:tcBorders>
              <w:bottom w:val="single" w:sz="8" w:color="0000EE"/>
            </w:tcBorders>
            <w:gridSpan w:val="16"/>
          </w:tcPr>
          <w:p>
            <w:pPr>
              <w:spacing w:after="0" w:line="182" w:lineRule="exact"/>
              <w:rPr>
                <w:rFonts w:ascii="Arial" w:cs="Arial" w:eastAsia="Arial" w:hAnsi="Arial"/>
                <w:sz w:val="18"/>
                <w:szCs w:val="18"/>
                <w:color w:val="0000EE"/>
              </w:rPr>
            </w:pPr>
            <w:hyperlink r:id="rId86">
              <w:r>
                <w:rPr>
                  <w:rFonts w:ascii="Arial" w:cs="Arial" w:eastAsia="Arial" w:hAnsi="Arial"/>
                  <w:sz w:val="18"/>
                  <w:szCs w:val="18"/>
                  <w:color w:val="0000EE"/>
                </w:rPr>
                <w:t>LLC and Deutsche Bank Securities Inc., as Joint Lead Arrangers and as Joint Bookrunners (Exhibit 10.2 to Form 8-K filed on</w:t>
              </w:r>
            </w:hyperlink>
          </w:p>
        </w:tc>
      </w:tr>
      <w:tr>
        <w:trPr>
          <w:trHeight w:val="183"/>
        </w:trPr>
        <w:tc>
          <w:tcPr>
            <w:tcW w:w="1260" w:type="dxa"/>
            <w:vAlign w:val="bottom"/>
          </w:tcPr>
          <w:p>
            <w:pPr>
              <w:spacing w:after="0"/>
              <w:rPr>
                <w:sz w:val="15"/>
                <w:szCs w:val="15"/>
                <w:color w:val="auto"/>
              </w:rPr>
            </w:pPr>
          </w:p>
        </w:tc>
        <w:tc>
          <w:tcPr>
            <w:tcW w:w="108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r:id="rId86">
              <w:r>
                <w:rPr>
                  <w:rFonts w:ascii="Arial" w:cs="Arial" w:eastAsia="Arial" w:hAnsi="Arial"/>
                  <w:sz w:val="18"/>
                  <w:szCs w:val="18"/>
                  <w:color w:val="0000EE"/>
                  <w:w w:val="98"/>
                </w:rPr>
                <w:t>April 4, 2014)</w:t>
              </w:r>
            </w:hyperlink>
          </w:p>
        </w:tc>
        <w:tc>
          <w:tcPr>
            <w:tcW w:w="9080" w:type="dxa"/>
            <w:vAlign w:val="bottom"/>
            <w:gridSpan w:val="14"/>
          </w:tcPr>
          <w:p>
            <w:pPr>
              <w:spacing w:after="0"/>
              <w:rPr>
                <w:sz w:val="15"/>
                <w:szCs w:val="15"/>
                <w:color w:val="auto"/>
              </w:rPr>
            </w:pPr>
          </w:p>
        </w:tc>
      </w:tr>
      <w:tr>
        <w:trPr>
          <w:trHeight w:val="385"/>
        </w:trPr>
        <w:tc>
          <w:tcPr>
            <w:tcW w:w="1260" w:type="dxa"/>
            <w:vAlign w:val="bottom"/>
          </w:tcPr>
          <w:p>
            <w:pPr>
              <w:spacing w:after="0"/>
              <w:rPr>
                <w:sz w:val="20"/>
                <w:szCs w:val="20"/>
                <w:color w:val="auto"/>
              </w:rPr>
            </w:pPr>
            <w:r>
              <w:rPr>
                <w:rFonts w:ascii="Arial" w:cs="Arial" w:eastAsia="Arial" w:hAnsi="Arial"/>
                <w:sz w:val="18"/>
                <w:szCs w:val="18"/>
                <w:color w:val="auto"/>
              </w:rPr>
              <w:t>10.5 *</w:t>
            </w:r>
          </w:p>
        </w:tc>
        <w:tc>
          <w:tcPr>
            <w:tcW w:w="10160" w:type="dxa"/>
            <w:vAlign w:val="bottom"/>
            <w:tcBorders>
              <w:bottom w:val="single" w:sz="8" w:color="0000EE"/>
            </w:tcBorders>
            <w:gridSpan w:val="16"/>
          </w:tcPr>
          <w:p>
            <w:pPr>
              <w:spacing w:after="0"/>
              <w:rPr>
                <w:rFonts w:ascii="Arial" w:cs="Arial" w:eastAsia="Arial" w:hAnsi="Arial"/>
                <w:sz w:val="18"/>
                <w:szCs w:val="18"/>
                <w:color w:val="0000EE"/>
              </w:rPr>
            </w:pPr>
            <w:hyperlink r:id="rId87">
              <w:r>
                <w:rPr>
                  <w:rFonts w:ascii="Arial" w:cs="Arial" w:eastAsia="Arial" w:hAnsi="Arial"/>
                  <w:sz w:val="18"/>
                  <w:szCs w:val="18"/>
                  <w:color w:val="0000EE"/>
                </w:rPr>
                <w:t>Security Agreement dated as of March 31, 2014 among Lee Enterprises, Incorporated, the Subsidiary Guarantors and</w:t>
              </w:r>
            </w:hyperlink>
          </w:p>
        </w:tc>
      </w:tr>
      <w:tr>
        <w:trPr>
          <w:trHeight w:val="183"/>
        </w:trPr>
        <w:tc>
          <w:tcPr>
            <w:tcW w:w="1260" w:type="dxa"/>
            <w:vAlign w:val="bottom"/>
          </w:tcPr>
          <w:p>
            <w:pPr>
              <w:spacing w:after="0"/>
              <w:rPr>
                <w:sz w:val="15"/>
                <w:szCs w:val="15"/>
                <w:color w:val="auto"/>
              </w:rPr>
            </w:pPr>
          </w:p>
        </w:tc>
        <w:tc>
          <w:tcPr>
            <w:tcW w:w="10160" w:type="dxa"/>
            <w:vAlign w:val="bottom"/>
            <w:gridSpan w:val="16"/>
          </w:tcPr>
          <w:p>
            <w:pPr>
              <w:spacing w:after="0" w:line="182" w:lineRule="exact"/>
              <w:rPr>
                <w:rFonts w:ascii="Arial" w:cs="Arial" w:eastAsia="Arial" w:hAnsi="Arial"/>
                <w:sz w:val="18"/>
                <w:szCs w:val="18"/>
                <w:color w:val="0000EE"/>
              </w:rPr>
            </w:pPr>
            <w:hyperlink r:id="rId87">
              <w:r>
                <w:rPr>
                  <w:rFonts w:ascii="Arial" w:cs="Arial" w:eastAsia="Arial" w:hAnsi="Arial"/>
                  <w:sz w:val="18"/>
                  <w:szCs w:val="18"/>
                  <w:color w:val="0000EE"/>
                </w:rPr>
                <w:t>Deutsche Bank Trust Company Americas, as Collateral Agent (Exhibit 10.3 to Form 8-K filed on April 4, 2014)</w:t>
              </w:r>
            </w:hyperlink>
          </w:p>
        </w:tc>
      </w:tr>
      <w:tr>
        <w:trPr>
          <w:trHeight w:val="20"/>
        </w:trPr>
        <w:tc>
          <w:tcPr>
            <w:tcW w:w="1260" w:type="dxa"/>
            <w:vAlign w:val="bottom"/>
          </w:tcPr>
          <w:p>
            <w:pPr>
              <w:spacing w:after="0" w:line="20" w:lineRule="exact"/>
              <w:rPr>
                <w:sz w:val="1"/>
                <w:szCs w:val="1"/>
                <w:color w:val="auto"/>
              </w:rPr>
            </w:pPr>
          </w:p>
        </w:tc>
        <w:tc>
          <w:tcPr>
            <w:tcW w:w="4520" w:type="dxa"/>
            <w:vAlign w:val="bottom"/>
            <w:gridSpan w:val="7"/>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60" w:type="dxa"/>
            <w:vAlign w:val="bottom"/>
          </w:tcPr>
          <w:p>
            <w:pPr>
              <w:spacing w:after="0"/>
              <w:rPr>
                <w:sz w:val="20"/>
                <w:szCs w:val="20"/>
                <w:color w:val="auto"/>
              </w:rPr>
            </w:pPr>
            <w:r>
              <w:rPr>
                <w:rFonts w:ascii="Arial" w:cs="Arial" w:eastAsia="Arial" w:hAnsi="Arial"/>
                <w:sz w:val="18"/>
                <w:szCs w:val="18"/>
                <w:color w:val="auto"/>
              </w:rPr>
              <w:t>10.6 *</w:t>
            </w:r>
          </w:p>
        </w:tc>
        <w:tc>
          <w:tcPr>
            <w:tcW w:w="10160" w:type="dxa"/>
            <w:vAlign w:val="bottom"/>
            <w:tcBorders>
              <w:bottom w:val="single" w:sz="8" w:color="0000EE"/>
            </w:tcBorders>
            <w:gridSpan w:val="16"/>
          </w:tcPr>
          <w:p>
            <w:pPr>
              <w:spacing w:after="0"/>
              <w:rPr>
                <w:rFonts w:ascii="Arial" w:cs="Arial" w:eastAsia="Arial" w:hAnsi="Arial"/>
                <w:sz w:val="18"/>
                <w:szCs w:val="18"/>
                <w:color w:val="0000EE"/>
              </w:rPr>
            </w:pPr>
            <w:hyperlink r:id="rId88">
              <w:r>
                <w:rPr>
                  <w:rFonts w:ascii="Arial" w:cs="Arial" w:eastAsia="Arial" w:hAnsi="Arial"/>
                  <w:sz w:val="18"/>
                  <w:szCs w:val="18"/>
                  <w:color w:val="0000EE"/>
                </w:rPr>
                <w:t>Pari Passu Intercreditor Agreement dated as of March 31, 2014 among Lee Enterprises, Incorporated, the other Grantors from</w:t>
              </w:r>
            </w:hyperlink>
          </w:p>
        </w:tc>
      </w:tr>
      <w:tr>
        <w:trPr>
          <w:trHeight w:val="183"/>
        </w:trPr>
        <w:tc>
          <w:tcPr>
            <w:tcW w:w="1260" w:type="dxa"/>
            <w:vAlign w:val="bottom"/>
          </w:tcPr>
          <w:p>
            <w:pPr>
              <w:spacing w:after="0"/>
              <w:rPr>
                <w:sz w:val="15"/>
                <w:szCs w:val="15"/>
                <w:color w:val="auto"/>
              </w:rPr>
            </w:pPr>
          </w:p>
        </w:tc>
        <w:tc>
          <w:tcPr>
            <w:tcW w:w="10160" w:type="dxa"/>
            <w:vAlign w:val="bottom"/>
            <w:tcBorders>
              <w:bottom w:val="single" w:sz="8" w:color="0000EE"/>
            </w:tcBorders>
            <w:gridSpan w:val="16"/>
          </w:tcPr>
          <w:p>
            <w:pPr>
              <w:spacing w:after="0" w:line="182" w:lineRule="exact"/>
              <w:rPr>
                <w:rFonts w:ascii="Arial" w:cs="Arial" w:eastAsia="Arial" w:hAnsi="Arial"/>
                <w:sz w:val="18"/>
                <w:szCs w:val="18"/>
                <w:color w:val="0000EE"/>
              </w:rPr>
            </w:pPr>
            <w:hyperlink r:id="rId88">
              <w:r>
                <w:rPr>
                  <w:rFonts w:ascii="Arial" w:cs="Arial" w:eastAsia="Arial" w:hAnsi="Arial"/>
                  <w:sz w:val="18"/>
                  <w:szCs w:val="18"/>
                  <w:color w:val="0000EE"/>
                </w:rPr>
                <w:t>time to time parties thereto, JPMorgan Chase Bank, N.A., U.S. Bank National Association and Deutsche Bank Trust Company</w:t>
              </w:r>
            </w:hyperlink>
          </w:p>
        </w:tc>
      </w:tr>
      <w:tr>
        <w:trPr>
          <w:trHeight w:val="183"/>
        </w:trPr>
        <w:tc>
          <w:tcPr>
            <w:tcW w:w="1260" w:type="dxa"/>
            <w:vAlign w:val="bottom"/>
          </w:tcPr>
          <w:p>
            <w:pPr>
              <w:spacing w:after="0"/>
              <w:rPr>
                <w:sz w:val="15"/>
                <w:szCs w:val="15"/>
                <w:color w:val="auto"/>
              </w:rPr>
            </w:pPr>
          </w:p>
        </w:tc>
        <w:tc>
          <w:tcPr>
            <w:tcW w:w="4620" w:type="dxa"/>
            <w:vAlign w:val="bottom"/>
            <w:tcBorders>
              <w:bottom w:val="single" w:sz="8" w:color="0000EE"/>
            </w:tcBorders>
            <w:gridSpan w:val="8"/>
          </w:tcPr>
          <w:p>
            <w:pPr>
              <w:spacing w:after="0" w:line="182" w:lineRule="exact"/>
              <w:rPr>
                <w:rFonts w:ascii="Arial" w:cs="Arial" w:eastAsia="Arial" w:hAnsi="Arial"/>
                <w:sz w:val="18"/>
                <w:szCs w:val="18"/>
                <w:color w:val="0000EE"/>
              </w:rPr>
            </w:pPr>
            <w:hyperlink r:id="rId88">
              <w:r>
                <w:rPr>
                  <w:rFonts w:ascii="Arial" w:cs="Arial" w:eastAsia="Arial" w:hAnsi="Arial"/>
                  <w:sz w:val="18"/>
                  <w:szCs w:val="18"/>
                  <w:color w:val="0000EE"/>
                </w:rPr>
                <w:t>Americas (Exhibit 10.4 to Form 8-K filed on April 4, 2014)</w:t>
              </w:r>
            </w:hyperlink>
          </w:p>
        </w:tc>
        <w:tc>
          <w:tcPr>
            <w:tcW w:w="5540" w:type="dxa"/>
            <w:vAlign w:val="bottom"/>
            <w:gridSpan w:val="8"/>
          </w:tcPr>
          <w:p>
            <w:pPr>
              <w:spacing w:after="0"/>
              <w:rPr>
                <w:sz w:val="15"/>
                <w:szCs w:val="15"/>
                <w:color w:val="auto"/>
              </w:rPr>
            </w:pPr>
          </w:p>
        </w:tc>
      </w:tr>
      <w:tr>
        <w:trPr>
          <w:trHeight w:val="385"/>
        </w:trPr>
        <w:tc>
          <w:tcPr>
            <w:tcW w:w="1260" w:type="dxa"/>
            <w:vAlign w:val="bottom"/>
          </w:tcPr>
          <w:p>
            <w:pPr>
              <w:spacing w:after="0"/>
              <w:rPr>
                <w:sz w:val="20"/>
                <w:szCs w:val="20"/>
                <w:color w:val="auto"/>
              </w:rPr>
            </w:pPr>
            <w:r>
              <w:rPr>
                <w:rFonts w:ascii="Arial" w:cs="Arial" w:eastAsia="Arial" w:hAnsi="Arial"/>
                <w:sz w:val="18"/>
                <w:szCs w:val="18"/>
                <w:color w:val="auto"/>
              </w:rPr>
              <w:t>10.7 *</w:t>
            </w:r>
          </w:p>
        </w:tc>
        <w:tc>
          <w:tcPr>
            <w:tcW w:w="10160" w:type="dxa"/>
            <w:vAlign w:val="bottom"/>
            <w:tcBorders>
              <w:bottom w:val="single" w:sz="8" w:color="0000EE"/>
            </w:tcBorders>
            <w:gridSpan w:val="16"/>
          </w:tcPr>
          <w:p>
            <w:pPr>
              <w:spacing w:after="0"/>
              <w:rPr>
                <w:rFonts w:ascii="Arial" w:cs="Arial" w:eastAsia="Arial" w:hAnsi="Arial"/>
                <w:sz w:val="18"/>
                <w:szCs w:val="18"/>
                <w:color w:val="0000EE"/>
              </w:rPr>
            </w:pPr>
            <w:hyperlink r:id="rId89">
              <w:r>
                <w:rPr>
                  <w:rFonts w:ascii="Arial" w:cs="Arial" w:eastAsia="Arial" w:hAnsi="Arial"/>
                  <w:sz w:val="18"/>
                  <w:szCs w:val="18"/>
                  <w:color w:val="0000EE"/>
                </w:rPr>
                <w:t>Joinder Agreement dated as of June 25, 2015, made by each Subsidiary Guarantor a party thereto in favor of JPMorgan Chase</w:t>
              </w:r>
            </w:hyperlink>
          </w:p>
        </w:tc>
      </w:tr>
      <w:tr>
        <w:trPr>
          <w:trHeight w:val="183"/>
        </w:trPr>
        <w:tc>
          <w:tcPr>
            <w:tcW w:w="1260" w:type="dxa"/>
            <w:vAlign w:val="bottom"/>
          </w:tcPr>
          <w:p>
            <w:pPr>
              <w:spacing w:after="0"/>
              <w:rPr>
                <w:sz w:val="15"/>
                <w:szCs w:val="15"/>
                <w:color w:val="auto"/>
              </w:rPr>
            </w:pPr>
          </w:p>
        </w:tc>
        <w:tc>
          <w:tcPr>
            <w:tcW w:w="10160" w:type="dxa"/>
            <w:vAlign w:val="bottom"/>
            <w:tcBorders>
              <w:bottom w:val="single" w:sz="8" w:color="0000EE"/>
            </w:tcBorders>
            <w:gridSpan w:val="16"/>
          </w:tcPr>
          <w:p>
            <w:pPr>
              <w:spacing w:after="0" w:line="182" w:lineRule="exact"/>
              <w:rPr>
                <w:rFonts w:ascii="Arial" w:cs="Arial" w:eastAsia="Arial" w:hAnsi="Arial"/>
                <w:sz w:val="18"/>
                <w:szCs w:val="18"/>
                <w:color w:val="0000EE"/>
              </w:rPr>
            </w:pPr>
            <w:hyperlink r:id="rId89">
              <w:r>
                <w:rPr>
                  <w:rFonts w:ascii="Arial" w:cs="Arial" w:eastAsia="Arial" w:hAnsi="Arial"/>
                  <w:sz w:val="18"/>
                  <w:szCs w:val="18"/>
                  <w:color w:val="0000EE"/>
                </w:rPr>
                <w:t>Bank, N.A., as collateral agent for the benefit of the Secured Creditors referred to in the First Lien Guarantee and Collateral</w:t>
              </w:r>
            </w:hyperlink>
          </w:p>
        </w:tc>
      </w:tr>
      <w:tr>
        <w:trPr>
          <w:trHeight w:val="183"/>
        </w:trPr>
        <w:tc>
          <w:tcPr>
            <w:tcW w:w="1260" w:type="dxa"/>
            <w:vAlign w:val="bottom"/>
          </w:tcPr>
          <w:p>
            <w:pPr>
              <w:spacing w:after="0"/>
              <w:rPr>
                <w:sz w:val="15"/>
                <w:szCs w:val="15"/>
                <w:color w:val="auto"/>
              </w:rPr>
            </w:pPr>
          </w:p>
        </w:tc>
        <w:tc>
          <w:tcPr>
            <w:tcW w:w="10160" w:type="dxa"/>
            <w:vAlign w:val="bottom"/>
            <w:gridSpan w:val="16"/>
          </w:tcPr>
          <w:p>
            <w:pPr>
              <w:spacing w:after="0" w:line="182" w:lineRule="exact"/>
              <w:rPr>
                <w:rFonts w:ascii="Arial" w:cs="Arial" w:eastAsia="Arial" w:hAnsi="Arial"/>
                <w:sz w:val="18"/>
                <w:szCs w:val="18"/>
                <w:color w:val="0000EE"/>
              </w:rPr>
            </w:pPr>
            <w:hyperlink r:id="rId89">
              <w:r>
                <w:rPr>
                  <w:rFonts w:ascii="Arial" w:cs="Arial" w:eastAsia="Arial" w:hAnsi="Arial"/>
                  <w:sz w:val="18"/>
                  <w:szCs w:val="18"/>
                  <w:color w:val="0000EE"/>
                </w:rPr>
                <w:t>Agreement dated as of March 31, 2014 referred to therein (Exhibit 10.2 to Form 8-K filed on July 1, 2015)</w:t>
              </w:r>
            </w:hyperlink>
          </w:p>
        </w:tc>
      </w:tr>
      <w:tr>
        <w:trPr>
          <w:trHeight w:val="20"/>
        </w:trPr>
        <w:tc>
          <w:tcPr>
            <w:tcW w:w="1260" w:type="dxa"/>
            <w:vAlign w:val="bottom"/>
          </w:tcPr>
          <w:p>
            <w:pPr>
              <w:spacing w:after="0" w:line="20" w:lineRule="exact"/>
              <w:rPr>
                <w:sz w:val="1"/>
                <w:szCs w:val="1"/>
                <w:color w:val="auto"/>
              </w:rPr>
            </w:pPr>
          </w:p>
        </w:tc>
        <w:tc>
          <w:tcPr>
            <w:tcW w:w="4520" w:type="dxa"/>
            <w:vAlign w:val="bottom"/>
            <w:gridSpan w:val="7"/>
            <w:shd w:val="clear" w:color="auto" w:fill="0000EE"/>
          </w:tcPr>
          <w:p>
            <w:pPr>
              <w:spacing w:after="0" w:line="20" w:lineRule="exact"/>
              <w:rPr>
                <w:sz w:val="1"/>
                <w:szCs w:val="1"/>
                <w:color w:val="auto"/>
              </w:rPr>
            </w:pPr>
          </w:p>
        </w:tc>
        <w:tc>
          <w:tcPr>
            <w:tcW w:w="2720" w:type="dxa"/>
            <w:vAlign w:val="bottom"/>
            <w:gridSpan w:val="3"/>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60" w:type="dxa"/>
            <w:vAlign w:val="bottom"/>
          </w:tcPr>
          <w:p>
            <w:pPr>
              <w:spacing w:after="0"/>
              <w:rPr>
                <w:sz w:val="20"/>
                <w:szCs w:val="20"/>
                <w:color w:val="auto"/>
              </w:rPr>
            </w:pPr>
            <w:r>
              <w:rPr>
                <w:rFonts w:ascii="Arial" w:cs="Arial" w:eastAsia="Arial" w:hAnsi="Arial"/>
                <w:sz w:val="18"/>
                <w:szCs w:val="18"/>
                <w:color w:val="auto"/>
              </w:rPr>
              <w:t>10.8 *</w:t>
            </w:r>
          </w:p>
        </w:tc>
        <w:tc>
          <w:tcPr>
            <w:tcW w:w="10160" w:type="dxa"/>
            <w:vAlign w:val="bottom"/>
            <w:tcBorders>
              <w:bottom w:val="single" w:sz="8" w:color="0000EE"/>
            </w:tcBorders>
            <w:gridSpan w:val="16"/>
          </w:tcPr>
          <w:p>
            <w:pPr>
              <w:spacing w:after="0"/>
              <w:rPr>
                <w:rFonts w:ascii="Arial" w:cs="Arial" w:eastAsia="Arial" w:hAnsi="Arial"/>
                <w:sz w:val="18"/>
                <w:szCs w:val="18"/>
                <w:color w:val="0000EE"/>
              </w:rPr>
            </w:pPr>
            <w:hyperlink r:id="rId90">
              <w:r>
                <w:rPr>
                  <w:rFonts w:ascii="Arial" w:cs="Arial" w:eastAsia="Arial" w:hAnsi="Arial"/>
                  <w:sz w:val="18"/>
                  <w:szCs w:val="18"/>
                  <w:color w:val="0000EE"/>
                </w:rPr>
                <w:t>Pulitzer Pari Passu Intercreditor Agreement dated as of June 25, 2015 among Lee Enterprises, Incorporated, the other</w:t>
              </w:r>
            </w:hyperlink>
          </w:p>
        </w:tc>
      </w:tr>
      <w:tr>
        <w:trPr>
          <w:trHeight w:val="183"/>
        </w:trPr>
        <w:tc>
          <w:tcPr>
            <w:tcW w:w="1260" w:type="dxa"/>
            <w:vAlign w:val="bottom"/>
          </w:tcPr>
          <w:p>
            <w:pPr>
              <w:spacing w:after="0"/>
              <w:rPr>
                <w:sz w:val="15"/>
                <w:szCs w:val="15"/>
                <w:color w:val="auto"/>
              </w:rPr>
            </w:pPr>
          </w:p>
        </w:tc>
        <w:tc>
          <w:tcPr>
            <w:tcW w:w="10160" w:type="dxa"/>
            <w:vAlign w:val="bottom"/>
            <w:tcBorders>
              <w:bottom w:val="single" w:sz="8" w:color="0000EE"/>
            </w:tcBorders>
            <w:gridSpan w:val="16"/>
          </w:tcPr>
          <w:p>
            <w:pPr>
              <w:spacing w:after="0" w:line="182" w:lineRule="exact"/>
              <w:rPr>
                <w:rFonts w:ascii="Arial" w:cs="Arial" w:eastAsia="Arial" w:hAnsi="Arial"/>
                <w:sz w:val="18"/>
                <w:szCs w:val="18"/>
                <w:color w:val="0000EE"/>
              </w:rPr>
            </w:pPr>
            <w:hyperlink r:id="rId90">
              <w:r>
                <w:rPr>
                  <w:rFonts w:ascii="Arial" w:cs="Arial" w:eastAsia="Arial" w:hAnsi="Arial"/>
                  <w:sz w:val="18"/>
                  <w:szCs w:val="18"/>
                  <w:color w:val="0000EE"/>
                </w:rPr>
                <w:t>Grantors party thereto, JPMorgan Chase Bank, N.A., U.S. Bank National Association and Deutsche Bank Trust Company</w:t>
              </w:r>
            </w:hyperlink>
          </w:p>
        </w:tc>
      </w:tr>
      <w:tr>
        <w:trPr>
          <w:trHeight w:val="183"/>
        </w:trPr>
        <w:tc>
          <w:tcPr>
            <w:tcW w:w="1260" w:type="dxa"/>
            <w:vAlign w:val="bottom"/>
          </w:tcPr>
          <w:p>
            <w:pPr>
              <w:spacing w:after="0"/>
              <w:rPr>
                <w:sz w:val="15"/>
                <w:szCs w:val="15"/>
                <w:color w:val="auto"/>
              </w:rPr>
            </w:pPr>
          </w:p>
        </w:tc>
        <w:tc>
          <w:tcPr>
            <w:tcW w:w="452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r:id="rId90">
              <w:r>
                <w:rPr>
                  <w:rFonts w:ascii="Arial" w:cs="Arial" w:eastAsia="Arial" w:hAnsi="Arial"/>
                  <w:sz w:val="18"/>
                  <w:szCs w:val="18"/>
                  <w:color w:val="0000EE"/>
                  <w:w w:val="99"/>
                </w:rPr>
                <w:t>Americas (Exhibit 10.3 to Form 8-K filed on July 1, 2015)</w:t>
              </w:r>
            </w:hyperlink>
          </w:p>
        </w:tc>
        <w:tc>
          <w:tcPr>
            <w:tcW w:w="5640" w:type="dxa"/>
            <w:vAlign w:val="bottom"/>
            <w:gridSpan w:val="9"/>
          </w:tcPr>
          <w:p>
            <w:pPr>
              <w:spacing w:after="0"/>
              <w:rPr>
                <w:sz w:val="15"/>
                <w:szCs w:val="15"/>
                <w:color w:val="auto"/>
              </w:rPr>
            </w:pPr>
          </w:p>
        </w:tc>
      </w:tr>
      <w:tr>
        <w:trPr>
          <w:trHeight w:val="385"/>
        </w:trPr>
        <w:tc>
          <w:tcPr>
            <w:tcW w:w="1260" w:type="dxa"/>
            <w:vAlign w:val="bottom"/>
          </w:tcPr>
          <w:p>
            <w:pPr>
              <w:spacing w:after="0"/>
              <w:rPr>
                <w:sz w:val="20"/>
                <w:szCs w:val="20"/>
                <w:color w:val="auto"/>
              </w:rPr>
            </w:pPr>
            <w:r>
              <w:rPr>
                <w:rFonts w:ascii="Arial" w:cs="Arial" w:eastAsia="Arial" w:hAnsi="Arial"/>
                <w:sz w:val="18"/>
                <w:szCs w:val="18"/>
                <w:color w:val="auto"/>
              </w:rPr>
              <w:t>10.9 *</w:t>
            </w:r>
          </w:p>
        </w:tc>
        <w:tc>
          <w:tcPr>
            <w:tcW w:w="10060" w:type="dxa"/>
            <w:vAlign w:val="bottom"/>
            <w:tcBorders>
              <w:bottom w:val="single" w:sz="8" w:color="0000EE"/>
            </w:tcBorders>
            <w:gridSpan w:val="14"/>
          </w:tcPr>
          <w:p>
            <w:pPr>
              <w:spacing w:after="0"/>
              <w:rPr>
                <w:rFonts w:ascii="Arial" w:cs="Arial" w:eastAsia="Arial" w:hAnsi="Arial"/>
                <w:sz w:val="18"/>
                <w:szCs w:val="18"/>
                <w:color w:val="0000EE"/>
                <w:w w:val="99"/>
              </w:rPr>
            </w:pPr>
            <w:hyperlink r:id="rId91">
              <w:r>
                <w:rPr>
                  <w:rFonts w:ascii="Arial" w:cs="Arial" w:eastAsia="Arial" w:hAnsi="Arial"/>
                  <w:sz w:val="18"/>
                  <w:szCs w:val="18"/>
                  <w:color w:val="0000EE"/>
                  <w:w w:val="99"/>
                </w:rPr>
                <w:t>Junior Intercreditor Agreement dated as of March 31, 2014 among Lee Enterprises, Incorporated, the other Grantors from time</w:t>
              </w:r>
            </w:hyperlink>
          </w:p>
        </w:tc>
        <w:tc>
          <w:tcPr>
            <w:tcW w:w="100" w:type="dxa"/>
            <w:vAlign w:val="bottom"/>
            <w:gridSpan w:val="2"/>
          </w:tcPr>
          <w:p>
            <w:pPr>
              <w:spacing w:after="0"/>
              <w:rPr>
                <w:sz w:val="24"/>
                <w:szCs w:val="24"/>
                <w:color w:val="auto"/>
              </w:rPr>
            </w:pPr>
          </w:p>
        </w:tc>
      </w:tr>
      <w:tr>
        <w:trPr>
          <w:trHeight w:val="183"/>
        </w:trPr>
        <w:tc>
          <w:tcPr>
            <w:tcW w:w="1260" w:type="dxa"/>
            <w:vAlign w:val="bottom"/>
          </w:tcPr>
          <w:p>
            <w:pPr>
              <w:spacing w:after="0"/>
              <w:rPr>
                <w:sz w:val="15"/>
                <w:szCs w:val="15"/>
                <w:color w:val="auto"/>
              </w:rPr>
            </w:pPr>
          </w:p>
        </w:tc>
        <w:tc>
          <w:tcPr>
            <w:tcW w:w="1014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r:id="rId91">
              <w:r>
                <w:rPr>
                  <w:rFonts w:ascii="Arial" w:cs="Arial" w:eastAsia="Arial" w:hAnsi="Arial"/>
                  <w:sz w:val="18"/>
                  <w:szCs w:val="18"/>
                  <w:color w:val="0000EE"/>
                  <w:w w:val="99"/>
                </w:rPr>
                <w:t>to time parties thereto, JPMorgan Chase Bank, N.A., U.S. Bank National Association, Deutsche Bank Trust Company Americas</w:t>
              </w:r>
            </w:hyperlink>
          </w:p>
        </w:tc>
        <w:tc>
          <w:tcPr>
            <w:tcW w:w="20" w:type="dxa"/>
            <w:vAlign w:val="bottom"/>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10160" w:type="dxa"/>
            <w:vAlign w:val="bottom"/>
            <w:gridSpan w:val="16"/>
          </w:tcPr>
          <w:p>
            <w:pPr>
              <w:spacing w:after="0" w:line="182" w:lineRule="exact"/>
              <w:rPr>
                <w:rFonts w:ascii="Arial" w:cs="Arial" w:eastAsia="Arial" w:hAnsi="Arial"/>
                <w:sz w:val="18"/>
                <w:szCs w:val="18"/>
                <w:color w:val="0000EE"/>
              </w:rPr>
            </w:pPr>
            <w:hyperlink r:id="rId91">
              <w:r>
                <w:rPr>
                  <w:rFonts w:ascii="Arial" w:cs="Arial" w:eastAsia="Arial" w:hAnsi="Arial"/>
                  <w:sz w:val="18"/>
                  <w:szCs w:val="18"/>
                  <w:color w:val="0000EE"/>
                </w:rPr>
                <w:t>and Wilmington Trust, National Association (Exhibit 10.5 to Form 8-K filed on April 4, 2014)</w:t>
              </w:r>
            </w:hyperlink>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62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24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1940" w:type="dxa"/>
            <w:vAlign w:val="bottom"/>
            <w:tcBorders>
              <w:top w:val="single" w:sz="8" w:color="0000EE"/>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99"/>
        </w:trPr>
        <w:tc>
          <w:tcPr>
            <w:tcW w:w="1260" w:type="dxa"/>
            <w:vAlign w:val="bottom"/>
          </w:tcPr>
          <w:p>
            <w:pPr>
              <w:spacing w:after="0"/>
              <w:rPr>
                <w:sz w:val="24"/>
                <w:szCs w:val="24"/>
                <w:color w:val="auto"/>
              </w:rPr>
            </w:pPr>
          </w:p>
        </w:tc>
        <w:tc>
          <w:tcPr>
            <w:tcW w:w="4620" w:type="dxa"/>
            <w:vAlign w:val="bottom"/>
            <w:gridSpan w:val="8"/>
          </w:tcPr>
          <w:p>
            <w:pPr>
              <w:ind w:left="4360"/>
              <w:spacing w:after="0"/>
              <w:rPr>
                <w:sz w:val="20"/>
                <w:szCs w:val="20"/>
                <w:color w:val="auto"/>
              </w:rPr>
            </w:pPr>
            <w:r>
              <w:rPr>
                <w:rFonts w:ascii="Arial" w:cs="Arial" w:eastAsia="Arial" w:hAnsi="Arial"/>
                <w:sz w:val="18"/>
                <w:szCs w:val="18"/>
                <w:color w:val="auto"/>
              </w:rPr>
              <w:t>75</w:t>
            </w:r>
          </w:p>
        </w:tc>
        <w:tc>
          <w:tcPr>
            <w:tcW w:w="6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2"/>
        </w:trPr>
        <w:tc>
          <w:tcPr>
            <w:tcW w:w="12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576" w:right="239" w:bottom="144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4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5720" w:type="dxa"/>
            <w:vAlign w:val="bottom"/>
            <w:tcBorders>
              <w:top w:val="single" w:sz="8" w:color="auto"/>
              <w:bottom w:val="single" w:sz="8" w:color="auto"/>
            </w:tcBorders>
            <w:gridSpan w:val="14"/>
          </w:tcPr>
          <w:p>
            <w:pPr>
              <w:ind w:left="200"/>
              <w:spacing w:after="0"/>
              <w:rPr>
                <w:sz w:val="20"/>
                <w:szCs w:val="20"/>
                <w:color w:val="auto"/>
              </w:rPr>
            </w:pPr>
            <w:r>
              <w:rPr>
                <w:rFonts w:ascii="Arial" w:cs="Arial" w:eastAsia="Arial" w:hAnsi="Arial"/>
                <w:sz w:val="18"/>
                <w:szCs w:val="18"/>
                <w:color w:val="auto"/>
              </w:rPr>
              <w:t>Description</w:t>
            </w: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10.10 *</w:t>
            </w:r>
          </w:p>
        </w:tc>
        <w:tc>
          <w:tcPr>
            <w:tcW w:w="10160" w:type="dxa"/>
            <w:vAlign w:val="bottom"/>
            <w:tcBorders>
              <w:bottom w:val="single" w:sz="8" w:color="0000EE"/>
            </w:tcBorders>
            <w:gridSpan w:val="21"/>
          </w:tcPr>
          <w:p>
            <w:pPr>
              <w:spacing w:after="0"/>
              <w:rPr>
                <w:rFonts w:ascii="Arial" w:cs="Arial" w:eastAsia="Arial" w:hAnsi="Arial"/>
                <w:sz w:val="18"/>
                <w:szCs w:val="18"/>
                <w:color w:val="0000EE"/>
              </w:rPr>
            </w:pPr>
            <w:hyperlink r:id="rId92">
              <w:r>
                <w:rPr>
                  <w:rFonts w:ascii="Arial" w:cs="Arial" w:eastAsia="Arial" w:hAnsi="Arial"/>
                  <w:sz w:val="18"/>
                  <w:szCs w:val="18"/>
                  <w:color w:val="0000EE"/>
                </w:rPr>
                <w:t>Pulitzer Junior Intercreditor Agreement dated as of June 25, 2015 among Lee Enterprises, Incorporated, the other Grantors</w:t>
              </w:r>
            </w:hyperlink>
          </w:p>
        </w:tc>
      </w:tr>
      <w:tr>
        <w:trPr>
          <w:trHeight w:val="183"/>
        </w:trPr>
        <w:tc>
          <w:tcPr>
            <w:tcW w:w="1260" w:type="dxa"/>
            <w:vAlign w:val="bottom"/>
          </w:tcPr>
          <w:p>
            <w:pPr>
              <w:spacing w:after="0"/>
              <w:rPr>
                <w:sz w:val="15"/>
                <w:szCs w:val="15"/>
                <w:color w:val="auto"/>
              </w:rPr>
            </w:pPr>
          </w:p>
        </w:tc>
        <w:tc>
          <w:tcPr>
            <w:tcW w:w="10160" w:type="dxa"/>
            <w:vAlign w:val="bottom"/>
            <w:gridSpan w:val="21"/>
          </w:tcPr>
          <w:p>
            <w:pPr>
              <w:spacing w:after="0" w:line="182" w:lineRule="exact"/>
              <w:rPr>
                <w:rFonts w:ascii="Arial" w:cs="Arial" w:eastAsia="Arial" w:hAnsi="Arial"/>
                <w:sz w:val="18"/>
                <w:szCs w:val="18"/>
                <w:color w:val="0000EE"/>
              </w:rPr>
            </w:pPr>
            <w:hyperlink r:id="rId92">
              <w:r>
                <w:rPr>
                  <w:rFonts w:ascii="Arial" w:cs="Arial" w:eastAsia="Arial" w:hAnsi="Arial"/>
                  <w:sz w:val="18"/>
                  <w:szCs w:val="18"/>
                  <w:color w:val="0000EE"/>
                </w:rPr>
                <w:t>party hereto, JPMorgan Chase Bank, N.A., U.S. Bank National Association, Deutsche Bank Trust Company Americas and</w:t>
              </w:r>
            </w:hyperlink>
          </w:p>
        </w:tc>
      </w:tr>
      <w:tr>
        <w:trPr>
          <w:trHeight w:val="183"/>
        </w:trPr>
        <w:tc>
          <w:tcPr>
            <w:tcW w:w="1260" w:type="dxa"/>
            <w:vAlign w:val="bottom"/>
          </w:tcPr>
          <w:p>
            <w:pPr>
              <w:spacing w:after="0"/>
              <w:rPr>
                <w:sz w:val="15"/>
                <w:szCs w:val="15"/>
                <w:color w:val="auto"/>
              </w:rPr>
            </w:pPr>
          </w:p>
        </w:tc>
        <w:tc>
          <w:tcPr>
            <w:tcW w:w="1014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r:id="rId92">
              <w:r>
                <w:rPr>
                  <w:rFonts w:ascii="Arial" w:cs="Arial" w:eastAsia="Arial" w:hAnsi="Arial"/>
                  <w:sz w:val="18"/>
                  <w:szCs w:val="18"/>
                  <w:color w:val="0000EE"/>
                </w:rPr>
                <w:t>Wilmington Trust, National Association (Exhibit 10.4 to Form 8-K filed on July 1, 2015)</w:t>
              </w:r>
            </w:hyperlink>
          </w:p>
        </w:tc>
        <w:tc>
          <w:tcPr>
            <w:tcW w:w="20" w:type="dxa"/>
            <w:vAlign w:val="bottom"/>
          </w:tcPr>
          <w:p>
            <w:pPr>
              <w:spacing w:after="0"/>
              <w:rPr>
                <w:sz w:val="15"/>
                <w:szCs w:val="15"/>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60" w:type="dxa"/>
            <w:vAlign w:val="bottom"/>
          </w:tcPr>
          <w:p>
            <w:pPr>
              <w:spacing w:after="0"/>
              <w:rPr>
                <w:sz w:val="20"/>
                <w:szCs w:val="20"/>
                <w:color w:val="auto"/>
              </w:rPr>
            </w:pPr>
            <w:r>
              <w:rPr>
                <w:rFonts w:ascii="Arial" w:cs="Arial" w:eastAsia="Arial" w:hAnsi="Arial"/>
                <w:sz w:val="18"/>
                <w:szCs w:val="18"/>
                <w:color w:val="auto"/>
              </w:rPr>
              <w:t>10.11 *</w:t>
            </w:r>
          </w:p>
        </w:tc>
        <w:tc>
          <w:tcPr>
            <w:tcW w:w="10160" w:type="dxa"/>
            <w:vAlign w:val="bottom"/>
            <w:tcBorders>
              <w:bottom w:val="single" w:sz="8" w:color="0000EE"/>
            </w:tcBorders>
            <w:gridSpan w:val="21"/>
          </w:tcPr>
          <w:p>
            <w:pPr>
              <w:spacing w:after="0"/>
              <w:rPr>
                <w:rFonts w:ascii="Arial" w:cs="Arial" w:eastAsia="Arial" w:hAnsi="Arial"/>
                <w:sz w:val="18"/>
                <w:szCs w:val="18"/>
                <w:color w:val="0000EE"/>
              </w:rPr>
            </w:pPr>
            <w:hyperlink r:id="rId93">
              <w:r>
                <w:rPr>
                  <w:rFonts w:ascii="Arial" w:cs="Arial" w:eastAsia="Arial" w:hAnsi="Arial"/>
                  <w:sz w:val="18"/>
                  <w:szCs w:val="18"/>
                  <w:color w:val="0000EE"/>
                </w:rPr>
                <w:t>First Lien Guarantee and Collateral Agreement dated as of March 31, 2014 among Lee Enterprises, Incorporated, the</w:t>
              </w:r>
            </w:hyperlink>
          </w:p>
        </w:tc>
      </w:tr>
      <w:tr>
        <w:trPr>
          <w:trHeight w:val="183"/>
        </w:trPr>
        <w:tc>
          <w:tcPr>
            <w:tcW w:w="1260" w:type="dxa"/>
            <w:vAlign w:val="bottom"/>
          </w:tcPr>
          <w:p>
            <w:pPr>
              <w:spacing w:after="0"/>
              <w:rPr>
                <w:sz w:val="15"/>
                <w:szCs w:val="15"/>
                <w:color w:val="auto"/>
              </w:rPr>
            </w:pPr>
          </w:p>
        </w:tc>
        <w:tc>
          <w:tcPr>
            <w:tcW w:w="10160" w:type="dxa"/>
            <w:vAlign w:val="bottom"/>
            <w:tcBorders>
              <w:bottom w:val="single" w:sz="8" w:color="0000EE"/>
            </w:tcBorders>
            <w:gridSpan w:val="21"/>
          </w:tcPr>
          <w:p>
            <w:pPr>
              <w:spacing w:after="0" w:line="182" w:lineRule="exact"/>
              <w:rPr>
                <w:rFonts w:ascii="Arial" w:cs="Arial" w:eastAsia="Arial" w:hAnsi="Arial"/>
                <w:sz w:val="18"/>
                <w:szCs w:val="18"/>
                <w:color w:val="0000EE"/>
              </w:rPr>
            </w:pPr>
            <w:hyperlink r:id="rId93">
              <w:r>
                <w:rPr>
                  <w:rFonts w:ascii="Arial" w:cs="Arial" w:eastAsia="Arial" w:hAnsi="Arial"/>
                  <w:sz w:val="18"/>
                  <w:szCs w:val="18"/>
                  <w:color w:val="0000EE"/>
                </w:rPr>
                <w:t>Subsidiary Guarantors and JPMorgan Chase Bank, N.A., as Administrative Agent and Collateral Agent (Exhibit 10.6 to Form 8-</w:t>
              </w:r>
            </w:hyperlink>
          </w:p>
        </w:tc>
      </w:tr>
      <w:tr>
        <w:trPr>
          <w:trHeight w:val="183"/>
        </w:trPr>
        <w:tc>
          <w:tcPr>
            <w:tcW w:w="1260" w:type="dxa"/>
            <w:vAlign w:val="bottom"/>
          </w:tcPr>
          <w:p>
            <w:pPr>
              <w:spacing w:after="0"/>
              <w:rPr>
                <w:sz w:val="15"/>
                <w:szCs w:val="15"/>
                <w:color w:val="auto"/>
              </w:rPr>
            </w:pPr>
          </w:p>
        </w:tc>
        <w:tc>
          <w:tcPr>
            <w:tcW w:w="188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r:id="rId93">
              <w:r>
                <w:rPr>
                  <w:rFonts w:ascii="Arial" w:cs="Arial" w:eastAsia="Arial" w:hAnsi="Arial"/>
                  <w:sz w:val="18"/>
                  <w:szCs w:val="18"/>
                  <w:color w:val="0000EE"/>
                  <w:w w:val="99"/>
                </w:rPr>
                <w:t>K filed on April 4, 2014)</w:t>
              </w:r>
            </w:hyperlink>
          </w:p>
        </w:tc>
        <w:tc>
          <w:tcPr>
            <w:tcW w:w="8280" w:type="dxa"/>
            <w:vAlign w:val="bottom"/>
            <w:gridSpan w:val="17"/>
          </w:tcPr>
          <w:p>
            <w:pPr>
              <w:spacing w:after="0"/>
              <w:rPr>
                <w:sz w:val="15"/>
                <w:szCs w:val="15"/>
                <w:color w:val="auto"/>
              </w:rPr>
            </w:pPr>
          </w:p>
        </w:tc>
      </w:tr>
      <w:tr>
        <w:trPr>
          <w:trHeight w:val="385"/>
        </w:trPr>
        <w:tc>
          <w:tcPr>
            <w:tcW w:w="1260" w:type="dxa"/>
            <w:vAlign w:val="bottom"/>
          </w:tcPr>
          <w:p>
            <w:pPr>
              <w:spacing w:after="0"/>
              <w:rPr>
                <w:sz w:val="24"/>
                <w:szCs w:val="24"/>
                <w:color w:val="auto"/>
              </w:rPr>
            </w:pPr>
          </w:p>
        </w:tc>
        <w:tc>
          <w:tcPr>
            <w:tcW w:w="9860" w:type="dxa"/>
            <w:vAlign w:val="bottom"/>
            <w:tcBorders>
              <w:bottom w:val="single" w:sz="8" w:color="0000EE"/>
            </w:tcBorders>
            <w:gridSpan w:val="19"/>
          </w:tcPr>
          <w:p>
            <w:pPr>
              <w:spacing w:after="0"/>
              <w:rPr>
                <w:rFonts w:ascii="Arial" w:cs="Arial" w:eastAsia="Arial" w:hAnsi="Arial"/>
                <w:sz w:val="18"/>
                <w:szCs w:val="18"/>
                <w:color w:val="0000EE"/>
                <w:w w:val="99"/>
              </w:rPr>
            </w:pPr>
            <w:hyperlink r:id="rId94">
              <w:r>
                <w:rPr>
                  <w:rFonts w:ascii="Arial" w:cs="Arial" w:eastAsia="Arial" w:hAnsi="Arial"/>
                  <w:sz w:val="18"/>
                  <w:szCs w:val="18"/>
                  <w:color w:val="0000EE"/>
                  <w:w w:val="99"/>
                </w:rPr>
                <w:t>Amendment Agreement dated as of November 1, 2019 among Lee Enterprises, Incorporated, the Lenders party thereto and</w:t>
              </w:r>
            </w:hyperlink>
          </w:p>
        </w:tc>
        <w:tc>
          <w:tcPr>
            <w:tcW w:w="300" w:type="dxa"/>
            <w:vAlign w:val="bottom"/>
            <w:gridSpan w:val="2"/>
          </w:tcPr>
          <w:p>
            <w:pPr>
              <w:spacing w:after="0"/>
              <w:rPr>
                <w:sz w:val="24"/>
                <w:szCs w:val="24"/>
                <w:color w:val="auto"/>
              </w:rPr>
            </w:pPr>
          </w:p>
        </w:tc>
      </w:tr>
      <w:tr>
        <w:trPr>
          <w:trHeight w:val="183"/>
        </w:trPr>
        <w:tc>
          <w:tcPr>
            <w:tcW w:w="1260" w:type="dxa"/>
            <w:vAlign w:val="bottom"/>
          </w:tcPr>
          <w:p>
            <w:pPr>
              <w:spacing w:after="0"/>
              <w:rPr>
                <w:sz w:val="15"/>
                <w:szCs w:val="15"/>
                <w:color w:val="auto"/>
              </w:rPr>
            </w:pPr>
          </w:p>
        </w:tc>
        <w:tc>
          <w:tcPr>
            <w:tcW w:w="10160" w:type="dxa"/>
            <w:vAlign w:val="bottom"/>
            <w:gridSpan w:val="21"/>
          </w:tcPr>
          <w:p>
            <w:pPr>
              <w:spacing w:after="0" w:line="182" w:lineRule="exact"/>
              <w:rPr>
                <w:rFonts w:ascii="Arial" w:cs="Arial" w:eastAsia="Arial" w:hAnsi="Arial"/>
                <w:sz w:val="18"/>
                <w:szCs w:val="18"/>
                <w:color w:val="0000EE"/>
              </w:rPr>
            </w:pPr>
            <w:hyperlink r:id="rId94">
              <w:r>
                <w:rPr>
                  <w:rFonts w:ascii="Arial" w:cs="Arial" w:eastAsia="Arial" w:hAnsi="Arial"/>
                  <w:sz w:val="18"/>
                  <w:szCs w:val="18"/>
                  <w:color w:val="0000EE"/>
                </w:rPr>
                <w:t>JPMorgan Chase Bank, N.A., as Administrative Agent and Collateral Agent (Exhibit 10.1 to Form 8-K filed on November 5,</w:t>
              </w:r>
            </w:hyperlink>
          </w:p>
        </w:tc>
      </w:tr>
      <w:tr>
        <w:trPr>
          <w:trHeight w:val="183"/>
        </w:trPr>
        <w:tc>
          <w:tcPr>
            <w:tcW w:w="1260" w:type="dxa"/>
            <w:vAlign w:val="bottom"/>
          </w:tcPr>
          <w:p>
            <w:pPr>
              <w:spacing w:after="0" w:line="182" w:lineRule="exact"/>
              <w:rPr>
                <w:sz w:val="20"/>
                <w:szCs w:val="20"/>
                <w:color w:val="auto"/>
              </w:rPr>
            </w:pPr>
            <w:r>
              <w:rPr>
                <w:rFonts w:ascii="Arial" w:cs="Arial" w:eastAsia="Arial" w:hAnsi="Arial"/>
                <w:sz w:val="18"/>
                <w:szCs w:val="18"/>
                <w:color w:val="auto"/>
              </w:rPr>
              <w:t>10.12 *</w:t>
            </w:r>
          </w:p>
        </w:tc>
        <w:tc>
          <w:tcPr>
            <w:tcW w:w="46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5"/>
              </w:rPr>
            </w:pPr>
            <w:hyperlink r:id="rId94">
              <w:r>
                <w:rPr>
                  <w:rFonts w:ascii="Arial" w:cs="Arial" w:eastAsia="Arial" w:hAnsi="Arial"/>
                  <w:sz w:val="18"/>
                  <w:szCs w:val="18"/>
                  <w:color w:val="0000EE"/>
                  <w:w w:val="95"/>
                </w:rPr>
                <w:t>2019)</w:t>
              </w:r>
            </w:hyperlink>
          </w:p>
        </w:tc>
        <w:tc>
          <w:tcPr>
            <w:tcW w:w="20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680" w:type="dxa"/>
            <w:vAlign w:val="bottom"/>
            <w:tcBorders>
              <w:top w:val="single" w:sz="8" w:color="0000EE"/>
            </w:tcBorders>
          </w:tcPr>
          <w:p>
            <w:pPr>
              <w:spacing w:after="0"/>
              <w:rPr>
                <w:sz w:val="15"/>
                <w:szCs w:val="15"/>
                <w:color w:val="auto"/>
              </w:rPr>
            </w:pPr>
          </w:p>
        </w:tc>
        <w:tc>
          <w:tcPr>
            <w:tcW w:w="12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20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104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104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1260" w:type="dxa"/>
            <w:vAlign w:val="bottom"/>
          </w:tcPr>
          <w:p>
            <w:pPr>
              <w:spacing w:after="0"/>
              <w:rPr>
                <w:sz w:val="20"/>
                <w:szCs w:val="20"/>
                <w:color w:val="auto"/>
              </w:rPr>
            </w:pPr>
            <w:r>
              <w:rPr>
                <w:rFonts w:ascii="Arial" w:cs="Arial" w:eastAsia="Arial" w:hAnsi="Arial"/>
                <w:sz w:val="18"/>
                <w:szCs w:val="18"/>
                <w:color w:val="auto"/>
              </w:rPr>
              <w:t>10.13 *</w:t>
            </w:r>
          </w:p>
        </w:tc>
        <w:tc>
          <w:tcPr>
            <w:tcW w:w="10160" w:type="dxa"/>
            <w:vAlign w:val="bottom"/>
            <w:tcBorders>
              <w:bottom w:val="single" w:sz="8" w:color="0000EE"/>
            </w:tcBorders>
            <w:gridSpan w:val="21"/>
          </w:tcPr>
          <w:p>
            <w:pPr>
              <w:spacing w:after="0"/>
              <w:rPr>
                <w:rFonts w:ascii="Arial" w:cs="Arial" w:eastAsia="Arial" w:hAnsi="Arial"/>
                <w:sz w:val="18"/>
                <w:szCs w:val="18"/>
                <w:color w:val="0000EE"/>
              </w:rPr>
            </w:pPr>
            <w:hyperlink r:id="rId95">
              <w:r>
                <w:rPr>
                  <w:rFonts w:ascii="Arial" w:cs="Arial" w:eastAsia="Arial" w:hAnsi="Arial"/>
                  <w:sz w:val="18"/>
                  <w:szCs w:val="18"/>
                  <w:color w:val="0000EE"/>
                </w:rPr>
                <w:t>Intercompany Subordination Agreement dated as of March 31, 2014 among Lee Enterprises, Incorporated, the Subsidiary</w:t>
              </w:r>
            </w:hyperlink>
          </w:p>
        </w:tc>
      </w:tr>
      <w:tr>
        <w:trPr>
          <w:trHeight w:val="183"/>
        </w:trPr>
        <w:tc>
          <w:tcPr>
            <w:tcW w:w="1260" w:type="dxa"/>
            <w:vAlign w:val="bottom"/>
          </w:tcPr>
          <w:p>
            <w:pPr>
              <w:spacing w:after="0"/>
              <w:rPr>
                <w:sz w:val="15"/>
                <w:szCs w:val="15"/>
                <w:color w:val="auto"/>
              </w:rPr>
            </w:pPr>
          </w:p>
        </w:tc>
        <w:tc>
          <w:tcPr>
            <w:tcW w:w="10160" w:type="dxa"/>
            <w:vAlign w:val="bottom"/>
            <w:gridSpan w:val="21"/>
          </w:tcPr>
          <w:p>
            <w:pPr>
              <w:spacing w:after="0" w:line="182" w:lineRule="exact"/>
              <w:rPr>
                <w:rFonts w:ascii="Arial" w:cs="Arial" w:eastAsia="Arial" w:hAnsi="Arial"/>
                <w:sz w:val="18"/>
                <w:szCs w:val="18"/>
                <w:color w:val="0000EE"/>
              </w:rPr>
            </w:pPr>
            <w:hyperlink r:id="rId95">
              <w:r>
                <w:rPr>
                  <w:rFonts w:ascii="Arial" w:cs="Arial" w:eastAsia="Arial" w:hAnsi="Arial"/>
                  <w:sz w:val="18"/>
                  <w:szCs w:val="18"/>
                  <w:color w:val="0000EE"/>
                </w:rPr>
                <w:t>Guarantors, Pulitzer, Pulitzer Subsidiaries and JPMorgan Chase Bank, N.A. (Exhibit 10.7 to Form 8-K filed on April 4, 2014)</w:t>
              </w:r>
            </w:hyperlink>
          </w:p>
        </w:tc>
      </w:tr>
      <w:tr>
        <w:trPr>
          <w:trHeight w:val="20"/>
        </w:trPr>
        <w:tc>
          <w:tcPr>
            <w:tcW w:w="12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60" w:type="dxa"/>
            <w:vAlign w:val="bottom"/>
          </w:tcPr>
          <w:p>
            <w:pPr>
              <w:spacing w:after="0"/>
              <w:rPr>
                <w:sz w:val="20"/>
                <w:szCs w:val="20"/>
                <w:color w:val="auto"/>
              </w:rPr>
            </w:pPr>
            <w:r>
              <w:rPr>
                <w:rFonts w:ascii="Arial" w:cs="Arial" w:eastAsia="Arial" w:hAnsi="Arial"/>
                <w:sz w:val="18"/>
                <w:szCs w:val="18"/>
                <w:color w:val="auto"/>
              </w:rPr>
              <w:t>10.14*</w:t>
            </w:r>
          </w:p>
        </w:tc>
        <w:tc>
          <w:tcPr>
            <w:tcW w:w="10160" w:type="dxa"/>
            <w:vAlign w:val="bottom"/>
            <w:tcBorders>
              <w:bottom w:val="single" w:sz="8" w:color="0000EE"/>
            </w:tcBorders>
            <w:gridSpan w:val="21"/>
          </w:tcPr>
          <w:p>
            <w:pPr>
              <w:spacing w:after="0"/>
              <w:rPr>
                <w:rFonts w:ascii="Arial" w:cs="Arial" w:eastAsia="Arial" w:hAnsi="Arial"/>
                <w:sz w:val="18"/>
                <w:szCs w:val="18"/>
                <w:color w:val="0000EE"/>
              </w:rPr>
            </w:pPr>
            <w:hyperlink r:id="rId96">
              <w:r>
                <w:rPr>
                  <w:rFonts w:ascii="Arial" w:cs="Arial" w:eastAsia="Arial" w:hAnsi="Arial"/>
                  <w:sz w:val="18"/>
                  <w:szCs w:val="18"/>
                  <w:color w:val="0000EE"/>
                </w:rPr>
                <w:t>Second Lien Guarantee and Collateral Agreement dated as of March 31, 2014 among Lee Enterprises, Incorporated, the</w:t>
              </w:r>
            </w:hyperlink>
          </w:p>
        </w:tc>
      </w:tr>
      <w:tr>
        <w:trPr>
          <w:trHeight w:val="183"/>
        </w:trPr>
        <w:tc>
          <w:tcPr>
            <w:tcW w:w="1260" w:type="dxa"/>
            <w:vAlign w:val="bottom"/>
          </w:tcPr>
          <w:p>
            <w:pPr>
              <w:spacing w:after="0"/>
              <w:rPr>
                <w:sz w:val="15"/>
                <w:szCs w:val="15"/>
                <w:color w:val="auto"/>
              </w:rPr>
            </w:pPr>
          </w:p>
        </w:tc>
        <w:tc>
          <w:tcPr>
            <w:tcW w:w="10160" w:type="dxa"/>
            <w:vAlign w:val="bottom"/>
            <w:tcBorders>
              <w:bottom w:val="single" w:sz="8" w:color="0000EE"/>
            </w:tcBorders>
            <w:gridSpan w:val="21"/>
          </w:tcPr>
          <w:p>
            <w:pPr>
              <w:spacing w:after="0" w:line="182" w:lineRule="exact"/>
              <w:rPr>
                <w:rFonts w:ascii="Arial" w:cs="Arial" w:eastAsia="Arial" w:hAnsi="Arial"/>
                <w:sz w:val="18"/>
                <w:szCs w:val="18"/>
                <w:color w:val="0000EE"/>
              </w:rPr>
            </w:pPr>
            <w:hyperlink r:id="rId96">
              <w:r>
                <w:rPr>
                  <w:rFonts w:ascii="Arial" w:cs="Arial" w:eastAsia="Arial" w:hAnsi="Arial"/>
                  <w:sz w:val="18"/>
                  <w:szCs w:val="18"/>
                  <w:color w:val="0000EE"/>
                </w:rPr>
                <w:t>Subsidiary Guarantors, Pulitzer, Pulitzer Subsidiaries and Wilmington Trust, National Association, as Administrative Agent and</w:t>
              </w:r>
            </w:hyperlink>
          </w:p>
        </w:tc>
      </w:tr>
      <w:tr>
        <w:trPr>
          <w:trHeight w:val="183"/>
        </w:trPr>
        <w:tc>
          <w:tcPr>
            <w:tcW w:w="1260" w:type="dxa"/>
            <w:vAlign w:val="bottom"/>
          </w:tcPr>
          <w:p>
            <w:pPr>
              <w:spacing w:after="0"/>
              <w:rPr>
                <w:sz w:val="15"/>
                <w:szCs w:val="15"/>
                <w:color w:val="auto"/>
              </w:rPr>
            </w:pPr>
          </w:p>
        </w:tc>
        <w:tc>
          <w:tcPr>
            <w:tcW w:w="10160" w:type="dxa"/>
            <w:vAlign w:val="bottom"/>
            <w:gridSpan w:val="21"/>
          </w:tcPr>
          <w:p>
            <w:pPr>
              <w:spacing w:after="0" w:line="182" w:lineRule="exact"/>
              <w:rPr>
                <w:rFonts w:ascii="Arial" w:cs="Arial" w:eastAsia="Arial" w:hAnsi="Arial"/>
                <w:sz w:val="18"/>
                <w:szCs w:val="18"/>
                <w:color w:val="0000EE"/>
              </w:rPr>
            </w:pPr>
            <w:hyperlink r:id="rId96">
              <w:r>
                <w:rPr>
                  <w:rFonts w:ascii="Arial" w:cs="Arial" w:eastAsia="Arial" w:hAnsi="Arial"/>
                  <w:sz w:val="18"/>
                  <w:szCs w:val="18"/>
                  <w:color w:val="0000EE"/>
                </w:rPr>
                <w:t>Collateral Agent (Exhibit 10.8 to Form 8-K filed on April 4, 2014)</w:t>
              </w:r>
            </w:hyperlink>
          </w:p>
        </w:tc>
      </w:tr>
      <w:tr>
        <w:trPr>
          <w:trHeight w:val="20"/>
        </w:trPr>
        <w:tc>
          <w:tcPr>
            <w:tcW w:w="12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60" w:type="dxa"/>
            <w:vAlign w:val="bottom"/>
          </w:tcPr>
          <w:p>
            <w:pPr>
              <w:spacing w:after="0"/>
              <w:rPr>
                <w:sz w:val="20"/>
                <w:szCs w:val="20"/>
                <w:color w:val="auto"/>
              </w:rPr>
            </w:pPr>
            <w:r>
              <w:rPr>
                <w:rFonts w:ascii="Arial" w:cs="Arial" w:eastAsia="Arial" w:hAnsi="Arial"/>
                <w:sz w:val="18"/>
                <w:szCs w:val="18"/>
                <w:color w:val="auto"/>
              </w:rPr>
              <w:t>10.15 *</w:t>
            </w:r>
          </w:p>
        </w:tc>
        <w:tc>
          <w:tcPr>
            <w:tcW w:w="10160" w:type="dxa"/>
            <w:vAlign w:val="bottom"/>
            <w:tcBorders>
              <w:bottom w:val="single" w:sz="8" w:color="0000EE"/>
            </w:tcBorders>
            <w:gridSpan w:val="21"/>
          </w:tcPr>
          <w:p>
            <w:pPr>
              <w:spacing w:after="0"/>
              <w:rPr>
                <w:rFonts w:ascii="Arial" w:cs="Arial" w:eastAsia="Arial" w:hAnsi="Arial"/>
                <w:sz w:val="18"/>
                <w:szCs w:val="18"/>
                <w:color w:val="0000EE"/>
              </w:rPr>
            </w:pPr>
            <w:hyperlink r:id="rId97">
              <w:r>
                <w:rPr>
                  <w:rFonts w:ascii="Arial" w:cs="Arial" w:eastAsia="Arial" w:hAnsi="Arial"/>
                  <w:sz w:val="18"/>
                  <w:szCs w:val="18"/>
                  <w:color w:val="0000EE"/>
                </w:rPr>
                <w:t>Second Amendment to Intercreditor Agreement dated as of March 31, 2014 among Lee Enterprises, Incorporated, The Bank of</w:t>
              </w:r>
            </w:hyperlink>
          </w:p>
        </w:tc>
      </w:tr>
      <w:tr>
        <w:trPr>
          <w:trHeight w:val="183"/>
        </w:trPr>
        <w:tc>
          <w:tcPr>
            <w:tcW w:w="1260" w:type="dxa"/>
            <w:vAlign w:val="bottom"/>
          </w:tcPr>
          <w:p>
            <w:pPr>
              <w:spacing w:after="0"/>
              <w:rPr>
                <w:sz w:val="15"/>
                <w:szCs w:val="15"/>
                <w:color w:val="auto"/>
              </w:rPr>
            </w:pPr>
          </w:p>
        </w:tc>
        <w:tc>
          <w:tcPr>
            <w:tcW w:w="10160" w:type="dxa"/>
            <w:vAlign w:val="bottom"/>
            <w:tcBorders>
              <w:bottom w:val="single" w:sz="8" w:color="0000EE"/>
            </w:tcBorders>
            <w:gridSpan w:val="21"/>
          </w:tcPr>
          <w:p>
            <w:pPr>
              <w:spacing w:after="0" w:line="182" w:lineRule="exact"/>
              <w:rPr>
                <w:rFonts w:ascii="Arial" w:cs="Arial" w:eastAsia="Arial" w:hAnsi="Arial"/>
                <w:sz w:val="18"/>
                <w:szCs w:val="18"/>
                <w:color w:val="0000EE"/>
              </w:rPr>
            </w:pPr>
            <w:hyperlink r:id="rId97">
              <w:r>
                <w:rPr>
                  <w:rFonts w:ascii="Arial" w:cs="Arial" w:eastAsia="Arial" w:hAnsi="Arial"/>
                  <w:sz w:val="18"/>
                  <w:szCs w:val="18"/>
                  <w:color w:val="0000EE"/>
                </w:rPr>
                <w:t>New York Mellon Trust Company, N.A., Wilmington Trust, National Association, Pulitzer and the Pulitzer Subsidiaries (Exhibit</w:t>
              </w:r>
            </w:hyperlink>
          </w:p>
        </w:tc>
      </w:tr>
      <w:tr>
        <w:trPr>
          <w:trHeight w:val="183"/>
        </w:trPr>
        <w:tc>
          <w:tcPr>
            <w:tcW w:w="1260" w:type="dxa"/>
            <w:vAlign w:val="bottom"/>
          </w:tcPr>
          <w:p>
            <w:pPr>
              <w:spacing w:after="0"/>
              <w:rPr>
                <w:sz w:val="15"/>
                <w:szCs w:val="15"/>
                <w:color w:val="auto"/>
              </w:rPr>
            </w:pPr>
          </w:p>
        </w:tc>
        <w:tc>
          <w:tcPr>
            <w:tcW w:w="10160" w:type="dxa"/>
            <w:vAlign w:val="bottom"/>
            <w:gridSpan w:val="21"/>
          </w:tcPr>
          <w:p>
            <w:pPr>
              <w:spacing w:after="0" w:line="182" w:lineRule="exact"/>
              <w:rPr>
                <w:rFonts w:ascii="Arial" w:cs="Arial" w:eastAsia="Arial" w:hAnsi="Arial"/>
                <w:sz w:val="18"/>
                <w:szCs w:val="18"/>
                <w:color w:val="0000EE"/>
              </w:rPr>
            </w:pPr>
            <w:hyperlink r:id="rId97">
              <w:r>
                <w:rPr>
                  <w:rFonts w:ascii="Arial" w:cs="Arial" w:eastAsia="Arial" w:hAnsi="Arial"/>
                  <w:sz w:val="18"/>
                  <w:szCs w:val="18"/>
                  <w:color w:val="0000EE"/>
                </w:rPr>
                <w:t>10.</w:t>
              </w:r>
              <w:r>
                <w:rPr>
                  <w:rFonts w:ascii="Arial" w:cs="Arial" w:eastAsia="Arial" w:hAnsi="Arial"/>
                  <w:sz w:val="18"/>
                  <w:szCs w:val="18"/>
                  <w:u w:val="single" w:color="auto"/>
                  <w:color w:val="0000EE"/>
                </w:rPr>
                <w:t>9</w:t>
              </w:r>
              <w:r>
                <w:rPr>
                  <w:rFonts w:ascii="Arial" w:cs="Arial" w:eastAsia="Arial" w:hAnsi="Arial"/>
                  <w:sz w:val="18"/>
                  <w:szCs w:val="18"/>
                  <w:color w:val="0000EE"/>
                </w:rPr>
                <w:t xml:space="preserve"> to Form 8-K filed on April 4, 2014)</w:t>
              </w:r>
            </w:hyperlink>
          </w:p>
        </w:tc>
      </w:tr>
      <w:tr>
        <w:trPr>
          <w:trHeight w:val="20"/>
        </w:trPr>
        <w:tc>
          <w:tcPr>
            <w:tcW w:w="12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60" w:type="dxa"/>
            <w:vAlign w:val="bottom"/>
          </w:tcPr>
          <w:p>
            <w:pPr>
              <w:spacing w:after="0"/>
              <w:rPr>
                <w:sz w:val="20"/>
                <w:szCs w:val="20"/>
                <w:color w:val="auto"/>
              </w:rPr>
            </w:pPr>
            <w:r>
              <w:rPr>
                <w:rFonts w:ascii="Arial" w:cs="Arial" w:eastAsia="Arial" w:hAnsi="Arial"/>
                <w:sz w:val="18"/>
                <w:szCs w:val="18"/>
                <w:color w:val="auto"/>
              </w:rPr>
              <w:t>10.16 *</w:t>
            </w:r>
          </w:p>
        </w:tc>
        <w:tc>
          <w:tcPr>
            <w:tcW w:w="10160" w:type="dxa"/>
            <w:vAlign w:val="bottom"/>
            <w:tcBorders>
              <w:bottom w:val="single" w:sz="8" w:color="0000EE"/>
            </w:tcBorders>
            <w:gridSpan w:val="21"/>
          </w:tcPr>
          <w:p>
            <w:pPr>
              <w:spacing w:after="0"/>
              <w:rPr>
                <w:rFonts w:ascii="Arial" w:cs="Arial" w:eastAsia="Arial" w:hAnsi="Arial"/>
                <w:sz w:val="18"/>
                <w:szCs w:val="18"/>
                <w:color w:val="0000EE"/>
              </w:rPr>
            </w:pPr>
            <w:hyperlink r:id="rId98">
              <w:r>
                <w:rPr>
                  <w:rFonts w:ascii="Arial" w:cs="Arial" w:eastAsia="Arial" w:hAnsi="Arial"/>
                  <w:sz w:val="18"/>
                  <w:szCs w:val="18"/>
                  <w:color w:val="0000EE"/>
                </w:rPr>
                <w:t>Intercompany Subordination Agreement dated as of March 31, 2014 among Lee Enterprises, Incorporated, the Subsidiary</w:t>
              </w:r>
            </w:hyperlink>
          </w:p>
        </w:tc>
      </w:tr>
      <w:tr>
        <w:trPr>
          <w:trHeight w:val="183"/>
        </w:trPr>
        <w:tc>
          <w:tcPr>
            <w:tcW w:w="1260" w:type="dxa"/>
            <w:vAlign w:val="bottom"/>
          </w:tcPr>
          <w:p>
            <w:pPr>
              <w:spacing w:after="0"/>
              <w:rPr>
                <w:sz w:val="15"/>
                <w:szCs w:val="15"/>
                <w:color w:val="auto"/>
              </w:rPr>
            </w:pPr>
          </w:p>
        </w:tc>
        <w:tc>
          <w:tcPr>
            <w:tcW w:w="10160" w:type="dxa"/>
            <w:vAlign w:val="bottom"/>
            <w:tcBorders>
              <w:bottom w:val="single" w:sz="8" w:color="0000EE"/>
            </w:tcBorders>
            <w:gridSpan w:val="21"/>
          </w:tcPr>
          <w:p>
            <w:pPr>
              <w:spacing w:after="0" w:line="182" w:lineRule="exact"/>
              <w:rPr>
                <w:rFonts w:ascii="Arial" w:cs="Arial" w:eastAsia="Arial" w:hAnsi="Arial"/>
                <w:sz w:val="18"/>
                <w:szCs w:val="18"/>
                <w:color w:val="0000EE"/>
              </w:rPr>
            </w:pPr>
            <w:hyperlink r:id="rId98">
              <w:r>
                <w:rPr>
                  <w:rFonts w:ascii="Arial" w:cs="Arial" w:eastAsia="Arial" w:hAnsi="Arial"/>
                  <w:sz w:val="18"/>
                  <w:szCs w:val="18"/>
                  <w:color w:val="0000EE"/>
                </w:rPr>
                <w:t>Guarantors, Pulitzer, Pulitzer Subsidiaries and Wilmington Trust, National Association (Exhibit 10.10 to Form 8-K filed on April</w:t>
              </w:r>
            </w:hyperlink>
          </w:p>
        </w:tc>
      </w:tr>
      <w:tr>
        <w:trPr>
          <w:trHeight w:val="183"/>
        </w:trPr>
        <w:tc>
          <w:tcPr>
            <w:tcW w:w="1260" w:type="dxa"/>
            <w:vAlign w:val="bottom"/>
          </w:tcPr>
          <w:p>
            <w:pPr>
              <w:spacing w:after="0"/>
              <w:rPr>
                <w:sz w:val="15"/>
                <w:szCs w:val="15"/>
                <w:color w:val="auto"/>
              </w:rPr>
            </w:pPr>
          </w:p>
        </w:tc>
        <w:tc>
          <w:tcPr>
            <w:tcW w:w="660" w:type="dxa"/>
            <w:vAlign w:val="bottom"/>
            <w:tcBorders>
              <w:bottom w:val="single" w:sz="8" w:color="0000EE"/>
            </w:tcBorders>
            <w:gridSpan w:val="2"/>
          </w:tcPr>
          <w:p>
            <w:pPr>
              <w:spacing w:after="0" w:line="182" w:lineRule="exact"/>
              <w:rPr>
                <w:rFonts w:ascii="Arial" w:cs="Arial" w:eastAsia="Arial" w:hAnsi="Arial"/>
                <w:sz w:val="18"/>
                <w:szCs w:val="18"/>
                <w:color w:val="0000EE"/>
                <w:w w:val="96"/>
              </w:rPr>
            </w:pPr>
            <w:hyperlink r:id="rId98">
              <w:r>
                <w:rPr>
                  <w:rFonts w:ascii="Arial" w:cs="Arial" w:eastAsia="Arial" w:hAnsi="Arial"/>
                  <w:sz w:val="18"/>
                  <w:szCs w:val="18"/>
                  <w:color w:val="0000EE"/>
                  <w:w w:val="96"/>
                </w:rPr>
                <w:t>4, 2014)</w:t>
              </w:r>
            </w:hyperlink>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1260" w:type="dxa"/>
            <w:vAlign w:val="bottom"/>
          </w:tcPr>
          <w:p>
            <w:pPr>
              <w:spacing w:after="0"/>
              <w:rPr>
                <w:sz w:val="20"/>
                <w:szCs w:val="20"/>
                <w:color w:val="auto"/>
              </w:rPr>
            </w:pPr>
            <w:r>
              <w:rPr>
                <w:rFonts w:ascii="Arial" w:cs="Arial" w:eastAsia="Arial" w:hAnsi="Arial"/>
                <w:sz w:val="18"/>
                <w:szCs w:val="18"/>
                <w:color w:val="auto"/>
              </w:rPr>
              <w:t>10.17 *</w:t>
            </w:r>
          </w:p>
        </w:tc>
        <w:tc>
          <w:tcPr>
            <w:tcW w:w="10160" w:type="dxa"/>
            <w:vAlign w:val="bottom"/>
            <w:tcBorders>
              <w:bottom w:val="single" w:sz="8" w:color="0000EE"/>
            </w:tcBorders>
            <w:gridSpan w:val="21"/>
          </w:tcPr>
          <w:p>
            <w:pPr>
              <w:spacing w:after="0"/>
              <w:rPr>
                <w:rFonts w:ascii="Arial" w:cs="Arial" w:eastAsia="Arial" w:hAnsi="Arial"/>
                <w:sz w:val="18"/>
                <w:szCs w:val="18"/>
                <w:color w:val="0000EE"/>
              </w:rPr>
            </w:pPr>
            <w:hyperlink r:id="rId99">
              <w:r>
                <w:rPr>
                  <w:rFonts w:ascii="Arial" w:cs="Arial" w:eastAsia="Arial" w:hAnsi="Arial"/>
                  <w:sz w:val="18"/>
                  <w:szCs w:val="18"/>
                  <w:color w:val="0000EE"/>
                </w:rPr>
                <w:t>Management Agreement dated as of June 26, 2018 between BH Media Group, Inc. and Lee Enterprises, Incorporated (Exhibit</w:t>
              </w:r>
            </w:hyperlink>
          </w:p>
        </w:tc>
      </w:tr>
      <w:tr>
        <w:trPr>
          <w:trHeight w:val="183"/>
        </w:trPr>
        <w:tc>
          <w:tcPr>
            <w:tcW w:w="1260" w:type="dxa"/>
            <w:vAlign w:val="bottom"/>
          </w:tcPr>
          <w:p>
            <w:pPr>
              <w:spacing w:after="0"/>
              <w:rPr>
                <w:sz w:val="15"/>
                <w:szCs w:val="15"/>
                <w:color w:val="auto"/>
              </w:rPr>
            </w:pPr>
          </w:p>
        </w:tc>
        <w:tc>
          <w:tcPr>
            <w:tcW w:w="324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r:id="rId99">
              <w:r>
                <w:rPr>
                  <w:rFonts w:ascii="Arial" w:cs="Arial" w:eastAsia="Arial" w:hAnsi="Arial"/>
                  <w:sz w:val="18"/>
                  <w:szCs w:val="18"/>
                  <w:color w:val="0000EE"/>
                  <w:w w:val="99"/>
                </w:rPr>
                <w:t>10.</w:t>
              </w:r>
              <w:r>
                <w:rPr>
                  <w:rFonts w:ascii="Arial" w:cs="Arial" w:eastAsia="Arial" w:hAnsi="Arial"/>
                  <w:sz w:val="18"/>
                  <w:szCs w:val="18"/>
                  <w:u w:val="single" w:color="auto"/>
                  <w:color w:val="0000EE"/>
                  <w:w w:val="99"/>
                </w:rPr>
                <w:t>1</w:t>
              </w:r>
              <w:r>
                <w:rPr>
                  <w:rFonts w:ascii="Arial" w:cs="Arial" w:eastAsia="Arial" w:hAnsi="Arial"/>
                  <w:sz w:val="18"/>
                  <w:szCs w:val="18"/>
                  <w:color w:val="0000EE"/>
                  <w:w w:val="99"/>
                </w:rPr>
                <w:t xml:space="preserve"> to Form 8-K filed on June 26, 2018)</w:t>
              </w:r>
            </w:hyperlink>
          </w:p>
        </w:tc>
        <w:tc>
          <w:tcPr>
            <w:tcW w:w="6920" w:type="dxa"/>
            <w:vAlign w:val="bottom"/>
            <w:gridSpan w:val="15"/>
          </w:tcPr>
          <w:p>
            <w:pPr>
              <w:spacing w:after="0"/>
              <w:rPr>
                <w:sz w:val="15"/>
                <w:szCs w:val="15"/>
                <w:color w:val="auto"/>
              </w:rPr>
            </w:pPr>
          </w:p>
        </w:tc>
      </w:tr>
      <w:tr>
        <w:trPr>
          <w:trHeight w:val="385"/>
        </w:trPr>
        <w:tc>
          <w:tcPr>
            <w:tcW w:w="1260" w:type="dxa"/>
            <w:vAlign w:val="bottom"/>
          </w:tcPr>
          <w:p>
            <w:pPr>
              <w:spacing w:after="0"/>
              <w:rPr>
                <w:sz w:val="20"/>
                <w:szCs w:val="20"/>
                <w:color w:val="auto"/>
              </w:rPr>
            </w:pPr>
            <w:r>
              <w:rPr>
                <w:rFonts w:ascii="Arial" w:cs="Arial" w:eastAsia="Arial" w:hAnsi="Arial"/>
                <w:sz w:val="18"/>
                <w:szCs w:val="18"/>
                <w:color w:val="auto"/>
              </w:rPr>
              <w:t>10.18 *</w:t>
            </w:r>
          </w:p>
        </w:tc>
        <w:tc>
          <w:tcPr>
            <w:tcW w:w="10160" w:type="dxa"/>
            <w:vAlign w:val="bottom"/>
            <w:tcBorders>
              <w:bottom w:val="single" w:sz="8" w:color="0000EE"/>
            </w:tcBorders>
            <w:gridSpan w:val="21"/>
          </w:tcPr>
          <w:p>
            <w:pPr>
              <w:spacing w:after="0"/>
              <w:rPr>
                <w:rFonts w:ascii="Arial" w:cs="Arial" w:eastAsia="Arial" w:hAnsi="Arial"/>
                <w:sz w:val="18"/>
                <w:szCs w:val="18"/>
                <w:color w:val="0000EE"/>
              </w:rPr>
            </w:pPr>
            <w:hyperlink r:id="rId100">
              <w:r>
                <w:rPr>
                  <w:rFonts w:ascii="Arial" w:cs="Arial" w:eastAsia="Arial" w:hAnsi="Arial"/>
                  <w:sz w:val="18"/>
                  <w:szCs w:val="18"/>
                  <w:color w:val="0000EE"/>
                </w:rPr>
                <w:t>Operating Agreement of St. Louis Post-Dispatch LLC, dated as of May 1, 2000, as amended by Amendment No. 1 to Operating</w:t>
              </w:r>
            </w:hyperlink>
          </w:p>
        </w:tc>
      </w:tr>
      <w:tr>
        <w:trPr>
          <w:trHeight w:val="183"/>
        </w:trPr>
        <w:tc>
          <w:tcPr>
            <w:tcW w:w="1260" w:type="dxa"/>
            <w:vAlign w:val="bottom"/>
          </w:tcPr>
          <w:p>
            <w:pPr>
              <w:spacing w:after="0"/>
              <w:rPr>
                <w:sz w:val="15"/>
                <w:szCs w:val="15"/>
                <w:color w:val="auto"/>
              </w:rPr>
            </w:pPr>
          </w:p>
        </w:tc>
        <w:tc>
          <w:tcPr>
            <w:tcW w:w="10160" w:type="dxa"/>
            <w:vAlign w:val="bottom"/>
            <w:tcBorders>
              <w:bottom w:val="single" w:sz="8" w:color="0000EE"/>
            </w:tcBorders>
            <w:gridSpan w:val="21"/>
          </w:tcPr>
          <w:p>
            <w:pPr>
              <w:spacing w:after="0" w:line="182" w:lineRule="exact"/>
              <w:rPr>
                <w:rFonts w:ascii="Arial" w:cs="Arial" w:eastAsia="Arial" w:hAnsi="Arial"/>
                <w:sz w:val="18"/>
                <w:szCs w:val="18"/>
                <w:color w:val="0000EE"/>
              </w:rPr>
            </w:pPr>
            <w:hyperlink r:id="rId100">
              <w:r>
                <w:rPr>
                  <w:rFonts w:ascii="Arial" w:cs="Arial" w:eastAsia="Arial" w:hAnsi="Arial"/>
                  <w:sz w:val="18"/>
                  <w:szCs w:val="18"/>
                  <w:color w:val="0000EE"/>
                </w:rPr>
                <w:t>Agreement of St. Louis Post-Dispatch LLC, dated as of June 1, 2001 (Exhibit 10.5 to Form 10-Q for the Fiscal Quarter Ended</w:t>
              </w:r>
            </w:hyperlink>
          </w:p>
        </w:tc>
      </w:tr>
      <w:tr>
        <w:trPr>
          <w:trHeight w:val="183"/>
        </w:trPr>
        <w:tc>
          <w:tcPr>
            <w:tcW w:w="1260" w:type="dxa"/>
            <w:vAlign w:val="bottom"/>
          </w:tcPr>
          <w:p>
            <w:pPr>
              <w:spacing w:after="0"/>
              <w:rPr>
                <w:sz w:val="15"/>
                <w:szCs w:val="15"/>
                <w:color w:val="auto"/>
              </w:rPr>
            </w:pPr>
          </w:p>
        </w:tc>
        <w:tc>
          <w:tcPr>
            <w:tcW w:w="10160" w:type="dxa"/>
            <w:vAlign w:val="bottom"/>
            <w:gridSpan w:val="21"/>
          </w:tcPr>
          <w:p>
            <w:pPr>
              <w:spacing w:after="0" w:line="182" w:lineRule="exact"/>
              <w:rPr>
                <w:rFonts w:ascii="Arial" w:cs="Arial" w:eastAsia="Arial" w:hAnsi="Arial"/>
                <w:sz w:val="18"/>
                <w:szCs w:val="18"/>
                <w:color w:val="0000EE"/>
              </w:rPr>
            </w:pPr>
            <w:hyperlink r:id="rId100">
              <w:r>
                <w:rPr>
                  <w:rFonts w:ascii="Arial" w:cs="Arial" w:eastAsia="Arial" w:hAnsi="Arial"/>
                  <w:sz w:val="18"/>
                  <w:szCs w:val="18"/>
                  <w:color w:val="0000EE"/>
                </w:rPr>
                <w:t>June 30, 2005)</w:t>
              </w:r>
            </w:hyperlink>
          </w:p>
        </w:tc>
      </w:tr>
      <w:tr>
        <w:trPr>
          <w:trHeight w:val="20"/>
        </w:trPr>
        <w:tc>
          <w:tcPr>
            <w:tcW w:w="1260" w:type="dxa"/>
            <w:vAlign w:val="bottom"/>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60" w:type="dxa"/>
            <w:vAlign w:val="bottom"/>
          </w:tcPr>
          <w:p>
            <w:pPr>
              <w:spacing w:after="0"/>
              <w:rPr>
                <w:sz w:val="20"/>
                <w:szCs w:val="20"/>
                <w:color w:val="auto"/>
              </w:rPr>
            </w:pPr>
            <w:r>
              <w:rPr>
                <w:rFonts w:ascii="Arial" w:cs="Arial" w:eastAsia="Arial" w:hAnsi="Arial"/>
                <w:sz w:val="18"/>
                <w:szCs w:val="18"/>
                <w:color w:val="auto"/>
              </w:rPr>
              <w:t>10.19*</w:t>
            </w:r>
          </w:p>
        </w:tc>
        <w:tc>
          <w:tcPr>
            <w:tcW w:w="10160" w:type="dxa"/>
            <w:vAlign w:val="bottom"/>
            <w:tcBorders>
              <w:bottom w:val="single" w:sz="8" w:color="0000EE"/>
            </w:tcBorders>
            <w:gridSpan w:val="21"/>
          </w:tcPr>
          <w:p>
            <w:pPr>
              <w:spacing w:after="0"/>
              <w:rPr>
                <w:rFonts w:ascii="Arial" w:cs="Arial" w:eastAsia="Arial" w:hAnsi="Arial"/>
                <w:sz w:val="18"/>
                <w:szCs w:val="18"/>
                <w:color w:val="0000EE"/>
              </w:rPr>
            </w:pPr>
            <w:hyperlink r:id="rId101">
              <w:r>
                <w:rPr>
                  <w:rFonts w:ascii="Arial" w:cs="Arial" w:eastAsia="Arial" w:hAnsi="Arial"/>
                  <w:sz w:val="18"/>
                  <w:szCs w:val="18"/>
                  <w:color w:val="0000EE"/>
                </w:rPr>
                <w:t>Amendment Number Two to Operating Agreement of St. Louis Post-Dispatch LLC, effective February 18, 2009, between</w:t>
              </w:r>
            </w:hyperlink>
          </w:p>
        </w:tc>
      </w:tr>
      <w:tr>
        <w:trPr>
          <w:trHeight w:val="183"/>
        </w:trPr>
        <w:tc>
          <w:tcPr>
            <w:tcW w:w="1260" w:type="dxa"/>
            <w:vAlign w:val="bottom"/>
          </w:tcPr>
          <w:p>
            <w:pPr>
              <w:spacing w:after="0"/>
              <w:rPr>
                <w:sz w:val="15"/>
                <w:szCs w:val="15"/>
                <w:color w:val="auto"/>
              </w:rPr>
            </w:pPr>
          </w:p>
        </w:tc>
        <w:tc>
          <w:tcPr>
            <w:tcW w:w="9380" w:type="dxa"/>
            <w:vAlign w:val="bottom"/>
            <w:tcBorders>
              <w:bottom w:val="single" w:sz="8" w:color="0000EE"/>
            </w:tcBorders>
            <w:gridSpan w:val="16"/>
          </w:tcPr>
          <w:p>
            <w:pPr>
              <w:spacing w:after="0" w:line="182" w:lineRule="exact"/>
              <w:rPr>
                <w:rFonts w:ascii="Arial" w:cs="Arial" w:eastAsia="Arial" w:hAnsi="Arial"/>
                <w:sz w:val="18"/>
                <w:szCs w:val="18"/>
                <w:color w:val="0000EE"/>
                <w:w w:val="99"/>
              </w:rPr>
            </w:pPr>
            <w:hyperlink r:id="rId101">
              <w:r>
                <w:rPr>
                  <w:rFonts w:ascii="Arial" w:cs="Arial" w:eastAsia="Arial" w:hAnsi="Arial"/>
                  <w:sz w:val="18"/>
                  <w:szCs w:val="18"/>
                  <w:color w:val="0000EE"/>
                  <w:w w:val="99"/>
                </w:rPr>
                <w:t>Pulitzer Inc. and Pulitzer Technologies, Inc. (Exhibit 10.13 to Form 10-Q for the Fiscal Quarter Ended March 29, 2009)</w:t>
              </w:r>
            </w:hyperlink>
          </w:p>
        </w:tc>
        <w:tc>
          <w:tcPr>
            <w:tcW w:w="780" w:type="dxa"/>
            <w:vAlign w:val="bottom"/>
            <w:gridSpan w:val="5"/>
          </w:tcPr>
          <w:p>
            <w:pPr>
              <w:spacing w:after="0"/>
              <w:rPr>
                <w:sz w:val="15"/>
                <w:szCs w:val="15"/>
                <w:color w:val="auto"/>
              </w:rPr>
            </w:pPr>
          </w:p>
        </w:tc>
      </w:tr>
      <w:tr>
        <w:trPr>
          <w:trHeight w:val="385"/>
        </w:trPr>
        <w:tc>
          <w:tcPr>
            <w:tcW w:w="1260" w:type="dxa"/>
            <w:vAlign w:val="bottom"/>
          </w:tcPr>
          <w:p>
            <w:pPr>
              <w:spacing w:after="0"/>
              <w:rPr>
                <w:sz w:val="20"/>
                <w:szCs w:val="20"/>
                <w:color w:val="auto"/>
              </w:rPr>
            </w:pPr>
            <w:r>
              <w:rPr>
                <w:rFonts w:ascii="Arial" w:cs="Arial" w:eastAsia="Arial" w:hAnsi="Arial"/>
                <w:sz w:val="18"/>
                <w:szCs w:val="18"/>
                <w:color w:val="auto"/>
              </w:rPr>
              <w:t>10.20*</w:t>
            </w:r>
          </w:p>
        </w:tc>
        <w:tc>
          <w:tcPr>
            <w:tcW w:w="10160" w:type="dxa"/>
            <w:vAlign w:val="bottom"/>
            <w:tcBorders>
              <w:bottom w:val="single" w:sz="8" w:color="0000EE"/>
            </w:tcBorders>
            <w:gridSpan w:val="21"/>
          </w:tcPr>
          <w:p>
            <w:pPr>
              <w:spacing w:after="0"/>
              <w:rPr>
                <w:rFonts w:ascii="Arial" w:cs="Arial" w:eastAsia="Arial" w:hAnsi="Arial"/>
                <w:sz w:val="18"/>
                <w:szCs w:val="18"/>
                <w:color w:val="0000EE"/>
              </w:rPr>
            </w:pPr>
            <w:hyperlink r:id="rId102">
              <w:r>
                <w:rPr>
                  <w:rFonts w:ascii="Arial" w:cs="Arial" w:eastAsia="Arial" w:hAnsi="Arial"/>
                  <w:sz w:val="18"/>
                  <w:szCs w:val="18"/>
                  <w:color w:val="0000EE"/>
                </w:rPr>
                <w:t>Amended and Restated Joint Operating Agreement, dated December 22, 1988, between Star Publishing Company and Citizen</w:t>
              </w:r>
            </w:hyperlink>
          </w:p>
        </w:tc>
      </w:tr>
      <w:tr>
        <w:trPr>
          <w:trHeight w:val="183"/>
        </w:trPr>
        <w:tc>
          <w:tcPr>
            <w:tcW w:w="1260" w:type="dxa"/>
            <w:vAlign w:val="bottom"/>
          </w:tcPr>
          <w:p>
            <w:pPr>
              <w:spacing w:after="0"/>
              <w:rPr>
                <w:sz w:val="15"/>
                <w:szCs w:val="15"/>
                <w:color w:val="auto"/>
              </w:rPr>
            </w:pPr>
          </w:p>
        </w:tc>
        <w:tc>
          <w:tcPr>
            <w:tcW w:w="10160" w:type="dxa"/>
            <w:vAlign w:val="bottom"/>
            <w:gridSpan w:val="21"/>
          </w:tcPr>
          <w:p>
            <w:pPr>
              <w:spacing w:after="0" w:line="182" w:lineRule="exact"/>
              <w:rPr>
                <w:rFonts w:ascii="Arial" w:cs="Arial" w:eastAsia="Arial" w:hAnsi="Arial"/>
                <w:sz w:val="18"/>
                <w:szCs w:val="18"/>
                <w:color w:val="0000EE"/>
              </w:rPr>
            </w:pPr>
            <w:hyperlink r:id="rId102">
              <w:r>
                <w:rPr>
                  <w:rFonts w:ascii="Arial" w:cs="Arial" w:eastAsia="Arial" w:hAnsi="Arial"/>
                  <w:sz w:val="18"/>
                  <w:szCs w:val="18"/>
                  <w:color w:val="0000EE"/>
                </w:rPr>
                <w:t>Publishing Company (Exhibit 10.2 to Form 10-Q for the Fiscal Quarter Ended June 30, 2005)</w:t>
              </w:r>
            </w:hyperlink>
          </w:p>
        </w:tc>
      </w:tr>
      <w:tr>
        <w:trPr>
          <w:trHeight w:val="20"/>
        </w:trPr>
        <w:tc>
          <w:tcPr>
            <w:tcW w:w="1260" w:type="dxa"/>
            <w:vAlign w:val="bottom"/>
          </w:tcPr>
          <w:p>
            <w:pPr>
              <w:spacing w:after="0" w:line="20" w:lineRule="exact"/>
              <w:rPr>
                <w:sz w:val="1"/>
                <w:szCs w:val="1"/>
                <w:color w:val="auto"/>
              </w:rPr>
            </w:pPr>
          </w:p>
        </w:tc>
        <w:tc>
          <w:tcPr>
            <w:tcW w:w="4440" w:type="dxa"/>
            <w:vAlign w:val="bottom"/>
            <w:gridSpan w:val="7"/>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60" w:type="dxa"/>
            <w:vAlign w:val="bottom"/>
          </w:tcPr>
          <w:p>
            <w:pPr>
              <w:spacing w:after="0"/>
              <w:rPr>
                <w:sz w:val="20"/>
                <w:szCs w:val="20"/>
                <w:color w:val="auto"/>
              </w:rPr>
            </w:pPr>
            <w:r>
              <w:rPr>
                <w:rFonts w:ascii="Arial" w:cs="Arial" w:eastAsia="Arial" w:hAnsi="Arial"/>
                <w:sz w:val="18"/>
                <w:szCs w:val="18"/>
                <w:color w:val="auto"/>
              </w:rPr>
              <w:t>10.21*</w:t>
            </w:r>
          </w:p>
        </w:tc>
        <w:tc>
          <w:tcPr>
            <w:tcW w:w="10160" w:type="dxa"/>
            <w:vAlign w:val="bottom"/>
            <w:tcBorders>
              <w:bottom w:val="single" w:sz="8" w:color="0000EE"/>
            </w:tcBorders>
            <w:gridSpan w:val="21"/>
          </w:tcPr>
          <w:p>
            <w:pPr>
              <w:spacing w:after="0"/>
              <w:rPr>
                <w:rFonts w:ascii="Arial" w:cs="Arial" w:eastAsia="Arial" w:hAnsi="Arial"/>
                <w:sz w:val="18"/>
                <w:szCs w:val="18"/>
                <w:color w:val="0000EE"/>
              </w:rPr>
            </w:pPr>
            <w:hyperlink r:id="rId103">
              <w:r>
                <w:rPr>
                  <w:rFonts w:ascii="Arial" w:cs="Arial" w:eastAsia="Arial" w:hAnsi="Arial"/>
                  <w:sz w:val="18"/>
                  <w:szCs w:val="18"/>
                  <w:color w:val="0000EE"/>
                </w:rPr>
                <w:t>Amended and Restated Partnership Agreement, dated as of November 30, 2009, between Star Publishing Company and</w:t>
              </w:r>
            </w:hyperlink>
          </w:p>
        </w:tc>
      </w:tr>
      <w:tr>
        <w:trPr>
          <w:trHeight w:val="183"/>
        </w:trPr>
        <w:tc>
          <w:tcPr>
            <w:tcW w:w="1260" w:type="dxa"/>
            <w:vAlign w:val="bottom"/>
          </w:tcPr>
          <w:p>
            <w:pPr>
              <w:spacing w:after="0"/>
              <w:rPr>
                <w:sz w:val="15"/>
                <w:szCs w:val="15"/>
                <w:color w:val="auto"/>
              </w:rPr>
            </w:pPr>
          </w:p>
        </w:tc>
        <w:tc>
          <w:tcPr>
            <w:tcW w:w="10160" w:type="dxa"/>
            <w:vAlign w:val="bottom"/>
            <w:gridSpan w:val="21"/>
          </w:tcPr>
          <w:p>
            <w:pPr>
              <w:spacing w:after="0" w:line="182" w:lineRule="exact"/>
              <w:rPr>
                <w:rFonts w:ascii="Arial" w:cs="Arial" w:eastAsia="Arial" w:hAnsi="Arial"/>
                <w:sz w:val="18"/>
                <w:szCs w:val="18"/>
                <w:color w:val="0000EE"/>
              </w:rPr>
            </w:pPr>
            <w:hyperlink r:id="rId103">
              <w:r>
                <w:rPr>
                  <w:rFonts w:ascii="Arial" w:cs="Arial" w:eastAsia="Arial" w:hAnsi="Arial"/>
                  <w:sz w:val="18"/>
                  <w:szCs w:val="18"/>
                  <w:color w:val="0000EE"/>
                </w:rPr>
                <w:t>Citizen Publishing Company (Exhibit 10.2 to Form 10-Q for the Fiscal Quarter Ended December 27, 2009)</w:t>
              </w:r>
            </w:hyperlink>
          </w:p>
        </w:tc>
      </w:tr>
      <w:tr>
        <w:trPr>
          <w:trHeight w:val="20"/>
        </w:trPr>
        <w:tc>
          <w:tcPr>
            <w:tcW w:w="1260" w:type="dxa"/>
            <w:vAlign w:val="bottom"/>
          </w:tcPr>
          <w:p>
            <w:pPr>
              <w:spacing w:after="0" w:line="20" w:lineRule="exact"/>
              <w:rPr>
                <w:sz w:val="1"/>
                <w:szCs w:val="1"/>
                <w:color w:val="auto"/>
              </w:rPr>
            </w:pPr>
          </w:p>
        </w:tc>
        <w:tc>
          <w:tcPr>
            <w:tcW w:w="4440" w:type="dxa"/>
            <w:vAlign w:val="bottom"/>
            <w:gridSpan w:val="7"/>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60" w:type="dxa"/>
            <w:vAlign w:val="bottom"/>
          </w:tcPr>
          <w:p>
            <w:pPr>
              <w:spacing w:after="0"/>
              <w:rPr>
                <w:sz w:val="20"/>
                <w:szCs w:val="20"/>
                <w:color w:val="auto"/>
              </w:rPr>
            </w:pPr>
            <w:r>
              <w:rPr>
                <w:rFonts w:ascii="Arial" w:cs="Arial" w:eastAsia="Arial" w:hAnsi="Arial"/>
                <w:sz w:val="18"/>
                <w:szCs w:val="18"/>
                <w:color w:val="auto"/>
              </w:rPr>
              <w:t>10.22*</w:t>
            </w:r>
          </w:p>
        </w:tc>
        <w:tc>
          <w:tcPr>
            <w:tcW w:w="10160" w:type="dxa"/>
            <w:vAlign w:val="bottom"/>
            <w:tcBorders>
              <w:bottom w:val="single" w:sz="8" w:color="0000EE"/>
            </w:tcBorders>
            <w:gridSpan w:val="21"/>
          </w:tcPr>
          <w:p>
            <w:pPr>
              <w:spacing w:after="0"/>
              <w:rPr>
                <w:rFonts w:ascii="Arial" w:cs="Arial" w:eastAsia="Arial" w:hAnsi="Arial"/>
                <w:sz w:val="18"/>
                <w:szCs w:val="18"/>
                <w:color w:val="0000EE"/>
              </w:rPr>
            </w:pPr>
            <w:hyperlink r:id="rId104">
              <w:r>
                <w:rPr>
                  <w:rFonts w:ascii="Arial" w:cs="Arial" w:eastAsia="Arial" w:hAnsi="Arial"/>
                  <w:sz w:val="18"/>
                  <w:szCs w:val="18"/>
                  <w:color w:val="0000EE"/>
                </w:rPr>
                <w:t>Amended and Restated Management Agreement, dated as of November 30, 2009, between Star Publishing Company and</w:t>
              </w:r>
            </w:hyperlink>
          </w:p>
        </w:tc>
      </w:tr>
      <w:tr>
        <w:trPr>
          <w:trHeight w:val="183"/>
        </w:trPr>
        <w:tc>
          <w:tcPr>
            <w:tcW w:w="1260" w:type="dxa"/>
            <w:vAlign w:val="bottom"/>
          </w:tcPr>
          <w:p>
            <w:pPr>
              <w:spacing w:after="0"/>
              <w:rPr>
                <w:sz w:val="15"/>
                <w:szCs w:val="15"/>
                <w:color w:val="auto"/>
              </w:rPr>
            </w:pPr>
          </w:p>
        </w:tc>
        <w:tc>
          <w:tcPr>
            <w:tcW w:w="10160" w:type="dxa"/>
            <w:vAlign w:val="bottom"/>
            <w:gridSpan w:val="21"/>
          </w:tcPr>
          <w:p>
            <w:pPr>
              <w:spacing w:after="0" w:line="182" w:lineRule="exact"/>
              <w:rPr>
                <w:rFonts w:ascii="Arial" w:cs="Arial" w:eastAsia="Arial" w:hAnsi="Arial"/>
                <w:sz w:val="18"/>
                <w:szCs w:val="18"/>
                <w:color w:val="0000EE"/>
              </w:rPr>
            </w:pPr>
            <w:hyperlink r:id="rId104">
              <w:r>
                <w:rPr>
                  <w:rFonts w:ascii="Arial" w:cs="Arial" w:eastAsia="Arial" w:hAnsi="Arial"/>
                  <w:sz w:val="18"/>
                  <w:szCs w:val="18"/>
                  <w:color w:val="0000EE"/>
                </w:rPr>
                <w:t>Citizen Publishing Company (Exhibit 10.1 to Form 10-Q for the Fiscal Quarter Ended December 27, 2009)</w:t>
              </w:r>
            </w:hyperlink>
          </w:p>
        </w:tc>
      </w:tr>
      <w:tr>
        <w:trPr>
          <w:trHeight w:val="20"/>
        </w:trPr>
        <w:tc>
          <w:tcPr>
            <w:tcW w:w="1260" w:type="dxa"/>
            <w:vAlign w:val="bottom"/>
          </w:tcPr>
          <w:p>
            <w:pPr>
              <w:spacing w:after="0" w:line="20" w:lineRule="exact"/>
              <w:rPr>
                <w:sz w:val="1"/>
                <w:szCs w:val="1"/>
                <w:color w:val="auto"/>
              </w:rPr>
            </w:pPr>
          </w:p>
        </w:tc>
        <w:tc>
          <w:tcPr>
            <w:tcW w:w="4440" w:type="dxa"/>
            <w:vAlign w:val="bottom"/>
            <w:gridSpan w:val="7"/>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60" w:type="dxa"/>
            <w:vAlign w:val="bottom"/>
          </w:tcPr>
          <w:p>
            <w:pPr>
              <w:spacing w:after="0"/>
              <w:rPr>
                <w:sz w:val="20"/>
                <w:szCs w:val="20"/>
                <w:color w:val="auto"/>
              </w:rPr>
            </w:pPr>
            <w:r>
              <w:rPr>
                <w:rFonts w:ascii="Arial" w:cs="Arial" w:eastAsia="Arial" w:hAnsi="Arial"/>
                <w:sz w:val="18"/>
                <w:szCs w:val="18"/>
                <w:color w:val="auto"/>
              </w:rPr>
              <w:t>10.23*</w:t>
            </w:r>
          </w:p>
        </w:tc>
        <w:tc>
          <w:tcPr>
            <w:tcW w:w="10160" w:type="dxa"/>
            <w:vAlign w:val="bottom"/>
            <w:tcBorders>
              <w:bottom w:val="single" w:sz="8" w:color="0000EE"/>
            </w:tcBorders>
            <w:gridSpan w:val="21"/>
          </w:tcPr>
          <w:p>
            <w:pPr>
              <w:spacing w:after="0"/>
              <w:rPr>
                <w:rFonts w:ascii="Arial" w:cs="Arial" w:eastAsia="Arial" w:hAnsi="Arial"/>
                <w:sz w:val="18"/>
                <w:szCs w:val="18"/>
                <w:color w:val="0000EE"/>
              </w:rPr>
            </w:pPr>
            <w:hyperlink r:id="rId105">
              <w:r>
                <w:rPr>
                  <w:rFonts w:ascii="Arial" w:cs="Arial" w:eastAsia="Arial" w:hAnsi="Arial"/>
                  <w:sz w:val="18"/>
                  <w:szCs w:val="18"/>
                  <w:color w:val="0000EE"/>
                </w:rPr>
                <w:t>License Agreement (Star), as amended and restated November 30, 2009, between Star Publishing Company and TNI Partners</w:t>
              </w:r>
            </w:hyperlink>
          </w:p>
        </w:tc>
      </w:tr>
      <w:tr>
        <w:trPr>
          <w:trHeight w:val="183"/>
        </w:trPr>
        <w:tc>
          <w:tcPr>
            <w:tcW w:w="1260" w:type="dxa"/>
            <w:vAlign w:val="bottom"/>
          </w:tcPr>
          <w:p>
            <w:pPr>
              <w:spacing w:after="0"/>
              <w:rPr>
                <w:sz w:val="15"/>
                <w:szCs w:val="15"/>
                <w:color w:val="auto"/>
              </w:rPr>
            </w:pPr>
          </w:p>
        </w:tc>
        <w:tc>
          <w:tcPr>
            <w:tcW w:w="10160" w:type="dxa"/>
            <w:vAlign w:val="bottom"/>
            <w:gridSpan w:val="21"/>
          </w:tcPr>
          <w:p>
            <w:pPr>
              <w:spacing w:after="0" w:line="182" w:lineRule="exact"/>
              <w:rPr>
                <w:rFonts w:ascii="Arial" w:cs="Arial" w:eastAsia="Arial" w:hAnsi="Arial"/>
                <w:sz w:val="18"/>
                <w:szCs w:val="18"/>
                <w:color w:val="0000EE"/>
              </w:rPr>
            </w:pPr>
            <w:hyperlink r:id="rId105">
              <w:r>
                <w:rPr>
                  <w:rFonts w:ascii="Arial" w:cs="Arial" w:eastAsia="Arial" w:hAnsi="Arial"/>
                  <w:sz w:val="18"/>
                  <w:szCs w:val="18"/>
                  <w:color w:val="0000EE"/>
                </w:rPr>
                <w:t>(Exhibit 10.3 to Form 10-Q for the Fiscal Quarter Ended December 27, 2009)</w:t>
              </w:r>
            </w:hyperlink>
          </w:p>
        </w:tc>
      </w:tr>
      <w:tr>
        <w:trPr>
          <w:trHeight w:val="20"/>
        </w:trPr>
        <w:tc>
          <w:tcPr>
            <w:tcW w:w="1260" w:type="dxa"/>
            <w:vAlign w:val="bottom"/>
          </w:tcPr>
          <w:p>
            <w:pPr>
              <w:spacing w:after="0" w:line="20" w:lineRule="exact"/>
              <w:rPr>
                <w:sz w:val="1"/>
                <w:szCs w:val="1"/>
                <w:color w:val="auto"/>
              </w:rPr>
            </w:pPr>
          </w:p>
        </w:tc>
        <w:tc>
          <w:tcPr>
            <w:tcW w:w="4440" w:type="dxa"/>
            <w:vAlign w:val="bottom"/>
            <w:gridSpan w:val="7"/>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60" w:type="dxa"/>
            <w:vAlign w:val="bottom"/>
          </w:tcPr>
          <w:p>
            <w:pPr>
              <w:spacing w:after="0"/>
              <w:rPr>
                <w:sz w:val="20"/>
                <w:szCs w:val="20"/>
                <w:color w:val="auto"/>
              </w:rPr>
            </w:pPr>
            <w:r>
              <w:rPr>
                <w:rFonts w:ascii="Arial" w:cs="Arial" w:eastAsia="Arial" w:hAnsi="Arial"/>
                <w:sz w:val="18"/>
                <w:szCs w:val="18"/>
                <w:color w:val="auto"/>
              </w:rPr>
              <w:t>10.24*</w:t>
            </w:r>
          </w:p>
        </w:tc>
        <w:tc>
          <w:tcPr>
            <w:tcW w:w="10160" w:type="dxa"/>
            <w:vAlign w:val="bottom"/>
            <w:tcBorders>
              <w:bottom w:val="single" w:sz="8" w:color="0000EE"/>
            </w:tcBorders>
            <w:gridSpan w:val="21"/>
          </w:tcPr>
          <w:p>
            <w:pPr>
              <w:spacing w:after="0"/>
              <w:rPr>
                <w:rFonts w:ascii="Arial" w:cs="Arial" w:eastAsia="Arial" w:hAnsi="Arial"/>
                <w:sz w:val="18"/>
                <w:szCs w:val="18"/>
                <w:color w:val="0000EE"/>
              </w:rPr>
            </w:pPr>
            <w:hyperlink r:id="rId106">
              <w:r>
                <w:rPr>
                  <w:rFonts w:ascii="Arial" w:cs="Arial" w:eastAsia="Arial" w:hAnsi="Arial"/>
                  <w:sz w:val="18"/>
                  <w:szCs w:val="18"/>
                  <w:color w:val="0000EE"/>
                </w:rPr>
                <w:t>License Agreement (Citizen), as amended and restated November 30, 2009, between Citizen Publishing Company and TNI</w:t>
              </w:r>
            </w:hyperlink>
          </w:p>
        </w:tc>
      </w:tr>
      <w:tr>
        <w:trPr>
          <w:trHeight w:val="183"/>
        </w:trPr>
        <w:tc>
          <w:tcPr>
            <w:tcW w:w="1260" w:type="dxa"/>
            <w:vAlign w:val="bottom"/>
          </w:tcPr>
          <w:p>
            <w:pPr>
              <w:spacing w:after="0"/>
              <w:rPr>
                <w:sz w:val="15"/>
                <w:szCs w:val="15"/>
                <w:color w:val="auto"/>
              </w:rPr>
            </w:pPr>
          </w:p>
        </w:tc>
        <w:tc>
          <w:tcPr>
            <w:tcW w:w="686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r:id="rId106">
              <w:r>
                <w:rPr>
                  <w:rFonts w:ascii="Arial" w:cs="Arial" w:eastAsia="Arial" w:hAnsi="Arial"/>
                  <w:sz w:val="18"/>
                  <w:szCs w:val="18"/>
                  <w:color w:val="0000EE"/>
                  <w:w w:val="99"/>
                </w:rPr>
                <w:t>Partners (Exhibit 10.4 to Form 10-Q for the Fiscal Quarter Ended December 27, 2009)</w:t>
              </w:r>
            </w:hyperlink>
          </w:p>
        </w:tc>
        <w:tc>
          <w:tcPr>
            <w:tcW w:w="3300" w:type="dxa"/>
            <w:vAlign w:val="bottom"/>
            <w:gridSpan w:val="9"/>
          </w:tcPr>
          <w:p>
            <w:pPr>
              <w:spacing w:after="0"/>
              <w:rPr>
                <w:sz w:val="15"/>
                <w:szCs w:val="15"/>
                <w:color w:val="auto"/>
              </w:rPr>
            </w:pPr>
          </w:p>
        </w:tc>
      </w:tr>
      <w:tr>
        <w:trPr>
          <w:trHeight w:val="385"/>
        </w:trPr>
        <w:tc>
          <w:tcPr>
            <w:tcW w:w="1260" w:type="dxa"/>
            <w:vAlign w:val="bottom"/>
          </w:tcPr>
          <w:p>
            <w:pPr>
              <w:spacing w:after="0"/>
              <w:rPr>
                <w:sz w:val="20"/>
                <w:szCs w:val="20"/>
                <w:color w:val="auto"/>
              </w:rPr>
            </w:pPr>
            <w:r>
              <w:rPr>
                <w:rFonts w:ascii="Arial" w:cs="Arial" w:eastAsia="Arial" w:hAnsi="Arial"/>
                <w:sz w:val="18"/>
                <w:szCs w:val="18"/>
                <w:color w:val="auto"/>
              </w:rPr>
              <w:t>10.25 *</w:t>
            </w:r>
          </w:p>
        </w:tc>
        <w:tc>
          <w:tcPr>
            <w:tcW w:w="10160" w:type="dxa"/>
            <w:vAlign w:val="bottom"/>
            <w:gridSpan w:val="21"/>
          </w:tcPr>
          <w:p>
            <w:pPr>
              <w:spacing w:after="0"/>
              <w:rPr>
                <w:rFonts w:ascii="Arial" w:cs="Arial" w:eastAsia="Arial" w:hAnsi="Arial"/>
                <w:sz w:val="18"/>
                <w:szCs w:val="18"/>
                <w:color w:val="0000EE"/>
              </w:rPr>
            </w:pPr>
            <w:hyperlink r:id="rId107">
              <w:r>
                <w:rPr>
                  <w:rFonts w:ascii="Arial" w:cs="Arial" w:eastAsia="Arial" w:hAnsi="Arial"/>
                  <w:sz w:val="18"/>
                  <w:szCs w:val="18"/>
                  <w:color w:val="0000EE"/>
                </w:rPr>
                <w:t>License Agreement, dated as of May 1, 2000, by and between Pulitzer Inc. and St. Louis Post-Dispatch LLC (Exhibit 10.7 to</w:t>
              </w:r>
            </w:hyperlink>
          </w:p>
        </w:tc>
      </w:tr>
      <w:tr>
        <w:trPr>
          <w:trHeight w:val="183"/>
        </w:trPr>
        <w:tc>
          <w:tcPr>
            <w:tcW w:w="1260" w:type="dxa"/>
            <w:vAlign w:val="bottom"/>
          </w:tcPr>
          <w:p>
            <w:pPr>
              <w:spacing w:after="0"/>
              <w:rPr>
                <w:sz w:val="15"/>
                <w:szCs w:val="15"/>
                <w:color w:val="auto"/>
              </w:rPr>
            </w:pPr>
          </w:p>
        </w:tc>
        <w:tc>
          <w:tcPr>
            <w:tcW w:w="444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9"/>
              </w:rPr>
            </w:pPr>
            <w:hyperlink r:id="rId107">
              <w:r>
                <w:rPr>
                  <w:rFonts w:ascii="Arial" w:cs="Arial" w:eastAsia="Arial" w:hAnsi="Arial"/>
                  <w:sz w:val="18"/>
                  <w:szCs w:val="18"/>
                  <w:color w:val="0000EE"/>
                  <w:w w:val="99"/>
                </w:rPr>
                <w:t>Form 10-Q for the Fiscal Quarter Ended June 30, 2005)</w:t>
              </w:r>
            </w:hyperlink>
          </w:p>
        </w:tc>
        <w:tc>
          <w:tcPr>
            <w:tcW w:w="5700" w:type="dxa"/>
            <w:vAlign w:val="bottom"/>
            <w:tcBorders>
              <w:top w:val="single" w:sz="8" w:color="0000EE"/>
            </w:tcBorders>
            <w:gridSpan w:val="13"/>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1260" w:type="dxa"/>
            <w:vAlign w:val="bottom"/>
          </w:tcPr>
          <w:p>
            <w:pPr>
              <w:spacing w:after="0"/>
              <w:rPr>
                <w:sz w:val="20"/>
                <w:szCs w:val="20"/>
                <w:color w:val="auto"/>
              </w:rPr>
            </w:pPr>
            <w:r>
              <w:rPr>
                <w:rFonts w:ascii="Arial" w:cs="Arial" w:eastAsia="Arial" w:hAnsi="Arial"/>
                <w:sz w:val="18"/>
                <w:szCs w:val="18"/>
                <w:color w:val="auto"/>
              </w:rPr>
              <w:t>10.26*</w:t>
            </w:r>
          </w:p>
        </w:tc>
        <w:tc>
          <w:tcPr>
            <w:tcW w:w="10160" w:type="dxa"/>
            <w:vAlign w:val="bottom"/>
            <w:gridSpan w:val="21"/>
          </w:tcPr>
          <w:p>
            <w:pPr>
              <w:spacing w:after="0"/>
              <w:rPr>
                <w:rFonts w:ascii="Arial" w:cs="Arial" w:eastAsia="Arial" w:hAnsi="Arial"/>
                <w:sz w:val="18"/>
                <w:szCs w:val="18"/>
                <w:color w:val="0000EE"/>
              </w:rPr>
            </w:pPr>
            <w:hyperlink r:id="rId108">
              <w:r>
                <w:rPr>
                  <w:rFonts w:ascii="Arial" w:cs="Arial" w:eastAsia="Arial" w:hAnsi="Arial"/>
                  <w:sz w:val="18"/>
                  <w:szCs w:val="18"/>
                  <w:color w:val="0000EE"/>
                </w:rPr>
                <w:t>Non-Confidentiality Agreement, dated as of May 1, 2000 (Exhibit 10.10 to Form 10-Q for the Fiscal Quarter Ended June 30,</w:t>
              </w:r>
            </w:hyperlink>
          </w:p>
        </w:tc>
      </w:tr>
      <w:tr>
        <w:trPr>
          <w:trHeight w:val="183"/>
        </w:trPr>
        <w:tc>
          <w:tcPr>
            <w:tcW w:w="1260" w:type="dxa"/>
            <w:vAlign w:val="bottom"/>
          </w:tcPr>
          <w:p>
            <w:pPr>
              <w:spacing w:after="0"/>
              <w:rPr>
                <w:sz w:val="15"/>
                <w:szCs w:val="15"/>
                <w:color w:val="auto"/>
              </w:rPr>
            </w:pPr>
          </w:p>
        </w:tc>
        <w:tc>
          <w:tcPr>
            <w:tcW w:w="46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5"/>
              </w:rPr>
            </w:pPr>
            <w:hyperlink r:id="rId108">
              <w:r>
                <w:rPr>
                  <w:rFonts w:ascii="Arial" w:cs="Arial" w:eastAsia="Arial" w:hAnsi="Arial"/>
                  <w:sz w:val="18"/>
                  <w:szCs w:val="18"/>
                  <w:color w:val="0000EE"/>
                  <w:w w:val="95"/>
                </w:rPr>
                <w:t>2005)</w:t>
              </w:r>
            </w:hyperlink>
          </w:p>
        </w:tc>
        <w:tc>
          <w:tcPr>
            <w:tcW w:w="20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680" w:type="dxa"/>
            <w:vAlign w:val="bottom"/>
            <w:tcBorders>
              <w:top w:val="single" w:sz="8" w:color="0000EE"/>
            </w:tcBorders>
          </w:tcPr>
          <w:p>
            <w:pPr>
              <w:spacing w:after="0"/>
              <w:rPr>
                <w:sz w:val="15"/>
                <w:szCs w:val="15"/>
                <w:color w:val="auto"/>
              </w:rPr>
            </w:pPr>
          </w:p>
        </w:tc>
        <w:tc>
          <w:tcPr>
            <w:tcW w:w="12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20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104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104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1260" w:type="dxa"/>
            <w:vAlign w:val="bottom"/>
          </w:tcPr>
          <w:p>
            <w:pPr>
              <w:spacing w:after="0"/>
              <w:rPr>
                <w:sz w:val="20"/>
                <w:szCs w:val="20"/>
                <w:color w:val="auto"/>
              </w:rPr>
            </w:pPr>
            <w:r>
              <w:rPr>
                <w:rFonts w:ascii="Arial" w:cs="Arial" w:eastAsia="Arial" w:hAnsi="Arial"/>
                <w:sz w:val="18"/>
                <w:szCs w:val="18"/>
                <w:color w:val="auto"/>
              </w:rPr>
              <w:t>10.27.1 +*</w:t>
            </w:r>
          </w:p>
        </w:tc>
        <w:tc>
          <w:tcPr>
            <w:tcW w:w="10160" w:type="dxa"/>
            <w:vAlign w:val="bottom"/>
            <w:gridSpan w:val="21"/>
          </w:tcPr>
          <w:p>
            <w:pPr>
              <w:spacing w:after="0"/>
              <w:rPr>
                <w:rFonts w:ascii="Arial" w:cs="Arial" w:eastAsia="Arial" w:hAnsi="Arial"/>
                <w:sz w:val="18"/>
                <w:szCs w:val="18"/>
                <w:color w:val="0000EE"/>
              </w:rPr>
            </w:pPr>
            <w:hyperlink r:id="rId109">
              <w:r>
                <w:rPr>
                  <w:rFonts w:ascii="Arial" w:cs="Arial" w:eastAsia="Arial" w:hAnsi="Arial"/>
                  <w:sz w:val="18"/>
                  <w:szCs w:val="18"/>
                  <w:color w:val="0000EE"/>
                </w:rPr>
                <w:t>Amended and Restated Lee Enterprises, Incorporated 1990 Long-Term Incentive Plan (effective October 1, 1999, as amended</w:t>
              </w:r>
            </w:hyperlink>
          </w:p>
        </w:tc>
      </w:tr>
      <w:tr>
        <w:trPr>
          <w:trHeight w:val="183"/>
        </w:trPr>
        <w:tc>
          <w:tcPr>
            <w:tcW w:w="1260" w:type="dxa"/>
            <w:vAlign w:val="bottom"/>
          </w:tcPr>
          <w:p>
            <w:pPr>
              <w:spacing w:after="0"/>
              <w:rPr>
                <w:sz w:val="15"/>
                <w:szCs w:val="15"/>
                <w:color w:val="auto"/>
              </w:rPr>
            </w:pPr>
          </w:p>
        </w:tc>
        <w:tc>
          <w:tcPr>
            <w:tcW w:w="652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9"/>
              </w:rPr>
            </w:pPr>
            <w:hyperlink r:id="rId109">
              <w:r>
                <w:rPr>
                  <w:rFonts w:ascii="Arial" w:cs="Arial" w:eastAsia="Arial" w:hAnsi="Arial"/>
                  <w:sz w:val="18"/>
                  <w:szCs w:val="18"/>
                  <w:color w:val="0000EE"/>
                  <w:w w:val="99"/>
                </w:rPr>
                <w:t>effective February 17, 2016) (Exhibit 10.1 to Form 8-K filed on February 23, 2016)</w:t>
              </w:r>
            </w:hyperlink>
          </w:p>
        </w:tc>
        <w:tc>
          <w:tcPr>
            <w:tcW w:w="3620" w:type="dxa"/>
            <w:vAlign w:val="bottom"/>
            <w:tcBorders>
              <w:top w:val="single" w:sz="8" w:color="0000EE"/>
            </w:tcBorders>
            <w:gridSpan w:val="10"/>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1260" w:type="dxa"/>
            <w:vAlign w:val="bottom"/>
          </w:tcPr>
          <w:p>
            <w:pPr>
              <w:spacing w:after="0"/>
              <w:rPr>
                <w:sz w:val="20"/>
                <w:szCs w:val="20"/>
                <w:color w:val="auto"/>
              </w:rPr>
            </w:pPr>
            <w:r>
              <w:rPr>
                <w:rFonts w:ascii="Arial" w:cs="Arial" w:eastAsia="Arial" w:hAnsi="Arial"/>
                <w:sz w:val="18"/>
                <w:szCs w:val="18"/>
                <w:color w:val="auto"/>
              </w:rPr>
              <w:t>10.27.2 +*</w:t>
            </w:r>
          </w:p>
        </w:tc>
        <w:tc>
          <w:tcPr>
            <w:tcW w:w="10160" w:type="dxa"/>
            <w:vAlign w:val="bottom"/>
            <w:tcBorders>
              <w:bottom w:val="single" w:sz="8" w:color="0000EE"/>
            </w:tcBorders>
            <w:gridSpan w:val="21"/>
          </w:tcPr>
          <w:p>
            <w:pPr>
              <w:spacing w:after="0"/>
              <w:rPr>
                <w:rFonts w:ascii="Arial" w:cs="Arial" w:eastAsia="Arial" w:hAnsi="Arial"/>
                <w:sz w:val="18"/>
                <w:szCs w:val="18"/>
                <w:color w:val="0000EE"/>
              </w:rPr>
            </w:pPr>
            <w:hyperlink r:id="rId110">
              <w:r>
                <w:rPr>
                  <w:rFonts w:ascii="Arial" w:cs="Arial" w:eastAsia="Arial" w:hAnsi="Arial"/>
                  <w:sz w:val="18"/>
                  <w:szCs w:val="18"/>
                  <w:color w:val="0000EE"/>
                </w:rPr>
                <w:t>Form of Restricted Stock Agreement related to Lee Enterprises, Incorporated 1990 Long-Term Incentive Plan (Effective</w:t>
              </w:r>
            </w:hyperlink>
          </w:p>
        </w:tc>
      </w:tr>
      <w:tr>
        <w:trPr>
          <w:trHeight w:val="183"/>
        </w:trPr>
        <w:tc>
          <w:tcPr>
            <w:tcW w:w="1260" w:type="dxa"/>
            <w:vAlign w:val="bottom"/>
          </w:tcPr>
          <w:p>
            <w:pPr>
              <w:spacing w:after="0"/>
              <w:rPr>
                <w:sz w:val="15"/>
                <w:szCs w:val="15"/>
                <w:color w:val="auto"/>
              </w:rPr>
            </w:pPr>
          </w:p>
        </w:tc>
        <w:tc>
          <w:tcPr>
            <w:tcW w:w="10160" w:type="dxa"/>
            <w:vAlign w:val="bottom"/>
            <w:gridSpan w:val="21"/>
          </w:tcPr>
          <w:p>
            <w:pPr>
              <w:spacing w:after="0" w:line="182" w:lineRule="exact"/>
              <w:rPr>
                <w:rFonts w:ascii="Arial" w:cs="Arial" w:eastAsia="Arial" w:hAnsi="Arial"/>
                <w:sz w:val="18"/>
                <w:szCs w:val="18"/>
                <w:color w:val="0000EE"/>
              </w:rPr>
            </w:pPr>
            <w:hyperlink r:id="rId110">
              <w:r>
                <w:rPr>
                  <w:rFonts w:ascii="Arial" w:cs="Arial" w:eastAsia="Arial" w:hAnsi="Arial"/>
                  <w:sz w:val="18"/>
                  <w:szCs w:val="18"/>
                  <w:color w:val="0000EE"/>
                </w:rPr>
                <w:t>October 1, 1999, as amended effective February 17, 2016) (Exhibit 10.2 to Form 8-K filed on February 23, 2016)</w:t>
              </w:r>
            </w:hyperlink>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12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20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104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104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602"/>
        </w:trPr>
        <w:tc>
          <w:tcPr>
            <w:tcW w:w="1260" w:type="dxa"/>
            <w:vAlign w:val="bottom"/>
          </w:tcPr>
          <w:p>
            <w:pPr>
              <w:spacing w:after="0"/>
              <w:rPr>
                <w:sz w:val="24"/>
                <w:szCs w:val="24"/>
                <w:color w:val="auto"/>
              </w:rPr>
            </w:pPr>
          </w:p>
        </w:tc>
        <w:tc>
          <w:tcPr>
            <w:tcW w:w="5080" w:type="dxa"/>
            <w:vAlign w:val="bottom"/>
            <w:gridSpan w:val="8"/>
          </w:tcPr>
          <w:p>
            <w:pPr>
              <w:ind w:left="4360"/>
              <w:spacing w:after="0"/>
              <w:rPr>
                <w:sz w:val="20"/>
                <w:szCs w:val="20"/>
                <w:color w:val="auto"/>
              </w:rPr>
            </w:pPr>
            <w:r>
              <w:rPr>
                <w:rFonts w:ascii="Arial" w:cs="Arial" w:eastAsia="Arial" w:hAnsi="Arial"/>
                <w:sz w:val="18"/>
                <w:szCs w:val="18"/>
                <w:color w:val="auto"/>
              </w:rPr>
              <w:t>76</w:t>
            </w: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2"/>
        </w:trPr>
        <w:tc>
          <w:tcPr>
            <w:tcW w:w="12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781" w:right="239" w:bottom="1440" w:gutter="0" w:footer="0" w:header="0"/>
        </w:sectPr>
      </w:pPr>
    </w:p>
    <w:bookmarkStart w:id="78" w:name="page79"/>
    <w:bookmarkEnd w:id="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10160" w:type="dxa"/>
            <w:vAlign w:val="bottom"/>
            <w:tcBorders>
              <w:top w:val="single" w:sz="8" w:color="auto"/>
              <w:bottom w:val="single" w:sz="8" w:color="auto"/>
            </w:tcBorders>
            <w:gridSpan w:val="10"/>
          </w:tcPr>
          <w:p>
            <w:pPr>
              <w:ind w:left="4640"/>
              <w:spacing w:after="0"/>
              <w:rPr>
                <w:sz w:val="20"/>
                <w:szCs w:val="20"/>
                <w:color w:val="auto"/>
              </w:rPr>
            </w:pPr>
            <w:r>
              <w:rPr>
                <w:rFonts w:ascii="Arial" w:cs="Arial" w:eastAsia="Arial" w:hAnsi="Arial"/>
                <w:sz w:val="18"/>
                <w:szCs w:val="18"/>
                <w:color w:val="auto"/>
              </w:rPr>
              <w:t>Description</w:t>
            </w: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10.27.3 +*</w:t>
            </w:r>
          </w:p>
        </w:tc>
        <w:tc>
          <w:tcPr>
            <w:tcW w:w="10160" w:type="dxa"/>
            <w:vAlign w:val="bottom"/>
            <w:tcBorders>
              <w:bottom w:val="single" w:sz="8" w:color="0000EE"/>
            </w:tcBorders>
            <w:gridSpan w:val="10"/>
          </w:tcPr>
          <w:p>
            <w:pPr>
              <w:spacing w:after="0"/>
              <w:rPr>
                <w:rFonts w:ascii="Arial" w:cs="Arial" w:eastAsia="Arial" w:hAnsi="Arial"/>
                <w:sz w:val="18"/>
                <w:szCs w:val="18"/>
                <w:color w:val="0000EE"/>
              </w:rPr>
            </w:pPr>
            <w:hyperlink r:id="rId111">
              <w:r>
                <w:rPr>
                  <w:rFonts w:ascii="Arial" w:cs="Arial" w:eastAsia="Arial" w:hAnsi="Arial"/>
                  <w:sz w:val="18"/>
                  <w:szCs w:val="18"/>
                  <w:color w:val="0000EE"/>
                </w:rPr>
                <w:t>Form of Incentive Stock Option Agreement related to Lee Enterprises, Incorporated 1990 Long-Term Incentive Plan (Effective</w:t>
              </w:r>
            </w:hyperlink>
          </w:p>
        </w:tc>
      </w:tr>
      <w:tr>
        <w:trPr>
          <w:trHeight w:val="183"/>
        </w:trPr>
        <w:tc>
          <w:tcPr>
            <w:tcW w:w="1260" w:type="dxa"/>
            <w:vAlign w:val="bottom"/>
          </w:tcPr>
          <w:p>
            <w:pPr>
              <w:spacing w:after="0"/>
              <w:rPr>
                <w:sz w:val="15"/>
                <w:szCs w:val="15"/>
                <w:color w:val="auto"/>
              </w:rPr>
            </w:pPr>
          </w:p>
        </w:tc>
        <w:tc>
          <w:tcPr>
            <w:tcW w:w="10160" w:type="dxa"/>
            <w:vAlign w:val="bottom"/>
            <w:gridSpan w:val="10"/>
          </w:tcPr>
          <w:p>
            <w:pPr>
              <w:spacing w:after="0" w:line="182" w:lineRule="exact"/>
              <w:rPr>
                <w:rFonts w:ascii="Arial" w:cs="Arial" w:eastAsia="Arial" w:hAnsi="Arial"/>
                <w:sz w:val="18"/>
                <w:szCs w:val="18"/>
                <w:color w:val="0000EE"/>
              </w:rPr>
            </w:pPr>
            <w:hyperlink r:id="rId111">
              <w:r>
                <w:rPr>
                  <w:rFonts w:ascii="Arial" w:cs="Arial" w:eastAsia="Arial" w:hAnsi="Arial"/>
                  <w:sz w:val="18"/>
                  <w:szCs w:val="18"/>
                  <w:color w:val="0000EE"/>
                </w:rPr>
                <w:t>October 1, 1999, as amended effective February 17, 2016) (Exhibit 10.3 to Form 8-K filed on February 23, 2016)</w:t>
              </w:r>
            </w:hyperlink>
          </w:p>
        </w:tc>
      </w:tr>
      <w:tr>
        <w:trPr>
          <w:trHeight w:val="20"/>
        </w:trPr>
        <w:tc>
          <w:tcPr>
            <w:tcW w:w="1260" w:type="dxa"/>
            <w:vAlign w:val="bottom"/>
          </w:tcPr>
          <w:p>
            <w:pPr>
              <w:spacing w:after="0" w:line="20" w:lineRule="exact"/>
              <w:rPr>
                <w:sz w:val="1"/>
                <w:szCs w:val="1"/>
                <w:color w:val="auto"/>
              </w:rPr>
            </w:pPr>
          </w:p>
        </w:tc>
        <w:tc>
          <w:tcPr>
            <w:tcW w:w="4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60" w:type="dxa"/>
            <w:vAlign w:val="bottom"/>
          </w:tcPr>
          <w:p>
            <w:pPr>
              <w:spacing w:after="0"/>
              <w:rPr>
                <w:sz w:val="20"/>
                <w:szCs w:val="20"/>
                <w:color w:val="auto"/>
              </w:rPr>
            </w:pPr>
            <w:r>
              <w:rPr>
                <w:rFonts w:ascii="Arial" w:cs="Arial" w:eastAsia="Arial" w:hAnsi="Arial"/>
                <w:sz w:val="18"/>
                <w:szCs w:val="18"/>
                <w:color w:val="auto"/>
              </w:rPr>
              <w:t>10.27.4 +*</w:t>
            </w:r>
          </w:p>
        </w:tc>
        <w:tc>
          <w:tcPr>
            <w:tcW w:w="10160" w:type="dxa"/>
            <w:vAlign w:val="bottom"/>
            <w:tcBorders>
              <w:bottom w:val="single" w:sz="8" w:color="0000EE"/>
            </w:tcBorders>
            <w:gridSpan w:val="10"/>
          </w:tcPr>
          <w:p>
            <w:pPr>
              <w:spacing w:after="0"/>
              <w:rPr>
                <w:rFonts w:ascii="Arial" w:cs="Arial" w:eastAsia="Arial" w:hAnsi="Arial"/>
                <w:sz w:val="18"/>
                <w:szCs w:val="18"/>
                <w:color w:val="0000EE"/>
              </w:rPr>
            </w:pPr>
            <w:hyperlink r:id="rId112">
              <w:r>
                <w:rPr>
                  <w:rFonts w:ascii="Arial" w:cs="Arial" w:eastAsia="Arial" w:hAnsi="Arial"/>
                  <w:sz w:val="18"/>
                  <w:szCs w:val="18"/>
                  <w:color w:val="0000EE"/>
                </w:rPr>
                <w:t>Form of Non-Qualified Stock Option Agreement related to Lee Enterprises, Incorporated 1990 Long-Term Incentive Plan</w:t>
              </w:r>
            </w:hyperlink>
          </w:p>
        </w:tc>
      </w:tr>
      <w:tr>
        <w:trPr>
          <w:trHeight w:val="183"/>
        </w:trPr>
        <w:tc>
          <w:tcPr>
            <w:tcW w:w="1260" w:type="dxa"/>
            <w:vAlign w:val="bottom"/>
          </w:tcPr>
          <w:p>
            <w:pPr>
              <w:spacing w:after="0"/>
              <w:rPr>
                <w:sz w:val="15"/>
                <w:szCs w:val="15"/>
                <w:color w:val="auto"/>
              </w:rPr>
            </w:pPr>
          </w:p>
        </w:tc>
        <w:tc>
          <w:tcPr>
            <w:tcW w:w="10160" w:type="dxa"/>
            <w:vAlign w:val="bottom"/>
            <w:gridSpan w:val="10"/>
          </w:tcPr>
          <w:p>
            <w:pPr>
              <w:spacing w:after="0" w:line="182" w:lineRule="exact"/>
              <w:rPr>
                <w:rFonts w:ascii="Arial" w:cs="Arial" w:eastAsia="Arial" w:hAnsi="Arial"/>
                <w:sz w:val="18"/>
                <w:szCs w:val="18"/>
                <w:color w:val="0000EE"/>
              </w:rPr>
            </w:pPr>
            <w:hyperlink r:id="rId112">
              <w:r>
                <w:rPr>
                  <w:rFonts w:ascii="Arial" w:cs="Arial" w:eastAsia="Arial" w:hAnsi="Arial"/>
                  <w:sz w:val="18"/>
                  <w:szCs w:val="18"/>
                  <w:color w:val="0000EE"/>
                </w:rPr>
                <w:t>(Effective October 1, 1999, as amended effective February 17, 2016) (Exhibit 10.4 to Form 8-K filed on February 23, 2016)</w:t>
              </w:r>
            </w:hyperlink>
          </w:p>
        </w:tc>
      </w:tr>
      <w:tr>
        <w:trPr>
          <w:trHeight w:val="20"/>
        </w:trPr>
        <w:tc>
          <w:tcPr>
            <w:tcW w:w="1260" w:type="dxa"/>
            <w:vAlign w:val="bottom"/>
          </w:tcPr>
          <w:p>
            <w:pPr>
              <w:spacing w:after="0" w:line="20" w:lineRule="exact"/>
              <w:rPr>
                <w:sz w:val="1"/>
                <w:szCs w:val="1"/>
                <w:color w:val="auto"/>
              </w:rPr>
            </w:pPr>
          </w:p>
        </w:tc>
        <w:tc>
          <w:tcPr>
            <w:tcW w:w="4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60" w:type="dxa"/>
            <w:vAlign w:val="bottom"/>
          </w:tcPr>
          <w:p>
            <w:pPr>
              <w:spacing w:after="0"/>
              <w:rPr>
                <w:sz w:val="20"/>
                <w:szCs w:val="20"/>
                <w:color w:val="auto"/>
              </w:rPr>
            </w:pPr>
            <w:r>
              <w:rPr>
                <w:rFonts w:ascii="Arial" w:cs="Arial" w:eastAsia="Arial" w:hAnsi="Arial"/>
                <w:sz w:val="18"/>
                <w:szCs w:val="18"/>
                <w:color w:val="auto"/>
              </w:rPr>
              <w:t>10.28 +*</w:t>
            </w:r>
          </w:p>
        </w:tc>
        <w:tc>
          <w:tcPr>
            <w:tcW w:w="10160" w:type="dxa"/>
            <w:vAlign w:val="bottom"/>
            <w:gridSpan w:val="10"/>
          </w:tcPr>
          <w:p>
            <w:pPr>
              <w:spacing w:after="0"/>
              <w:rPr>
                <w:rFonts w:ascii="Arial" w:cs="Arial" w:eastAsia="Arial" w:hAnsi="Arial"/>
                <w:sz w:val="18"/>
                <w:szCs w:val="18"/>
                <w:color w:val="0000EE"/>
              </w:rPr>
            </w:pPr>
            <w:hyperlink r:id="rId113">
              <w:r>
                <w:rPr>
                  <w:rFonts w:ascii="Arial" w:cs="Arial" w:eastAsia="Arial" w:hAnsi="Arial"/>
                  <w:sz w:val="18"/>
                  <w:szCs w:val="18"/>
                  <w:color w:val="0000EE"/>
                </w:rPr>
                <w:t>Amended and Restated Lee Enterprises, Incorporated 1996 Stock Plan for Non-Employee Directors Effective February 22,</w:t>
              </w:r>
            </w:hyperlink>
          </w:p>
        </w:tc>
      </w:tr>
      <w:tr>
        <w:trPr>
          <w:trHeight w:val="183"/>
        </w:trPr>
        <w:tc>
          <w:tcPr>
            <w:tcW w:w="1260" w:type="dxa"/>
            <w:vAlign w:val="bottom"/>
          </w:tcPr>
          <w:p>
            <w:pPr>
              <w:spacing w:after="0"/>
              <w:rPr>
                <w:sz w:val="15"/>
                <w:szCs w:val="15"/>
                <w:color w:val="auto"/>
              </w:rPr>
            </w:pPr>
          </w:p>
        </w:tc>
        <w:tc>
          <w:tcPr>
            <w:tcW w:w="1014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r:id="rId113">
              <w:r>
                <w:rPr>
                  <w:rFonts w:ascii="Arial" w:cs="Arial" w:eastAsia="Arial" w:hAnsi="Arial"/>
                  <w:sz w:val="18"/>
                  <w:szCs w:val="18"/>
                  <w:color w:val="0000EE"/>
                </w:rPr>
                <w:t>2017 (Appendix A to Schedule 14A Definitive Proxy Statement for 2017)</w:t>
              </w:r>
            </w:hyperlink>
          </w:p>
        </w:tc>
        <w:tc>
          <w:tcPr>
            <w:tcW w:w="20" w:type="dxa"/>
            <w:vAlign w:val="bottom"/>
          </w:tcPr>
          <w:p>
            <w:pPr>
              <w:spacing w:after="0"/>
              <w:rPr>
                <w:sz w:val="15"/>
                <w:szCs w:val="15"/>
                <w:color w:val="auto"/>
              </w:rPr>
            </w:pPr>
          </w:p>
        </w:tc>
      </w:tr>
      <w:tr>
        <w:trPr>
          <w:trHeight w:val="20"/>
        </w:trPr>
        <w:tc>
          <w:tcPr>
            <w:tcW w:w="1260" w:type="dxa"/>
            <w:vAlign w:val="bottom"/>
          </w:tcPr>
          <w:p>
            <w:pPr>
              <w:spacing w:after="0" w:line="20" w:lineRule="exact"/>
              <w:rPr>
                <w:sz w:val="1"/>
                <w:szCs w:val="1"/>
                <w:color w:val="auto"/>
              </w:rPr>
            </w:pPr>
          </w:p>
        </w:tc>
        <w:tc>
          <w:tcPr>
            <w:tcW w:w="4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r>
      <w:tr>
        <w:trPr>
          <w:trHeight w:val="385"/>
        </w:trPr>
        <w:tc>
          <w:tcPr>
            <w:tcW w:w="1260" w:type="dxa"/>
            <w:vAlign w:val="bottom"/>
          </w:tcPr>
          <w:p>
            <w:pPr>
              <w:spacing w:after="0"/>
              <w:rPr>
                <w:sz w:val="20"/>
                <w:szCs w:val="20"/>
                <w:color w:val="auto"/>
              </w:rPr>
            </w:pPr>
            <w:r>
              <w:rPr>
                <w:rFonts w:ascii="Arial" w:cs="Arial" w:eastAsia="Arial" w:hAnsi="Arial"/>
                <w:sz w:val="18"/>
                <w:szCs w:val="18"/>
                <w:color w:val="auto"/>
              </w:rPr>
              <w:t>10.29 +*</w:t>
            </w:r>
          </w:p>
        </w:tc>
        <w:tc>
          <w:tcPr>
            <w:tcW w:w="10160" w:type="dxa"/>
            <w:vAlign w:val="bottom"/>
            <w:tcBorders>
              <w:bottom w:val="single" w:sz="8" w:color="0000EE"/>
            </w:tcBorders>
            <w:gridSpan w:val="10"/>
          </w:tcPr>
          <w:p>
            <w:pPr>
              <w:spacing w:after="0"/>
              <w:rPr>
                <w:rFonts w:ascii="Arial" w:cs="Arial" w:eastAsia="Arial" w:hAnsi="Arial"/>
                <w:sz w:val="18"/>
                <w:szCs w:val="18"/>
                <w:color w:val="0000EE"/>
              </w:rPr>
            </w:pPr>
            <w:hyperlink r:id="rId114">
              <w:r>
                <w:rPr>
                  <w:rFonts w:ascii="Arial" w:cs="Arial" w:eastAsia="Arial" w:hAnsi="Arial"/>
                  <w:sz w:val="18"/>
                  <w:szCs w:val="18"/>
                  <w:color w:val="0000EE"/>
                </w:rPr>
                <w:t>Lee Enterprises, Incorporated Supplementary Benefit Plan, Amended and Restated as of January 1, 2008 (Exhibit 10.25 to</w:t>
              </w:r>
            </w:hyperlink>
          </w:p>
        </w:tc>
      </w:tr>
      <w:tr>
        <w:trPr>
          <w:trHeight w:val="183"/>
        </w:trPr>
        <w:tc>
          <w:tcPr>
            <w:tcW w:w="1260" w:type="dxa"/>
            <w:vAlign w:val="bottom"/>
          </w:tcPr>
          <w:p>
            <w:pPr>
              <w:spacing w:after="0"/>
              <w:rPr>
                <w:sz w:val="15"/>
                <w:szCs w:val="15"/>
                <w:color w:val="auto"/>
              </w:rPr>
            </w:pPr>
          </w:p>
        </w:tc>
        <w:tc>
          <w:tcPr>
            <w:tcW w:w="468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r:id="rId114">
              <w:r>
                <w:rPr>
                  <w:rFonts w:ascii="Arial" w:cs="Arial" w:eastAsia="Arial" w:hAnsi="Arial"/>
                  <w:sz w:val="18"/>
                  <w:szCs w:val="18"/>
                  <w:color w:val="0000EE"/>
                  <w:w w:val="99"/>
                </w:rPr>
                <w:t>Form 10-K for the Fiscal Year Ended September 28, 2008)</w:t>
              </w:r>
            </w:hyperlink>
          </w:p>
        </w:tc>
        <w:tc>
          <w:tcPr>
            <w:tcW w:w="5480" w:type="dxa"/>
            <w:vAlign w:val="bottom"/>
            <w:gridSpan w:val="8"/>
          </w:tcPr>
          <w:p>
            <w:pPr>
              <w:spacing w:after="0"/>
              <w:rPr>
                <w:sz w:val="15"/>
                <w:szCs w:val="15"/>
                <w:color w:val="auto"/>
              </w:rPr>
            </w:pPr>
          </w:p>
        </w:tc>
      </w:tr>
      <w:tr>
        <w:trPr>
          <w:trHeight w:val="385"/>
        </w:trPr>
        <w:tc>
          <w:tcPr>
            <w:tcW w:w="1260" w:type="dxa"/>
            <w:vAlign w:val="bottom"/>
          </w:tcPr>
          <w:p>
            <w:pPr>
              <w:spacing w:after="0"/>
              <w:rPr>
                <w:sz w:val="20"/>
                <w:szCs w:val="20"/>
                <w:color w:val="auto"/>
              </w:rPr>
            </w:pPr>
            <w:r>
              <w:rPr>
                <w:rFonts w:ascii="Arial" w:cs="Arial" w:eastAsia="Arial" w:hAnsi="Arial"/>
                <w:sz w:val="18"/>
                <w:szCs w:val="18"/>
                <w:color w:val="auto"/>
              </w:rPr>
              <w:t>10.30 +*</w:t>
            </w:r>
          </w:p>
        </w:tc>
        <w:tc>
          <w:tcPr>
            <w:tcW w:w="10160" w:type="dxa"/>
            <w:vAlign w:val="bottom"/>
            <w:gridSpan w:val="10"/>
          </w:tcPr>
          <w:p>
            <w:pPr>
              <w:spacing w:after="0"/>
              <w:rPr>
                <w:rFonts w:ascii="Arial" w:cs="Arial" w:eastAsia="Arial" w:hAnsi="Arial"/>
                <w:sz w:val="18"/>
                <w:szCs w:val="18"/>
                <w:color w:val="0000EE"/>
              </w:rPr>
            </w:pPr>
            <w:hyperlink r:id="rId115">
              <w:r>
                <w:rPr>
                  <w:rFonts w:ascii="Arial" w:cs="Arial" w:eastAsia="Arial" w:hAnsi="Arial"/>
                  <w:sz w:val="18"/>
                  <w:szCs w:val="18"/>
                  <w:color w:val="0000EE"/>
                </w:rPr>
                <w:t>Lee Enterprises, Incorporated Outside Directors Deferral Plan, Amended and Restated as of January 1, 2008 (Exhibit 10.26 to</w:t>
              </w:r>
            </w:hyperlink>
          </w:p>
        </w:tc>
      </w:tr>
      <w:tr>
        <w:trPr>
          <w:trHeight w:val="183"/>
        </w:trPr>
        <w:tc>
          <w:tcPr>
            <w:tcW w:w="1260" w:type="dxa"/>
            <w:vAlign w:val="bottom"/>
          </w:tcPr>
          <w:p>
            <w:pPr>
              <w:spacing w:after="0"/>
              <w:rPr>
                <w:sz w:val="15"/>
                <w:szCs w:val="15"/>
                <w:color w:val="auto"/>
              </w:rPr>
            </w:pPr>
          </w:p>
        </w:tc>
        <w:tc>
          <w:tcPr>
            <w:tcW w:w="466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9"/>
              </w:rPr>
            </w:pPr>
            <w:hyperlink r:id="rId115">
              <w:r>
                <w:rPr>
                  <w:rFonts w:ascii="Arial" w:cs="Arial" w:eastAsia="Arial" w:hAnsi="Arial"/>
                  <w:sz w:val="18"/>
                  <w:szCs w:val="18"/>
                  <w:color w:val="0000EE"/>
                  <w:w w:val="99"/>
                </w:rPr>
                <w:t>Form 10-K for the Fiscal Year Ended September 28, 2008)</w:t>
              </w:r>
            </w:hyperlink>
          </w:p>
        </w:tc>
        <w:tc>
          <w:tcPr>
            <w:tcW w:w="5480" w:type="dxa"/>
            <w:vAlign w:val="bottom"/>
            <w:tcBorders>
              <w:top w:val="single" w:sz="8" w:color="0000EE"/>
            </w:tcBorders>
            <w:gridSpan w:val="8"/>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1260" w:type="dxa"/>
            <w:vAlign w:val="bottom"/>
          </w:tcPr>
          <w:p>
            <w:pPr>
              <w:spacing w:after="0"/>
              <w:rPr>
                <w:sz w:val="20"/>
                <w:szCs w:val="20"/>
                <w:color w:val="auto"/>
              </w:rPr>
            </w:pPr>
            <w:r>
              <w:rPr>
                <w:rFonts w:ascii="Arial" w:cs="Arial" w:eastAsia="Arial" w:hAnsi="Arial"/>
                <w:sz w:val="18"/>
                <w:szCs w:val="18"/>
                <w:color w:val="auto"/>
              </w:rPr>
              <w:t>10.31.1 +*</w:t>
            </w:r>
          </w:p>
        </w:tc>
        <w:tc>
          <w:tcPr>
            <w:tcW w:w="10160" w:type="dxa"/>
            <w:vAlign w:val="bottom"/>
            <w:tcBorders>
              <w:bottom w:val="single" w:sz="8" w:color="0000EE"/>
            </w:tcBorders>
            <w:gridSpan w:val="10"/>
          </w:tcPr>
          <w:p>
            <w:pPr>
              <w:spacing w:after="0"/>
              <w:rPr>
                <w:rFonts w:ascii="Arial" w:cs="Arial" w:eastAsia="Arial" w:hAnsi="Arial"/>
                <w:sz w:val="18"/>
                <w:szCs w:val="18"/>
                <w:color w:val="0000EE"/>
              </w:rPr>
            </w:pPr>
            <w:hyperlink r:id="rId116">
              <w:r>
                <w:rPr>
                  <w:rFonts w:ascii="Arial" w:cs="Arial" w:eastAsia="Arial" w:hAnsi="Arial"/>
                  <w:sz w:val="18"/>
                  <w:szCs w:val="18"/>
                  <w:color w:val="0000EE"/>
                </w:rPr>
                <w:t>Form of Amended and Restated Employment Agreement between Lee Enterprises, Incorporated and its President and Chief</w:t>
              </w:r>
            </w:hyperlink>
          </w:p>
        </w:tc>
      </w:tr>
      <w:tr>
        <w:trPr>
          <w:trHeight w:val="183"/>
        </w:trPr>
        <w:tc>
          <w:tcPr>
            <w:tcW w:w="1260" w:type="dxa"/>
            <w:vAlign w:val="bottom"/>
          </w:tcPr>
          <w:p>
            <w:pPr>
              <w:spacing w:after="0"/>
              <w:rPr>
                <w:sz w:val="15"/>
                <w:szCs w:val="15"/>
                <w:color w:val="auto"/>
              </w:rPr>
            </w:pPr>
          </w:p>
        </w:tc>
        <w:tc>
          <w:tcPr>
            <w:tcW w:w="10160" w:type="dxa"/>
            <w:vAlign w:val="bottom"/>
            <w:gridSpan w:val="10"/>
          </w:tcPr>
          <w:p>
            <w:pPr>
              <w:spacing w:after="0" w:line="182" w:lineRule="exact"/>
              <w:rPr>
                <w:rFonts w:ascii="Arial" w:cs="Arial" w:eastAsia="Arial" w:hAnsi="Arial"/>
                <w:sz w:val="18"/>
                <w:szCs w:val="18"/>
                <w:color w:val="0000EE"/>
              </w:rPr>
            </w:pPr>
            <w:hyperlink r:id="rId116">
              <w:r>
                <w:rPr>
                  <w:rFonts w:ascii="Arial" w:cs="Arial" w:eastAsia="Arial" w:hAnsi="Arial"/>
                  <w:sz w:val="18"/>
                  <w:szCs w:val="18"/>
                  <w:color w:val="0000EE"/>
                </w:rPr>
                <w:t>Executive Officer (Exhibit 10.31.2 to Form 10-K for the Fiscal Year Ended September 30, 2018)</w:t>
              </w:r>
            </w:hyperlink>
          </w:p>
        </w:tc>
      </w:tr>
      <w:tr>
        <w:trPr>
          <w:trHeight w:val="20"/>
        </w:trPr>
        <w:tc>
          <w:tcPr>
            <w:tcW w:w="1260" w:type="dxa"/>
            <w:vAlign w:val="bottom"/>
          </w:tcPr>
          <w:p>
            <w:pPr>
              <w:spacing w:after="0" w:line="20" w:lineRule="exact"/>
              <w:rPr>
                <w:sz w:val="1"/>
                <w:szCs w:val="1"/>
                <w:color w:val="auto"/>
              </w:rPr>
            </w:pPr>
          </w:p>
        </w:tc>
        <w:tc>
          <w:tcPr>
            <w:tcW w:w="46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r>
      <w:tr>
        <w:trPr>
          <w:trHeight w:val="385"/>
        </w:trPr>
        <w:tc>
          <w:tcPr>
            <w:tcW w:w="1260" w:type="dxa"/>
            <w:vAlign w:val="bottom"/>
          </w:tcPr>
          <w:p>
            <w:pPr>
              <w:spacing w:after="0"/>
              <w:rPr>
                <w:sz w:val="20"/>
                <w:szCs w:val="20"/>
                <w:color w:val="auto"/>
              </w:rPr>
            </w:pPr>
            <w:r>
              <w:rPr>
                <w:rFonts w:ascii="Arial" w:cs="Arial" w:eastAsia="Arial" w:hAnsi="Arial"/>
                <w:sz w:val="18"/>
                <w:szCs w:val="18"/>
                <w:color w:val="auto"/>
              </w:rPr>
              <w:t>10.31.2 +*</w:t>
            </w:r>
          </w:p>
        </w:tc>
        <w:tc>
          <w:tcPr>
            <w:tcW w:w="10160" w:type="dxa"/>
            <w:vAlign w:val="bottom"/>
            <w:tcBorders>
              <w:bottom w:val="single" w:sz="8" w:color="0000EE"/>
            </w:tcBorders>
            <w:gridSpan w:val="10"/>
          </w:tcPr>
          <w:p>
            <w:pPr>
              <w:spacing w:after="0"/>
              <w:rPr>
                <w:rFonts w:ascii="Arial" w:cs="Arial" w:eastAsia="Arial" w:hAnsi="Arial"/>
                <w:sz w:val="18"/>
                <w:szCs w:val="18"/>
                <w:color w:val="0000EE"/>
              </w:rPr>
            </w:pPr>
            <w:hyperlink r:id="rId117">
              <w:r>
                <w:rPr>
                  <w:rFonts w:ascii="Arial" w:cs="Arial" w:eastAsia="Arial" w:hAnsi="Arial"/>
                  <w:sz w:val="18"/>
                  <w:szCs w:val="18"/>
                  <w:color w:val="0000EE"/>
                </w:rPr>
                <w:t>Form of Employment Agreement between Lee Enterprises, Incorporated and Certain of its Senior Executive Officers (Exhibit</w:t>
              </w:r>
            </w:hyperlink>
          </w:p>
        </w:tc>
      </w:tr>
      <w:tr>
        <w:trPr>
          <w:trHeight w:val="183"/>
        </w:trPr>
        <w:tc>
          <w:tcPr>
            <w:tcW w:w="1260" w:type="dxa"/>
            <w:vAlign w:val="bottom"/>
          </w:tcPr>
          <w:p>
            <w:pPr>
              <w:spacing w:after="0"/>
              <w:rPr>
                <w:sz w:val="15"/>
                <w:szCs w:val="15"/>
                <w:color w:val="auto"/>
              </w:rPr>
            </w:pPr>
          </w:p>
        </w:tc>
        <w:tc>
          <w:tcPr>
            <w:tcW w:w="10160" w:type="dxa"/>
            <w:vAlign w:val="bottom"/>
            <w:gridSpan w:val="10"/>
          </w:tcPr>
          <w:p>
            <w:pPr>
              <w:spacing w:after="0" w:line="182" w:lineRule="exact"/>
              <w:rPr>
                <w:rFonts w:ascii="Arial" w:cs="Arial" w:eastAsia="Arial" w:hAnsi="Arial"/>
                <w:sz w:val="18"/>
                <w:szCs w:val="18"/>
                <w:color w:val="0000EE"/>
              </w:rPr>
            </w:pPr>
            <w:hyperlink r:id="rId117">
              <w:r>
                <w:rPr>
                  <w:rFonts w:ascii="Arial" w:cs="Arial" w:eastAsia="Arial" w:hAnsi="Arial"/>
                  <w:sz w:val="18"/>
                  <w:szCs w:val="18"/>
                  <w:color w:val="0000EE"/>
                </w:rPr>
                <w:t>10.</w:t>
              </w:r>
              <w:r>
                <w:rPr>
                  <w:rFonts w:ascii="Arial" w:cs="Arial" w:eastAsia="Arial" w:hAnsi="Arial"/>
                  <w:sz w:val="18"/>
                  <w:szCs w:val="18"/>
                  <w:u w:val="single" w:color="auto"/>
                  <w:color w:val="0000EE"/>
                </w:rPr>
                <w:t>31.3</w:t>
              </w:r>
              <w:r>
                <w:rPr>
                  <w:rFonts w:ascii="Arial" w:cs="Arial" w:eastAsia="Arial" w:hAnsi="Arial"/>
                  <w:sz w:val="18"/>
                  <w:szCs w:val="18"/>
                  <w:color w:val="0000EE"/>
                </w:rPr>
                <w:t xml:space="preserve"> to Form 10-K for the Fiscal Year Ended September 30, 2018)</w:t>
              </w:r>
            </w:hyperlink>
          </w:p>
        </w:tc>
      </w:tr>
      <w:tr>
        <w:trPr>
          <w:trHeight w:val="20"/>
        </w:trPr>
        <w:tc>
          <w:tcPr>
            <w:tcW w:w="1260" w:type="dxa"/>
            <w:vAlign w:val="bottom"/>
          </w:tcPr>
          <w:p>
            <w:pPr>
              <w:spacing w:after="0" w:line="20" w:lineRule="exact"/>
              <w:rPr>
                <w:sz w:val="1"/>
                <w:szCs w:val="1"/>
                <w:color w:val="auto"/>
              </w:rPr>
            </w:pPr>
          </w:p>
        </w:tc>
        <w:tc>
          <w:tcPr>
            <w:tcW w:w="46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40" w:type="dxa"/>
            <w:vAlign w:val="bottom"/>
            <w:gridSpan w:val="6"/>
          </w:tcPr>
          <w:p>
            <w:pPr>
              <w:spacing w:after="0" w:line="20" w:lineRule="exact"/>
              <w:rPr>
                <w:sz w:val="1"/>
                <w:szCs w:val="1"/>
                <w:color w:val="auto"/>
              </w:rPr>
            </w:pPr>
          </w:p>
        </w:tc>
      </w:tr>
      <w:tr>
        <w:trPr>
          <w:trHeight w:val="385"/>
        </w:trPr>
        <w:tc>
          <w:tcPr>
            <w:tcW w:w="1260" w:type="dxa"/>
            <w:vAlign w:val="bottom"/>
          </w:tcPr>
          <w:p>
            <w:pPr>
              <w:spacing w:after="0"/>
              <w:rPr>
                <w:sz w:val="20"/>
                <w:szCs w:val="20"/>
                <w:color w:val="auto"/>
              </w:rPr>
            </w:pPr>
            <w:r>
              <w:rPr>
                <w:rFonts w:ascii="Arial" w:cs="Arial" w:eastAsia="Arial" w:hAnsi="Arial"/>
                <w:sz w:val="18"/>
                <w:szCs w:val="18"/>
                <w:color w:val="auto"/>
              </w:rPr>
              <w:t>10.32 +*</w:t>
            </w:r>
          </w:p>
        </w:tc>
        <w:tc>
          <w:tcPr>
            <w:tcW w:w="10160" w:type="dxa"/>
            <w:vAlign w:val="bottom"/>
            <w:tcBorders>
              <w:bottom w:val="single" w:sz="8" w:color="0000EE"/>
            </w:tcBorders>
            <w:gridSpan w:val="10"/>
          </w:tcPr>
          <w:p>
            <w:pPr>
              <w:spacing w:after="0"/>
              <w:rPr>
                <w:rFonts w:ascii="Arial" w:cs="Arial" w:eastAsia="Arial" w:hAnsi="Arial"/>
                <w:sz w:val="18"/>
                <w:szCs w:val="18"/>
                <w:color w:val="0000EE"/>
              </w:rPr>
            </w:pPr>
            <w:hyperlink r:id="rId118">
              <w:r>
                <w:rPr>
                  <w:rFonts w:ascii="Arial" w:cs="Arial" w:eastAsia="Arial" w:hAnsi="Arial"/>
                  <w:sz w:val="18"/>
                  <w:szCs w:val="18"/>
                  <w:color w:val="0000EE"/>
                </w:rPr>
                <w:t>Form of Indemnification Agreement for Lee Enterprises, Incorporated Directors and Executive Officers Group (Exhibit 10.32 to</w:t>
              </w:r>
            </w:hyperlink>
          </w:p>
        </w:tc>
      </w:tr>
      <w:tr>
        <w:trPr>
          <w:trHeight w:val="183"/>
        </w:trPr>
        <w:tc>
          <w:tcPr>
            <w:tcW w:w="1260" w:type="dxa"/>
            <w:vAlign w:val="bottom"/>
          </w:tcPr>
          <w:p>
            <w:pPr>
              <w:spacing w:after="0"/>
              <w:rPr>
                <w:sz w:val="15"/>
                <w:szCs w:val="15"/>
                <w:color w:val="auto"/>
              </w:rPr>
            </w:pPr>
          </w:p>
        </w:tc>
        <w:tc>
          <w:tcPr>
            <w:tcW w:w="468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r:id="rId118">
              <w:r>
                <w:rPr>
                  <w:rFonts w:ascii="Arial" w:cs="Arial" w:eastAsia="Arial" w:hAnsi="Arial"/>
                  <w:sz w:val="18"/>
                  <w:szCs w:val="18"/>
                  <w:color w:val="0000EE"/>
                  <w:w w:val="99"/>
                </w:rPr>
                <w:t>Form 10-K for the Fiscal Year Ended September 30, 2018)</w:t>
              </w:r>
            </w:hyperlink>
          </w:p>
        </w:tc>
        <w:tc>
          <w:tcPr>
            <w:tcW w:w="5480" w:type="dxa"/>
            <w:vAlign w:val="bottom"/>
            <w:gridSpan w:val="8"/>
          </w:tcPr>
          <w:p>
            <w:pPr>
              <w:spacing w:after="0"/>
              <w:rPr>
                <w:sz w:val="15"/>
                <w:szCs w:val="15"/>
                <w:color w:val="auto"/>
              </w:rPr>
            </w:pPr>
          </w:p>
        </w:tc>
      </w:tr>
      <w:tr>
        <w:trPr>
          <w:trHeight w:val="385"/>
        </w:trPr>
        <w:tc>
          <w:tcPr>
            <w:tcW w:w="1260" w:type="dxa"/>
            <w:vAlign w:val="bottom"/>
          </w:tcPr>
          <w:p>
            <w:pPr>
              <w:spacing w:after="0"/>
              <w:rPr>
                <w:sz w:val="20"/>
                <w:szCs w:val="20"/>
                <w:color w:val="auto"/>
              </w:rPr>
            </w:pPr>
            <w:r>
              <w:rPr>
                <w:rFonts w:ascii="Arial" w:cs="Arial" w:eastAsia="Arial" w:hAnsi="Arial"/>
                <w:sz w:val="18"/>
                <w:szCs w:val="18"/>
                <w:color w:val="auto"/>
              </w:rPr>
              <w:t>10.33 +*</w:t>
            </w:r>
          </w:p>
        </w:tc>
        <w:tc>
          <w:tcPr>
            <w:tcW w:w="10160" w:type="dxa"/>
            <w:vAlign w:val="bottom"/>
            <w:tcBorders>
              <w:bottom w:val="single" w:sz="8" w:color="0000EE"/>
            </w:tcBorders>
            <w:gridSpan w:val="10"/>
          </w:tcPr>
          <w:p>
            <w:pPr>
              <w:spacing w:after="0"/>
              <w:rPr>
                <w:rFonts w:ascii="Arial" w:cs="Arial" w:eastAsia="Arial" w:hAnsi="Arial"/>
                <w:sz w:val="18"/>
                <w:szCs w:val="18"/>
                <w:color w:val="0000EE"/>
              </w:rPr>
            </w:pPr>
            <w:hyperlink r:id="rId113">
              <w:r>
                <w:rPr>
                  <w:rFonts w:ascii="Arial" w:cs="Arial" w:eastAsia="Arial" w:hAnsi="Arial"/>
                  <w:sz w:val="18"/>
                  <w:szCs w:val="18"/>
                  <w:color w:val="0000EE"/>
                </w:rPr>
                <w:t>Lee Enterprises, Incorporated Amended and Restated Incentive Compensation Program (Effective February 22, 2017)</w:t>
              </w:r>
            </w:hyperlink>
          </w:p>
        </w:tc>
      </w:tr>
      <w:tr>
        <w:trPr>
          <w:trHeight w:val="183"/>
        </w:trPr>
        <w:tc>
          <w:tcPr>
            <w:tcW w:w="1260" w:type="dxa"/>
            <w:vAlign w:val="bottom"/>
          </w:tcPr>
          <w:p>
            <w:pPr>
              <w:spacing w:after="0"/>
              <w:rPr>
                <w:sz w:val="15"/>
                <w:szCs w:val="15"/>
                <w:color w:val="auto"/>
              </w:rPr>
            </w:pPr>
          </w:p>
        </w:tc>
        <w:tc>
          <w:tcPr>
            <w:tcW w:w="530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r:id="rId113">
              <w:r>
                <w:rPr>
                  <w:rFonts w:ascii="Arial" w:cs="Arial" w:eastAsia="Arial" w:hAnsi="Arial"/>
                  <w:sz w:val="18"/>
                  <w:szCs w:val="18"/>
                  <w:color w:val="0000EE"/>
                  <w:w w:val="99"/>
                </w:rPr>
                <w:t>(Appendix B to Schedule 14A Definitive Proxy Statement for 2017)</w:t>
              </w:r>
            </w:hyperlink>
          </w:p>
        </w:tc>
        <w:tc>
          <w:tcPr>
            <w:tcW w:w="4860" w:type="dxa"/>
            <w:vAlign w:val="bottom"/>
            <w:gridSpan w:val="7"/>
          </w:tcPr>
          <w:p>
            <w:pPr>
              <w:spacing w:after="0"/>
              <w:rPr>
                <w:sz w:val="15"/>
                <w:szCs w:val="15"/>
                <w:color w:val="auto"/>
              </w:rPr>
            </w:pPr>
          </w:p>
        </w:tc>
      </w:tr>
    </w:tbl>
    <w:p>
      <w:pPr>
        <w:spacing w:after="0" w:line="215" w:lineRule="exact"/>
        <w:rPr>
          <w:sz w:val="20"/>
          <w:szCs w:val="20"/>
          <w:color w:val="auto"/>
        </w:rPr>
      </w:pPr>
    </w:p>
    <w:p>
      <w:pPr>
        <w:ind w:left="1260" w:hanging="1252"/>
        <w:spacing w:after="0"/>
        <w:tabs>
          <w:tab w:leader="none" w:pos="1260" w:val="left"/>
        </w:tabs>
        <w:numPr>
          <w:ilvl w:val="0"/>
          <w:numId w:val="35"/>
        </w:numPr>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Subsidiaries and associated companies</w:t>
        </w:r>
      </w:hyperlink>
    </w:p>
    <w:p>
      <w:pPr>
        <w:spacing w:after="0" w:line="198" w:lineRule="exact"/>
        <w:rPr>
          <w:sz w:val="20"/>
          <w:szCs w:val="20"/>
          <w:color w:val="auto"/>
        </w:rPr>
      </w:pPr>
    </w:p>
    <w:p>
      <w:pPr>
        <w:ind w:left="1260" w:hanging="1252"/>
        <w:spacing w:after="0"/>
        <w:tabs>
          <w:tab w:leader="none" w:pos="1260" w:val="left"/>
        </w:tabs>
        <w:numPr>
          <w:ilvl w:val="0"/>
          <w:numId w:val="36"/>
        </w:numPr>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Consent of KPMG LLP, Independent Registered Public Accounting Firm</w:t>
        </w:r>
      </w:hyperlink>
    </w:p>
    <w:p>
      <w:pPr>
        <w:spacing w:after="0" w:line="198" w:lineRule="exact"/>
        <w:rPr>
          <w:rFonts w:ascii="Arial" w:cs="Arial" w:eastAsia="Arial" w:hAnsi="Arial"/>
          <w:sz w:val="18"/>
          <w:szCs w:val="18"/>
          <w:u w:val="single" w:color="auto"/>
          <w:color w:val="0000EE"/>
        </w:rPr>
      </w:pPr>
    </w:p>
    <w:p>
      <w:pPr>
        <w:ind w:left="1260" w:hanging="1252"/>
        <w:spacing w:after="0"/>
        <w:tabs>
          <w:tab w:leader="none" w:pos="1260" w:val="left"/>
        </w:tabs>
        <w:numPr>
          <w:ilvl w:val="0"/>
          <w:numId w:val="36"/>
        </w:numPr>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Power of Attorney</w:t>
        </w:r>
      </w:hyperlink>
    </w:p>
    <w:p>
      <w:pPr>
        <w:spacing w:after="0" w:line="168"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jc w:val="right"/>
              <w:ind w:right="810"/>
              <w:spacing w:after="0"/>
              <w:rPr>
                <w:sz w:val="20"/>
                <w:szCs w:val="20"/>
                <w:color w:val="auto"/>
              </w:rPr>
            </w:pPr>
            <w:r>
              <w:rPr>
                <w:rFonts w:ascii="Arial" w:cs="Arial" w:eastAsia="Arial" w:hAnsi="Arial"/>
                <w:sz w:val="18"/>
                <w:szCs w:val="18"/>
                <w:color w:val="auto"/>
                <w:w w:val="96"/>
              </w:rPr>
              <w:t>31.1</w:t>
            </w:r>
          </w:p>
        </w:tc>
        <w:tc>
          <w:tcPr>
            <w:tcW w:w="7800" w:type="dxa"/>
            <w:vAlign w:val="bottom"/>
            <w:tcBorders>
              <w:bottom w:val="single" w:sz="8" w:color="0000EE"/>
            </w:tcBorders>
            <w:gridSpan w:val="2"/>
          </w:tcPr>
          <w:p>
            <w:pPr>
              <w:spacing w:after="0"/>
              <w:rPr>
                <w:rFonts w:ascii="Arial" w:cs="Arial" w:eastAsia="Arial" w:hAnsi="Arial"/>
                <w:sz w:val="18"/>
                <w:szCs w:val="18"/>
                <w:color w:val="0000EE"/>
                <w:w w:val="99"/>
              </w:rPr>
            </w:pPr>
            <w:hyperlink w:anchor="page83">
              <w:r>
                <w:rPr>
                  <w:rFonts w:ascii="Arial" w:cs="Arial" w:eastAsia="Arial" w:hAnsi="Arial"/>
                  <w:sz w:val="18"/>
                  <w:szCs w:val="18"/>
                  <w:color w:val="0000EE"/>
                  <w:w w:val="99"/>
                </w:rPr>
                <w:t>Certification of Chief Executive Officer Pursuant to Section 302 of the Sarbanes-Oxley Act of 2002</w:t>
              </w:r>
            </w:hyperlink>
          </w:p>
        </w:tc>
      </w:tr>
      <w:tr>
        <w:trPr>
          <w:trHeight w:val="385"/>
        </w:trPr>
        <w:tc>
          <w:tcPr>
            <w:tcW w:w="1260" w:type="dxa"/>
            <w:vAlign w:val="bottom"/>
          </w:tcPr>
          <w:p>
            <w:pPr>
              <w:jc w:val="right"/>
              <w:ind w:right="810"/>
              <w:spacing w:after="0"/>
              <w:rPr>
                <w:sz w:val="20"/>
                <w:szCs w:val="20"/>
                <w:color w:val="auto"/>
              </w:rPr>
            </w:pPr>
            <w:r>
              <w:rPr>
                <w:rFonts w:ascii="Arial" w:cs="Arial" w:eastAsia="Arial" w:hAnsi="Arial"/>
                <w:sz w:val="18"/>
                <w:szCs w:val="18"/>
                <w:color w:val="auto"/>
                <w:w w:val="96"/>
              </w:rPr>
              <w:t>31.2</w:t>
            </w:r>
          </w:p>
        </w:tc>
        <w:tc>
          <w:tcPr>
            <w:tcW w:w="7800" w:type="dxa"/>
            <w:vAlign w:val="bottom"/>
            <w:gridSpan w:val="2"/>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Certification of Chief Financial Officer Pursuant to Section 302 of the Sarbanes-Oxley Act of 2002</w:t>
              </w:r>
            </w:hyperlink>
          </w:p>
        </w:tc>
      </w:tr>
      <w:tr>
        <w:trPr>
          <w:trHeight w:val="20"/>
        </w:trPr>
        <w:tc>
          <w:tcPr>
            <w:tcW w:w="1260" w:type="dxa"/>
            <w:vAlign w:val="bottom"/>
          </w:tcPr>
          <w:p>
            <w:pPr>
              <w:spacing w:after="0" w:line="20" w:lineRule="exact"/>
              <w:rPr>
                <w:sz w:val="1"/>
                <w:szCs w:val="1"/>
                <w:color w:val="auto"/>
              </w:rPr>
            </w:pPr>
          </w:p>
        </w:tc>
        <w:tc>
          <w:tcPr>
            <w:tcW w:w="77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20" w:right="180" w:hanging="5612"/>
        <w:spacing w:after="0" w:line="496" w:lineRule="auto"/>
        <w:tabs>
          <w:tab w:leader="none" w:pos="1270" w:val="left"/>
        </w:tabs>
        <w:numPr>
          <w:ilvl w:val="0"/>
          <w:numId w:val="37"/>
        </w:numPr>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Certification of Chief Executive Officer and Chief Financial Officer Pursuant to Section 906 of the Sarbanes-Oxley Act of 2002</w:t>
        </w:r>
      </w:hyperlink>
      <w:r>
        <w:rPr>
          <w:rFonts w:ascii="Arial" w:cs="Arial" w:eastAsia="Arial" w:hAnsi="Arial"/>
          <w:sz w:val="18"/>
          <w:szCs w:val="18"/>
          <w:u w:val="single" w:color="auto"/>
          <w:color w:val="0000EE"/>
        </w:rPr>
        <w:t xml:space="preserve"> </w:t>
      </w:r>
      <w:r>
        <w:rPr>
          <w:rFonts w:ascii="Arial" w:cs="Arial" w:eastAsia="Arial" w:hAnsi="Arial"/>
          <w:sz w:val="18"/>
          <w:szCs w:val="18"/>
          <w:color w:val="000000"/>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EXHIBIT 21</w:t>
            </w:r>
          </w:p>
        </w:tc>
      </w:tr>
      <w:tr>
        <w:trPr>
          <w:trHeight w:val="391"/>
        </w:trPr>
        <w:tc>
          <w:tcPr>
            <w:tcW w:w="9000" w:type="dxa"/>
            <w:vAlign w:val="bottom"/>
            <w:gridSpan w:val="2"/>
          </w:tcPr>
          <w:p>
            <w:pPr>
              <w:jc w:val="center"/>
              <w:ind w:left="2350"/>
              <w:spacing w:after="0"/>
              <w:rPr>
                <w:sz w:val="20"/>
                <w:szCs w:val="20"/>
                <w:color w:val="auto"/>
              </w:rPr>
            </w:pPr>
            <w:r>
              <w:rPr>
                <w:rFonts w:ascii="Arial" w:cs="Arial" w:eastAsia="Arial" w:hAnsi="Arial"/>
                <w:sz w:val="18"/>
                <w:szCs w:val="18"/>
                <w:color w:val="auto"/>
                <w:w w:val="99"/>
              </w:rPr>
              <w:t>LEE ENTERPRISES, INCORPORATED</w:t>
            </w: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7"/>
        </w:trPr>
        <w:tc>
          <w:tcPr>
            <w:tcW w:w="4560" w:type="dxa"/>
            <w:vAlign w:val="bottom"/>
          </w:tcPr>
          <w:p>
            <w:pPr>
              <w:spacing w:after="0"/>
              <w:rPr>
                <w:sz w:val="18"/>
                <w:szCs w:val="18"/>
                <w:color w:val="auto"/>
              </w:rPr>
            </w:pPr>
          </w:p>
        </w:tc>
        <w:tc>
          <w:tcPr>
            <w:tcW w:w="4440" w:type="dxa"/>
            <w:vAlign w:val="bottom"/>
          </w:tcPr>
          <w:p>
            <w:pPr>
              <w:jc w:val="center"/>
              <w:ind w:right="2050"/>
              <w:spacing w:after="0"/>
              <w:rPr>
                <w:sz w:val="20"/>
                <w:szCs w:val="20"/>
                <w:color w:val="auto"/>
              </w:rPr>
            </w:pPr>
            <w:r>
              <w:rPr>
                <w:rFonts w:ascii="Arial" w:cs="Arial" w:eastAsia="Arial" w:hAnsi="Arial"/>
                <w:sz w:val="18"/>
                <w:szCs w:val="18"/>
                <w:color w:val="auto"/>
              </w:rPr>
              <w:t>AND SUBSIDIARIES</w:t>
            </w:r>
          </w:p>
        </w:tc>
        <w:tc>
          <w:tcPr>
            <w:tcW w:w="24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05"/>
        </w:trPr>
        <w:tc>
          <w:tcPr>
            <w:tcW w:w="9000" w:type="dxa"/>
            <w:vAlign w:val="bottom"/>
            <w:gridSpan w:val="2"/>
          </w:tcPr>
          <w:p>
            <w:pPr>
              <w:jc w:val="center"/>
              <w:ind w:left="2350"/>
              <w:spacing w:after="0"/>
              <w:rPr>
                <w:sz w:val="20"/>
                <w:szCs w:val="20"/>
                <w:color w:val="auto"/>
              </w:rPr>
            </w:pPr>
            <w:r>
              <w:rPr>
                <w:rFonts w:ascii="Arial" w:cs="Arial" w:eastAsia="Arial" w:hAnsi="Arial"/>
                <w:sz w:val="18"/>
                <w:szCs w:val="18"/>
                <w:color w:val="auto"/>
                <w:w w:val="99"/>
              </w:rPr>
              <w:t>SUBSIDIARIES AND ASSOCIATED COMPANIES</w:t>
            </w: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456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2440" w:type="dxa"/>
            <w:vAlign w:val="bottom"/>
            <w:gridSpan w:val="2"/>
          </w:tcPr>
          <w:p>
            <w:pPr>
              <w:spacing w:after="0"/>
              <w:rPr>
                <w:sz w:val="16"/>
                <w:szCs w:val="16"/>
                <w:color w:val="auto"/>
              </w:rPr>
            </w:pPr>
          </w:p>
        </w:tc>
      </w:tr>
      <w:tr>
        <w:trPr>
          <w:trHeight w:val="195"/>
        </w:trPr>
        <w:tc>
          <w:tcPr>
            <w:tcW w:w="4560" w:type="dxa"/>
            <w:vAlign w:val="bottom"/>
            <w:tcBorders>
              <w:top w:val="single" w:sz="8" w:color="auto"/>
            </w:tcBorders>
          </w:tcPr>
          <w:p>
            <w:pPr>
              <w:spacing w:after="0"/>
              <w:rPr>
                <w:sz w:val="16"/>
                <w:szCs w:val="16"/>
                <w:color w:val="auto"/>
              </w:rPr>
            </w:pPr>
          </w:p>
        </w:tc>
        <w:tc>
          <w:tcPr>
            <w:tcW w:w="4440" w:type="dxa"/>
            <w:vAlign w:val="bottom"/>
            <w:tcBorders>
              <w:top w:val="single" w:sz="8" w:color="auto"/>
            </w:tcBorders>
          </w:tcPr>
          <w:p>
            <w:pPr>
              <w:ind w:left="2600"/>
              <w:spacing w:after="0" w:line="195" w:lineRule="exact"/>
              <w:rPr>
                <w:sz w:val="20"/>
                <w:szCs w:val="20"/>
                <w:color w:val="auto"/>
              </w:rPr>
            </w:pPr>
            <w:r>
              <w:rPr>
                <w:rFonts w:ascii="Arial" w:cs="Arial" w:eastAsia="Arial" w:hAnsi="Arial"/>
                <w:sz w:val="18"/>
                <w:szCs w:val="18"/>
                <w:color w:val="auto"/>
              </w:rPr>
              <w:t>State of</w:t>
            </w:r>
          </w:p>
        </w:tc>
        <w:tc>
          <w:tcPr>
            <w:tcW w:w="24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Percentage of Voting</w:t>
            </w:r>
          </w:p>
        </w:tc>
        <w:tc>
          <w:tcPr>
            <w:tcW w:w="20" w:type="dxa"/>
            <w:vAlign w:val="bottom"/>
          </w:tcPr>
          <w:p>
            <w:pPr>
              <w:spacing w:after="0"/>
              <w:rPr>
                <w:sz w:val="16"/>
                <w:szCs w:val="16"/>
                <w:color w:val="auto"/>
              </w:rPr>
            </w:pPr>
          </w:p>
        </w:tc>
      </w:tr>
      <w:tr>
        <w:trPr>
          <w:trHeight w:val="203"/>
        </w:trPr>
        <w:tc>
          <w:tcPr>
            <w:tcW w:w="4560" w:type="dxa"/>
            <w:vAlign w:val="bottom"/>
            <w:tcBorders>
              <w:bottom w:val="single" w:sz="8" w:color="auto"/>
            </w:tcBorders>
          </w:tcPr>
          <w:p>
            <w:pPr>
              <w:spacing w:after="0"/>
              <w:rPr>
                <w:sz w:val="17"/>
                <w:szCs w:val="17"/>
                <w:color w:val="auto"/>
              </w:rPr>
            </w:pPr>
          </w:p>
        </w:tc>
        <w:tc>
          <w:tcPr>
            <w:tcW w:w="4440" w:type="dxa"/>
            <w:vAlign w:val="bottom"/>
            <w:tcBorders>
              <w:bottom w:val="single" w:sz="8" w:color="auto"/>
            </w:tcBorders>
          </w:tcPr>
          <w:p>
            <w:pPr>
              <w:ind w:left="2600"/>
              <w:spacing w:after="0" w:line="203" w:lineRule="exact"/>
              <w:rPr>
                <w:sz w:val="20"/>
                <w:szCs w:val="20"/>
                <w:color w:val="auto"/>
              </w:rPr>
            </w:pPr>
            <w:r>
              <w:rPr>
                <w:rFonts w:ascii="Arial" w:cs="Arial" w:eastAsia="Arial" w:hAnsi="Arial"/>
                <w:sz w:val="18"/>
                <w:szCs w:val="18"/>
                <w:color w:val="auto"/>
              </w:rPr>
              <w:t>Organization</w:t>
            </w:r>
          </w:p>
        </w:tc>
        <w:tc>
          <w:tcPr>
            <w:tcW w:w="2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Securities Owned</w:t>
            </w:r>
          </w:p>
        </w:tc>
        <w:tc>
          <w:tcPr>
            <w:tcW w:w="20" w:type="dxa"/>
            <w:vAlign w:val="bottom"/>
          </w:tcPr>
          <w:p>
            <w:pPr>
              <w:spacing w:after="0"/>
              <w:rPr>
                <w:sz w:val="17"/>
                <w:szCs w:val="17"/>
                <w:color w:val="auto"/>
              </w:rPr>
            </w:pPr>
          </w:p>
        </w:tc>
      </w:tr>
      <w:tr>
        <w:trPr>
          <w:trHeight w:val="398"/>
        </w:trPr>
        <w:tc>
          <w:tcPr>
            <w:tcW w:w="4560" w:type="dxa"/>
            <w:vAlign w:val="bottom"/>
          </w:tcPr>
          <w:p>
            <w:pPr>
              <w:spacing w:after="0"/>
              <w:rPr>
                <w:sz w:val="20"/>
                <w:szCs w:val="20"/>
                <w:color w:val="auto"/>
              </w:rPr>
            </w:pPr>
            <w:r>
              <w:rPr>
                <w:rFonts w:ascii="Arial" w:cs="Arial" w:eastAsia="Arial" w:hAnsi="Arial"/>
                <w:sz w:val="18"/>
                <w:szCs w:val="18"/>
                <w:color w:val="auto"/>
              </w:rPr>
              <w:t>Lee Enterprises, Incorporated</w:t>
            </w:r>
          </w:p>
        </w:tc>
        <w:tc>
          <w:tcPr>
            <w:tcW w:w="4440" w:type="dxa"/>
            <w:vAlign w:val="bottom"/>
          </w:tcPr>
          <w:p>
            <w:pPr>
              <w:ind w:left="2600"/>
              <w:spacing w:after="0"/>
              <w:rPr>
                <w:sz w:val="20"/>
                <w:szCs w:val="20"/>
                <w:color w:val="auto"/>
              </w:rPr>
            </w:pPr>
            <w:r>
              <w:rPr>
                <w:rFonts w:ascii="Arial" w:cs="Arial" w:eastAsia="Arial" w:hAnsi="Arial"/>
                <w:sz w:val="18"/>
                <w:szCs w:val="18"/>
                <w:color w:val="auto"/>
              </w:rPr>
              <w:t>Delaware</w:t>
            </w:r>
          </w:p>
        </w:tc>
        <w:tc>
          <w:tcPr>
            <w:tcW w:w="2440" w:type="dxa"/>
            <w:vAlign w:val="bottom"/>
            <w:gridSpan w:val="2"/>
          </w:tcPr>
          <w:p>
            <w:pPr>
              <w:jc w:val="right"/>
              <w:ind w:right="280"/>
              <w:spacing w:after="0"/>
              <w:rPr>
                <w:sz w:val="20"/>
                <w:szCs w:val="20"/>
                <w:color w:val="auto"/>
              </w:rPr>
            </w:pPr>
            <w:r>
              <w:rPr>
                <w:rFonts w:ascii="Arial" w:cs="Arial" w:eastAsia="Arial" w:hAnsi="Arial"/>
                <w:sz w:val="18"/>
                <w:szCs w:val="18"/>
                <w:color w:val="auto"/>
              </w:rPr>
              <w:t>Parent</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Lee Publications, Inc.</w:t>
            </w:r>
          </w:p>
        </w:tc>
        <w:tc>
          <w:tcPr>
            <w:tcW w:w="4440" w:type="dxa"/>
            <w:vAlign w:val="bottom"/>
          </w:tcPr>
          <w:p>
            <w:pPr>
              <w:ind w:left="2600"/>
              <w:spacing w:after="0" w:line="202" w:lineRule="exact"/>
              <w:rPr>
                <w:sz w:val="20"/>
                <w:szCs w:val="20"/>
                <w:color w:val="auto"/>
              </w:rPr>
            </w:pPr>
            <w:r>
              <w:rPr>
                <w:rFonts w:ascii="Arial" w:cs="Arial" w:eastAsia="Arial" w:hAnsi="Arial"/>
                <w:sz w:val="18"/>
                <w:szCs w:val="18"/>
                <w:color w:val="auto"/>
              </w:rPr>
              <w:t>Delaware</w:t>
            </w:r>
          </w:p>
        </w:tc>
        <w:tc>
          <w:tcPr>
            <w:tcW w:w="2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Lee Procurement Solutions Co.</w:t>
            </w:r>
          </w:p>
        </w:tc>
        <w:tc>
          <w:tcPr>
            <w:tcW w:w="4440" w:type="dxa"/>
            <w:vAlign w:val="bottom"/>
          </w:tcPr>
          <w:p>
            <w:pPr>
              <w:ind w:left="2600"/>
              <w:spacing w:after="0" w:line="202" w:lineRule="exact"/>
              <w:rPr>
                <w:sz w:val="20"/>
                <w:szCs w:val="20"/>
                <w:color w:val="auto"/>
              </w:rPr>
            </w:pPr>
            <w:r>
              <w:rPr>
                <w:rFonts w:ascii="Arial" w:cs="Arial" w:eastAsia="Arial" w:hAnsi="Arial"/>
                <w:sz w:val="18"/>
                <w:szCs w:val="18"/>
                <w:color w:val="auto"/>
              </w:rPr>
              <w:t>Iowa</w:t>
            </w:r>
          </w:p>
        </w:tc>
        <w:tc>
          <w:tcPr>
            <w:tcW w:w="2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Lee Consolidated Holdings Co.</w:t>
            </w:r>
          </w:p>
        </w:tc>
        <w:tc>
          <w:tcPr>
            <w:tcW w:w="4440" w:type="dxa"/>
            <w:vAlign w:val="bottom"/>
          </w:tcPr>
          <w:p>
            <w:pPr>
              <w:ind w:left="2600"/>
              <w:spacing w:after="0" w:line="202" w:lineRule="exact"/>
              <w:rPr>
                <w:sz w:val="20"/>
                <w:szCs w:val="20"/>
                <w:color w:val="auto"/>
              </w:rPr>
            </w:pPr>
            <w:r>
              <w:rPr>
                <w:rFonts w:ascii="Arial" w:cs="Arial" w:eastAsia="Arial" w:hAnsi="Arial"/>
                <w:sz w:val="18"/>
                <w:szCs w:val="18"/>
                <w:color w:val="auto"/>
              </w:rPr>
              <w:t>South Dakota</w:t>
            </w:r>
          </w:p>
        </w:tc>
        <w:tc>
          <w:tcPr>
            <w:tcW w:w="2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Lee Foundation</w:t>
            </w:r>
          </w:p>
        </w:tc>
        <w:tc>
          <w:tcPr>
            <w:tcW w:w="4440" w:type="dxa"/>
            <w:vAlign w:val="bottom"/>
          </w:tcPr>
          <w:p>
            <w:pPr>
              <w:ind w:left="2600"/>
              <w:spacing w:after="0" w:line="202" w:lineRule="exact"/>
              <w:rPr>
                <w:sz w:val="20"/>
                <w:szCs w:val="20"/>
                <w:color w:val="auto"/>
              </w:rPr>
            </w:pPr>
            <w:r>
              <w:rPr>
                <w:rFonts w:ascii="Arial" w:cs="Arial" w:eastAsia="Arial" w:hAnsi="Arial"/>
                <w:sz w:val="18"/>
                <w:szCs w:val="18"/>
                <w:color w:val="auto"/>
              </w:rPr>
              <w:t>Iowa</w:t>
            </w:r>
          </w:p>
        </w:tc>
        <w:tc>
          <w:tcPr>
            <w:tcW w:w="2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Accudata, Inc.</w:t>
            </w:r>
          </w:p>
        </w:tc>
        <w:tc>
          <w:tcPr>
            <w:tcW w:w="4440" w:type="dxa"/>
            <w:vAlign w:val="bottom"/>
          </w:tcPr>
          <w:p>
            <w:pPr>
              <w:ind w:left="2600"/>
              <w:spacing w:after="0" w:line="202" w:lineRule="exact"/>
              <w:rPr>
                <w:sz w:val="20"/>
                <w:szCs w:val="20"/>
                <w:color w:val="auto"/>
              </w:rPr>
            </w:pPr>
            <w:r>
              <w:rPr>
                <w:rFonts w:ascii="Arial" w:cs="Arial" w:eastAsia="Arial" w:hAnsi="Arial"/>
                <w:sz w:val="18"/>
                <w:szCs w:val="18"/>
                <w:color w:val="auto"/>
              </w:rPr>
              <w:t>Iowa</w:t>
            </w:r>
          </w:p>
        </w:tc>
        <w:tc>
          <w:tcPr>
            <w:tcW w:w="2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Amplified Digital, LLC</w:t>
            </w:r>
          </w:p>
        </w:tc>
        <w:tc>
          <w:tcPr>
            <w:tcW w:w="4440" w:type="dxa"/>
            <w:vAlign w:val="bottom"/>
          </w:tcPr>
          <w:p>
            <w:pPr>
              <w:ind w:left="2600"/>
              <w:spacing w:after="0" w:line="202" w:lineRule="exact"/>
              <w:rPr>
                <w:sz w:val="20"/>
                <w:szCs w:val="20"/>
                <w:color w:val="auto"/>
              </w:rPr>
            </w:pPr>
            <w:r>
              <w:rPr>
                <w:rFonts w:ascii="Arial" w:cs="Arial" w:eastAsia="Arial" w:hAnsi="Arial"/>
                <w:sz w:val="18"/>
                <w:szCs w:val="18"/>
                <w:color w:val="auto"/>
              </w:rPr>
              <w:t>Delaware</w:t>
            </w:r>
          </w:p>
        </w:tc>
        <w:tc>
          <w:tcPr>
            <w:tcW w:w="2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Fairgrove LLC</w:t>
            </w:r>
          </w:p>
        </w:tc>
        <w:tc>
          <w:tcPr>
            <w:tcW w:w="4440" w:type="dxa"/>
            <w:vAlign w:val="bottom"/>
          </w:tcPr>
          <w:p>
            <w:pPr>
              <w:ind w:left="2600"/>
              <w:spacing w:after="0" w:line="202" w:lineRule="exact"/>
              <w:rPr>
                <w:sz w:val="20"/>
                <w:szCs w:val="20"/>
                <w:color w:val="auto"/>
              </w:rPr>
            </w:pPr>
            <w:r>
              <w:rPr>
                <w:rFonts w:ascii="Arial" w:cs="Arial" w:eastAsia="Arial" w:hAnsi="Arial"/>
                <w:sz w:val="18"/>
                <w:szCs w:val="18"/>
                <w:color w:val="auto"/>
              </w:rPr>
              <w:t>Delaware</w:t>
            </w:r>
          </w:p>
        </w:tc>
        <w:tc>
          <w:tcPr>
            <w:tcW w:w="2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Flagstaff Publishing Co.</w:t>
            </w:r>
          </w:p>
        </w:tc>
        <w:tc>
          <w:tcPr>
            <w:tcW w:w="4440" w:type="dxa"/>
            <w:vAlign w:val="bottom"/>
          </w:tcPr>
          <w:p>
            <w:pPr>
              <w:ind w:left="2600"/>
              <w:spacing w:after="0" w:line="202" w:lineRule="exact"/>
              <w:rPr>
                <w:sz w:val="20"/>
                <w:szCs w:val="20"/>
                <w:color w:val="auto"/>
              </w:rPr>
            </w:pPr>
            <w:r>
              <w:rPr>
                <w:rFonts w:ascii="Arial" w:cs="Arial" w:eastAsia="Arial" w:hAnsi="Arial"/>
                <w:sz w:val="18"/>
                <w:szCs w:val="18"/>
                <w:color w:val="auto"/>
              </w:rPr>
              <w:t>Washington</w:t>
            </w:r>
          </w:p>
        </w:tc>
        <w:tc>
          <w:tcPr>
            <w:tcW w:w="2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Hanford Sentinel, Inc.</w:t>
            </w:r>
          </w:p>
        </w:tc>
        <w:tc>
          <w:tcPr>
            <w:tcW w:w="4440" w:type="dxa"/>
            <w:vAlign w:val="bottom"/>
          </w:tcPr>
          <w:p>
            <w:pPr>
              <w:ind w:left="2600"/>
              <w:spacing w:after="0" w:line="202" w:lineRule="exact"/>
              <w:rPr>
                <w:sz w:val="20"/>
                <w:szCs w:val="20"/>
                <w:color w:val="auto"/>
              </w:rPr>
            </w:pPr>
            <w:r>
              <w:rPr>
                <w:rFonts w:ascii="Arial" w:cs="Arial" w:eastAsia="Arial" w:hAnsi="Arial"/>
                <w:sz w:val="18"/>
                <w:szCs w:val="18"/>
                <w:color w:val="auto"/>
              </w:rPr>
              <w:t>Washington</w:t>
            </w:r>
          </w:p>
        </w:tc>
        <w:tc>
          <w:tcPr>
            <w:tcW w:w="2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Journal-Star Printing Co.</w:t>
            </w:r>
          </w:p>
        </w:tc>
        <w:tc>
          <w:tcPr>
            <w:tcW w:w="4440" w:type="dxa"/>
            <w:vAlign w:val="bottom"/>
          </w:tcPr>
          <w:p>
            <w:pPr>
              <w:ind w:left="2600"/>
              <w:spacing w:after="0" w:line="202" w:lineRule="exact"/>
              <w:rPr>
                <w:sz w:val="20"/>
                <w:szCs w:val="20"/>
                <w:color w:val="auto"/>
              </w:rPr>
            </w:pPr>
            <w:r>
              <w:rPr>
                <w:rFonts w:ascii="Arial" w:cs="Arial" w:eastAsia="Arial" w:hAnsi="Arial"/>
                <w:sz w:val="18"/>
                <w:szCs w:val="18"/>
                <w:color w:val="auto"/>
              </w:rPr>
              <w:t>Nebraska</w:t>
            </w:r>
          </w:p>
        </w:tc>
        <w:tc>
          <w:tcPr>
            <w:tcW w:w="2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Napa Valley Publishing Co.</w:t>
            </w:r>
          </w:p>
        </w:tc>
        <w:tc>
          <w:tcPr>
            <w:tcW w:w="4440" w:type="dxa"/>
            <w:vAlign w:val="bottom"/>
          </w:tcPr>
          <w:p>
            <w:pPr>
              <w:ind w:left="2600"/>
              <w:spacing w:after="0" w:line="202" w:lineRule="exact"/>
              <w:rPr>
                <w:sz w:val="20"/>
                <w:szCs w:val="20"/>
                <w:color w:val="auto"/>
              </w:rPr>
            </w:pPr>
            <w:r>
              <w:rPr>
                <w:rFonts w:ascii="Arial" w:cs="Arial" w:eastAsia="Arial" w:hAnsi="Arial"/>
                <w:sz w:val="18"/>
                <w:szCs w:val="18"/>
                <w:color w:val="auto"/>
              </w:rPr>
              <w:t>Washington</w:t>
            </w:r>
          </w:p>
        </w:tc>
        <w:tc>
          <w:tcPr>
            <w:tcW w:w="2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Pantagraph Publishing Co.</w:t>
            </w:r>
          </w:p>
        </w:tc>
        <w:tc>
          <w:tcPr>
            <w:tcW w:w="4440" w:type="dxa"/>
            <w:vAlign w:val="bottom"/>
          </w:tcPr>
          <w:p>
            <w:pPr>
              <w:ind w:left="2600"/>
              <w:spacing w:after="0" w:line="202" w:lineRule="exact"/>
              <w:rPr>
                <w:sz w:val="20"/>
                <w:szCs w:val="20"/>
                <w:color w:val="auto"/>
              </w:rPr>
            </w:pPr>
            <w:r>
              <w:rPr>
                <w:rFonts w:ascii="Arial" w:cs="Arial" w:eastAsia="Arial" w:hAnsi="Arial"/>
                <w:sz w:val="18"/>
                <w:szCs w:val="18"/>
                <w:color w:val="auto"/>
              </w:rPr>
              <w:t>Delaware</w:t>
            </w:r>
          </w:p>
        </w:tc>
        <w:tc>
          <w:tcPr>
            <w:tcW w:w="2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Pulitzer Inc.</w:t>
            </w:r>
          </w:p>
        </w:tc>
        <w:tc>
          <w:tcPr>
            <w:tcW w:w="4440" w:type="dxa"/>
            <w:vAlign w:val="bottom"/>
          </w:tcPr>
          <w:p>
            <w:pPr>
              <w:ind w:left="2600"/>
              <w:spacing w:after="0" w:line="202" w:lineRule="exact"/>
              <w:rPr>
                <w:sz w:val="20"/>
                <w:szCs w:val="20"/>
                <w:color w:val="auto"/>
              </w:rPr>
            </w:pPr>
            <w:r>
              <w:rPr>
                <w:rFonts w:ascii="Arial" w:cs="Arial" w:eastAsia="Arial" w:hAnsi="Arial"/>
                <w:sz w:val="18"/>
                <w:szCs w:val="18"/>
                <w:color w:val="auto"/>
              </w:rPr>
              <w:t>Delaware</w:t>
            </w:r>
          </w:p>
        </w:tc>
        <w:tc>
          <w:tcPr>
            <w:tcW w:w="2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Pulitzer Missouri Newspapers, Inc.</w:t>
            </w:r>
          </w:p>
        </w:tc>
        <w:tc>
          <w:tcPr>
            <w:tcW w:w="4440" w:type="dxa"/>
            <w:vAlign w:val="bottom"/>
          </w:tcPr>
          <w:p>
            <w:pPr>
              <w:ind w:left="2600"/>
              <w:spacing w:after="0" w:line="202" w:lineRule="exact"/>
              <w:rPr>
                <w:sz w:val="20"/>
                <w:szCs w:val="20"/>
                <w:color w:val="auto"/>
              </w:rPr>
            </w:pPr>
            <w:r>
              <w:rPr>
                <w:rFonts w:ascii="Arial" w:cs="Arial" w:eastAsia="Arial" w:hAnsi="Arial"/>
                <w:sz w:val="18"/>
                <w:szCs w:val="18"/>
                <w:color w:val="auto"/>
              </w:rPr>
              <w:t>Delaware</w:t>
            </w:r>
          </w:p>
        </w:tc>
        <w:tc>
          <w:tcPr>
            <w:tcW w:w="2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Pulitzer Newspapers, Inc.</w:t>
            </w:r>
          </w:p>
        </w:tc>
        <w:tc>
          <w:tcPr>
            <w:tcW w:w="4440" w:type="dxa"/>
            <w:vAlign w:val="bottom"/>
          </w:tcPr>
          <w:p>
            <w:pPr>
              <w:ind w:left="2600"/>
              <w:spacing w:after="0" w:line="202" w:lineRule="exact"/>
              <w:rPr>
                <w:sz w:val="20"/>
                <w:szCs w:val="20"/>
                <w:color w:val="auto"/>
              </w:rPr>
            </w:pPr>
            <w:r>
              <w:rPr>
                <w:rFonts w:ascii="Arial" w:cs="Arial" w:eastAsia="Arial" w:hAnsi="Arial"/>
                <w:sz w:val="18"/>
                <w:szCs w:val="18"/>
                <w:color w:val="auto"/>
              </w:rPr>
              <w:t>Delaware</w:t>
            </w:r>
          </w:p>
        </w:tc>
        <w:tc>
          <w:tcPr>
            <w:tcW w:w="2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Pulitzer Network Systems LLC</w:t>
            </w:r>
          </w:p>
        </w:tc>
        <w:tc>
          <w:tcPr>
            <w:tcW w:w="4440" w:type="dxa"/>
            <w:vAlign w:val="bottom"/>
          </w:tcPr>
          <w:p>
            <w:pPr>
              <w:ind w:left="2600"/>
              <w:spacing w:after="0" w:line="202" w:lineRule="exact"/>
              <w:rPr>
                <w:sz w:val="20"/>
                <w:szCs w:val="20"/>
                <w:color w:val="auto"/>
              </w:rPr>
            </w:pPr>
            <w:r>
              <w:rPr>
                <w:rFonts w:ascii="Arial" w:cs="Arial" w:eastAsia="Arial" w:hAnsi="Arial"/>
                <w:sz w:val="18"/>
                <w:szCs w:val="18"/>
                <w:color w:val="auto"/>
              </w:rPr>
              <w:t>Delaware</w:t>
            </w:r>
          </w:p>
        </w:tc>
        <w:tc>
          <w:tcPr>
            <w:tcW w:w="2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Pulitzer Technologies, Inc.</w:t>
            </w:r>
          </w:p>
        </w:tc>
        <w:tc>
          <w:tcPr>
            <w:tcW w:w="4440" w:type="dxa"/>
            <w:vAlign w:val="bottom"/>
          </w:tcPr>
          <w:p>
            <w:pPr>
              <w:ind w:left="2600"/>
              <w:spacing w:after="0" w:line="202" w:lineRule="exact"/>
              <w:rPr>
                <w:sz w:val="20"/>
                <w:szCs w:val="20"/>
                <w:color w:val="auto"/>
              </w:rPr>
            </w:pPr>
            <w:r>
              <w:rPr>
                <w:rFonts w:ascii="Arial" w:cs="Arial" w:eastAsia="Arial" w:hAnsi="Arial"/>
                <w:sz w:val="18"/>
                <w:szCs w:val="18"/>
                <w:color w:val="auto"/>
              </w:rPr>
              <w:t>Delaware</w:t>
            </w:r>
          </w:p>
        </w:tc>
        <w:tc>
          <w:tcPr>
            <w:tcW w:w="2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Santa Maria Times, Inc.</w:t>
            </w:r>
          </w:p>
        </w:tc>
        <w:tc>
          <w:tcPr>
            <w:tcW w:w="4440" w:type="dxa"/>
            <w:vAlign w:val="bottom"/>
          </w:tcPr>
          <w:p>
            <w:pPr>
              <w:ind w:left="2600"/>
              <w:spacing w:after="0" w:line="202" w:lineRule="exact"/>
              <w:rPr>
                <w:sz w:val="20"/>
                <w:szCs w:val="20"/>
                <w:color w:val="auto"/>
              </w:rPr>
            </w:pPr>
            <w:r>
              <w:rPr>
                <w:rFonts w:ascii="Arial" w:cs="Arial" w:eastAsia="Arial" w:hAnsi="Arial"/>
                <w:sz w:val="18"/>
                <w:szCs w:val="18"/>
                <w:color w:val="auto"/>
              </w:rPr>
              <w:t>Nevada</w:t>
            </w:r>
          </w:p>
        </w:tc>
        <w:tc>
          <w:tcPr>
            <w:tcW w:w="2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Sioux City Newspapers, Inc.</w:t>
            </w:r>
          </w:p>
        </w:tc>
        <w:tc>
          <w:tcPr>
            <w:tcW w:w="4440" w:type="dxa"/>
            <w:vAlign w:val="bottom"/>
          </w:tcPr>
          <w:p>
            <w:pPr>
              <w:ind w:left="2600"/>
              <w:spacing w:after="0" w:line="202" w:lineRule="exact"/>
              <w:rPr>
                <w:sz w:val="20"/>
                <w:szCs w:val="20"/>
                <w:color w:val="auto"/>
              </w:rPr>
            </w:pPr>
            <w:r>
              <w:rPr>
                <w:rFonts w:ascii="Arial" w:cs="Arial" w:eastAsia="Arial" w:hAnsi="Arial"/>
                <w:sz w:val="18"/>
                <w:szCs w:val="18"/>
                <w:color w:val="auto"/>
              </w:rPr>
              <w:t>Iowa</w:t>
            </w:r>
          </w:p>
        </w:tc>
        <w:tc>
          <w:tcPr>
            <w:tcW w:w="2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Southwestern Oregon Publishing Co.</w:t>
            </w:r>
          </w:p>
        </w:tc>
        <w:tc>
          <w:tcPr>
            <w:tcW w:w="4440" w:type="dxa"/>
            <w:vAlign w:val="bottom"/>
          </w:tcPr>
          <w:p>
            <w:pPr>
              <w:ind w:left="2600"/>
              <w:spacing w:after="0" w:line="202" w:lineRule="exact"/>
              <w:rPr>
                <w:sz w:val="20"/>
                <w:szCs w:val="20"/>
                <w:color w:val="auto"/>
              </w:rPr>
            </w:pPr>
            <w:r>
              <w:rPr>
                <w:rFonts w:ascii="Arial" w:cs="Arial" w:eastAsia="Arial" w:hAnsi="Arial"/>
                <w:sz w:val="18"/>
                <w:szCs w:val="18"/>
                <w:color w:val="auto"/>
              </w:rPr>
              <w:t>Oregon</w:t>
            </w:r>
          </w:p>
        </w:tc>
        <w:tc>
          <w:tcPr>
            <w:tcW w:w="2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St. Louis Post-Dispatch LLC</w:t>
            </w:r>
          </w:p>
        </w:tc>
        <w:tc>
          <w:tcPr>
            <w:tcW w:w="4440" w:type="dxa"/>
            <w:vAlign w:val="bottom"/>
          </w:tcPr>
          <w:p>
            <w:pPr>
              <w:ind w:left="2600"/>
              <w:spacing w:after="0" w:line="202" w:lineRule="exact"/>
              <w:rPr>
                <w:sz w:val="20"/>
                <w:szCs w:val="20"/>
                <w:color w:val="auto"/>
              </w:rPr>
            </w:pPr>
            <w:r>
              <w:rPr>
                <w:rFonts w:ascii="Arial" w:cs="Arial" w:eastAsia="Arial" w:hAnsi="Arial"/>
                <w:sz w:val="18"/>
                <w:szCs w:val="18"/>
                <w:color w:val="auto"/>
              </w:rPr>
              <w:t>Delaware</w:t>
            </w:r>
          </w:p>
        </w:tc>
        <w:tc>
          <w:tcPr>
            <w:tcW w:w="2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Star Publishing Company</w:t>
            </w:r>
          </w:p>
        </w:tc>
        <w:tc>
          <w:tcPr>
            <w:tcW w:w="4440" w:type="dxa"/>
            <w:vAlign w:val="bottom"/>
          </w:tcPr>
          <w:p>
            <w:pPr>
              <w:ind w:left="2600"/>
              <w:spacing w:after="0" w:line="202" w:lineRule="exact"/>
              <w:rPr>
                <w:sz w:val="20"/>
                <w:szCs w:val="20"/>
                <w:color w:val="auto"/>
              </w:rPr>
            </w:pPr>
            <w:r>
              <w:rPr>
                <w:rFonts w:ascii="Arial" w:cs="Arial" w:eastAsia="Arial" w:hAnsi="Arial"/>
                <w:sz w:val="18"/>
                <w:szCs w:val="18"/>
                <w:color w:val="auto"/>
              </w:rPr>
              <w:t>Arizona</w:t>
            </w:r>
          </w:p>
        </w:tc>
        <w:tc>
          <w:tcPr>
            <w:tcW w:w="2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Suburban Journals of Greater St. Louis LLC</w:t>
            </w:r>
          </w:p>
        </w:tc>
        <w:tc>
          <w:tcPr>
            <w:tcW w:w="4440" w:type="dxa"/>
            <w:vAlign w:val="bottom"/>
          </w:tcPr>
          <w:p>
            <w:pPr>
              <w:ind w:left="2600"/>
              <w:spacing w:after="0" w:line="202" w:lineRule="exact"/>
              <w:rPr>
                <w:sz w:val="20"/>
                <w:szCs w:val="20"/>
                <w:color w:val="auto"/>
              </w:rPr>
            </w:pPr>
            <w:r>
              <w:rPr>
                <w:rFonts w:ascii="Arial" w:cs="Arial" w:eastAsia="Arial" w:hAnsi="Arial"/>
                <w:sz w:val="18"/>
                <w:szCs w:val="18"/>
                <w:color w:val="auto"/>
              </w:rPr>
              <w:t>Delaware</w:t>
            </w:r>
          </w:p>
        </w:tc>
        <w:tc>
          <w:tcPr>
            <w:tcW w:w="2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Ynez Corporation</w:t>
            </w:r>
          </w:p>
        </w:tc>
        <w:tc>
          <w:tcPr>
            <w:tcW w:w="4440" w:type="dxa"/>
            <w:vAlign w:val="bottom"/>
          </w:tcPr>
          <w:p>
            <w:pPr>
              <w:ind w:left="2600"/>
              <w:spacing w:after="0" w:line="202" w:lineRule="exact"/>
              <w:rPr>
                <w:sz w:val="20"/>
                <w:szCs w:val="20"/>
                <w:color w:val="auto"/>
              </w:rPr>
            </w:pPr>
            <w:r>
              <w:rPr>
                <w:rFonts w:ascii="Arial" w:cs="Arial" w:eastAsia="Arial" w:hAnsi="Arial"/>
                <w:sz w:val="18"/>
                <w:szCs w:val="18"/>
                <w:color w:val="auto"/>
              </w:rPr>
              <w:t>California</w:t>
            </w:r>
          </w:p>
        </w:tc>
        <w:tc>
          <w:tcPr>
            <w:tcW w:w="2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INN Partners, L.C. d/b/a TownNews.com</w:t>
            </w:r>
          </w:p>
        </w:tc>
        <w:tc>
          <w:tcPr>
            <w:tcW w:w="4440" w:type="dxa"/>
            <w:vAlign w:val="bottom"/>
          </w:tcPr>
          <w:p>
            <w:pPr>
              <w:ind w:left="2600"/>
              <w:spacing w:after="0" w:line="202" w:lineRule="exact"/>
              <w:rPr>
                <w:sz w:val="20"/>
                <w:szCs w:val="20"/>
                <w:color w:val="auto"/>
              </w:rPr>
            </w:pPr>
            <w:r>
              <w:rPr>
                <w:rFonts w:ascii="Arial" w:cs="Arial" w:eastAsia="Arial" w:hAnsi="Arial"/>
                <w:sz w:val="18"/>
                <w:szCs w:val="18"/>
                <w:color w:val="auto"/>
              </w:rPr>
              <w:t>Iowa</w:t>
            </w:r>
          </w:p>
        </w:tc>
        <w:tc>
          <w:tcPr>
            <w:tcW w:w="2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82.5%</w:t>
            </w:r>
          </w:p>
        </w:tc>
        <w:tc>
          <w:tcPr>
            <w:tcW w:w="20" w:type="dxa"/>
            <w:vAlign w:val="bottom"/>
          </w:tcPr>
          <w:p>
            <w:pPr>
              <w:spacing w:after="0"/>
              <w:rPr>
                <w:sz w:val="17"/>
                <w:szCs w:val="17"/>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Madison Newspapers, Inc. d/b/a Capital Newspapers</w:t>
            </w:r>
          </w:p>
        </w:tc>
        <w:tc>
          <w:tcPr>
            <w:tcW w:w="4440" w:type="dxa"/>
            <w:vAlign w:val="bottom"/>
          </w:tcPr>
          <w:p>
            <w:pPr>
              <w:ind w:left="2600"/>
              <w:spacing w:after="0" w:line="202" w:lineRule="exact"/>
              <w:rPr>
                <w:sz w:val="20"/>
                <w:szCs w:val="20"/>
                <w:color w:val="auto"/>
              </w:rPr>
            </w:pPr>
            <w:r>
              <w:rPr>
                <w:rFonts w:ascii="Arial" w:cs="Arial" w:eastAsia="Arial" w:hAnsi="Arial"/>
                <w:sz w:val="18"/>
                <w:szCs w:val="18"/>
                <w:color w:val="auto"/>
              </w:rPr>
              <w:t>Wisconsin</w:t>
            </w:r>
          </w:p>
        </w:tc>
        <w:tc>
          <w:tcPr>
            <w:tcW w:w="2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50%</w:t>
            </w:r>
          </w:p>
        </w:tc>
        <w:tc>
          <w:tcPr>
            <w:tcW w:w="20" w:type="dxa"/>
            <w:vAlign w:val="bottom"/>
          </w:tcPr>
          <w:p>
            <w:pPr>
              <w:spacing w:after="0"/>
              <w:rPr>
                <w:sz w:val="17"/>
                <w:szCs w:val="17"/>
                <w:color w:val="auto"/>
              </w:rPr>
            </w:pPr>
          </w:p>
        </w:tc>
      </w:tr>
      <w:tr>
        <w:trPr>
          <w:trHeight w:val="203"/>
        </w:trPr>
        <w:tc>
          <w:tcPr>
            <w:tcW w:w="45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TNI Partners</w:t>
            </w:r>
          </w:p>
        </w:tc>
        <w:tc>
          <w:tcPr>
            <w:tcW w:w="4440" w:type="dxa"/>
            <w:vAlign w:val="bottom"/>
            <w:tcBorders>
              <w:bottom w:val="single" w:sz="8" w:color="auto"/>
            </w:tcBorders>
          </w:tcPr>
          <w:p>
            <w:pPr>
              <w:ind w:left="2600"/>
              <w:spacing w:after="0" w:line="203" w:lineRule="exact"/>
              <w:rPr>
                <w:sz w:val="20"/>
                <w:szCs w:val="20"/>
                <w:color w:val="auto"/>
              </w:rPr>
            </w:pPr>
            <w:r>
              <w:rPr>
                <w:rFonts w:ascii="Arial" w:cs="Arial" w:eastAsia="Arial" w:hAnsi="Arial"/>
                <w:sz w:val="18"/>
                <w:szCs w:val="18"/>
                <w:color w:val="auto"/>
              </w:rPr>
              <w:t>Arizona</w:t>
            </w:r>
          </w:p>
        </w:tc>
        <w:tc>
          <w:tcPr>
            <w:tcW w:w="24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50%</w:t>
            </w:r>
          </w:p>
        </w:tc>
        <w:tc>
          <w:tcPr>
            <w:tcW w:w="20" w:type="dxa"/>
            <w:vAlign w:val="bottom"/>
          </w:tcPr>
          <w:p>
            <w:pPr>
              <w:spacing w:after="0"/>
              <w:rPr>
                <w:sz w:val="17"/>
                <w:szCs w:val="17"/>
                <w:color w:val="auto"/>
              </w:rPr>
            </w:pPr>
          </w:p>
        </w:tc>
      </w:tr>
      <w:tr>
        <w:trPr>
          <w:trHeight w:val="20"/>
        </w:trPr>
        <w:tc>
          <w:tcPr>
            <w:tcW w:w="4560" w:type="dxa"/>
            <w:vAlign w:val="bottom"/>
            <w:tcBorders>
              <w:bottom w:val="single" w:sz="8" w:color="auto"/>
            </w:tcBorders>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118"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23</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w:t>
      </w:r>
    </w:p>
    <w:p>
      <w:pPr>
        <w:ind w:left="20"/>
        <w:spacing w:after="0"/>
        <w:rPr>
          <w:sz w:val="20"/>
          <w:szCs w:val="20"/>
          <w:color w:val="auto"/>
        </w:rPr>
      </w:pPr>
      <w:r>
        <w:rPr>
          <w:rFonts w:ascii="Arial" w:cs="Arial" w:eastAsia="Arial" w:hAnsi="Arial"/>
          <w:sz w:val="18"/>
          <w:szCs w:val="18"/>
          <w:color w:val="auto"/>
        </w:rPr>
        <w:t>Lee Enterprises, Incorporated:</w:t>
      </w:r>
    </w:p>
    <w:p>
      <w:pPr>
        <w:spacing w:after="0" w:line="198" w:lineRule="exact"/>
        <w:rPr>
          <w:sz w:val="20"/>
          <w:szCs w:val="20"/>
          <w:color w:val="auto"/>
        </w:rPr>
      </w:pPr>
    </w:p>
    <w:p>
      <w:pPr>
        <w:ind w:right="320"/>
        <w:spacing w:after="0" w:line="234" w:lineRule="auto"/>
        <w:rPr>
          <w:sz w:val="20"/>
          <w:szCs w:val="20"/>
          <w:color w:val="auto"/>
        </w:rPr>
      </w:pPr>
      <w:r>
        <w:rPr>
          <w:rFonts w:ascii="Arial" w:cs="Arial" w:eastAsia="Arial" w:hAnsi="Arial"/>
          <w:sz w:val="18"/>
          <w:szCs w:val="18"/>
          <w:color w:val="auto"/>
        </w:rPr>
        <w:t>We consent to the incorporation by reference in the registration statements (No. 333-06435, No. 333-132768, No. 333-218355 and No. 333-204985) on Form S-8 and (No. 333-215651, Amendment No. 1 to No. 333-21561, No. 333-197450, and Amendment No. 1 to No. 333-</w:t>
      </w:r>
    </w:p>
    <w:p>
      <w:pPr>
        <w:spacing w:after="0" w:line="2"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197450) on Form S-3 of Lee Enterprises, Incorporated and subsidiaries of our reports dated December 13, 2019, with respect to the consolidated balance sheets of Lee Enterprises, Incorporated as of September 29, 2019 and September 30, 2018, and the related consolidated statements of income, comprehensive income, stockholders’ equity (deficit), and cash flows for the 52-week period ended September 29, 2019, the 53-week period ended September 30, 2018 and the 52-week period ended September 24, 2017, and the related notes, and the effectiveness of internal control over financial reporting as of September 29, 2019, which reports appear in the September 29, 2019 annual report on Form 10-K of Lee Enterprises, Incorporated.</w:t>
      </w:r>
    </w:p>
    <w:p>
      <w:pPr>
        <w:spacing w:after="0" w:line="3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KPMG LLP</w:t>
      </w:r>
    </w:p>
    <w:p>
      <w:pPr>
        <w:ind w:left="20"/>
        <w:spacing w:after="0" w:line="234" w:lineRule="auto"/>
        <w:rPr>
          <w:sz w:val="20"/>
          <w:szCs w:val="20"/>
          <w:color w:val="auto"/>
        </w:rPr>
      </w:pPr>
      <w:r>
        <w:rPr>
          <w:rFonts w:ascii="Arial" w:cs="Arial" w:eastAsia="Arial" w:hAnsi="Arial"/>
          <w:sz w:val="18"/>
          <w:szCs w:val="18"/>
          <w:color w:val="auto"/>
        </w:rPr>
        <w:t>Chicago, Illinois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13, 2019</w:t>
      </w:r>
    </w:p>
    <w:p>
      <w:pPr>
        <w:sectPr>
          <w:pgSz w:w="11900" w:h="16838" w:orient="portrait"/>
          <w:cols w:equalWidth="0" w:num="1">
            <w:col w:w="11440"/>
          </w:cols>
          <w:pgMar w:left="220" w:top="118"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24</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KNOW ALL MEN BY THESE PRESENTS that the undersigned directors of Lee Enterprises, Incorporated, a Delaware corporation (the “Company”), hereby severally constitute and appoint each of Kevin D. Mowbray and Timothy R. Millage, and each of them, to be our true and lawful attorneys-in-fact and agents, with full power of substitution and resubstitution, for him or her and in his or her name, place and stead, in any and all capacities, to sign the Company’s Annual Report on Form 10-K for the fiscal year ended September 29, 2019 (and any amendments thereto); granting unto such attorneys-in-fact and agents full power and authority to do and perform each and every act and thing requisite and necessary to be done, as fully for all intents and purposes as he or she might or could do in person, hereby ratifying and confirming all that such attorneys-in-fact and agents, or his or her substitute or substitutes, shall lawfully do or cause to be done by virtue hereof.</w:t>
      </w:r>
    </w:p>
    <w:p>
      <w:pPr>
        <w:spacing w:after="0" w:line="398" w:lineRule="exact"/>
        <w:rPr>
          <w:sz w:val="20"/>
          <w:szCs w:val="20"/>
          <w:color w:val="auto"/>
        </w:rPr>
      </w:pPr>
    </w:p>
    <w:p>
      <w:pPr>
        <w:ind w:left="1140"/>
        <w:spacing w:after="0"/>
        <w:tabs>
          <w:tab w:leader="none" w:pos="1860" w:val="left"/>
        </w:tabs>
        <w:rPr>
          <w:sz w:val="20"/>
          <w:szCs w:val="20"/>
          <w:color w:val="auto"/>
        </w:rPr>
      </w:pPr>
      <w:r>
        <w:rPr>
          <w:rFonts w:ascii="Arial" w:cs="Arial" w:eastAsia="Arial" w:hAnsi="Arial"/>
          <w:sz w:val="18"/>
          <w:szCs w:val="18"/>
          <w:color w:val="auto"/>
        </w:rPr>
        <w:t>Dated:</w:t>
        <w:tab/>
        <w:t>December 13, 2019</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Kevin D. Mowbray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-1905</wp:posOffset>
            </wp:positionV>
            <wp:extent cx="3370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0">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Kevin D. Mowbray</w:t>
      </w:r>
    </w:p>
    <w:p>
      <w:pPr>
        <w:ind w:left="660"/>
        <w:spacing w:after="0"/>
        <w:rPr>
          <w:sz w:val="20"/>
          <w:szCs w:val="20"/>
          <w:color w:val="auto"/>
        </w:rPr>
      </w:pPr>
      <w:r>
        <w:rPr>
          <w:rFonts w:ascii="Arial" w:cs="Arial" w:eastAsia="Arial" w:hAnsi="Arial"/>
          <w:sz w:val="17"/>
          <w:szCs w:val="17"/>
          <w:color w:val="auto"/>
        </w:rPr>
        <w:t>President and Chief Executive Officer</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(Principal Executive Officer)</w:t>
      </w:r>
    </w:p>
    <w:p>
      <w:pPr>
        <w:ind w:left="660"/>
        <w:spacing w:after="0"/>
        <w:rPr>
          <w:sz w:val="20"/>
          <w:szCs w:val="20"/>
          <w:color w:val="auto"/>
        </w:rPr>
      </w:pPr>
      <w:r>
        <w:rPr>
          <w:rFonts w:ascii="Arial" w:cs="Arial" w:eastAsia="Arial" w:hAnsi="Arial"/>
          <w:sz w:val="18"/>
          <w:szCs w:val="18"/>
          <w:color w:val="auto"/>
        </w:rPr>
        <w:t>Director</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Richard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-1905</wp:posOffset>
            </wp:positionV>
            <wp:extent cx="3370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1">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Richard R. Cole</w:t>
      </w:r>
    </w:p>
    <w:p>
      <w:pPr>
        <w:ind w:left="660"/>
        <w:spacing w:after="0"/>
        <w:rPr>
          <w:sz w:val="20"/>
          <w:szCs w:val="20"/>
          <w:color w:val="auto"/>
        </w:rPr>
      </w:pPr>
      <w:r>
        <w:rPr>
          <w:rFonts w:ascii="Arial" w:cs="Arial" w:eastAsia="Arial" w:hAnsi="Arial"/>
          <w:sz w:val="18"/>
          <w:szCs w:val="18"/>
          <w:color w:val="auto"/>
        </w:rPr>
        <w:t>Director</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Leonard J. Elmore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-1905</wp:posOffset>
            </wp:positionV>
            <wp:extent cx="3370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2">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Leonard J. Elmore</w:t>
      </w:r>
    </w:p>
    <w:p>
      <w:pPr>
        <w:ind w:left="660"/>
        <w:spacing w:after="0"/>
        <w:rPr>
          <w:sz w:val="20"/>
          <w:szCs w:val="20"/>
          <w:color w:val="auto"/>
        </w:rPr>
      </w:pPr>
      <w:r>
        <w:rPr>
          <w:rFonts w:ascii="Arial" w:cs="Arial" w:eastAsia="Arial" w:hAnsi="Arial"/>
          <w:sz w:val="18"/>
          <w:szCs w:val="18"/>
          <w:color w:val="auto"/>
        </w:rPr>
        <w:t>Director</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Margaret R. Liberman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-1905</wp:posOffset>
            </wp:positionV>
            <wp:extent cx="3370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3">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Margaret R. Liberman</w:t>
      </w:r>
    </w:p>
    <w:p>
      <w:pPr>
        <w:ind w:left="660"/>
        <w:spacing w:after="0"/>
        <w:rPr>
          <w:sz w:val="20"/>
          <w:szCs w:val="20"/>
          <w:color w:val="auto"/>
        </w:rPr>
      </w:pPr>
      <w:r>
        <w:rPr>
          <w:rFonts w:ascii="Arial" w:cs="Arial" w:eastAsia="Arial" w:hAnsi="Arial"/>
          <w:sz w:val="18"/>
          <w:szCs w:val="18"/>
          <w:color w:val="auto"/>
        </w:rPr>
        <w:t>Director</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William E. Mayer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-1905</wp:posOffset>
            </wp:positionV>
            <wp:extent cx="3370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4">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William E. Mayer</w:t>
      </w:r>
    </w:p>
    <w:p>
      <w:pPr>
        <w:ind w:left="660"/>
        <w:spacing w:after="0"/>
        <w:rPr>
          <w:sz w:val="20"/>
          <w:szCs w:val="20"/>
          <w:color w:val="auto"/>
        </w:rPr>
      </w:pPr>
      <w:r>
        <w:rPr>
          <w:rFonts w:ascii="Arial" w:cs="Arial" w:eastAsia="Arial" w:hAnsi="Arial"/>
          <w:sz w:val="18"/>
          <w:szCs w:val="18"/>
          <w:color w:val="auto"/>
        </w:rPr>
        <w:t>Director</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Gregory P. Schermer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-1905</wp:posOffset>
            </wp:positionV>
            <wp:extent cx="3370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5">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Gregory P. Schermer</w:t>
      </w:r>
    </w:p>
    <w:p>
      <w:pPr>
        <w:ind w:left="66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30187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6">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Timothy R. Millage</w:t>
      </w:r>
    </w:p>
    <w:p>
      <w:pPr>
        <w:spacing w:after="0" w:line="234" w:lineRule="auto"/>
        <w:rPr>
          <w:sz w:val="20"/>
          <w:szCs w:val="20"/>
          <w:color w:val="auto"/>
        </w:rPr>
      </w:pPr>
      <w:r>
        <w:rPr>
          <w:rFonts w:ascii="Arial" w:cs="Arial" w:eastAsia="Arial" w:hAnsi="Arial"/>
          <w:sz w:val="18"/>
          <w:szCs w:val="18"/>
          <w:color w:val="auto"/>
        </w:rPr>
        <w:t>Vice President, Chief Financial Officer and</w:t>
      </w:r>
    </w:p>
    <w:p>
      <w:pPr>
        <w:spacing w:after="0" w:line="235" w:lineRule="auto"/>
        <w:rPr>
          <w:sz w:val="20"/>
          <w:szCs w:val="20"/>
          <w:color w:val="auto"/>
        </w:rPr>
      </w:pPr>
      <w:r>
        <w:rPr>
          <w:rFonts w:ascii="Arial" w:cs="Arial" w:eastAsia="Arial" w:hAnsi="Arial"/>
          <w:sz w:val="18"/>
          <w:szCs w:val="18"/>
          <w:color w:val="auto"/>
        </w:rPr>
        <w:t>Treasurer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(Principal Financial and Accounting Officer)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 Nancy S. Donovan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30187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7">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Nancy S. Donovan</w:t>
      </w:r>
    </w:p>
    <w:p>
      <w:pPr>
        <w:spacing w:after="0"/>
        <w:rPr>
          <w:sz w:val="20"/>
          <w:szCs w:val="20"/>
          <w:color w:val="auto"/>
        </w:rPr>
      </w:pPr>
      <w:r>
        <w:rPr>
          <w:rFonts w:ascii="Arial" w:cs="Arial" w:eastAsia="Arial" w:hAnsi="Arial"/>
          <w:sz w:val="18"/>
          <w:szCs w:val="18"/>
          <w:color w:val="auto"/>
        </w:rPr>
        <w:t>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Mary E. Junck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30187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8">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Mary E. Junck</w:t>
      </w:r>
    </w:p>
    <w:p>
      <w:pPr>
        <w:spacing w:after="0"/>
        <w:rPr>
          <w:sz w:val="20"/>
          <w:szCs w:val="20"/>
          <w:color w:val="auto"/>
        </w:rPr>
      </w:pPr>
      <w:r>
        <w:rPr>
          <w:rFonts w:ascii="Arial" w:cs="Arial" w:eastAsia="Arial" w:hAnsi="Arial"/>
          <w:sz w:val="18"/>
          <w:szCs w:val="18"/>
          <w:color w:val="auto"/>
        </w:rPr>
        <w:t>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Brent M. Magid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30187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9">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Brent M. Magid</w:t>
      </w:r>
    </w:p>
    <w:p>
      <w:pPr>
        <w:spacing w:after="0"/>
        <w:rPr>
          <w:sz w:val="20"/>
          <w:szCs w:val="20"/>
          <w:color w:val="auto"/>
        </w:rPr>
      </w:pPr>
      <w:r>
        <w:rPr>
          <w:rFonts w:ascii="Arial" w:cs="Arial" w:eastAsia="Arial" w:hAnsi="Arial"/>
          <w:sz w:val="18"/>
          <w:szCs w:val="18"/>
          <w:color w:val="auto"/>
        </w:rPr>
        <w:t>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Herbert W. Moloney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30187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0">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Herbert W. Moloney III</w:t>
      </w:r>
    </w:p>
    <w:p>
      <w:pPr>
        <w:spacing w:after="0"/>
        <w:rPr>
          <w:sz w:val="20"/>
          <w:szCs w:val="20"/>
          <w:color w:val="auto"/>
        </w:rPr>
      </w:pPr>
      <w:r>
        <w:rPr>
          <w:rFonts w:ascii="Arial" w:cs="Arial" w:eastAsia="Arial" w:hAnsi="Arial"/>
          <w:sz w:val="18"/>
          <w:szCs w:val="18"/>
          <w:color w:val="auto"/>
        </w:rPr>
        <w:t>Director</w:t>
      </w:r>
    </w:p>
    <w:p>
      <w:pPr>
        <w:sectPr>
          <w:pgSz w:w="11900" w:h="16838" w:orient="portrait"/>
          <w:cols w:equalWidth="0" w:num="2">
            <w:col w:w="6020" w:space="720"/>
            <w:col w:w="4680"/>
          </w:cols>
          <w:pgMar w:left="240" w:top="118" w:right="23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8"/>
          <w:szCs w:val="18"/>
          <w:color w:val="auto"/>
        </w:rPr>
        <w:t>Exhibit 31.1</w:t>
      </w:r>
    </w:p>
    <w:p>
      <w:pPr>
        <w:spacing w:after="0" w:line="17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CERTIFICATION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 Kevin D. Mowbray, certify that:</w:t>
      </w:r>
    </w:p>
    <w:p>
      <w:pPr>
        <w:spacing w:after="0" w:line="200" w:lineRule="exact"/>
        <w:rPr>
          <w:sz w:val="20"/>
          <w:szCs w:val="20"/>
          <w:color w:val="auto"/>
        </w:rPr>
      </w:pPr>
    </w:p>
    <w:p>
      <w:pPr>
        <w:spacing w:after="0" w:line="201" w:lineRule="exact"/>
        <w:rPr>
          <w:sz w:val="20"/>
          <w:szCs w:val="20"/>
          <w:color w:val="auto"/>
        </w:rPr>
      </w:pPr>
    </w:p>
    <w:p>
      <w:pPr>
        <w:ind w:left="640" w:hanging="365"/>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("Annual Report") of Lee Enterprises, Incorporated ("Registrant");</w:t>
      </w:r>
    </w:p>
    <w:p>
      <w:pPr>
        <w:spacing w:after="0" w:line="198" w:lineRule="exact"/>
        <w:rPr>
          <w:sz w:val="20"/>
          <w:szCs w:val="20"/>
          <w:color w:val="auto"/>
        </w:rPr>
      </w:pPr>
    </w:p>
    <w:p>
      <w:pPr>
        <w:jc w:val="both"/>
        <w:ind w:left="640" w:right="360" w:hanging="365"/>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9" w:lineRule="exact"/>
        <w:rPr>
          <w:sz w:val="20"/>
          <w:szCs w:val="20"/>
          <w:color w:val="auto"/>
        </w:rPr>
      </w:pPr>
    </w:p>
    <w:p>
      <w:pPr>
        <w:ind w:left="640" w:right="160" w:hanging="365"/>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89" w:lineRule="exact"/>
        <w:rPr>
          <w:sz w:val="20"/>
          <w:szCs w:val="20"/>
          <w:color w:val="auto"/>
        </w:rPr>
      </w:pPr>
    </w:p>
    <w:p>
      <w:pPr>
        <w:ind w:left="640" w:right="260" w:hanging="365"/>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ind w:left="1580" w:right="120" w:hanging="519"/>
        <w:spacing w:after="0" w:line="239" w:lineRule="auto"/>
        <w:tabs>
          <w:tab w:leader="none" w:pos="15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88" w:lineRule="exact"/>
        <w:rPr>
          <w:rFonts w:ascii="Arial" w:cs="Arial" w:eastAsia="Arial" w:hAnsi="Arial"/>
          <w:sz w:val="18"/>
          <w:szCs w:val="18"/>
          <w:color w:val="auto"/>
        </w:rPr>
      </w:pPr>
    </w:p>
    <w:p>
      <w:pPr>
        <w:ind w:left="1580" w:right="160" w:hanging="519"/>
        <w:spacing w:after="0" w:line="239" w:lineRule="auto"/>
        <w:tabs>
          <w:tab w:leader="none" w:pos="15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ind w:left="1580" w:hanging="519"/>
        <w:spacing w:after="0"/>
        <w:tabs>
          <w:tab w:leader="none" w:pos="15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89" w:lineRule="exact"/>
        <w:rPr>
          <w:rFonts w:ascii="Arial" w:cs="Arial" w:eastAsia="Arial" w:hAnsi="Arial"/>
          <w:sz w:val="18"/>
          <w:szCs w:val="18"/>
          <w:color w:val="auto"/>
        </w:rPr>
      </w:pPr>
    </w:p>
    <w:p>
      <w:pPr>
        <w:ind w:left="1580" w:right="160" w:hanging="519"/>
        <w:spacing w:after="0" w:line="239" w:lineRule="auto"/>
        <w:tabs>
          <w:tab w:leader="none" w:pos="15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sz w:val="20"/>
          <w:szCs w:val="20"/>
          <w:color w:val="auto"/>
        </w:rPr>
      </w:pPr>
    </w:p>
    <w:p>
      <w:pPr>
        <w:ind w:left="640" w:right="180" w:hanging="365"/>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9" w:lineRule="exact"/>
        <w:rPr>
          <w:rFonts w:ascii="Arial" w:cs="Arial" w:eastAsia="Arial" w:hAnsi="Arial"/>
          <w:sz w:val="18"/>
          <w:szCs w:val="18"/>
          <w:color w:val="auto"/>
        </w:rPr>
      </w:pPr>
    </w:p>
    <w:p>
      <w:pPr>
        <w:jc w:val="both"/>
        <w:ind w:left="1580" w:right="120" w:hanging="519"/>
        <w:spacing w:after="0"/>
        <w:tabs>
          <w:tab w:leader="none" w:pos="15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580" w:hanging="519"/>
        <w:spacing w:after="0" w:line="246" w:lineRule="auto"/>
        <w:tabs>
          <w:tab w:leader="none" w:pos="15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13, 2019</w:t>
      </w:r>
    </w:p>
    <w:p>
      <w:pPr>
        <w:spacing w:after="0" w:line="200" w:lineRule="exact"/>
        <w:rPr>
          <w:sz w:val="20"/>
          <w:szCs w:val="20"/>
          <w:color w:val="auto"/>
        </w:rPr>
      </w:pPr>
    </w:p>
    <w:p>
      <w:pPr>
        <w:spacing w:after="0" w:line="20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 Kevin D. Mowbray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-1905</wp:posOffset>
            </wp:positionV>
            <wp:extent cx="41249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1">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ind w:left="4920"/>
        <w:spacing w:after="0"/>
        <w:rPr>
          <w:sz w:val="20"/>
          <w:szCs w:val="20"/>
          <w:color w:val="auto"/>
        </w:rPr>
      </w:pPr>
      <w:r>
        <w:rPr>
          <w:rFonts w:ascii="Arial" w:cs="Arial" w:eastAsia="Arial" w:hAnsi="Arial"/>
          <w:sz w:val="18"/>
          <w:szCs w:val="18"/>
          <w:color w:val="auto"/>
        </w:rPr>
        <w:t>Kevin D. Mowbray</w:t>
      </w:r>
    </w:p>
    <w:p>
      <w:pPr>
        <w:ind w:left="49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0420"/>
          </w:cols>
          <w:pgMar w:left="240" w:top="140" w:right="1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Exhibit 31.2</w:t>
      </w:r>
    </w:p>
    <w:p>
      <w:pPr>
        <w:spacing w:after="0" w:line="17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CERTIFICATION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 Timothy R. Millage, certify that: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40" w:hanging="463"/>
        <w:spacing w:after="0"/>
        <w:tabs>
          <w:tab w:leader="none" w:pos="8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("Annual Report") of Lee Enterprises, Incorporated ("Registrant");</w:t>
      </w:r>
    </w:p>
    <w:p>
      <w:pPr>
        <w:spacing w:after="0" w:line="198" w:lineRule="exact"/>
        <w:rPr>
          <w:sz w:val="20"/>
          <w:szCs w:val="20"/>
          <w:color w:val="auto"/>
        </w:rPr>
      </w:pPr>
    </w:p>
    <w:p>
      <w:pPr>
        <w:jc w:val="both"/>
        <w:ind w:left="840" w:right="120" w:hanging="463"/>
        <w:spacing w:after="0"/>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9" w:lineRule="exact"/>
        <w:rPr>
          <w:sz w:val="20"/>
          <w:szCs w:val="20"/>
          <w:color w:val="auto"/>
        </w:rPr>
      </w:pPr>
    </w:p>
    <w:p>
      <w:pPr>
        <w:ind w:left="840" w:right="40" w:hanging="463"/>
        <w:spacing w:after="0"/>
        <w:tabs>
          <w:tab w:leader="none" w:pos="8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89" w:lineRule="exact"/>
        <w:rPr>
          <w:sz w:val="20"/>
          <w:szCs w:val="20"/>
          <w:color w:val="auto"/>
        </w:rPr>
      </w:pPr>
    </w:p>
    <w:p>
      <w:pPr>
        <w:ind w:left="840" w:right="20" w:hanging="463"/>
        <w:spacing w:after="0"/>
        <w:tabs>
          <w:tab w:leader="none" w:pos="8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ind w:left="2100" w:right="140" w:hanging="728"/>
        <w:spacing w:after="0" w:line="239" w:lineRule="auto"/>
        <w:tabs>
          <w:tab w:leader="none" w:pos="21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88" w:lineRule="exact"/>
        <w:rPr>
          <w:rFonts w:ascii="Arial" w:cs="Arial" w:eastAsia="Arial" w:hAnsi="Arial"/>
          <w:sz w:val="18"/>
          <w:szCs w:val="18"/>
          <w:color w:val="auto"/>
        </w:rPr>
      </w:pPr>
    </w:p>
    <w:p>
      <w:pPr>
        <w:ind w:left="2100" w:hanging="728"/>
        <w:spacing w:after="0" w:line="239" w:lineRule="auto"/>
        <w:tabs>
          <w:tab w:leader="none" w:pos="21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ind w:left="2100" w:right="60" w:hanging="728"/>
        <w:spacing w:after="0"/>
        <w:tabs>
          <w:tab w:leader="none" w:pos="21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89" w:lineRule="exact"/>
        <w:rPr>
          <w:rFonts w:ascii="Arial" w:cs="Arial" w:eastAsia="Arial" w:hAnsi="Arial"/>
          <w:sz w:val="18"/>
          <w:szCs w:val="18"/>
          <w:color w:val="auto"/>
        </w:rPr>
      </w:pPr>
    </w:p>
    <w:p>
      <w:pPr>
        <w:ind w:left="2100" w:right="100" w:hanging="728"/>
        <w:spacing w:after="0" w:line="239" w:lineRule="auto"/>
        <w:tabs>
          <w:tab w:leader="none" w:pos="21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sz w:val="20"/>
          <w:szCs w:val="20"/>
          <w:color w:val="auto"/>
        </w:rPr>
      </w:pPr>
    </w:p>
    <w:p>
      <w:pPr>
        <w:ind w:left="840" w:right="340" w:hanging="463"/>
        <w:spacing w:after="0"/>
        <w:tabs>
          <w:tab w:leader="none" w:pos="8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9" w:lineRule="exact"/>
        <w:rPr>
          <w:rFonts w:ascii="Arial" w:cs="Arial" w:eastAsia="Arial" w:hAnsi="Arial"/>
          <w:sz w:val="18"/>
          <w:szCs w:val="18"/>
          <w:color w:val="auto"/>
        </w:rPr>
      </w:pPr>
    </w:p>
    <w:p>
      <w:pPr>
        <w:ind w:left="2100" w:right="280" w:hanging="728"/>
        <w:spacing w:after="0"/>
        <w:tabs>
          <w:tab w:leader="none" w:pos="21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2100" w:hanging="728"/>
        <w:spacing w:after="0" w:line="246" w:lineRule="auto"/>
        <w:tabs>
          <w:tab w:leader="none" w:pos="21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13,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-1905</wp:posOffset>
            </wp:positionV>
            <wp:extent cx="50939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2">
                      <a:extLst>
                        <a:ext uri="{28A0092B-C50C-407E-A947-70E740481C1C}"/>
                      </a:extLst>
                    </a:blip>
                    <a:srcRect/>
                    <a:stretch>
                      <a:fillRect/>
                    </a:stretch>
                  </pic:blipFill>
                  <pic:spPr bwMode="auto">
                    <a:xfrm>
                      <a:off x="0" y="0"/>
                      <a:ext cx="5093970" cy="8890"/>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Timothy R. Millage</w:t>
      </w:r>
    </w:p>
    <w:p>
      <w:pPr>
        <w:ind w:left="242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0400"/>
          </w:cols>
          <w:pgMar w:left="240" w:top="140" w:right="125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Exhibit 32</w:t>
      </w:r>
    </w:p>
    <w:p>
      <w:pPr>
        <w:spacing w:after="0" w:line="197"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The following statement is being furnished to the Securities and Exchange Commission solely for purposes of Section 906 of the Sarbanes-Oxley Act of 2002 (18 U.S.C. 1350), which carries with it certain criminal penalties in the event of a knowing or willful misrepresentation.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4" w:lineRule="auto"/>
        <w:rPr>
          <w:sz w:val="20"/>
          <w:szCs w:val="20"/>
          <w:color w:val="auto"/>
        </w:rPr>
      </w:pPr>
      <w:r>
        <w:rPr>
          <w:rFonts w:ascii="Arial" w:cs="Arial" w:eastAsia="Arial" w:hAnsi="Arial"/>
          <w:sz w:val="18"/>
          <w:szCs w:val="18"/>
          <w:color w:val="auto"/>
        </w:rPr>
        <w:t>450 Fifth Street, NW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Re: Lee Enterprises, Incorporated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98"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In accordance with the requirements of Section 906 of the Sarbanes-Oxley Act of 2002 (18 U.S.C. 1350), each of the undersigned hereby certifies that to our knowledge:</w:t>
      </w:r>
    </w:p>
    <w:p>
      <w:pPr>
        <w:spacing w:after="0" w:line="200" w:lineRule="exact"/>
        <w:rPr>
          <w:sz w:val="20"/>
          <w:szCs w:val="20"/>
          <w:color w:val="auto"/>
        </w:rPr>
      </w:pPr>
    </w:p>
    <w:p>
      <w:pPr>
        <w:spacing w:after="0" w:line="389" w:lineRule="exact"/>
        <w:rPr>
          <w:sz w:val="20"/>
          <w:szCs w:val="20"/>
          <w:color w:val="auto"/>
        </w:rPr>
      </w:pPr>
    </w:p>
    <w:p>
      <w:pPr>
        <w:ind w:left="920" w:right="200" w:hanging="912"/>
        <w:spacing w:after="0" w:line="246" w:lineRule="auto"/>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Annual report on Form 10-K for the period ended September 29, 2019 ("Annual Report"), fully complies with the requirements of section 13(a) or 15(d) of the Securities Exchange Act of 1934 (15 U.S.C. 78m or 78o(d)); and</w:t>
      </w:r>
    </w:p>
    <w:p>
      <w:pPr>
        <w:spacing w:after="0" w:line="183" w:lineRule="exact"/>
        <w:rPr>
          <w:rFonts w:ascii="Arial" w:cs="Arial" w:eastAsia="Arial" w:hAnsi="Arial"/>
          <w:sz w:val="18"/>
          <w:szCs w:val="18"/>
          <w:color w:val="auto"/>
        </w:rPr>
      </w:pPr>
    </w:p>
    <w:p>
      <w:pPr>
        <w:ind w:left="920" w:right="720" w:hanging="912"/>
        <w:spacing w:after="0" w:line="246" w:lineRule="auto"/>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this Annual Report fairly presents, in all material respects, the financial condition and results of operations of Lee Enterprises, Incorporated for the periods presented in the Annual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13, 2019</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20"/>
                <w:szCs w:val="20"/>
                <w:color w:val="auto"/>
              </w:rPr>
            </w:pPr>
            <w:r>
              <w:rPr>
                <w:rFonts w:ascii="Arial" w:cs="Arial" w:eastAsia="Arial" w:hAnsi="Arial"/>
                <w:sz w:val="18"/>
                <w:szCs w:val="18"/>
                <w:color w:val="auto"/>
              </w:rPr>
              <w:t>/s/ Kevin D. Mowbray</w:t>
            </w:r>
          </w:p>
        </w:tc>
        <w:tc>
          <w:tcPr>
            <w:tcW w:w="6400" w:type="dxa"/>
            <w:vAlign w:val="bottom"/>
            <w:gridSpan w:val="2"/>
          </w:tcPr>
          <w:p>
            <w:pPr>
              <w:ind w:left="140"/>
              <w:spacing w:after="0"/>
              <w:rPr>
                <w:sz w:val="20"/>
                <w:szCs w:val="20"/>
                <w:color w:val="auto"/>
              </w:rPr>
            </w:pPr>
            <w:r>
              <w:rPr>
                <w:rFonts w:ascii="Arial" w:cs="Arial" w:eastAsia="Arial" w:hAnsi="Arial"/>
                <w:sz w:val="18"/>
                <w:szCs w:val="18"/>
                <w:color w:val="auto"/>
              </w:rPr>
              <w:t>/s/ Timothy R. Millage</w:t>
            </w:r>
          </w:p>
        </w:tc>
      </w:tr>
      <w:tr>
        <w:trPr>
          <w:trHeight w:val="195"/>
        </w:trPr>
        <w:tc>
          <w:tcPr>
            <w:tcW w:w="5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Kevin D. Mowbray</w:t>
            </w:r>
          </w:p>
        </w:tc>
        <w:tc>
          <w:tcPr>
            <w:tcW w:w="140" w:type="dxa"/>
            <w:vAlign w:val="bottom"/>
          </w:tcPr>
          <w:p>
            <w:pPr>
              <w:spacing w:after="0"/>
              <w:rPr>
                <w:sz w:val="16"/>
                <w:szCs w:val="16"/>
                <w:color w:val="auto"/>
              </w:rPr>
            </w:pPr>
          </w:p>
        </w:tc>
        <w:tc>
          <w:tcPr>
            <w:tcW w:w="6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Timothy R. Millage</w:t>
            </w:r>
          </w:p>
        </w:tc>
      </w:tr>
      <w:tr>
        <w:trPr>
          <w:trHeight w:val="217"/>
        </w:trPr>
        <w:tc>
          <w:tcPr>
            <w:tcW w:w="50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6400" w:type="dxa"/>
            <w:vAlign w:val="bottom"/>
            <w:gridSpan w:val="2"/>
          </w:tcPr>
          <w:p>
            <w:pPr>
              <w:ind w:left="140"/>
              <w:spacing w:after="0"/>
              <w:rPr>
                <w:sz w:val="20"/>
                <w:szCs w:val="20"/>
                <w:color w:val="auto"/>
              </w:rPr>
            </w:pPr>
            <w:r>
              <w:rPr>
                <w:rFonts w:ascii="Arial" w:cs="Arial" w:eastAsia="Arial" w:hAnsi="Arial"/>
                <w:sz w:val="18"/>
                <w:szCs w:val="18"/>
                <w:color w:val="auto"/>
              </w:rPr>
              <w:t>Vice President, Chief Financial Officer and Treasurer</w:t>
            </w:r>
          </w:p>
        </w:tc>
      </w:tr>
    </w:tbl>
    <w:p>
      <w:pPr>
        <w:spacing w:after="0" w:line="391"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A signed original of this written statement required by Section 906 has been provided to Lee Enterprises, Incorporated and will be retained by Lee Enterprises, Incorporated and furnished to the Securities and Exchange Commission upon request.</w:t>
      </w:r>
    </w:p>
    <w:sectPr>
      <w:pgSz w:w="11900" w:h="16838" w:orient="portrait"/>
      <w:cols w:equalWidth="0" w:num="1">
        <w:col w:w="11420"/>
      </w:cols>
      <w:pgMar w:left="240" w:top="1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upperLetter"/>
      <w:start w:val="24"/>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1)"/>
      <w:numFmt w:val="decimal"/>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lvl w:ilvl="1">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1)"/>
      <w:numFmt w:val="decimal"/>
      <w:start w:val="1"/>
    </w:lvl>
  </w:abstractNum>
  <w:abstractNum w:abstractNumId="17">
    <w:nsid w:val="4516DDE9"/>
    <w:multiLevelType w:val="hybridMultilevel"/>
    <w:lvl w:ilvl="0">
      <w:lvlJc w:val="left"/>
      <w:lvlText w:val="(%1)"/>
      <w:numFmt w:val="decimal"/>
      <w:start w:val="1"/>
    </w:lvl>
  </w:abstractNum>
  <w:abstractNum w:abstractNumId="18">
    <w:nsid w:val="3006C83E"/>
    <w:multiLevelType w:val="hybridMultilevel"/>
    <w:lvl w:ilvl="0">
      <w:lvlJc w:val="left"/>
      <w:lvlText w:val="(%1)"/>
      <w:numFmt w:val="decimal"/>
      <w:start w:val="1"/>
    </w:lvl>
  </w:abstractNum>
  <w:abstractNum w:abstractNumId="19">
    <w:nsid w:val="614FD4A1"/>
    <w:multiLevelType w:val="hybridMultilevel"/>
    <w:lvl w:ilvl="0">
      <w:lvlJc w:val="left"/>
      <w:lvlText w:val="%1."/>
      <w:numFmt w:val="decimal"/>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2"/>
      <w:numFmt w:val="bullet"/>
      <w:start w:val="1"/>
    </w:lvl>
  </w:abstractNum>
  <w:abstractNum w:abstractNumId="22">
    <w:nsid w:val="440BADFC"/>
    <w:multiLevelType w:val="hybridMultilevel"/>
    <w:lvl w:ilvl="0">
      <w:lvlJc w:val="left"/>
      <w:lvlText w:val="3"/>
      <w:numFmt w:val="bullet"/>
      <w:start w:val="1"/>
    </w:lvl>
  </w:abstractNum>
  <w:abstractNum w:abstractNumId="23">
    <w:nsid w:val="5072367"/>
    <w:multiLevelType w:val="hybridMultilevel"/>
    <w:lvl w:ilvl="0">
      <w:lvlJc w:val="left"/>
      <w:lvlText w:val="4"/>
      <w:numFmt w:val="bullet"/>
      <w:start w:val="1"/>
    </w:lvl>
  </w:abstractNum>
  <w:abstractNum w:abstractNumId="24">
    <w:nsid w:val="3804823E"/>
    <w:multiLevelType w:val="hybridMultilevel"/>
    <w:lvl w:ilvl="0">
      <w:lvlJc w:val="left"/>
      <w:lvlText w:val="5"/>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6"/>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7"/>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8"/>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9"/>
      <w:numFmt w:val="bullet"/>
      <w:start w:val="1"/>
    </w:lvl>
  </w:abstractNum>
  <w:abstractNum w:abstractNumId="33">
    <w:nsid w:val="153EA438"/>
    <w:multiLevelType w:val="hybridMultilevel"/>
    <w:lvl w:ilvl="0">
      <w:lvlJc w:val="left"/>
      <w:lvlText w:val="%1"/>
      <w:numFmt w:val="decimal"/>
      <w:start w:val="16"/>
    </w:lvl>
  </w:abstractNum>
  <w:abstractNum w:abstractNumId="34">
    <w:nsid w:val="3855585C"/>
    <w:multiLevelType w:val="hybridMultilevel"/>
    <w:lvl w:ilvl="0">
      <w:lvlJc w:val="left"/>
      <w:lvlText w:val="%1"/>
      <w:numFmt w:val="decimal"/>
      <w:start w:val="21"/>
    </w:lvl>
  </w:abstractNum>
  <w:abstractNum w:abstractNumId="35">
    <w:nsid w:val="70A64E2A"/>
    <w:multiLevelType w:val="hybridMultilevel"/>
    <w:lvl w:ilvl="0">
      <w:lvlJc w:val="left"/>
      <w:lvlText w:val="%1"/>
      <w:numFmt w:val="decimal"/>
      <w:start w:val="23"/>
    </w:lvl>
  </w:abstractNum>
  <w:abstractNum w:abstractNumId="36">
    <w:nsid w:val="6A2342EC"/>
    <w:multiLevelType w:val="hybridMultilevel"/>
    <w:lvl w:ilvl="0">
      <w:lvlJc w:val="left"/>
      <w:lvlText w:val="%1"/>
      <w:numFmt w:val="decimal"/>
      <w:start w:val="32"/>
    </w:lvl>
  </w:abstractNum>
  <w:abstractNum w:abstractNumId="37">
    <w:nsid w:val="2A487CB0"/>
    <w:multiLevelType w:val="hybridMultilevel"/>
    <w:lvl w:ilvl="0">
      <w:lvlJc w:val="left"/>
      <w:lvlText w:val="1"/>
      <w:numFmt w:val="bullet"/>
      <w:start w:val="1"/>
    </w:lvl>
  </w:abstractNum>
  <w:abstractNum w:abstractNumId="38">
    <w:nsid w:val="1D4ED43B"/>
    <w:multiLevelType w:val="hybridMultilevel"/>
    <w:lvl w:ilvl="0">
      <w:lvlJc w:val="left"/>
      <w:lvlText w:val="2"/>
      <w:numFmt w:val="bullet"/>
      <w:start w:val="1"/>
    </w:lvl>
  </w:abstractNum>
  <w:abstractNum w:abstractNumId="39">
    <w:nsid w:val="725A06FB"/>
    <w:multiLevelType w:val="hybridMultilevel"/>
    <w:lvl w:ilvl="0">
      <w:lvlJc w:val="left"/>
      <w:lvlText w:val="3"/>
      <w:numFmt w:val="bullet"/>
      <w:start w:val="1"/>
    </w:lvl>
  </w:abstractNum>
  <w:abstractNum w:abstractNumId="40">
    <w:nsid w:val="2CD89A32"/>
    <w:multiLevelType w:val="hybridMultilevel"/>
    <w:lvl w:ilvl="0">
      <w:lvlJc w:val="left"/>
      <w:lvlText w:val="4"/>
      <w:numFmt w:val="bullet"/>
      <w:start w:val="1"/>
    </w:lvl>
    <w:lvl w:ilvl="1">
      <w:lvlJc w:val="left"/>
      <w:lvlText w:val="%2)"/>
      <w:numFmt w:val="lowerLetter"/>
      <w:start w:val="1"/>
    </w:lvl>
  </w:abstractNum>
  <w:abstractNum w:abstractNumId="41">
    <w:nsid w:val="57E4CCAF"/>
    <w:multiLevelType w:val="hybridMultilevel"/>
    <w:lvl w:ilvl="0">
      <w:lvlJc w:val="left"/>
      <w:lvlText w:val="5"/>
      <w:numFmt w:val="bullet"/>
      <w:start w:val="1"/>
    </w:lvl>
    <w:lvl w:ilvl="1">
      <w:lvlJc w:val="left"/>
      <w:lvlText w:val="%2)"/>
      <w:numFmt w:val="lowerLetter"/>
      <w:start w:val="1"/>
    </w:lvl>
  </w:abstractNum>
  <w:abstractNum w:abstractNumId="42">
    <w:nsid w:val="7A6D8D3C"/>
    <w:multiLevelType w:val="hybridMultilevel"/>
    <w:lvl w:ilvl="0">
      <w:lvlJc w:val="left"/>
      <w:lvlText w:val="1"/>
      <w:numFmt w:val="bullet"/>
      <w:start w:val="1"/>
    </w:lvl>
  </w:abstractNum>
  <w:abstractNum w:abstractNumId="43">
    <w:nsid w:val="4B588F54"/>
    <w:multiLevelType w:val="hybridMultilevel"/>
    <w:lvl w:ilvl="0">
      <w:lvlJc w:val="left"/>
      <w:lvlText w:val="2"/>
      <w:numFmt w:val="bullet"/>
      <w:start w:val="1"/>
    </w:lvl>
  </w:abstractNum>
  <w:abstractNum w:abstractNumId="44">
    <w:nsid w:val="542289EC"/>
    <w:multiLevelType w:val="hybridMultilevel"/>
    <w:lvl w:ilvl="0">
      <w:lvlJc w:val="left"/>
      <w:lvlText w:val="3"/>
      <w:numFmt w:val="bullet"/>
      <w:start w:val="1"/>
    </w:lvl>
  </w:abstractNum>
  <w:abstractNum w:abstractNumId="45">
    <w:nsid w:val="6DE91B18"/>
    <w:multiLevelType w:val="hybridMultilevel"/>
    <w:lvl w:ilvl="0">
      <w:lvlJc w:val="left"/>
      <w:lvlText w:val="4"/>
      <w:numFmt w:val="bullet"/>
      <w:start w:val="1"/>
    </w:lvl>
    <w:lvl w:ilvl="1">
      <w:lvlJc w:val="left"/>
      <w:lvlText w:val="%2)"/>
      <w:numFmt w:val="lowerLetter"/>
      <w:start w:val="1"/>
    </w:lvl>
  </w:abstractNum>
  <w:abstractNum w:abstractNumId="46">
    <w:nsid w:val="38437FDB"/>
    <w:multiLevelType w:val="hybridMultilevel"/>
    <w:lvl w:ilvl="0">
      <w:lvlJc w:val="left"/>
      <w:lvlText w:val="5"/>
      <w:numFmt w:val="bullet"/>
      <w:start w:val="1"/>
    </w:lvl>
    <w:lvl w:ilvl="1">
      <w:lvlJc w:val="left"/>
      <w:lvlText w:val="%2)"/>
      <w:numFmt w:val="lowerLetter"/>
      <w:start w:val="1"/>
    </w:lvl>
  </w:abstractNum>
  <w:abstractNum w:abstractNumId="47">
    <w:nsid w:val="7644A45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119" Type="http://schemas.openxmlformats.org/officeDocument/2006/relationships/image" Target="media/image71.png"/><Relationship Id="rId120" Type="http://schemas.openxmlformats.org/officeDocument/2006/relationships/image" Target="media/image72.png"/><Relationship Id="rId121" Type="http://schemas.openxmlformats.org/officeDocument/2006/relationships/image" Target="media/image73.png"/><Relationship Id="rId122" Type="http://schemas.openxmlformats.org/officeDocument/2006/relationships/image" Target="media/image74.png"/><Relationship Id="rId123" Type="http://schemas.openxmlformats.org/officeDocument/2006/relationships/image" Target="media/image75.png"/><Relationship Id="rId124" Type="http://schemas.openxmlformats.org/officeDocument/2006/relationships/image" Target="media/image76.png"/><Relationship Id="rId125" Type="http://schemas.openxmlformats.org/officeDocument/2006/relationships/image" Target="media/image77.png"/><Relationship Id="rId126" Type="http://schemas.openxmlformats.org/officeDocument/2006/relationships/image" Target="media/image78.png"/><Relationship Id="rId127" Type="http://schemas.openxmlformats.org/officeDocument/2006/relationships/image" Target="media/image79.png"/><Relationship Id="rId128" Type="http://schemas.openxmlformats.org/officeDocument/2006/relationships/image" Target="media/image80.png"/><Relationship Id="rId129" Type="http://schemas.openxmlformats.org/officeDocument/2006/relationships/image" Target="media/image81.png"/><Relationship Id="rId130" Type="http://schemas.openxmlformats.org/officeDocument/2006/relationships/image" Target="media/image82.png"/><Relationship Id="rId131" Type="http://schemas.openxmlformats.org/officeDocument/2006/relationships/image" Target="media/image83.png"/><Relationship Id="rId132" Type="http://schemas.openxmlformats.org/officeDocument/2006/relationships/image" Target="media/image84.png"/><Relationship Id="rId78" Type="http://schemas.openxmlformats.org/officeDocument/2006/relationships/hyperlink" Target="http://www.sec.gov/Archives/edgar/data/58361/000119312512039041/d291240dex31.htm" TargetMode="External"/><Relationship Id="rId79" Type="http://schemas.openxmlformats.org/officeDocument/2006/relationships/hyperlink" Target="http://www.sec.gov/Archives/edgar/data/58361/000118301019000005/bylaws.htm" TargetMode="External"/><Relationship Id="rId80" Type="http://schemas.openxmlformats.org/officeDocument/2006/relationships/hyperlink" Target="http://www.sec.gov/Archives/edgar/data/58361/000119312514131853/d701009dex41.htm" TargetMode="External"/><Relationship Id="rId81" Type="http://schemas.openxmlformats.org/officeDocument/2006/relationships/hyperlink" Target="http://www.sec.gov/Archives/edgar/data/58361/000119312514131853/d701009dex42.htm" TargetMode="External"/><Relationship Id="rId82" Type="http://schemas.openxmlformats.org/officeDocument/2006/relationships/hyperlink" Target="http://www.sec.gov/Archives/edgar/data/58361/000119312514131853/d701009dex43.htm" TargetMode="External"/><Relationship Id="rId83" Type="http://schemas.openxmlformats.org/officeDocument/2006/relationships/hyperlink" Target="http://www.sec.gov/Archives/edgar/data/58361/000005836114000028/a2014reffipa.htm" TargetMode="External"/><Relationship Id="rId84" Type="http://schemas.openxmlformats.org/officeDocument/2006/relationships/hyperlink" Target="http://www.sec.gov/Archives/edgar/data/58361/000118301015000014/exh10_1.htm" TargetMode="External"/><Relationship Id="rId85" Type="http://schemas.openxmlformats.org/officeDocument/2006/relationships/hyperlink" Target="http://www.sec.gov/Archives/edgar/data/58361/000119312514131853/d701009dex101.htm" TargetMode="External"/><Relationship Id="rId86" Type="http://schemas.openxmlformats.org/officeDocument/2006/relationships/hyperlink" Target="http://www.sec.gov/Archives/edgar/data/58361/000119312514131853/d701009dex102.htm" TargetMode="External"/><Relationship Id="rId87" Type="http://schemas.openxmlformats.org/officeDocument/2006/relationships/hyperlink" Target="http://www.sec.gov/Archives/edgar/data/58361/000119312514131853/d701009dex103.htm" TargetMode="External"/><Relationship Id="rId88" Type="http://schemas.openxmlformats.org/officeDocument/2006/relationships/hyperlink" Target="http://www.sec.gov/Archives/edgar/data/58361/000119312514131853/d701009dex104.htm" TargetMode="External"/><Relationship Id="rId89" Type="http://schemas.openxmlformats.org/officeDocument/2006/relationships/hyperlink" Target="http://www.sec.gov/Archives/edgar/data/58361/000118301015000014/exh10_2.htm" TargetMode="External"/><Relationship Id="rId90" Type="http://schemas.openxmlformats.org/officeDocument/2006/relationships/hyperlink" Target="http://www.sec.gov/Archives/edgar/data/58361/000118301015000014/exh10_3.htm" TargetMode="External"/><Relationship Id="rId91" Type="http://schemas.openxmlformats.org/officeDocument/2006/relationships/hyperlink" Target="http://www.sec.gov/Archives/edgar/data/58361/000119312514131853/d701009dex105.htm" TargetMode="External"/><Relationship Id="rId92" Type="http://schemas.openxmlformats.org/officeDocument/2006/relationships/hyperlink" Target="http://www.sec.gov/Archives/edgar/data/58361/000118301015000014/exh10_4.htm" TargetMode="External"/><Relationship Id="rId93" Type="http://schemas.openxmlformats.org/officeDocument/2006/relationships/hyperlink" Target="http://www.sec.gov/Archives/edgar/data/58361/000119312514131853/d701009dex106.htm" TargetMode="External"/><Relationship Id="rId94" Type="http://schemas.openxmlformats.org/officeDocument/2006/relationships/hyperlink" Target="http://www.sec.gov/Archives/edgar/data/58361/000118301019000011/ex10_1.htm" TargetMode="External"/><Relationship Id="rId95" Type="http://schemas.openxmlformats.org/officeDocument/2006/relationships/hyperlink" Target="http://www.sec.gov/Archives/edgar/data/58361/000119312514131853/d701009dex107.htm" TargetMode="External"/><Relationship Id="rId96" Type="http://schemas.openxmlformats.org/officeDocument/2006/relationships/hyperlink" Target="http://www.sec.gov/Archives/edgar/data/58361/000119312514131853/d701009dex108.htm" TargetMode="External"/><Relationship Id="rId97" Type="http://schemas.openxmlformats.org/officeDocument/2006/relationships/hyperlink" Target="http://www.sec.gov/Archives/edgar/data/58361/000119312514131853/d701009dex109.htm" TargetMode="External"/><Relationship Id="rId98" Type="http://schemas.openxmlformats.org/officeDocument/2006/relationships/hyperlink" Target="http://www.sec.gov/Archives/edgar/data/58361/000119312514131853/d701009dex1010.htm" TargetMode="External"/><Relationship Id="rId99" Type="http://schemas.openxmlformats.org/officeDocument/2006/relationships/hyperlink" Target="http://www.sec.gov/Archives/edgar/data/58361/000114036118029871/managementag.htm" TargetMode="External"/><Relationship Id="rId100" Type="http://schemas.openxmlformats.org/officeDocument/2006/relationships/hyperlink" Target="http://www.sec.gov/Archives/edgar/data/58361/000119312505162850/dex105.htm" TargetMode="External"/><Relationship Id="rId101" Type="http://schemas.openxmlformats.org/officeDocument/2006/relationships/hyperlink" Target="http://www.sec.gov/Archives/edgar/data/58361/000119312509105457/dex1013.htm" TargetMode="External"/><Relationship Id="rId102" Type="http://schemas.openxmlformats.org/officeDocument/2006/relationships/hyperlink" Target="http://www.sec.gov/Archives/edgar/data/58361/000119312505162850/dex102.htm" TargetMode="External"/><Relationship Id="rId103" Type="http://schemas.openxmlformats.org/officeDocument/2006/relationships/hyperlink" Target="http://www.sec.gov/Archives/edgar/data/58361/000144530510000062/amendedpartnershipagreement.htm" TargetMode="External"/><Relationship Id="rId104" Type="http://schemas.openxmlformats.org/officeDocument/2006/relationships/hyperlink" Target="http://www.sec.gov/Archives/edgar/data/58361/000144530510000062/amendedmanagementagreement.htm" TargetMode="External"/><Relationship Id="rId105" Type="http://schemas.openxmlformats.org/officeDocument/2006/relationships/hyperlink" Target="http://www.sec.gov/Archives/edgar/data/58361/000144530510000062/licenseagreementstar.htm" TargetMode="External"/><Relationship Id="rId106" Type="http://schemas.openxmlformats.org/officeDocument/2006/relationships/hyperlink" Target="http://www.sec.gov/Archives/edgar/data/58361/000144530510000062/licenseagreementcitizen.htm" TargetMode="External"/><Relationship Id="rId107" Type="http://schemas.openxmlformats.org/officeDocument/2006/relationships/hyperlink" Target="http://www.sec.gov/Archives/edgar/data/58361/000119312505162850/dex107.htm" TargetMode="External"/><Relationship Id="rId108" Type="http://schemas.openxmlformats.org/officeDocument/2006/relationships/hyperlink" Target="http://www.sec.gov/Archives/edgar/data/58361/000119312505162850/dex1010.htm" TargetMode="External"/><Relationship Id="rId109" Type="http://schemas.openxmlformats.org/officeDocument/2006/relationships/hyperlink" Target="http://www.sec.gov/Archives/edgar/data/58361/000118301016000020/ex101.htm" TargetMode="External"/><Relationship Id="rId110" Type="http://schemas.openxmlformats.org/officeDocument/2006/relationships/hyperlink" Target="http://www.sec.gov/Archives/edgar/data/58361/000118301016000020/ex102.htm" TargetMode="External"/><Relationship Id="rId111" Type="http://schemas.openxmlformats.org/officeDocument/2006/relationships/hyperlink" Target="http://www.sec.gov/Archives/edgar/data/58361/000118301016000020/ex103.htm" TargetMode="External"/><Relationship Id="rId112" Type="http://schemas.openxmlformats.org/officeDocument/2006/relationships/hyperlink" Target="http://www.sec.gov/Archives/edgar/data/58361/000118301016000020/ex104.htm" TargetMode="External"/><Relationship Id="rId113" Type="http://schemas.openxmlformats.org/officeDocument/2006/relationships/hyperlink" Target="http://www.sec.gov/Archives/edgar/data/58361/000005836117000003/a2017proxystatement.htm" TargetMode="External"/><Relationship Id="rId114" Type="http://schemas.openxmlformats.org/officeDocument/2006/relationships/hyperlink" Target="http://www.sec.gov/Archives/edgar/data/58361/000119312508262419/dex1025.htm" TargetMode="External"/><Relationship Id="rId115" Type="http://schemas.openxmlformats.org/officeDocument/2006/relationships/hyperlink" Target="http://www.sec.gov/Archives/edgar/data/58361/000119312508262419/dex1026.htm" TargetMode="External"/><Relationship Id="rId116" Type="http://schemas.openxmlformats.org/officeDocument/2006/relationships/hyperlink" Target="http://www.sec.gov/Archives/edgar/data/58361/000005836118000038/ex10312presandcooemploymen.htm" TargetMode="External"/><Relationship Id="rId117" Type="http://schemas.openxmlformats.org/officeDocument/2006/relationships/hyperlink" Target="http://www.sec.gov/Archives/edgar/data/58361/000005836118000038/ex10313srexecutiveofficers.htm" TargetMode="External"/><Relationship Id="rId118" Type="http://schemas.openxmlformats.org/officeDocument/2006/relationships/hyperlink" Target="http://www.sec.gov/Archives/edgar/data/58361/000005836118000038/a1032formofindemnificatio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2019-12-28T01:03:26Z</dcterms:created>
  <dcterms:modified xsi:type="dcterms:W3CDTF">2019-12-28T01:03:26Z</dcterms:modified>
</cp:coreProperties>
</file>