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980" w:right="2600" w:hanging="1370"/>
        <w:spacing w:after="0" w:line="246"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27,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46"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79" w:right="339" w:bottom="1440" w:gutter="0" w:footer="0" w:header="0"/>
        </w:sectPr>
      </w:pPr>
    </w:p>
    <w:p>
      <w:pPr>
        <w:spacing w:after="0" w:line="21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80" w:space="720"/>
            <w:col w:w="4240"/>
          </w:cols>
          <w:pgMar w:left="320" w:top="1079"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4600 E. 53rd Street, Davenport, Iowa 52807</w:t>
      </w: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New York Stock Exchange</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6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ind w:right="21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2021, 58,764,532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Table Of Contents</w:t>
            </w:r>
          </w:p>
        </w:tc>
        <w:tc>
          <w:tcPr>
            <w:tcW w:w="158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w:t>
            </w:r>
          </w:p>
        </w:tc>
      </w:tr>
      <w:tr>
        <w:trPr>
          <w:trHeight w:val="412"/>
        </w:trPr>
        <w:tc>
          <w:tcPr>
            <w:tcW w:w="10380" w:type="dxa"/>
            <w:vAlign w:val="bottom"/>
            <w:gridSpan w:val="6"/>
          </w:tcPr>
          <w:p>
            <w:pPr>
              <w:spacing w:after="0"/>
              <w:rPr>
                <w:rFonts w:ascii="Arial" w:cs="Arial" w:eastAsia="Arial" w:hAnsi="Arial"/>
                <w:sz w:val="18"/>
                <w:szCs w:val="18"/>
                <w:u w:val="single" w:color="auto"/>
                <w:color w:val="0782C1"/>
              </w:rPr>
            </w:pPr>
            <w:hyperlink w:anchor="page2">
              <w:r>
                <w:rPr>
                  <w:rFonts w:ascii="Arial" w:cs="Arial" w:eastAsia="Arial" w:hAnsi="Arial"/>
                  <w:sz w:val="18"/>
                  <w:szCs w:val="18"/>
                  <w:u w:val="single" w:color="auto"/>
                  <w:color w:val="0782C1"/>
                </w:rPr>
                <w:t>FORWARD LOOKING STATEMENTS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
              <w:r>
                <w:rPr>
                  <w:rFonts w:ascii="Arial" w:cs="Arial" w:eastAsia="Arial" w:hAnsi="Arial"/>
                  <w:sz w:val="18"/>
                  <w:szCs w:val="18"/>
                  <w:u w:val="single" w:color="auto"/>
                  <w:color w:val="0000EE"/>
                  <w:w w:val="99"/>
                </w:rPr>
                <w:t>1</w:t>
              </w:r>
            </w:hyperlink>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PART I</w:t>
            </w:r>
          </w:p>
        </w:tc>
        <w:tc>
          <w:tcPr>
            <w:tcW w:w="9680" w:type="dxa"/>
            <w:vAlign w:val="bottom"/>
            <w:gridSpan w:val="5"/>
          </w:tcPr>
          <w:p>
            <w:pPr>
              <w:ind w:left="100"/>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FINANCIAL INFORMATION</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2</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00" w:type="dxa"/>
            <w:vAlign w:val="bottom"/>
            <w:gridSpan w:val="4"/>
          </w:tcPr>
          <w:p>
            <w:pPr>
              <w:spacing w:after="0"/>
              <w:rPr>
                <w:rFonts w:ascii="Arial" w:cs="Arial" w:eastAsia="Arial" w:hAnsi="Arial"/>
                <w:sz w:val="18"/>
                <w:szCs w:val="18"/>
                <w:u w:val="single" w:color="auto"/>
                <w:color w:val="0782C1"/>
              </w:rPr>
            </w:pPr>
            <w:hyperlink w:anchor="page3">
              <w:r>
                <w:rPr>
                  <w:rFonts w:ascii="Arial" w:cs="Arial" w:eastAsia="Arial" w:hAnsi="Arial"/>
                  <w:sz w:val="18"/>
                  <w:szCs w:val="18"/>
                  <w:u w:val="single" w:color="auto"/>
                  <w:color w:val="0782C1"/>
                </w:rPr>
                <w:t>Financial Statements (Unaudited)</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2</w:t>
              </w:r>
            </w:hyperlink>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 December 27, 2020 and September 27, 20</w:t>
              </w:r>
              <w:r>
                <w:rPr>
                  <w:rFonts w:ascii="Arial" w:cs="Arial" w:eastAsia="Arial" w:hAnsi="Arial"/>
                  <w:sz w:val="18"/>
                  <w:szCs w:val="18"/>
                  <w:u w:val="single" w:color="auto"/>
                  <w:color w:val="0782C1"/>
                </w:rPr>
                <w:t>20</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2</w:t>
              </w:r>
            </w:hyperlink>
          </w:p>
        </w:tc>
      </w:tr>
      <w:tr>
        <w:trPr>
          <w:trHeight w:val="364"/>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color w:val="0782C1"/>
              </w:rPr>
            </w:pPr>
            <w:hyperlink w:anchor="page4">
              <w:r>
                <w:rPr>
                  <w:rFonts w:ascii="Arial" w:cs="Arial" w:eastAsia="Arial" w:hAnsi="Arial"/>
                  <w:sz w:val="18"/>
                  <w:szCs w:val="18"/>
                  <w:color w:val="0782C1"/>
                </w:rPr>
                <w:t>Consolidated Statements of Income and Comprehensive Income - 13 weeks ended December 27, 2020 and</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Borders>
              <w:top w:val="single" w:sz="8" w:color="0000EE"/>
              <w:bottom w:val="single" w:sz="8" w:color="0000EE"/>
            </w:tcBorders>
          </w:tcPr>
          <w:p>
            <w:pPr>
              <w:spacing w:after="0" w:line="182" w:lineRule="exact"/>
              <w:rPr>
                <w:rFonts w:ascii="Arial" w:cs="Arial" w:eastAsia="Arial" w:hAnsi="Arial"/>
                <w:sz w:val="18"/>
                <w:szCs w:val="18"/>
                <w:color w:val="0782C1"/>
                <w:w w:val="98"/>
              </w:rPr>
            </w:pPr>
            <w:hyperlink w:anchor="page4">
              <w:r>
                <w:rPr>
                  <w:rFonts w:ascii="Arial" w:cs="Arial" w:eastAsia="Arial" w:hAnsi="Arial"/>
                  <w:sz w:val="18"/>
                  <w:szCs w:val="18"/>
                  <w:color w:val="0782C1"/>
                  <w:w w:val="98"/>
                </w:rPr>
                <w:t>December 29, 2019</w:t>
              </w:r>
            </w:hyperlink>
          </w:p>
        </w:tc>
        <w:tc>
          <w:tcPr>
            <w:tcW w:w="7020" w:type="dxa"/>
            <w:vAlign w:val="bottom"/>
            <w:tcBorders>
              <w:top w:val="single" w:sz="8" w:color="0000EE"/>
            </w:tcBorders>
            <w:gridSpan w:val="2"/>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color w:val="0782C1"/>
              </w:rPr>
            </w:pPr>
            <w:hyperlink w:anchor="page5">
              <w:r>
                <w:rPr>
                  <w:rFonts w:ascii="Arial" w:cs="Arial" w:eastAsia="Arial" w:hAnsi="Arial"/>
                  <w:sz w:val="18"/>
                  <w:szCs w:val="18"/>
                  <w:color w:val="0782C1"/>
                </w:rPr>
                <w:t>Consolidated Statements of Stockholder's Equity (Deficit) - 13 weeks ended December 27, 2020 and</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r>
      <w:tr>
        <w:trPr>
          <w:trHeight w:val="183"/>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Borders>
              <w:top w:val="single" w:sz="8" w:color="0000EE"/>
              <w:bottom w:val="single" w:sz="8" w:color="0000EE"/>
            </w:tcBorders>
          </w:tcPr>
          <w:p>
            <w:pPr>
              <w:spacing w:after="0" w:line="182" w:lineRule="exact"/>
              <w:rPr>
                <w:rFonts w:ascii="Arial" w:cs="Arial" w:eastAsia="Arial" w:hAnsi="Arial"/>
                <w:sz w:val="18"/>
                <w:szCs w:val="18"/>
                <w:color w:val="0782C1"/>
                <w:w w:val="98"/>
              </w:rPr>
            </w:pPr>
            <w:hyperlink w:anchor="page5">
              <w:r>
                <w:rPr>
                  <w:rFonts w:ascii="Arial" w:cs="Arial" w:eastAsia="Arial" w:hAnsi="Arial"/>
                  <w:sz w:val="18"/>
                  <w:szCs w:val="18"/>
                  <w:color w:val="0782C1"/>
                  <w:w w:val="98"/>
                </w:rPr>
                <w:t>December 29, 2019</w:t>
              </w:r>
            </w:hyperlink>
          </w:p>
        </w:tc>
        <w:tc>
          <w:tcPr>
            <w:tcW w:w="6420" w:type="dxa"/>
            <w:vAlign w:val="bottom"/>
            <w:tcBorders>
              <w:top w:val="single" w:sz="8" w:color="0000EE"/>
            </w:tcBorders>
          </w:tcPr>
          <w:p>
            <w:pPr>
              <w:spacing w:after="0"/>
              <w:rPr>
                <w:sz w:val="15"/>
                <w:szCs w:val="15"/>
                <w:color w:val="auto"/>
              </w:rPr>
            </w:pPr>
          </w:p>
        </w:tc>
        <w:tc>
          <w:tcPr>
            <w:tcW w:w="8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426"/>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u w:val="single" w:color="auto"/>
                <w:color w:val="0782C1"/>
              </w:rPr>
            </w:pPr>
            <w:hyperlink w:anchor="page5">
              <w:r>
                <w:rPr>
                  <w:rFonts w:ascii="Arial" w:cs="Arial" w:eastAsia="Arial" w:hAnsi="Arial"/>
                  <w:sz w:val="18"/>
                  <w:szCs w:val="18"/>
                  <w:u w:val="single" w:color="auto"/>
                  <w:color w:val="0782C1"/>
                </w:rPr>
                <w:t>Consolidated Statements of Cash Flows - 13 weeks ended December 27, 2020 and December 29, 2019</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6</w:t>
              </w:r>
            </w:hyperlink>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0" w:type="dxa"/>
            <w:vAlign w:val="bottom"/>
            <w:gridSpan w:val="4"/>
          </w:tcPr>
          <w:p>
            <w:pPr>
              <w:spacing w:after="0"/>
              <w:rPr>
                <w:rFonts w:ascii="Arial" w:cs="Arial" w:eastAsia="Arial" w:hAnsi="Arial"/>
                <w:sz w:val="18"/>
                <w:szCs w:val="18"/>
                <w:u w:val="single" w:color="auto"/>
                <w:color w:val="0782C1"/>
              </w:rPr>
            </w:pPr>
            <w:hyperlink w:anchor="page6">
              <w:r>
                <w:rPr>
                  <w:rFonts w:ascii="Arial" w:cs="Arial" w:eastAsia="Arial" w:hAnsi="Arial"/>
                  <w:sz w:val="18"/>
                  <w:szCs w:val="18"/>
                  <w:u w:val="single" w:color="auto"/>
                  <w:color w:val="0782C1"/>
                </w:rPr>
                <w:t>Notes to Consolidated Financial Statements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7</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2.</w:t>
            </w:r>
          </w:p>
        </w:tc>
        <w:tc>
          <w:tcPr>
            <w:tcW w:w="8800" w:type="dxa"/>
            <w:vAlign w:val="bottom"/>
            <w:gridSpan w:val="4"/>
          </w:tcPr>
          <w:p>
            <w:pPr>
              <w:spacing w:after="0"/>
              <w:rPr>
                <w:rFonts w:ascii="Arial" w:cs="Arial" w:eastAsia="Arial" w:hAnsi="Arial"/>
                <w:sz w:val="18"/>
                <w:szCs w:val="18"/>
                <w:u w:val="single" w:color="auto"/>
                <w:color w:val="0782C1"/>
              </w:rPr>
            </w:pPr>
            <w:hyperlink w:anchor="page18">
              <w:r>
                <w:rPr>
                  <w:rFonts w:ascii="Arial" w:cs="Arial" w:eastAsia="Arial" w:hAnsi="Arial"/>
                  <w:sz w:val="18"/>
                  <w:szCs w:val="18"/>
                  <w:u w:val="single" w:color="auto"/>
                  <w:color w:val="0782C1"/>
                </w:rPr>
                <w:t>Management's Discussion and Analysis of Financial Condition and Results of Operations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18">
              <w:r>
                <w:rPr>
                  <w:rFonts w:ascii="Arial" w:cs="Arial" w:eastAsia="Arial" w:hAnsi="Arial"/>
                  <w:sz w:val="18"/>
                  <w:szCs w:val="18"/>
                  <w:u w:val="single" w:color="auto"/>
                  <w:color w:val="0000EE"/>
                  <w:w w:val="99"/>
                </w:rPr>
                <w:t>16</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3.</w:t>
            </w:r>
          </w:p>
        </w:tc>
        <w:tc>
          <w:tcPr>
            <w:tcW w:w="8800" w:type="dxa"/>
            <w:vAlign w:val="bottom"/>
            <w:gridSpan w:val="4"/>
          </w:tcPr>
          <w:p>
            <w:pPr>
              <w:spacing w:after="0"/>
              <w:rPr>
                <w:rFonts w:ascii="Arial" w:cs="Arial" w:eastAsia="Arial" w:hAnsi="Arial"/>
                <w:sz w:val="18"/>
                <w:szCs w:val="18"/>
                <w:u w:val="single" w:color="auto"/>
                <w:color w:val="0782C1"/>
              </w:rPr>
            </w:pPr>
            <w:hyperlink w:anchor="page23">
              <w:r>
                <w:rPr>
                  <w:rFonts w:ascii="Arial" w:cs="Arial" w:eastAsia="Arial" w:hAnsi="Arial"/>
                  <w:sz w:val="18"/>
                  <w:szCs w:val="18"/>
                  <w:u w:val="single" w:color="auto"/>
                  <w:color w:val="0782C1"/>
                </w:rPr>
                <w:t>Quantitative and Qualitative Disclosures About Market Risk</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3">
              <w:r>
                <w:rPr>
                  <w:rFonts w:ascii="Arial" w:cs="Arial" w:eastAsia="Arial" w:hAnsi="Arial"/>
                  <w:sz w:val="18"/>
                  <w:szCs w:val="18"/>
                  <w:u w:val="single" w:color="auto"/>
                  <w:color w:val="0000EE"/>
                  <w:w w:val="99"/>
                </w:rPr>
                <w:t>22</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4.</w:t>
            </w:r>
          </w:p>
        </w:tc>
        <w:tc>
          <w:tcPr>
            <w:tcW w:w="8800" w:type="dxa"/>
            <w:vAlign w:val="bottom"/>
            <w:gridSpan w:val="4"/>
          </w:tcPr>
          <w:p>
            <w:pPr>
              <w:spacing w:after="0"/>
              <w:rPr>
                <w:rFonts w:ascii="Arial" w:cs="Arial" w:eastAsia="Arial" w:hAnsi="Arial"/>
                <w:sz w:val="18"/>
                <w:szCs w:val="18"/>
                <w:u w:val="single" w:color="auto"/>
                <w:color w:val="0782C1"/>
              </w:rPr>
            </w:pPr>
            <w:hyperlink w:anchor="page23">
              <w:r>
                <w:rPr>
                  <w:rFonts w:ascii="Arial" w:cs="Arial" w:eastAsia="Arial" w:hAnsi="Arial"/>
                  <w:sz w:val="18"/>
                  <w:szCs w:val="18"/>
                  <w:u w:val="single" w:color="auto"/>
                  <w:color w:val="0782C1"/>
                </w:rPr>
                <w:t>Controls and Procedures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3">
              <w:r>
                <w:rPr>
                  <w:rFonts w:ascii="Arial" w:cs="Arial" w:eastAsia="Arial" w:hAnsi="Arial"/>
                  <w:sz w:val="18"/>
                  <w:szCs w:val="18"/>
                  <w:u w:val="single" w:color="auto"/>
                  <w:color w:val="0000EE"/>
                  <w:w w:val="99"/>
                </w:rPr>
                <w:t>22</w:t>
              </w:r>
            </w:hyperlink>
          </w:p>
        </w:tc>
      </w:tr>
      <w:tr>
        <w:trPr>
          <w:trHeight w:val="405"/>
        </w:trPr>
        <w:tc>
          <w:tcPr>
            <w:tcW w:w="700" w:type="dxa"/>
            <w:vAlign w:val="bottom"/>
          </w:tcPr>
          <w:p>
            <w:pPr>
              <w:spacing w:after="0"/>
              <w:rPr>
                <w:sz w:val="20"/>
                <w:szCs w:val="20"/>
                <w:color w:val="auto"/>
              </w:rPr>
            </w:pPr>
            <w:r>
              <w:rPr>
                <w:rFonts w:ascii="Arial" w:cs="Arial" w:eastAsia="Arial" w:hAnsi="Arial"/>
                <w:sz w:val="18"/>
                <w:szCs w:val="18"/>
                <w:color w:val="auto"/>
              </w:rPr>
              <w:t>PART II</w:t>
            </w:r>
          </w:p>
        </w:tc>
        <w:tc>
          <w:tcPr>
            <w:tcW w:w="9680" w:type="dxa"/>
            <w:vAlign w:val="bottom"/>
            <w:gridSpan w:val="5"/>
          </w:tcPr>
          <w:p>
            <w:pPr>
              <w:ind w:left="100"/>
              <w:spacing w:after="0"/>
              <w:rPr>
                <w:rFonts w:ascii="Arial" w:cs="Arial" w:eastAsia="Arial" w:hAnsi="Arial"/>
                <w:sz w:val="18"/>
                <w:szCs w:val="18"/>
                <w:u w:val="single" w:color="auto"/>
                <w:color w:val="0782C1"/>
              </w:rPr>
            </w:pPr>
            <w:hyperlink w:anchor="page24">
              <w:r>
                <w:rPr>
                  <w:rFonts w:ascii="Arial" w:cs="Arial" w:eastAsia="Arial" w:hAnsi="Arial"/>
                  <w:sz w:val="18"/>
                  <w:szCs w:val="18"/>
                  <w:u w:val="single" w:color="auto"/>
                  <w:color w:val="0782C1"/>
                </w:rPr>
                <w:t>OTHER INFORMATION</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23</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w:t>
            </w:r>
          </w:p>
        </w:tc>
        <w:tc>
          <w:tcPr>
            <w:tcW w:w="8800" w:type="dxa"/>
            <w:vAlign w:val="bottom"/>
            <w:gridSpan w:val="4"/>
          </w:tcPr>
          <w:p>
            <w:pPr>
              <w:spacing w:after="0"/>
              <w:rPr>
                <w:rFonts w:ascii="Arial" w:cs="Arial" w:eastAsia="Arial" w:hAnsi="Arial"/>
                <w:sz w:val="18"/>
                <w:szCs w:val="18"/>
                <w:u w:val="single" w:color="auto"/>
                <w:color w:val="0782C1"/>
              </w:rPr>
            </w:pPr>
            <w:hyperlink w:anchor="page24">
              <w:r>
                <w:rPr>
                  <w:rFonts w:ascii="Arial" w:cs="Arial" w:eastAsia="Arial" w:hAnsi="Arial"/>
                  <w:sz w:val="18"/>
                  <w:szCs w:val="18"/>
                  <w:u w:val="single" w:color="auto"/>
                  <w:color w:val="0782C1"/>
                </w:rPr>
                <w:t>Legal Proceedings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23</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1.A.</w:t>
            </w:r>
          </w:p>
        </w:tc>
        <w:tc>
          <w:tcPr>
            <w:tcW w:w="8800" w:type="dxa"/>
            <w:vAlign w:val="bottom"/>
            <w:gridSpan w:val="4"/>
          </w:tcPr>
          <w:p>
            <w:pPr>
              <w:spacing w:after="0"/>
              <w:rPr>
                <w:rFonts w:ascii="Arial" w:cs="Arial" w:eastAsia="Arial" w:hAnsi="Arial"/>
                <w:sz w:val="18"/>
                <w:szCs w:val="18"/>
                <w:u w:val="single" w:color="auto"/>
                <w:color w:val="0782C1"/>
              </w:rPr>
            </w:pPr>
            <w:hyperlink w:anchor="page24">
              <w:r>
                <w:rPr>
                  <w:rFonts w:ascii="Arial" w:cs="Arial" w:eastAsia="Arial" w:hAnsi="Arial"/>
                  <w:sz w:val="18"/>
                  <w:szCs w:val="18"/>
                  <w:u w:val="single" w:color="auto"/>
                  <w:color w:val="0782C1"/>
                </w:rPr>
                <w:t>Risk Factors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23</w:t>
              </w:r>
            </w:hyperlink>
          </w:p>
        </w:tc>
      </w:tr>
      <w:tr>
        <w:trPr>
          <w:trHeight w:val="405"/>
        </w:trPr>
        <w:tc>
          <w:tcPr>
            <w:tcW w:w="70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Item 6.</w:t>
            </w:r>
          </w:p>
        </w:tc>
        <w:tc>
          <w:tcPr>
            <w:tcW w:w="8800" w:type="dxa"/>
            <w:vAlign w:val="bottom"/>
            <w:gridSpan w:val="4"/>
          </w:tcPr>
          <w:p>
            <w:pPr>
              <w:spacing w:after="0"/>
              <w:rPr>
                <w:rFonts w:ascii="Arial" w:cs="Arial" w:eastAsia="Arial" w:hAnsi="Arial"/>
                <w:sz w:val="18"/>
                <w:szCs w:val="18"/>
                <w:u w:val="single" w:color="auto"/>
                <w:color w:val="0782C1"/>
              </w:rPr>
            </w:pPr>
            <w:hyperlink w:anchor="page24">
              <w:r>
                <w:rPr>
                  <w:rFonts w:ascii="Arial" w:cs="Arial" w:eastAsia="Arial" w:hAnsi="Arial"/>
                  <w:sz w:val="18"/>
                  <w:szCs w:val="18"/>
                  <w:u w:val="single" w:color="auto"/>
                  <w:color w:val="0782C1"/>
                </w:rPr>
                <w:t>Exhibits</w:t>
              </w:r>
            </w:hyperlink>
          </w:p>
        </w:tc>
        <w:tc>
          <w:tcPr>
            <w:tcW w:w="820" w:type="dxa"/>
            <w:vAlign w:val="bottom"/>
          </w:tcPr>
          <w:p>
            <w:pPr>
              <w:jc w:val="center"/>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23</w:t>
              </w:r>
            </w:hyperlink>
          </w:p>
        </w:tc>
      </w:tr>
      <w:tr>
        <w:trPr>
          <w:trHeight w:val="405"/>
        </w:trPr>
        <w:tc>
          <w:tcPr>
            <w:tcW w:w="1580" w:type="dxa"/>
            <w:vAlign w:val="bottom"/>
            <w:gridSpan w:val="2"/>
          </w:tcPr>
          <w:p>
            <w:pPr>
              <w:spacing w:after="0"/>
              <w:rPr>
                <w:rFonts w:ascii="Arial" w:cs="Arial" w:eastAsia="Arial" w:hAnsi="Arial"/>
                <w:sz w:val="18"/>
                <w:szCs w:val="18"/>
                <w:u w:val="single" w:color="auto"/>
                <w:color w:val="0782C1"/>
              </w:rPr>
            </w:pPr>
            <w:hyperlink w:anchor="page24">
              <w:r>
                <w:rPr>
                  <w:rFonts w:ascii="Arial" w:cs="Arial" w:eastAsia="Arial" w:hAnsi="Arial"/>
                  <w:sz w:val="18"/>
                  <w:szCs w:val="18"/>
                  <w:u w:val="single" w:color="auto"/>
                  <w:color w:val="0782C1"/>
                </w:rPr>
                <w:t>SIGNATURES</w:t>
              </w:r>
            </w:hyperlink>
          </w:p>
        </w:tc>
        <w:tc>
          <w:tcPr>
            <w:tcW w:w="15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center"/>
              <w:spacing w:after="0"/>
              <w:rPr>
                <w:rFonts w:ascii="Arial" w:cs="Arial" w:eastAsia="Arial" w:hAnsi="Arial"/>
                <w:sz w:val="18"/>
                <w:szCs w:val="18"/>
                <w:u w:val="single" w:color="auto"/>
                <w:color w:val="0000EE"/>
                <w:w w:val="99"/>
              </w:rPr>
            </w:pPr>
            <w:hyperlink w:anchor="page24">
              <w:r>
                <w:rPr>
                  <w:rFonts w:ascii="Arial" w:cs="Arial" w:eastAsia="Arial" w:hAnsi="Arial"/>
                  <w:sz w:val="18"/>
                  <w:szCs w:val="18"/>
                  <w:u w:val="single" w:color="auto"/>
                  <w:color w:val="0000EE"/>
                  <w:w w:val="99"/>
                </w:rPr>
                <w:t>24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“2021”, “2020” and the like refer to the fiscal years ended the last Sunday in September.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may result in material long-term changes to the publishing industry which may result in permanent revenue reductions for the Company and other risks and uncertainties;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spacing w:after="0" w:line="6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Newspaper Business or the Buffalo News for unknown legal and other matters that may arise;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ectPr>
          <w:pgSz w:w="11900" w:h="16838" w:orient="portrait"/>
          <w:cols w:equalWidth="0" w:num="1">
            <w:col w:w="11240"/>
          </w:cols>
          <w:pgMar w:left="320" w:top="1053" w:right="339" w:bottom="0" w:gutter="0" w:footer="0" w:header="0"/>
        </w:sectPr>
      </w:pPr>
    </w:p>
    <w:bookmarkStart w:id="2" w:name="page3"/>
    <w:bookmarkEnd w:id="2"/>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7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3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0"/>
                <w:szCs w:val="20"/>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9"/>
        </w:trPr>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39"/>
        </w:trPr>
        <w:tc>
          <w:tcPr>
            <w:tcW w:w="8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0"/>
                <w:szCs w:val="20"/>
                <w:color w:val="auto"/>
              </w:rPr>
            </w:pPr>
          </w:p>
        </w:tc>
      </w:tr>
      <w:tr>
        <w:trPr>
          <w:trHeight w:val="391"/>
        </w:trPr>
        <w:tc>
          <w:tcPr>
            <w:tcW w:w="8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9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7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December 27,</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0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37,142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203"/>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68,031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52,598</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6,957</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7,534</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Prepaids and other</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13,690</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125,820</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108,753</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28,204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27,624</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6,424</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34,628</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33,879</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17,964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18,711</w:t>
            </w:r>
          </w:p>
        </w:tc>
      </w:tr>
      <w:tr>
        <w:trPr>
          <w:trHeight w:val="203"/>
        </w:trPr>
        <w:tc>
          <w:tcPr>
            <w:tcW w:w="3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116,397</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128,475</w:t>
            </w:r>
          </w:p>
        </w:tc>
      </w:tr>
      <w:tr>
        <w:trPr>
          <w:trHeight w:val="203"/>
        </w:trPr>
        <w:tc>
          <w:tcPr>
            <w:tcW w:w="3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236,332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245,117</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3,526</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196"/>
        </w:trPr>
        <w:tc>
          <w:tcPr>
            <w:tcW w:w="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374,219</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394,626</w:t>
            </w:r>
          </w:p>
        </w:tc>
      </w:tr>
      <w:tr>
        <w:trPr>
          <w:trHeight w:val="216"/>
        </w:trPr>
        <w:tc>
          <w:tcPr>
            <w:tcW w:w="38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278,643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289,017</w:t>
            </w: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95,576</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105,609</w:t>
            </w:r>
          </w:p>
        </w:tc>
      </w:tr>
      <w:tr>
        <w:trPr>
          <w:trHeight w:val="196"/>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71,579</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70,933</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328,848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328,445</w:t>
            </w:r>
          </w:p>
        </w:tc>
      </w:tr>
      <w:tr>
        <w:trPr>
          <w:trHeight w:val="202"/>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176,887</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182,680</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5,042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4,147</w:t>
            </w:r>
          </w:p>
        </w:tc>
      </w:tr>
      <w:tr>
        <w:trPr>
          <w:trHeight w:val="203"/>
        </w:trPr>
        <w:tc>
          <w:tcPr>
            <w:tcW w:w="3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15,803</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15,912</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13,132</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13,699</w:t>
            </w:r>
          </w:p>
        </w:tc>
      </w:tr>
      <w:tr>
        <w:trPr>
          <w:trHeight w:val="236"/>
        </w:trPr>
        <w:tc>
          <w:tcPr>
            <w:tcW w:w="388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867,315</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(Unaudited)</w:t>
            </w:r>
          </w:p>
        </w:tc>
        <w:tc>
          <w:tcPr>
            <w:tcW w:w="1640" w:type="dxa"/>
            <w:vAlign w:val="bottom"/>
            <w:tcBorders>
              <w:top w:val="single" w:sz="8" w:color="auto"/>
              <w:bottom w:val="single" w:sz="8" w:color="auto"/>
            </w:tcBorders>
          </w:tcPr>
          <w:p>
            <w:pPr>
              <w:spacing w:after="0"/>
              <w:rPr>
                <w:sz w:val="18"/>
                <w:szCs w:val="18"/>
                <w:color w:val="auto"/>
              </w:rPr>
            </w:pPr>
          </w:p>
        </w:tc>
      </w:tr>
      <w:tr>
        <w:trPr>
          <w:trHeight w:val="195"/>
        </w:trPr>
        <w:tc>
          <w:tcPr>
            <w:tcW w:w="6180" w:type="dxa"/>
            <w:vAlign w:val="bottom"/>
          </w:tcPr>
          <w:p>
            <w:pPr>
              <w:spacing w:after="0"/>
              <w:rPr>
                <w:sz w:val="16"/>
                <w:szCs w:val="16"/>
                <w:color w:val="auto"/>
              </w:rPr>
            </w:pPr>
          </w:p>
        </w:tc>
        <w:tc>
          <w:tcPr>
            <w:tcW w:w="34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December 27,</w:t>
            </w:r>
          </w:p>
        </w:tc>
        <w:tc>
          <w:tcPr>
            <w:tcW w:w="16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342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61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LIABILITIES AND EQUITY</w:t>
            </w:r>
          </w:p>
        </w:tc>
        <w:tc>
          <w:tcPr>
            <w:tcW w:w="3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61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4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34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8,465</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8,577</w:t>
            </w:r>
          </w:p>
        </w:tc>
      </w:tr>
      <w:tr>
        <w:trPr>
          <w:trHeight w:val="202"/>
        </w:trPr>
        <w:tc>
          <w:tcPr>
            <w:tcW w:w="618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3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17,142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13,733</w:t>
            </w:r>
          </w:p>
        </w:tc>
      </w:tr>
      <w:tr>
        <w:trPr>
          <w:trHeight w:val="202"/>
        </w:trPr>
        <w:tc>
          <w:tcPr>
            <w:tcW w:w="6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34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18,011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17,163</w:t>
            </w:r>
          </w:p>
        </w:tc>
      </w:tr>
      <w:tr>
        <w:trPr>
          <w:trHeight w:val="232"/>
        </w:trPr>
        <w:tc>
          <w:tcPr>
            <w:tcW w:w="618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3420" w:type="dxa"/>
            <w:vAlign w:val="bottom"/>
            <w:tcBorders>
              <w:bottom w:val="single" w:sz="8" w:color="CCEEFF"/>
            </w:tcBorders>
          </w:tcPr>
          <w:p>
            <w:pPr>
              <w:jc w:val="right"/>
              <w:ind w:right="270"/>
              <w:spacing w:after="0" w:line="202" w:lineRule="exact"/>
              <w:rPr>
                <w:sz w:val="20"/>
                <w:szCs w:val="20"/>
                <w:color w:val="auto"/>
              </w:rPr>
            </w:pPr>
            <w:r>
              <w:rPr>
                <w:rFonts w:ascii="Arial" w:cs="Arial" w:eastAsia="Arial" w:hAnsi="Arial"/>
                <w:sz w:val="18"/>
                <w:szCs w:val="18"/>
                <w:color w:val="auto"/>
              </w:rPr>
              <w:t>54,798</w:t>
            </w:r>
          </w:p>
        </w:tc>
        <w:tc>
          <w:tcPr>
            <w:tcW w:w="1640" w:type="dxa"/>
            <w:vAlign w:val="bottom"/>
            <w:tcBorders>
              <w:bottom w:val="single" w:sz="8" w:color="CCEEFF"/>
            </w:tcBorders>
          </w:tcPr>
          <w:p>
            <w:pPr>
              <w:jc w:val="right"/>
              <w:ind w:right="10"/>
              <w:spacing w:after="0" w:line="202" w:lineRule="exact"/>
              <w:rPr>
                <w:sz w:val="20"/>
                <w:szCs w:val="20"/>
                <w:color w:val="auto"/>
              </w:rPr>
            </w:pPr>
            <w:r>
              <w:rPr>
                <w:rFonts w:ascii="Arial" w:cs="Arial" w:eastAsia="Arial" w:hAnsi="Arial"/>
                <w:sz w:val="18"/>
                <w:szCs w:val="18"/>
                <w:color w:val="auto"/>
              </w:rPr>
              <w:t>44,278</w:t>
            </w: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2,940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60,176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60,271</w:t>
            </w:r>
          </w:p>
        </w:tc>
      </w:tr>
      <w:tr>
        <w:trPr>
          <w:trHeight w:val="19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161,532</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144,022</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10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506,414</w:t>
            </w: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524,557</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63,124</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62,374</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73,880</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75,656</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15,222</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39,543</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15,155</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15,208</w:t>
            </w: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18,778</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18,048</w:t>
            </w:r>
          </w:p>
        </w:tc>
      </w:tr>
      <w:tr>
        <w:trPr>
          <w:trHeight w:val="216"/>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 and other</w:t>
            </w:r>
          </w:p>
        </w:tc>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25,613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14,282</w:t>
            </w:r>
          </w:p>
        </w:tc>
      </w:tr>
      <w:tr>
        <w:trPr>
          <w:trHeight w:val="19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879,718</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893,690</w:t>
            </w: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Equity (deficit):</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120,000 shares; issued and outstanding:</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588</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584</w:t>
            </w:r>
          </w:p>
        </w:tc>
      </w:tr>
      <w:tr>
        <w:trPr>
          <w:trHeight w:val="203"/>
        </w:trPr>
        <w:tc>
          <w:tcPr>
            <w:tcW w:w="7760" w:type="dxa"/>
            <w:vAlign w:val="bottom"/>
          </w:tcPr>
          <w:p>
            <w:pPr>
              <w:ind w:left="500"/>
              <w:spacing w:after="0" w:line="202" w:lineRule="exact"/>
              <w:rPr>
                <w:sz w:val="20"/>
                <w:szCs w:val="20"/>
                <w:color w:val="auto"/>
              </w:rPr>
            </w:pPr>
            <w:r>
              <w:rPr>
                <w:rFonts w:ascii="Arial" w:cs="Arial" w:eastAsia="Arial" w:hAnsi="Arial"/>
                <w:sz w:val="18"/>
                <w:szCs w:val="18"/>
                <w:color w:val="auto"/>
              </w:rPr>
              <w:t>December 27, 2020; 58,765 shares; $0.01 par value</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76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27, 2020; 58,353 shares; $0.01 par value</w:t>
            </w:r>
          </w:p>
        </w:tc>
        <w:tc>
          <w:tcPr>
            <w:tcW w:w="2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1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256,593</w:t>
            </w:r>
          </w:p>
        </w:tc>
        <w:tc>
          <w:tcPr>
            <w:tcW w:w="13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256,431</w:t>
            </w:r>
          </w:p>
        </w:tc>
      </w:tr>
      <w:tr>
        <w:trPr>
          <w:trHeight w:val="203"/>
        </w:trPr>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1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(252,627)</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(268,529)</w:t>
            </w:r>
          </w:p>
        </w:tc>
      </w:tr>
      <w:tr>
        <w:trPr>
          <w:trHeight w:val="203"/>
        </w:trPr>
        <w:tc>
          <w:tcPr>
            <w:tcW w:w="77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1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(18,908)</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(20,050)</w:t>
            </w:r>
          </w:p>
        </w:tc>
      </w:tr>
      <w:tr>
        <w:trPr>
          <w:trHeight w:val="196"/>
        </w:trPr>
        <w:tc>
          <w:tcPr>
            <w:tcW w:w="776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2100" w:type="dxa"/>
            <w:vAlign w:val="bottom"/>
          </w:tcPr>
          <w:p>
            <w:pPr>
              <w:jc w:val="right"/>
              <w:ind w:right="470"/>
              <w:spacing w:after="0" w:line="196" w:lineRule="exact"/>
              <w:rPr>
                <w:sz w:val="20"/>
                <w:szCs w:val="20"/>
                <w:color w:val="auto"/>
              </w:rPr>
            </w:pPr>
            <w:r>
              <w:rPr>
                <w:rFonts w:ascii="Arial" w:cs="Arial" w:eastAsia="Arial" w:hAnsi="Arial"/>
                <w:sz w:val="18"/>
                <w:szCs w:val="18"/>
                <w:color w:val="auto"/>
              </w:rPr>
              <w:t>(14,354)</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(31,564)</w:t>
            </w:r>
          </w:p>
        </w:tc>
      </w:tr>
      <w:tr>
        <w:trPr>
          <w:trHeight w:val="216"/>
        </w:trPr>
        <w:tc>
          <w:tcPr>
            <w:tcW w:w="7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1,951</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r>
      <w:tr>
        <w:trPr>
          <w:trHeight w:val="196"/>
        </w:trPr>
        <w:tc>
          <w:tcPr>
            <w:tcW w:w="7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1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(12,403)</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(29,633)</w:t>
            </w:r>
          </w:p>
        </w:tc>
      </w:tr>
      <w:tr>
        <w:trPr>
          <w:trHeight w:val="236"/>
        </w:trPr>
        <w:tc>
          <w:tcPr>
            <w:tcW w:w="7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deficit</w:t>
            </w:r>
          </w:p>
        </w:tc>
        <w:tc>
          <w:tcPr>
            <w:tcW w:w="21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867,315</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864,057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69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7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December 27,</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7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2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102,629</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90,508</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41,694</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18,680</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7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211,817</w:t>
            </w:r>
          </w:p>
        </w:tc>
        <w:tc>
          <w:tcPr>
            <w:tcW w:w="16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122,343</w:t>
            </w:r>
          </w:p>
        </w:tc>
        <w:tc>
          <w:tcPr>
            <w:tcW w:w="0" w:type="dxa"/>
            <w:vAlign w:val="bottom"/>
          </w:tcPr>
          <w:p>
            <w:pPr>
              <w:spacing w:after="0"/>
              <w:rPr>
                <w:sz w:val="1"/>
                <w:szCs w:val="1"/>
                <w:color w:val="auto"/>
              </w:rPr>
            </w:pP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84,163</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43,243</w:t>
            </w: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7,992</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81,767</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48,462</w:t>
            </w: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10,441</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on sales, impairments and other, net</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5,222</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3,167</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7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192,752</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105,606</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1,743</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7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20,808</w:t>
            </w:r>
          </w:p>
        </w:tc>
        <w:tc>
          <w:tcPr>
            <w:tcW w:w="16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196"/>
        </w:trPr>
        <w:tc>
          <w:tcPr>
            <w:tcW w:w="69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(11,882)</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2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23,830</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(12,310)</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74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2,268</w:t>
            </w:r>
          </w:p>
        </w:tc>
        <w:tc>
          <w:tcPr>
            <w:tcW w:w="16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income (expense), net</w:t>
            </w:r>
          </w:p>
        </w:tc>
        <w:tc>
          <w:tcPr>
            <w:tcW w:w="27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1,906</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27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22,714</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6,311</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7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16,403</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7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(501)</w:t>
            </w: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7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15,902</w:t>
            </w:r>
          </w:p>
        </w:tc>
        <w:tc>
          <w:tcPr>
            <w:tcW w:w="16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1,142</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7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17,044</w:t>
            </w:r>
          </w:p>
        </w:tc>
        <w:tc>
          <w:tcPr>
            <w:tcW w:w="16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183"/>
        </w:trPr>
        <w:tc>
          <w:tcPr>
            <w:tcW w:w="69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7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0.28</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74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0.28</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9"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9" w:gutter="0" w:footer="0" w:header="0"/>
          <w:type w:val="continuous"/>
        </w:sectPr>
      </w:pPr>
    </w:p>
    <w:bookmarkStart w:id="4" w:name="page5"/>
    <w:bookmarkEnd w:id="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Accumulated</w:t>
            </w: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Additional</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Accumulated</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paid-in</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Comprehensive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Deficit</w:t>
            </w:r>
          </w:p>
        </w:tc>
        <w:tc>
          <w:tcPr>
            <w:tcW w:w="1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capital</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Loss</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(268,529)</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584</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256,431</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(20,050)</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5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15,902</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5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5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5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(252,627)</w:t>
            </w:r>
          </w:p>
        </w:tc>
        <w:tc>
          <w:tcPr>
            <w:tcW w:w="10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588</w:t>
            </w: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256,593</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(18,908)</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98"/>
        </w:trPr>
        <w:tc>
          <w:tcPr>
            <w:tcW w:w="4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Accumulated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Additional</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Accumulated</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paid-in</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Comprehensive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Deficit</w:t>
            </w:r>
          </w:p>
        </w:tc>
        <w:tc>
          <w:tcPr>
            <w:tcW w:w="10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Stock</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capital</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Loss</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w:t>
            </w:r>
          </w:p>
        </w:tc>
        <w:tc>
          <w:tcPr>
            <w:tcW w:w="15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(265,423)</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577</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255,476</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(29,114)</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(38,484)</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5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5,320</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5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5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5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29, 2019</w:t>
            </w:r>
          </w:p>
        </w:tc>
        <w:tc>
          <w:tcPr>
            <w:tcW w:w="15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(260,103)</w:t>
            </w:r>
          </w:p>
        </w:tc>
        <w:tc>
          <w:tcPr>
            <w:tcW w:w="10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581</w:t>
            </w: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255,642</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(28,797)</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98"/>
        </w:trPr>
        <w:tc>
          <w:tcPr>
            <w:tcW w:w="7440" w:type="dxa"/>
            <w:vAlign w:val="bottom"/>
            <w:tcBorders>
              <w:bottom w:val="single" w:sz="8" w:color="9A9A9A"/>
            </w:tcBorders>
            <w:gridSpan w:val="3"/>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40" w:type="dxa"/>
            <w:vAlign w:val="bottom"/>
          </w:tcPr>
          <w:p>
            <w:pPr>
              <w:spacing w:after="0"/>
              <w:rPr>
                <w:sz w:val="24"/>
                <w:szCs w:val="24"/>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5</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9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7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LEE ENTERPRISES, INCORPORATED</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jc w:val="center"/>
              <w:ind w:left="26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(Unaudited)</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99"/>
              </w:rPr>
              <w:t>December 27,</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9"/>
              </w:rPr>
              <w:t>December 29,</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16,403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10,441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(23,830)</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12,310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220</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Assets loss on sales, impairments and other, net</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5,222</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(less) than earnings of MNI</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(545)</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(353)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to collateralize letters of credit</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(184)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 and contract assets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(14,662)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602</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4940" w:type="dxa"/>
            <w:vAlign w:val="bottom"/>
          </w:tcPr>
          <w:p>
            <w:pPr>
              <w:ind w:left="340"/>
              <w:spacing w:after="0" w:line="202" w:lineRule="exact"/>
              <w:rPr>
                <w:sz w:val="20"/>
                <w:szCs w:val="20"/>
                <w:color w:val="auto"/>
              </w:rPr>
            </w:pPr>
            <w:r>
              <w:rPr>
                <w:rFonts w:ascii="Arial" w:cs="Arial" w:eastAsia="Arial" w:hAnsi="Arial"/>
                <w:sz w:val="18"/>
                <w:szCs w:val="18"/>
                <w:color w:val="auto"/>
              </w:rPr>
              <w:t>Increase in accounts payable and other accrued liabilities</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7,205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3"/>
        </w:trPr>
        <w:tc>
          <w:tcPr>
            <w:tcW w:w="744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(1,523)</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3"/>
        </w:trPr>
        <w:tc>
          <w:tcPr>
            <w:tcW w:w="4940" w:type="dxa"/>
            <w:vAlign w:val="bottom"/>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6,643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1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836</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18,371</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(1,738)</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2,236</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(less) than earnings of TNI</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49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(430)</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9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-7745730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-7754620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-5791200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-5800090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-5251450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-5259705</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required for investing activities</w:t>
            </w:r>
          </w:p>
        </w:tc>
        <w:tc>
          <w:tcPr>
            <w:tcW w:w="3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r>
      <w:tr>
        <w:trPr>
          <w:trHeight w:val="196"/>
        </w:trPr>
        <w:tc>
          <w:tcPr>
            <w:tcW w:w="6680" w:type="dxa"/>
            <w:vAlign w:val="bottom"/>
          </w:tcPr>
          <w:p>
            <w:pPr>
              <w:spacing w:after="0" w:line="196" w:lineRule="exact"/>
              <w:rPr>
                <w:sz w:val="20"/>
                <w:szCs w:val="20"/>
                <w:color w:val="auto"/>
              </w:rPr>
            </w:pPr>
            <w:r>
              <w:rPr>
                <w:rFonts w:ascii="Arial" w:cs="Arial" w:eastAsia="Arial" w:hAnsi="Arial"/>
                <w:sz w:val="18"/>
                <w:szCs w:val="18"/>
                <w:color w:val="auto"/>
              </w:rPr>
              <w:t>Cash required for financing activities:</w:t>
            </w:r>
          </w:p>
        </w:tc>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34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(14,734)</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(10,233)</w:t>
            </w: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34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6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34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(154)</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r>
      <w:tr>
        <w:trPr>
          <w:trHeight w:val="196"/>
        </w:trPr>
        <w:tc>
          <w:tcPr>
            <w:tcW w:w="6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3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(14,888)</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(10,798)</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4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3,409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(4,177)</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34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33,733</w:t>
            </w:r>
          </w:p>
        </w:tc>
        <w:tc>
          <w:tcPr>
            <w:tcW w:w="11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8,645</w:t>
            </w:r>
          </w:p>
        </w:tc>
      </w:tr>
      <w:tr>
        <w:trPr>
          <w:trHeight w:val="196"/>
        </w:trPr>
        <w:tc>
          <w:tcPr>
            <w:tcW w:w="66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period</w:t>
            </w:r>
          </w:p>
        </w:tc>
        <w:tc>
          <w:tcPr>
            <w:tcW w:w="34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37,142</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4,468</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ind w:left="4700" w:right="3220" w:hanging="4692"/>
        <w:spacing w:after="0" w:line="482" w:lineRule="auto"/>
        <w:tabs>
          <w:tab w:leader="none" w:pos="6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27, 2020 and our results of operations and cash flows for the periods presented. The Consolidated Financial Statements should be read in conjunction with the Consolidated Financial Statements and Notes thereto included in the Company's 2020 Annual Report on Form 10-K.</w:t>
      </w:r>
    </w:p>
    <w:p>
      <w:pPr>
        <w:spacing w:after="0" w:line="19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Because of seasonal and other factors, the results of operations for the 13 weeks ended December 27, 2020 are not necessarily indicative of the results to be expected for the full year.</w:t>
      </w:r>
    </w:p>
    <w:p>
      <w:pPr>
        <w:spacing w:after="0" w:line="183"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the Company. References to “2021”, “2020” and the like refer to the fiscal years ended the last Sunday in September.</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82.5% interest in INN Partners, L.C. (“TownNews.com”), 50% interest in TNI Partners (“TNI”) and 50% interest in Madison Newspapers, Inc. (“MNI”).</w:t>
      </w:r>
    </w:p>
    <w:p>
      <w:pPr>
        <w:spacing w:after="0" w:line="18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intangible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Pandemic</w:t>
      </w:r>
    </w:p>
    <w:p>
      <w:pPr>
        <w:spacing w:after="0" w:line="220"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operations have experienced lower revenue and profitability over the last several years and these trends are expected to continue in the future; however, the pandemic and government restrictions caused significant and immediate declines in demand for certain of our products and services, particularly in advertising revenue.</w:t>
      </w:r>
    </w:p>
    <w:p>
      <w:pPr>
        <w:spacing w:after="0" w:line="18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COVID-19 pandemic has had, and the Company expects that it will continue to have, a significant negative near term impact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with Berkshire Hathaway</w:t>
      </w:r>
    </w:p>
    <w:p>
      <w:pPr>
        <w:spacing w:after="0" w:line="22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BHMG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92"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Delaware limited liability company affiliated with Berkshire (the “Credit Agreement”), as described further in Note 5.</w:t>
      </w:r>
    </w:p>
    <w:p>
      <w:pPr>
        <w:spacing w:after="0" w:line="18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Between July 2, 2018 and March 16, 2020, the Company managed the BHMG newspaper business pursuant to a Management Agreement between BHMG and the Company dated June 26, 2018 (“the Management Agreement”). In connection with the Transactions, the Management Agreement terminated on March 16, 2020. As part of the settlement of the preexisting relationship,</w:t>
      </w:r>
    </w:p>
    <w:p>
      <w:pPr>
        <w:sectPr>
          <w:pgSz w:w="11900" w:h="16838" w:orient="portrait"/>
          <w:cols w:equalWidth="0" w:num="1">
            <w:col w:w="11240"/>
          </w:cols>
          <w:pgMar w:left="320" w:top="135" w:right="339" w:bottom="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18"/>
          <w:szCs w:val="18"/>
          <w:color w:val="auto"/>
        </w:rPr>
        <w:t>the Company received $5,425,000 at closing. This amount represents $1,245,000 in fixed fees pro-rated under the contract and $4,180,000 in variable fees based upon the pro-rated annual target. The amount we received settled our existing contract assets balance, which totaled $ 3,589,000 as of December 29, 2019, and the remaining amount was reflected in Other Revenue for the 13 weeks ended March 29, 2020. The amount of variable fees was estimated based on expected BHMG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Transactions, the Company also entered into a 10-year term lease with BHMG.</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us to make estimates and judgments that affect the reported amounts of assets, liabilities, revenue and expenses, and related disclosure of contingent assets and liabilities. We evaluate these estimates and judgments on an ongoing basis.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the acquisition.</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June 2016, the FASB issued a new standard to replace the incurred loss impairment methodology with a methodology that reflects expected credit losses and requires consideration of a wider array of reasonable and supportable information to inform and develop credit loss estimates. We are required to use a forward-looking expected credit loss model for both accounts receivables and other financial instruments. The new standard was adopted on September 28, 2020 using a modified retrospective approach. This standard did not have a material impact on our Consolidated Financial Statements.</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In August 2018, FASB issued a new standard to amend disclosure requirements for employers that sponsor defined benefit pension or other postretirement plans. The new standard will be adopted beginning September 27, 2021 using a retrospective approach. The Company is still evaluating the impacts to our financial statement disclosures.</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80" w:type="dxa"/>
            <w:vAlign w:val="bottom"/>
            <w:tcBorders>
              <w:top w:val="single" w:sz="8" w:color="auto"/>
              <w:bottom w:val="single" w:sz="8" w:color="auto"/>
            </w:tcBorders>
          </w:tcPr>
          <w:p>
            <w:pPr>
              <w:spacing w:after="0"/>
              <w:rPr>
                <w:sz w:val="18"/>
                <w:szCs w:val="18"/>
                <w:color w:val="auto"/>
              </w:rPr>
            </w:pPr>
          </w:p>
        </w:tc>
        <w:tc>
          <w:tcPr>
            <w:tcW w:w="33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6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3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27,</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vMerge w:val="continue"/>
          </w:tcPr>
          <w:p>
            <w:pPr>
              <w:spacing w:after="0"/>
              <w:rPr>
                <w:sz w:val="17"/>
                <w:szCs w:val="17"/>
                <w:color w:val="auto"/>
              </w:rPr>
            </w:pPr>
          </w:p>
        </w:tc>
        <w:tc>
          <w:tcPr>
            <w:tcW w:w="3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33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102,629</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3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90,508</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41,694</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33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5,622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03"/>
        </w:trPr>
        <w:tc>
          <w:tcPr>
            <w:tcW w:w="5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33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13,058</w:t>
            </w: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3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211,817</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122,343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63"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ind w:left="660" w:right="80"/>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$60,176,000 as of December 27, 2020 and $60,271,000 as of September 27, 2020. Revenue recognized in the 13 weeks ended December 27, 2020 that was included in the contract liability as of September 27, 2020 was $35,955,000.</w:t>
      </w:r>
    </w:p>
    <w:p>
      <w:pPr>
        <w:spacing w:after="0" w:line="188"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Accounts receivable, excluding allowance for credit losses was $ 79,013,000 and $66,029,000 as of December 27, 2020 and September 27, 2020, respectively. Allowance for credit losses was $10,982,000 and $13,431,000 as of December 27, 2020 and September 27, 2020, respectively.</w:t>
      </w:r>
    </w:p>
    <w:p>
      <w:pPr>
        <w:spacing w:after="0" w:line="171"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are recorded within compensation. The vast majority of our contracts have original expected lengths of one year or less and revenue is earned at a rate and amount that corresponds directly with the value to the customer.</w:t>
      </w:r>
    </w:p>
    <w:p>
      <w:pPr>
        <w:sectPr>
          <w:pgSz w:w="11900" w:h="16838" w:orient="portrait"/>
          <w:cols w:equalWidth="0" w:num="1">
            <w:col w:w="11320"/>
          </w:cols>
          <w:pgMar w:left="320" w:top="125" w:right="259" w:bottom="563" w:gutter="0" w:footer="0" w:header="0"/>
        </w:sectPr>
      </w:pP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563"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60" w:right="6820" w:hanging="652"/>
        <w:spacing w:after="0" w:line="4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 Star</w:t>
      </w:r>
      <w:r>
        <w:rPr>
          <w:rFonts w:ascii="Arial" w:cs="Arial" w:eastAsia="Arial" w:hAnsi="Arial"/>
          <w:sz w:val="18"/>
          <w:szCs w:val="18"/>
          <w:color w:val="auto"/>
        </w:rPr>
        <w:t xml:space="preserve"> as well as the related digital platforms and specialty publications. TNI collects all receipts and income and pays substantially all operating expenses incident to the partnership's operations and publication of the newspaper and other media.</w:t>
      </w:r>
    </w:p>
    <w:p>
      <w:pPr>
        <w:spacing w:after="0" w:line="191" w:lineRule="exact"/>
        <w:rPr>
          <w:rFonts w:ascii="Arial" w:cs="Arial" w:eastAsia="Arial" w:hAnsi="Arial"/>
          <w:sz w:val="18"/>
          <w:szCs w:val="18"/>
          <w:b w:val="1"/>
          <w:bCs w:val="1"/>
          <w:color w:val="auto"/>
        </w:rPr>
      </w:pPr>
    </w:p>
    <w:p>
      <w:pPr>
        <w:ind w:left="660" w:right="3140"/>
        <w:spacing w:after="0" w:line="477"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8"/>
        </w:trPr>
        <w:tc>
          <w:tcPr>
            <w:tcW w:w="5580" w:type="dxa"/>
            <w:vAlign w:val="bottom"/>
            <w:tcBorders>
              <w:top w:val="single" w:sz="8" w:color="auto"/>
              <w:bottom w:val="single" w:sz="8" w:color="auto"/>
            </w:tcBorders>
          </w:tcPr>
          <w:p>
            <w:pPr>
              <w:spacing w:after="0"/>
              <w:rPr>
                <w:sz w:val="17"/>
                <w:szCs w:val="17"/>
                <w:color w:val="auto"/>
              </w:rPr>
            </w:pPr>
          </w:p>
        </w:tc>
        <w:tc>
          <w:tcPr>
            <w:tcW w:w="34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10"/>
              <w:spacing w:after="0" w:line="198"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5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4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27,</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auto"/>
            </w:tcBorders>
            <w:vMerge w:val="continue"/>
          </w:tcPr>
          <w:p>
            <w:pPr>
              <w:spacing w:after="0"/>
              <w:rPr>
                <w:sz w:val="17"/>
                <w:szCs w:val="17"/>
                <w:color w:val="auto"/>
              </w:rPr>
            </w:pPr>
          </w:p>
        </w:tc>
        <w:tc>
          <w:tcPr>
            <w:tcW w:w="34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3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9,400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7,005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4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2,395</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183"/>
        </w:trPr>
        <w:tc>
          <w:tcPr>
            <w:tcW w:w="558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346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1,198</w:t>
            </w:r>
          </w:p>
        </w:tc>
        <w:tc>
          <w:tcPr>
            <w:tcW w:w="16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346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TNI</w:t>
            </w:r>
          </w:p>
        </w:tc>
        <w:tc>
          <w:tcPr>
            <w:tcW w:w="3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1,198</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TNI makes weekly distributions of its earnings and for the 13 weeks ended December 27, 2020 and December 29, 2019, we received $1,056,000 and $738,000 in distributions.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710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9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December 27,</w:t>
            </w:r>
          </w:p>
        </w:tc>
        <w:tc>
          <w:tcPr>
            <w:tcW w:w="16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9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11,922</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13,925</w:t>
            </w: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Operating expenses, excluding restructuring costs, depreciation and amortization</w:t>
            </w:r>
          </w:p>
        </w:tc>
        <w:tc>
          <w:tcPr>
            <w:tcW w:w="19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10,430</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9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106</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9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110</w:t>
            </w: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9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1,276</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183"/>
        </w:trPr>
        <w:tc>
          <w:tcPr>
            <w:tcW w:w="7100" w:type="dxa"/>
            <w:vAlign w:val="bottom"/>
          </w:tcPr>
          <w:p>
            <w:pPr>
              <w:spacing w:after="0" w:line="183" w:lineRule="exact"/>
              <w:rPr>
                <w:sz w:val="20"/>
                <w:szCs w:val="20"/>
                <w:color w:val="auto"/>
              </w:rPr>
            </w:pPr>
            <w:r>
              <w:rPr>
                <w:rFonts w:ascii="Arial" w:cs="Arial" w:eastAsia="Arial" w:hAnsi="Arial"/>
                <w:sz w:val="18"/>
                <w:szCs w:val="18"/>
                <w:color w:val="auto"/>
              </w:rPr>
              <w:t>Net income</w:t>
            </w:r>
          </w:p>
        </w:tc>
        <w:tc>
          <w:tcPr>
            <w:tcW w:w="19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1,089</w:t>
            </w:r>
          </w:p>
        </w:tc>
        <w:tc>
          <w:tcPr>
            <w:tcW w:w="16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MNI</w:t>
            </w:r>
          </w:p>
        </w:tc>
        <w:tc>
          <w:tcPr>
            <w:tcW w:w="19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545</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100"/>
        <w:spacing w:after="0" w:line="246" w:lineRule="auto"/>
        <w:rPr>
          <w:sz w:val="20"/>
          <w:szCs w:val="20"/>
          <w:color w:val="auto"/>
        </w:rPr>
      </w:pPr>
      <w:r>
        <w:rPr>
          <w:rFonts w:ascii="Arial" w:cs="Arial" w:eastAsia="Arial" w:hAnsi="Arial"/>
          <w:sz w:val="18"/>
          <w:szCs w:val="18"/>
          <w:color w:val="auto"/>
        </w:rPr>
        <w:t>MNI generally makes quarterly distributions of its earnings, however no distributions were made in the 13 weeks ended December 27, 2020 and December 29, 2019, respectively.</w:t>
      </w:r>
    </w:p>
    <w:p>
      <w:pPr>
        <w:spacing w:after="0" w:line="200" w:lineRule="exact"/>
        <w:rPr>
          <w:sz w:val="20"/>
          <w:szCs w:val="20"/>
          <w:color w:val="auto"/>
        </w:rPr>
      </w:pPr>
    </w:p>
    <w:p>
      <w:pPr>
        <w:spacing w:after="0" w:line="204" w:lineRule="exact"/>
        <w:rPr>
          <w:sz w:val="20"/>
          <w:szCs w:val="20"/>
          <w:color w:val="auto"/>
        </w:rPr>
      </w:pPr>
    </w:p>
    <w:p>
      <w:pPr>
        <w:ind w:left="660" w:right="6020" w:hanging="652"/>
        <w:spacing w:after="0" w:line="511"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Changes in the carrying amount of goodwill are as follows:</w:t>
      </w:r>
    </w:p>
    <w:tbl>
      <w:tblPr>
        <w:tblLayout w:type="fixed"/>
        <w:tblInd w:w="660" w:type="dxa"/>
        <w:tblCellMar>
          <w:top w:w="0" w:type="dxa"/>
          <w:left w:w="0" w:type="dxa"/>
          <w:bottom w:w="0" w:type="dxa"/>
          <w:right w:w="0" w:type="dxa"/>
        </w:tblCellMar>
      </w:tblPr>
      <w:tr>
        <w:trPr>
          <w:trHeight w:val="196"/>
        </w:trPr>
        <w:tc>
          <w:tcPr>
            <w:tcW w:w="618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13 Weeks</w:t>
            </w:r>
          </w:p>
        </w:tc>
      </w:tr>
      <w:tr>
        <w:trPr>
          <w:trHeight w:val="203"/>
        </w:trPr>
        <w:tc>
          <w:tcPr>
            <w:tcW w:w="618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r>
      <w:tr>
        <w:trPr>
          <w:trHeight w:val="195"/>
        </w:trPr>
        <w:tc>
          <w:tcPr>
            <w:tcW w:w="6180" w:type="dxa"/>
            <w:vAlign w:val="bottom"/>
          </w:tcPr>
          <w:p>
            <w:pPr>
              <w:spacing w:after="0"/>
              <w:rPr>
                <w:sz w:val="16"/>
                <w:szCs w:val="16"/>
                <w:color w:val="auto"/>
              </w:rPr>
            </w:pPr>
          </w:p>
        </w:tc>
        <w:tc>
          <w:tcPr>
            <w:tcW w:w="4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w:t>
            </w:r>
          </w:p>
        </w:tc>
      </w:tr>
      <w:tr>
        <w:trPr>
          <w:trHeight w:val="203"/>
        </w:trPr>
        <w:tc>
          <w:tcPr>
            <w:tcW w:w="6180" w:type="dxa"/>
            <w:vAlign w:val="bottom"/>
          </w:tcPr>
          <w:p>
            <w:pPr>
              <w:spacing w:after="0"/>
              <w:rPr>
                <w:sz w:val="17"/>
                <w:szCs w:val="17"/>
                <w:color w:val="auto"/>
              </w:rPr>
            </w:pPr>
          </w:p>
        </w:tc>
        <w:tc>
          <w:tcPr>
            <w:tcW w:w="4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w:t>
            </w:r>
          </w:p>
        </w:tc>
      </w:tr>
      <w:tr>
        <w:trPr>
          <w:trHeight w:val="203"/>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4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61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4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1,617,174</w:t>
            </w:r>
          </w:p>
        </w:tc>
      </w:tr>
      <w:tr>
        <w:trPr>
          <w:trHeight w:val="203"/>
        </w:trPr>
        <w:tc>
          <w:tcPr>
            <w:tcW w:w="61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4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period</w:t>
            </w:r>
          </w:p>
        </w:tc>
        <w:tc>
          <w:tcPr>
            <w:tcW w:w="4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328,445</w:t>
            </w:r>
          </w:p>
        </w:tc>
      </w:tr>
      <w:tr>
        <w:trPr>
          <w:trHeight w:val="202"/>
        </w:trPr>
        <w:tc>
          <w:tcPr>
            <w:tcW w:w="61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4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403</w:t>
            </w:r>
          </w:p>
        </w:tc>
      </w:tr>
      <w:tr>
        <w:trPr>
          <w:trHeight w:val="236"/>
        </w:trPr>
        <w:tc>
          <w:tcPr>
            <w:tcW w:w="6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4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328,848</w:t>
            </w:r>
          </w:p>
        </w:tc>
      </w:tr>
    </w:tbl>
    <w:p>
      <w:pPr>
        <w:spacing w:after="0" w:line="200" w:lineRule="exact"/>
        <w:rPr>
          <w:sz w:val="20"/>
          <w:szCs w:val="20"/>
          <w:color w:val="auto"/>
        </w:rPr>
      </w:pPr>
    </w:p>
    <w:p>
      <w:pPr>
        <w:sectPr>
          <w:pgSz w:w="11900" w:h="16838" w:orient="portrait"/>
          <w:cols w:equalWidth="0" w:num="1">
            <w:col w:w="11320"/>
          </w:cols>
          <w:pgMar w:left="320" w:top="125" w:right="259" w:bottom="1022" w:gutter="0" w:footer="0" w:header="0"/>
        </w:sectPr>
      </w:pP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022"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Identified intangible assets consist of the following:</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6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5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December 27,</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vMerge w:val="continue"/>
          </w:tcPr>
          <w:p>
            <w:pPr>
              <w:spacing w:after="0"/>
              <w:rPr>
                <w:sz w:val="17"/>
                <w:szCs w:val="17"/>
                <w:color w:val="auto"/>
              </w:rPr>
            </w:pPr>
          </w:p>
        </w:tc>
        <w:tc>
          <w:tcPr>
            <w:tcW w:w="35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3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Mastheads</w:t>
            </w:r>
          </w:p>
        </w:tc>
        <w:tc>
          <w:tcPr>
            <w:tcW w:w="3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40,459</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40,459</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3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35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774,722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774,604</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35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638,349</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632,457</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136,373</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142,147</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352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28,656</w:t>
            </w:r>
          </w:p>
        </w:tc>
        <w:tc>
          <w:tcPr>
            <w:tcW w:w="15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28,656</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5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28,601</w:t>
            </w:r>
          </w:p>
        </w:tc>
        <w:tc>
          <w:tcPr>
            <w:tcW w:w="15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shd w:val="clear" w:color="auto" w:fill="CCEEFF"/>
          </w:tcPr>
          <w:p>
            <w:pPr>
              <w:spacing w:after="0"/>
              <w:rPr>
                <w:sz w:val="17"/>
                <w:szCs w:val="17"/>
                <w:color w:val="auto"/>
              </w:rPr>
            </w:pPr>
          </w:p>
        </w:tc>
        <w:tc>
          <w:tcPr>
            <w:tcW w:w="352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55</w:t>
            </w:r>
          </w:p>
        </w:tc>
        <w:tc>
          <w:tcPr>
            <w:tcW w:w="15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intangible assets, net</w:t>
            </w:r>
          </w:p>
        </w:tc>
        <w:tc>
          <w:tcPr>
            <w:tcW w:w="35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176,887</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182,680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Company recognized $ 27,960,000 of advertiser relationships, $28,200,000 of subscriber relationships, $19,580,000 of commercial print relationships and $20,390,000 of indefinite-lived masthead assets as part of the Transactions.</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Annual amortization of intangible assets for the five years ending December 2021 to December 2025 is estimated to be $21,262,000 $19,688,000, $18,893,000, $16,460,000 and $10,783,000 , respectively. The weighted average amortization period for those amortizable assets acquired as part of the Transactions is 10.5 years.</w:t>
      </w:r>
    </w:p>
    <w:p>
      <w:pPr>
        <w:spacing w:after="0" w:line="20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Company recognized $78,539,000 of Goodwill as part of the Transactions. The value of the acquired Goodwill is primarily related to an assembled workforce and expected synergies from combining operations. For tax purposes, the amount of Goodwill that is expected to be deductible is $41,734,000. Refer to Note 7 for more information regarding preliminary purchase accounting for the Transactions.</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2020 in connection with the closing of the Transactions,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used, along with cash on hand, to repay the Company's $431,502,000 in existing debt as well as to fund the acquisition of the BH Media Newspaper Business assets and the stock of the Buffalo News for $140,000,000 in cash. With the closing of this matter, BH Finance became Lee's sole lender.</w:t>
      </w:r>
    </w:p>
    <w:p>
      <w:pPr>
        <w:spacing w:after="0" w:line="1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Proceeds of the Term Loan were used to finance the Transactions and repay all of the Company’s outstanding debt at par, including:</w:t>
      </w:r>
    </w:p>
    <w:p>
      <w:pPr>
        <w:spacing w:after="0" w:line="198" w:lineRule="exact"/>
        <w:rPr>
          <w:rFonts w:ascii="Arial" w:cs="Arial" w:eastAsia="Arial" w:hAnsi="Arial"/>
          <w:sz w:val="18"/>
          <w:szCs w:val="18"/>
          <w:b w:val="1"/>
          <w:bCs w:val="1"/>
          <w:color w:val="auto"/>
        </w:rPr>
      </w:pPr>
    </w:p>
    <w:p>
      <w:pPr>
        <w:ind w:left="1180" w:right="280" w:hanging="335"/>
        <w:spacing w:after="0" w:line="246"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redeem the 9.5% senior secured notes (“Notes”) pursuant to an indenture dated as of March 31, 2014 (the “Indenture”); and</w:t>
      </w:r>
    </w:p>
    <w:p>
      <w:pPr>
        <w:spacing w:after="0" w:line="183" w:lineRule="exact"/>
        <w:rPr>
          <w:rFonts w:ascii="Arial" w:cs="Arial" w:eastAsia="Arial" w:hAnsi="Arial"/>
          <w:sz w:val="18"/>
          <w:szCs w:val="18"/>
          <w:color w:val="auto"/>
        </w:rPr>
      </w:pPr>
    </w:p>
    <w:p>
      <w:pPr>
        <w:ind w:left="1180" w:right="320" w:hanging="335"/>
        <w:spacing w:after="0" w:line="246"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repay the 12.0% second lien term loan pursuant to a Second Lien Term Loan Agreement dated as of March 31, 2014, as amended (the “2</w:t>
      </w:r>
      <w:r>
        <w:rPr>
          <w:rFonts w:ascii="Arial" w:cs="Arial" w:eastAsia="Arial" w:hAnsi="Arial"/>
          <w:sz w:val="14"/>
          <w:szCs w:val="14"/>
          <w:color w:val="auto"/>
        </w:rPr>
        <w:t>nd</w:t>
      </w:r>
      <w:r>
        <w:rPr>
          <w:rFonts w:ascii="Arial" w:cs="Arial" w:eastAsia="Arial" w:hAnsi="Arial"/>
          <w:sz w:val="18"/>
          <w:szCs w:val="18"/>
          <w:color w:val="auto"/>
        </w:rPr>
        <w:t xml:space="preserve"> Lien Term Loan”).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gain or loss recognized upon extinguishment of the Indenture and the 2nd Lien Term Loan.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Credit Agreement documents the primary terms of the Term Loan. The Term Loan matures on March 16, 2045.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8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December 27,</w:t>
            </w:r>
          </w:p>
        </w:tc>
        <w:tc>
          <w:tcPr>
            <w:tcW w:w="19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September 27,</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vMerge w:val="continue"/>
          </w:tcPr>
          <w:p>
            <w:pPr>
              <w:spacing w:after="0"/>
              <w:rPr>
                <w:sz w:val="17"/>
                <w:szCs w:val="17"/>
                <w:color w:val="auto"/>
              </w:rPr>
            </w:pPr>
          </w:p>
        </w:tc>
        <w:tc>
          <w:tcPr>
            <w:tcW w:w="28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90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2020</w:t>
            </w:r>
          </w:p>
        </w:tc>
        <w:tc>
          <w:tcPr>
            <w:tcW w:w="13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28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523,556</w:t>
            </w:r>
          </w:p>
        </w:tc>
        <w:tc>
          <w:tcPr>
            <w:tcW w:w="190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538,290</w:t>
            </w:r>
          </w:p>
        </w:tc>
        <w:tc>
          <w:tcPr>
            <w:tcW w:w="1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28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17,142</w:t>
            </w:r>
          </w:p>
        </w:tc>
        <w:tc>
          <w:tcPr>
            <w:tcW w:w="190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13,733</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28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506,414</w:t>
            </w:r>
          </w:p>
        </w:tc>
        <w:tc>
          <w:tcPr>
            <w:tcW w:w="190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524,557</w:t>
            </w: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weighted average cost of debt at December 27, 2020 is 9.0%.</w:t>
      </w:r>
    </w:p>
    <w:p>
      <w:pPr>
        <w:spacing w:after="0" w:line="198"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For the 13-weeks ended December 27, 2020 excess cash flow totaled $17,142,000 and an additional $ 1,000,000 from asset sales was used to pay debt in January 2021. This balance was recognized in Current maturities of long-term debt as of December 27, 2020. Future payments are contingent on the Company’s ability to generate future excess cash flow, as defined in the Credit Agreement.</w:t>
      </w:r>
    </w:p>
    <w:p>
      <w:pPr>
        <w:spacing w:after="0" w:line="18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Term Loan bears interest at a fixed annual rate of 9.0%, payable monthly.</w:t>
      </w:r>
    </w:p>
    <w:p>
      <w:pPr>
        <w:sectPr>
          <w:pgSz w:w="11900" w:h="16838" w:orient="portrait"/>
          <w:cols w:equalWidth="0" w:num="1">
            <w:col w:w="11320"/>
          </w:cols>
          <w:pgMar w:left="320" w:top="125" w:right="259" w:bottom="1022" w:gutter="0" w:footer="0" w:header="0"/>
        </w:sectPr>
      </w:pP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022"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Voluntary payments under the Credit Agreement are not subject to call premiums and are payable at par.</w:t>
      </w:r>
    </w:p>
    <w:p>
      <w:pPr>
        <w:spacing w:after="0" w:line="198"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1180" w:right="260" w:hanging="33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lease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1180" w:hanging="33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1180" w:hanging="335"/>
        <w:spacing w:after="0" w:line="246"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r>
        <w:rPr>
          <w:rFonts w:ascii="Arial" w:cs="Arial" w:eastAsia="Arial" w:hAnsi="Arial"/>
          <w:sz w:val="18"/>
          <w:szCs w:val="18"/>
          <w:b w:val="1"/>
          <w:bCs w:val="1"/>
          <w:color w:val="auto"/>
        </w:rPr>
        <w:t>.</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89" w:lineRule="exact"/>
        <w:rPr>
          <w:sz w:val="20"/>
          <w:szCs w:val="20"/>
          <w:color w:val="auto"/>
        </w:rPr>
      </w:pPr>
    </w:p>
    <w:p>
      <w:pPr>
        <w:jc w:val="both"/>
        <w:ind w:left="660" w:right="80"/>
        <w:spacing w:after="0" w:line="236"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 (ii) 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7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 Term Loan is fully and unconditionally guaranteed on a joint and several first-priority basis by the Company's material domestic subsidiaries (excluding MNI and TNI, the “Subsidiary Guarantors”), pursuant to a Guarantee and Collateral agreement dated as of March 16, 2020 (the “Guarantee and Collateral Agreement”). The Term Loan and the subsidiary guarantees are secured, subject to certain exceptions, priorities and limitations, by perfected security interests in substantially all property and assets, including certain real estate, of the Company and the Subsidiary Guarantors.</w:t>
      </w:r>
    </w:p>
    <w:p>
      <w:pPr>
        <w:spacing w:after="0" w:line="18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Also, the Term Loan is secured, subject to certain exceptions, priorities and limitations in the various agreements, by first-priority security interests in the capital stock of, and other equity interests owned by, the Company and the Subsidiary Guarantors (excluding the capital stock of MNI and TNI).</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the Credit Agreement, our new debt does not include a revolver.</w:t>
      </w:r>
    </w:p>
    <w:p>
      <w:pPr>
        <w:spacing w:after="0" w:line="198"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Our liquidity, consisting of cash on the balance sheet, totals $37,142,000 at December 27, 2020. This liquidity amount excludes any future cash flows. We expect all interest and principal payments due in the next twelve months will be satisfied by existing cash and our cash flows, which will allow us to maintain an adequate level of liquidity. The Warrants, as defined below, if and when exercised, would provide additional liquidity in an amount up to $25,140,000, which is not considered in the calculation of Excess Cash Flow.</w:t>
      </w:r>
    </w:p>
    <w:p>
      <w:pPr>
        <w:spacing w:after="0" w:line="191"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91"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 as it becomes due. The Credit Agreement (as defined above) has only limited affirmative covenants with which we are required to maintain compliance and there are no leverage or financial performance covenants. We are in compliance with our debt covenants at December 27, 2020.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 -dilution provisions (the “Warrants”). The Warrants represent, when fully exercised, approximately 10.4% of shares of Common Stock outstanding at March 30, 2014 on a fully diluted basis. The exercise price of the Warrants is $4.19 per share. The Warrants are set to expire in March 2022.</w:t>
      </w:r>
    </w:p>
    <w:p>
      <w:pPr>
        <w:sectPr>
          <w:pgSz w:w="11900" w:h="16838" w:orient="portrait"/>
          <w:cols w:equalWidth="0" w:num="1">
            <w:col w:w="11320"/>
          </w:cols>
          <w:pgMar w:left="320" w:top="125" w:right="25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11.</w:t>
      </w:r>
    </w:p>
    <w:p>
      <w:pPr>
        <w:spacing w:after="0" w:line="189"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31, 2014 (the “Registration Rights Agreement”). The Registration Rights Agreement requires,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220"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With the exception of defined benefit plans acquired in the Transactions, effective in 2012, substantially all benefits are frozen.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In addition, St. Louis Post-Dispatch LLC, provides postemployment disability benefits to certain employee groups prior to retirement.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As part of the Transactions, the Company assumed several non-contributory defined benefit pension plans that together cover selected employees. Benefits under the plans are generally based on salary and years of service. The liability and related expense for benefits under the plans are recorded over the service period of employees based upon annual actuarial calculations. Plan funding strategies are influenced by government regulations. Plan assets consist primarily of domestic corporate equity securities, government and corporate bonds, money markets and deposits with insurance companies. The amount of net pension obligations for those plans as of March 16, 2020, the initial measurement date, was $43,503,000.</w:t>
      </w:r>
    </w:p>
    <w:p>
      <w:pPr>
        <w:spacing w:after="0" w:line="191" w:lineRule="exact"/>
        <w:rPr>
          <w:rFonts w:ascii="Arial" w:cs="Arial" w:eastAsia="Arial" w:hAnsi="Arial"/>
          <w:sz w:val="18"/>
          <w:szCs w:val="18"/>
          <w:b w:val="1"/>
          <w:bCs w:val="1"/>
          <w:color w:val="auto"/>
        </w:rPr>
      </w:pPr>
    </w:p>
    <w:p>
      <w:pPr>
        <w:jc w:val="both"/>
        <w:ind w:left="660" w:right="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Additionally, as part of the Transactions, the Company assumed certain unfunded postemployment benefit plans which provide coverage to retirees for portions of premiums associated with medical, dental, life, and vision insurance benefits in eight collective bargaining units. The amount of premiums paid in five bargaining units are capped at specific dollar amounts per month. The amount of premiums paid in three bargaining units are uncapped. The plan groups consist of capped retirees, uncapped retirees, capped active employees, and uncapped active employees. New participants in the uncapped plans are eligible for Medicare supplemental medical insurance. The total postemployment benefit obligation recognized for these plans as of March 16, 2020, the initial measurement date, was $36,800,000.</w:t>
      </w:r>
    </w:p>
    <w:p>
      <w:pPr>
        <w:spacing w:after="0" w:line="189" w:lineRule="exact"/>
        <w:rPr>
          <w:rFonts w:ascii="Arial" w:cs="Arial" w:eastAsia="Arial" w:hAnsi="Arial"/>
          <w:sz w:val="18"/>
          <w:szCs w:val="18"/>
          <w:b w:val="1"/>
          <w:bCs w:val="1"/>
          <w:color w:val="auto"/>
        </w:rPr>
      </w:pPr>
    </w:p>
    <w:p>
      <w:pPr>
        <w:jc w:val="both"/>
        <w:ind w:left="660" w:right="1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the 13 weeks ended December 27, 2020 we notified certain participants in our post employment benefit plans of changes to be made to the plans, including elimination of coverage for certain participants. The changes resulted in a non-cash curtailment gain of $23,830,000 and a reduction in our benefit obligation liability by $23,830,000. This is recorded within Curtailment gain and Postretirement and postemployment benefit obligations.</w:t>
      </w:r>
    </w:p>
    <w:p>
      <w:pPr>
        <w:spacing w:after="0" w:line="1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Multiemployer Pension Plans</w:t>
      </w:r>
    </w:p>
    <w:p>
      <w:pPr>
        <w:spacing w:after="0" w:line="220" w:lineRule="exact"/>
        <w:rPr>
          <w:rFonts w:ascii="Arial" w:cs="Arial" w:eastAsia="Arial" w:hAnsi="Arial"/>
          <w:sz w:val="18"/>
          <w:szCs w:val="18"/>
          <w:b w:val="1"/>
          <w:bCs w:val="1"/>
          <w:color w:val="auto"/>
        </w:rPr>
      </w:pPr>
    </w:p>
    <w:p>
      <w:pPr>
        <w:jc w:val="both"/>
        <w:ind w:left="660" w:right="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the 13 weeks ended December 27, 2020, we withdrew from a multiemployer pension plan and recorded a $12,310,000 million liability reflecting an estimate of the withdrawal from the fund. The withdrawal liability is recorded in Warrants and other and the expense is included within Pension withdrawal cost. The estimate will be finalized upon receipt of the final assessment. The liability will be paid over 20 years.</w:t>
      </w:r>
    </w:p>
    <w:p>
      <w:pPr>
        <w:spacing w:after="0" w:line="191" w:lineRule="exact"/>
        <w:rPr>
          <w:rFonts w:ascii="Arial" w:cs="Arial" w:eastAsia="Arial" w:hAnsi="Arial"/>
          <w:sz w:val="18"/>
          <w:szCs w:val="18"/>
          <w:b w:val="1"/>
          <w:bCs w:val="1"/>
          <w:color w:val="auto"/>
        </w:rPr>
      </w:pPr>
    </w:p>
    <w:p>
      <w:pPr>
        <w:ind w:left="660" w:right="1880"/>
        <w:spacing w:after="0" w:line="497" w:lineRule="auto"/>
        <w:rPr>
          <w:rFonts w:ascii="Arial" w:cs="Arial" w:eastAsia="Arial" w:hAnsi="Arial"/>
          <w:sz w:val="18"/>
          <w:szCs w:val="18"/>
          <w:b w:val="1"/>
          <w:bCs w:val="1"/>
          <w:color w:val="auto"/>
        </w:rPr>
      </w:pPr>
      <w:r>
        <w:rPr>
          <w:rFonts w:ascii="Arial" w:cs="Arial" w:eastAsia="Arial" w:hAnsi="Arial"/>
          <w:sz w:val="17"/>
          <w:szCs w:val="17"/>
          <w:color w:val="auto"/>
        </w:rPr>
        <w:t>We use a fiscal year end measurement date for all of our Pension and postretirement medical plan obligations. The net periodic pension and postretirement cost (benefit) components for our plans are as follows:</w:t>
      </w:r>
    </w:p>
    <w:tbl>
      <w:tblPr>
        <w:tblLayout w:type="fixed"/>
        <w:tblInd w:w="660" w:type="dxa"/>
        <w:tblCellMar>
          <w:top w:w="0" w:type="dxa"/>
          <w:left w:w="0" w:type="dxa"/>
          <w:bottom w:w="0" w:type="dxa"/>
          <w:right w:w="0" w:type="dxa"/>
        </w:tblCellMar>
      </w:tblPr>
      <w:tr>
        <w:trPr>
          <w:trHeight w:val="197"/>
        </w:trPr>
        <w:tc>
          <w:tcPr>
            <w:tcW w:w="5840" w:type="dxa"/>
            <w:vAlign w:val="bottom"/>
            <w:tcBorders>
              <w:top w:val="single" w:sz="8" w:color="auto"/>
              <w:bottom w:val="single" w:sz="8" w:color="auto"/>
            </w:tcBorders>
          </w:tcPr>
          <w:p>
            <w:pPr>
              <w:spacing w:after="0" w:line="197" w:lineRule="exact"/>
              <w:rPr>
                <w:sz w:val="20"/>
                <w:szCs w:val="20"/>
                <w:color w:val="auto"/>
              </w:rPr>
            </w:pPr>
            <w:r>
              <w:rPr>
                <w:rFonts w:ascii="Arial" w:cs="Arial" w:eastAsia="Arial" w:hAnsi="Arial"/>
                <w:sz w:val="18"/>
                <w:szCs w:val="18"/>
                <w:color w:val="auto"/>
              </w:rPr>
              <w:t>PENSION PLANS</w:t>
            </w:r>
          </w:p>
        </w:tc>
        <w:tc>
          <w:tcPr>
            <w:tcW w:w="32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8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2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27,</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32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3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633</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1,787</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2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(4,672)</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3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1,004</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32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Pension benefit</w:t>
            </w:r>
          </w:p>
        </w:tc>
        <w:tc>
          <w:tcPr>
            <w:tcW w:w="3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(1,248)</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POSTRETIREMENT MEDICAL PLANS</w:t>
            </w:r>
          </w:p>
        </w:tc>
        <w:tc>
          <w:tcPr>
            <w:tcW w:w="3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58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2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December 27,</w:t>
            </w:r>
          </w:p>
        </w:tc>
        <w:tc>
          <w:tcPr>
            <w:tcW w:w="16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32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32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210</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2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123</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2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(252)</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3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32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(161)</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32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(23,830)</w:t>
            </w:r>
          </w:p>
        </w:tc>
        <w:tc>
          <w:tcPr>
            <w:tcW w:w="1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32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(24,082)</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0"/>
        <w:spacing w:after="0" w:line="246" w:lineRule="auto"/>
        <w:rPr>
          <w:sz w:val="20"/>
          <w:szCs w:val="20"/>
          <w:color w:val="auto"/>
        </w:rPr>
      </w:pPr>
      <w:r>
        <w:rPr>
          <w:rFonts w:ascii="Arial" w:cs="Arial" w:eastAsia="Arial" w:hAnsi="Arial"/>
          <w:sz w:val="18"/>
          <w:szCs w:val="18"/>
          <w:color w:val="auto"/>
        </w:rPr>
        <w:t>In the 13 weeks ended December 27, 2020 we contributed $400,000 to our pension plans. Based on our forecast at December 27, 2020, we expect to make contributions of $2,790,000 to our pension trust during the remainder of fiscal 2021.</w:t>
      </w: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(“Purchase Agreement”).</w:t>
      </w:r>
    </w:p>
    <w:p>
      <w:pPr>
        <w:spacing w:after="0" w:line="189"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The allocation of the purchase price is preliminary. The valuation of property and equipment, intangibles, deferred income taxes, and residual goodwill is not complete, pending completion of the final valuation report. These amounts are subject to adjustment as additional information is obtained within the measurement period (not to exceed 12 months from the acquisition date).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 The accounting for the Credit Agreement and the BH Lease are described in Notes 5 and 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preliminary determination of fair values of the assets and liabilities for the Transactions.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3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Thousands)</w:t>
            </w:r>
          </w:p>
        </w:tc>
        <w:tc>
          <w:tcPr>
            <w:tcW w:w="2580" w:type="dxa"/>
            <w:vAlign w:val="bottom"/>
            <w:tcBorders>
              <w:top w:val="single" w:sz="8" w:color="auto"/>
            </w:tcBorders>
          </w:tcPr>
          <w:p>
            <w:pPr>
              <w:ind w:left="240"/>
              <w:spacing w:after="0" w:line="193" w:lineRule="exact"/>
              <w:rPr>
                <w:sz w:val="20"/>
                <w:szCs w:val="20"/>
                <w:color w:val="auto"/>
              </w:rPr>
            </w:pPr>
            <w:r>
              <w:rPr>
                <w:rFonts w:ascii="Arial" w:cs="Arial" w:eastAsia="Arial" w:hAnsi="Arial"/>
                <w:sz w:val="18"/>
                <w:szCs w:val="18"/>
                <w:b w:val="1"/>
                <w:bCs w:val="1"/>
                <w:color w:val="auto"/>
              </w:rPr>
              <w:t>Estimated fair value as</w:t>
            </w:r>
          </w:p>
        </w:tc>
        <w:tc>
          <w:tcPr>
            <w:tcW w:w="2460" w:type="dxa"/>
            <w:vAlign w:val="bottom"/>
            <w:tcBorders>
              <w:top w:val="single" w:sz="8" w:color="auto"/>
            </w:tcBorders>
          </w:tcPr>
          <w:p>
            <w:pPr>
              <w:ind w:left="140"/>
              <w:spacing w:after="0" w:line="193" w:lineRule="exact"/>
              <w:rPr>
                <w:sz w:val="20"/>
                <w:szCs w:val="20"/>
                <w:color w:val="auto"/>
              </w:rPr>
            </w:pPr>
            <w:r>
              <w:rPr>
                <w:rFonts w:ascii="Arial" w:cs="Arial" w:eastAsia="Arial" w:hAnsi="Arial"/>
                <w:sz w:val="18"/>
                <w:szCs w:val="18"/>
                <w:b w:val="1"/>
                <w:bCs w:val="1"/>
                <w:color w:val="auto"/>
              </w:rPr>
              <w:t>Measurement period</w:t>
            </w:r>
          </w:p>
        </w:tc>
        <w:tc>
          <w:tcPr>
            <w:tcW w:w="234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Fair value as adjusted</w:t>
            </w:r>
          </w:p>
        </w:tc>
        <w:tc>
          <w:tcPr>
            <w:tcW w:w="0" w:type="dxa"/>
            <w:vAlign w:val="bottom"/>
          </w:tcPr>
          <w:p>
            <w:pPr>
              <w:spacing w:after="0"/>
              <w:rPr>
                <w:sz w:val="1"/>
                <w:szCs w:val="1"/>
                <w:color w:val="auto"/>
              </w:rPr>
            </w:pPr>
          </w:p>
        </w:tc>
      </w:tr>
      <w:tr>
        <w:trPr>
          <w:trHeight w:val="131"/>
        </w:trPr>
        <w:tc>
          <w:tcPr>
            <w:tcW w:w="3280" w:type="dxa"/>
            <w:vAlign w:val="bottom"/>
            <w:vMerge w:val="continue"/>
          </w:tcPr>
          <w:p>
            <w:pPr>
              <w:spacing w:after="0"/>
              <w:rPr>
                <w:sz w:val="11"/>
                <w:szCs w:val="11"/>
                <w:color w:val="auto"/>
              </w:rPr>
            </w:pPr>
          </w:p>
        </w:tc>
        <w:tc>
          <w:tcPr>
            <w:tcW w:w="25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previously reported</w:t>
            </w:r>
          </w:p>
        </w:tc>
        <w:tc>
          <w:tcPr>
            <w:tcW w:w="24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adjustments</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vMerge w:val="continue"/>
          </w:tcPr>
          <w:p>
            <w:pPr>
              <w:spacing w:after="0"/>
              <w:rPr>
                <w:sz w:val="8"/>
                <w:szCs w:val="8"/>
                <w:color w:val="auto"/>
              </w:rPr>
            </w:pPr>
          </w:p>
        </w:tc>
        <w:tc>
          <w:tcPr>
            <w:tcW w:w="2460" w:type="dxa"/>
            <w:vAlign w:val="bottom"/>
            <w:tcBorders>
              <w:bottom w:val="single" w:sz="8" w:color="auto"/>
            </w:tcBorders>
            <w:vMerge w:val="continue"/>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Cash and Cash equivalents</w:t>
            </w:r>
          </w:p>
        </w:tc>
        <w:tc>
          <w:tcPr>
            <w:tcW w:w="25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22,293</w:t>
            </w:r>
          </w:p>
        </w:tc>
        <w:tc>
          <w:tcPr>
            <w:tcW w:w="24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Current assets</w:t>
            </w:r>
          </w:p>
        </w:tc>
        <w:tc>
          <w:tcPr>
            <w:tcW w:w="2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52,559</w:t>
            </w:r>
          </w:p>
        </w:tc>
        <w:tc>
          <w:tcPr>
            <w:tcW w:w="2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(1,199)</w:t>
            </w:r>
          </w:p>
        </w:tc>
        <w:tc>
          <w:tcPr>
            <w:tcW w:w="2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51,361</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12,167</w:t>
            </w:r>
          </w:p>
        </w:tc>
        <w:tc>
          <w:tcPr>
            <w:tcW w:w="2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3,448</w:t>
            </w:r>
          </w:p>
        </w:tc>
        <w:tc>
          <w:tcPr>
            <w:tcW w:w="2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Property and equipment</w:t>
            </w:r>
          </w:p>
        </w:tc>
        <w:tc>
          <w:tcPr>
            <w:tcW w:w="2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42,952</w:t>
            </w:r>
          </w:p>
        </w:tc>
        <w:tc>
          <w:tcPr>
            <w:tcW w:w="2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w:t>
            </w:r>
          </w:p>
        </w:tc>
        <w:tc>
          <w:tcPr>
            <w:tcW w:w="2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42,985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assets</w:t>
            </w:r>
          </w:p>
        </w:tc>
        <w:tc>
          <w:tcPr>
            <w:tcW w:w="25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7,445</w:t>
            </w:r>
          </w:p>
        </w:tc>
        <w:tc>
          <w:tcPr>
            <w:tcW w:w="2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101</w:t>
            </w:r>
          </w:p>
        </w:tc>
        <w:tc>
          <w:tcPr>
            <w:tcW w:w="2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Advertiser relationships</w:t>
            </w:r>
          </w:p>
        </w:tc>
        <w:tc>
          <w:tcPr>
            <w:tcW w:w="2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38,780</w:t>
            </w:r>
          </w:p>
        </w:tc>
        <w:tc>
          <w:tcPr>
            <w:tcW w:w="2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(10,820)</w:t>
            </w:r>
          </w:p>
        </w:tc>
        <w:tc>
          <w:tcPr>
            <w:tcW w:w="2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Subscriber relationships</w:t>
            </w:r>
          </w:p>
        </w:tc>
        <w:tc>
          <w:tcPr>
            <w:tcW w:w="25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36,060</w:t>
            </w:r>
          </w:p>
        </w:tc>
        <w:tc>
          <w:tcPr>
            <w:tcW w:w="2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(7,860)</w:t>
            </w:r>
          </w:p>
        </w:tc>
        <w:tc>
          <w:tcPr>
            <w:tcW w:w="2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Commercial print relationships</w:t>
            </w:r>
          </w:p>
        </w:tc>
        <w:tc>
          <w:tcPr>
            <w:tcW w:w="2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17,130</w:t>
            </w:r>
          </w:p>
        </w:tc>
        <w:tc>
          <w:tcPr>
            <w:tcW w:w="2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2,450</w:t>
            </w:r>
          </w:p>
        </w:tc>
        <w:tc>
          <w:tcPr>
            <w:tcW w:w="2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25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21,680</w:t>
            </w:r>
          </w:p>
        </w:tc>
        <w:tc>
          <w:tcPr>
            <w:tcW w:w="2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(1,290)</w:t>
            </w:r>
          </w:p>
        </w:tc>
        <w:tc>
          <w:tcPr>
            <w:tcW w:w="23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Goodwill</w:t>
            </w:r>
          </w:p>
        </w:tc>
        <w:tc>
          <w:tcPr>
            <w:tcW w:w="25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63,559</w:t>
            </w:r>
          </w:p>
        </w:tc>
        <w:tc>
          <w:tcPr>
            <w:tcW w:w="2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14,984</w:t>
            </w:r>
          </w:p>
        </w:tc>
        <w:tc>
          <w:tcPr>
            <w:tcW w:w="2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78,539</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5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314,625</w:t>
            </w:r>
          </w:p>
        </w:tc>
        <w:tc>
          <w:tcPr>
            <w:tcW w:w="2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(152)</w:t>
            </w:r>
          </w:p>
        </w:tc>
        <w:tc>
          <w:tcPr>
            <w:tcW w:w="2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314,473</w:t>
            </w: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line="196" w:lineRule="exact"/>
              <w:rPr>
                <w:sz w:val="20"/>
                <w:szCs w:val="20"/>
                <w:color w:val="auto"/>
              </w:rPr>
            </w:pPr>
            <w:r>
              <w:rPr>
                <w:rFonts w:ascii="Arial" w:cs="Arial" w:eastAsia="Arial" w:hAnsi="Arial"/>
                <w:sz w:val="18"/>
                <w:szCs w:val="18"/>
                <w:color w:val="auto"/>
              </w:rPr>
              <w:t>Current liabilities assumed</w:t>
            </w:r>
          </w:p>
        </w:tc>
        <w:tc>
          <w:tcPr>
            <w:tcW w:w="25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(73,451)</w:t>
            </w:r>
          </w:p>
        </w:tc>
        <w:tc>
          <w:tcPr>
            <w:tcW w:w="2460" w:type="dxa"/>
            <w:vAlign w:val="bottom"/>
          </w:tcPr>
          <w:p>
            <w:pPr>
              <w:jc w:val="right"/>
              <w:ind w:right="90"/>
              <w:spacing w:after="0" w:line="196" w:lineRule="exact"/>
              <w:rPr>
                <w:sz w:val="20"/>
                <w:szCs w:val="20"/>
                <w:color w:val="auto"/>
              </w:rPr>
            </w:pPr>
            <w:r>
              <w:rPr>
                <w:rFonts w:ascii="Arial" w:cs="Arial" w:eastAsia="Arial" w:hAnsi="Arial"/>
                <w:sz w:val="18"/>
                <w:szCs w:val="18"/>
                <w:color w:val="auto"/>
              </w:rPr>
              <w:t>1,074</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(72,377)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Operating lease liabilities</w:t>
            </w:r>
          </w:p>
        </w:tc>
        <w:tc>
          <w:tcPr>
            <w:tcW w:w="25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(6,625)</w:t>
            </w:r>
          </w:p>
        </w:tc>
        <w:tc>
          <w:tcPr>
            <w:tcW w:w="2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(921)</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03"/>
        </w:trPr>
        <w:tc>
          <w:tcPr>
            <w:tcW w:w="328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assumed</w:t>
            </w:r>
          </w:p>
        </w:tc>
        <w:tc>
          <w:tcPr>
            <w:tcW w:w="2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(2,246)</w:t>
            </w:r>
          </w:p>
        </w:tc>
        <w:tc>
          <w:tcPr>
            <w:tcW w:w="24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obligations</w:t>
            </w:r>
          </w:p>
        </w:tc>
        <w:tc>
          <w:tcPr>
            <w:tcW w:w="25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(43,503)</w:t>
            </w:r>
          </w:p>
        </w:tc>
        <w:tc>
          <w:tcPr>
            <w:tcW w:w="24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Postemployment benefit obligations</w:t>
            </w:r>
          </w:p>
        </w:tc>
        <w:tc>
          <w:tcPr>
            <w:tcW w:w="25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(36,800)</w:t>
            </w:r>
          </w:p>
        </w:tc>
        <w:tc>
          <w:tcPr>
            <w:tcW w:w="24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5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(162,625)</w:t>
            </w:r>
          </w:p>
        </w:tc>
        <w:tc>
          <w:tcPr>
            <w:tcW w:w="2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152</w:t>
            </w:r>
          </w:p>
        </w:tc>
        <w:tc>
          <w:tcPr>
            <w:tcW w:w="2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(162,474)</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2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152,000</w:t>
            </w:r>
          </w:p>
        </w:tc>
        <w:tc>
          <w:tcPr>
            <w:tcW w:w="2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25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(22,293)</w:t>
            </w:r>
          </w:p>
        </w:tc>
        <w:tc>
          <w:tcPr>
            <w:tcW w:w="2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25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129,707</w:t>
            </w:r>
          </w:p>
        </w:tc>
        <w:tc>
          <w:tcPr>
            <w:tcW w:w="2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129,707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Company had one material measurement period adjustment since September 27, 2020, the last reported preliminary determination of fair values of the assets and liabilities. The significant adjustment included $403,000 net increase to Goodwill through adjustments to liabilities assumed as more information was obtained.</w:t>
      </w:r>
    </w:p>
    <w:p>
      <w:pPr>
        <w:spacing w:after="0" w:line="176"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For the 13 weeks ended December 27, 2020, the revenue and net income included in the Consolidated Income Statement related to the acquirees was $109,061,000 and $23,132,000,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 Forma Information</w:t>
      </w:r>
    </w:p>
    <w:p>
      <w:pPr>
        <w:spacing w:after="0" w:line="193"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September 30, 2019, the first day of fiscal year 2020.</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920" w:type="dxa"/>
            <w:vAlign w:val="bottom"/>
            <w:tcBorders>
              <w:top w:val="single" w:sz="8" w:color="auto"/>
              <w:bottom w:val="single" w:sz="8" w:color="auto"/>
            </w:tcBorders>
          </w:tcPr>
          <w:p>
            <w:pPr>
              <w:spacing w:after="0"/>
              <w:rPr>
                <w:sz w:val="18"/>
                <w:szCs w:val="18"/>
                <w:color w:val="auto"/>
              </w:rPr>
            </w:pPr>
          </w:p>
        </w:tc>
        <w:tc>
          <w:tcPr>
            <w:tcW w:w="3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69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37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6920" w:type="dxa"/>
            <w:vAlign w:val="bottom"/>
            <w:tcBorders>
              <w:bottom w:val="single" w:sz="8" w:color="auto"/>
            </w:tcBorders>
            <w:vMerge w:val="continue"/>
          </w:tcPr>
          <w:p>
            <w:pPr>
              <w:spacing w:after="0"/>
              <w:rPr>
                <w:sz w:val="17"/>
                <w:szCs w:val="17"/>
                <w:color w:val="auto"/>
              </w:rPr>
            </w:pPr>
          </w:p>
        </w:tc>
        <w:tc>
          <w:tcPr>
            <w:tcW w:w="3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37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237,618</w:t>
            </w:r>
          </w:p>
        </w:tc>
        <w:tc>
          <w:tcPr>
            <w:tcW w:w="0" w:type="dxa"/>
            <w:vAlign w:val="bottom"/>
          </w:tcPr>
          <w:p>
            <w:pPr>
              <w:spacing w:after="0"/>
              <w:rPr>
                <w:sz w:val="1"/>
                <w:szCs w:val="1"/>
                <w:color w:val="auto"/>
              </w:rPr>
            </w:pPr>
          </w:p>
        </w:tc>
      </w:tr>
      <w:tr>
        <w:trPr>
          <w:trHeight w:val="202"/>
        </w:trPr>
        <w:tc>
          <w:tcPr>
            <w:tcW w:w="6920" w:type="dxa"/>
            <w:vAlign w:val="bottom"/>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3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03"/>
        </w:trPr>
        <w:tc>
          <w:tcPr>
            <w:tcW w:w="6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3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36"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36"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5"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only material, nonrecurring adjustment made relates to the write-off of previously unamortized debt-issuance costs as of October 1, 2018 which resulted in a $897,000 increase to net income for the 13 weeks ended December 29, 2019.</w:t>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We recorded an income tax expense of $6,311,000 related to income before taxes of $22,714,000 for the13 weeks ended December 27, 2020, resulting in an effective tax rate of 27.8%. For the 13 weeks ended December 29, 2019, we recorded an income tax expense of $1,871,000 related to income before taxes of $7,588,000 resulting in an effective tax rate of 24.7%.</w:t>
      </w:r>
    </w:p>
    <w:p>
      <w:pPr>
        <w:spacing w:after="0" w:line="189" w:lineRule="exact"/>
        <w:rPr>
          <w:rFonts w:ascii="Arial" w:cs="Arial" w:eastAsia="Arial" w:hAnsi="Arial"/>
          <w:sz w:val="18"/>
          <w:szCs w:val="18"/>
          <w:b w:val="1"/>
          <w:bCs w:val="1"/>
          <w:color w:val="auto"/>
        </w:rPr>
      </w:pPr>
    </w:p>
    <w:p>
      <w:pPr>
        <w:ind w:left="66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due to the effect of state taxes, non-deductible expenses including interest, and adjustments to reserves for uncertain tax positions, including any related interest.</w:t>
      </w:r>
    </w:p>
    <w:p>
      <w:pPr>
        <w:spacing w:after="0" w:line="183" w:lineRule="exact"/>
        <w:rPr>
          <w:rFonts w:ascii="Arial" w:cs="Arial" w:eastAsia="Arial" w:hAnsi="Arial"/>
          <w:sz w:val="18"/>
          <w:szCs w:val="18"/>
          <w:b w:val="1"/>
          <w:bCs w:val="1"/>
          <w:color w:val="auto"/>
        </w:rPr>
      </w:pPr>
    </w:p>
    <w:p>
      <w:pPr>
        <w:jc w:val="both"/>
        <w:ind w:left="660" w:right="80"/>
        <w:spacing w:after="0"/>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2013.</w:t>
      </w:r>
    </w:p>
    <w:p>
      <w:pPr>
        <w:spacing w:after="0" w:line="18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At September 27, 2020, we had approximately $46,066,000 of state net operating loss benefits.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8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62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8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December 27,</w:t>
            </w:r>
          </w:p>
        </w:tc>
        <w:tc>
          <w:tcPr>
            <w:tcW w:w="15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vMerge w:val="continue"/>
          </w:tcPr>
          <w:p>
            <w:pPr>
              <w:spacing w:after="0"/>
              <w:rPr>
                <w:sz w:val="17"/>
                <w:szCs w:val="17"/>
                <w:color w:val="auto"/>
              </w:rPr>
            </w:pPr>
          </w:p>
        </w:tc>
        <w:tc>
          <w:tcPr>
            <w:tcW w:w="28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2020</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2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15,902</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2840" w:type="dxa"/>
            <w:vAlign w:val="bottom"/>
          </w:tcPr>
          <w:p>
            <w:pPr>
              <w:jc w:val="right"/>
              <w:ind w:right="50"/>
              <w:spacing w:after="0" w:line="183" w:lineRule="exact"/>
              <w:rPr>
                <w:sz w:val="20"/>
                <w:szCs w:val="20"/>
                <w:color w:val="auto"/>
              </w:rPr>
            </w:pPr>
            <w:r>
              <w:rPr>
                <w:rFonts w:ascii="Arial" w:cs="Arial" w:eastAsia="Arial" w:hAnsi="Arial"/>
                <w:sz w:val="18"/>
                <w:szCs w:val="18"/>
                <w:color w:val="auto"/>
              </w:rPr>
              <w:t>58,449</w:t>
            </w:r>
          </w:p>
        </w:tc>
        <w:tc>
          <w:tcPr>
            <w:tcW w:w="154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57,729</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2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(1,545)</w:t>
            </w: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28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56,904</w:t>
            </w:r>
          </w:p>
        </w:tc>
        <w:tc>
          <w:tcPr>
            <w:tcW w:w="1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56,270</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2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418</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28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57,322</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57,053</w:t>
            </w:r>
          </w:p>
        </w:tc>
        <w:tc>
          <w:tcPr>
            <w:tcW w:w="0" w:type="dxa"/>
            <w:vAlign w:val="bottom"/>
          </w:tcPr>
          <w:p>
            <w:pPr>
              <w:spacing w:after="0"/>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2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8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0.28</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3"/>
        </w:trPr>
        <w:tc>
          <w:tcPr>
            <w:tcW w:w="62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2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0.28</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100"/>
        <w:spacing w:after="0"/>
        <w:rPr>
          <w:sz w:val="20"/>
          <w:szCs w:val="20"/>
          <w:color w:val="auto"/>
        </w:rPr>
      </w:pPr>
      <w:r>
        <w:rPr>
          <w:rFonts w:ascii="Arial" w:cs="Arial" w:eastAsia="Arial" w:hAnsi="Arial"/>
          <w:sz w:val="18"/>
          <w:szCs w:val="18"/>
          <w:color w:val="auto"/>
        </w:rPr>
        <w:t>For the 13 weeks ended December 27, 2020 and December 29, 2019, 6,413,000 and 6,384,000 shares, respectively, were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22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during the 13 weeks ended December 27, 2020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Weighted Average</w:t>
            </w:r>
          </w:p>
        </w:tc>
        <w:tc>
          <w:tcPr>
            <w:tcW w:w="940" w:type="dxa"/>
            <w:vAlign w:val="bottom"/>
            <w:tcBorders>
              <w:top w:val="single" w:sz="8" w:color="auto"/>
            </w:tcBorders>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Weighted</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Remaining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Aggregate</w:t>
            </w:r>
          </w:p>
        </w:tc>
      </w:tr>
      <w:tr>
        <w:trPr>
          <w:trHeight w:val="202"/>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Average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Contractual Term</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Intrinsic</w:t>
            </w:r>
          </w:p>
        </w:tc>
      </w:tr>
      <w:tr>
        <w:trPr>
          <w:trHeight w:val="210"/>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Shares</w:t>
            </w:r>
          </w:p>
        </w:tc>
        <w:tc>
          <w:tcPr>
            <w:tcW w:w="15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Exercise Price</w:t>
            </w: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(Years)</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Value</w:t>
            </w:r>
          </w:p>
        </w:tc>
      </w:tr>
      <w:tr>
        <w:trPr>
          <w:trHeight w:val="203"/>
        </w:trPr>
        <w:tc>
          <w:tcPr>
            <w:tcW w:w="5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14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413</w:t>
            </w:r>
          </w:p>
        </w:tc>
        <w:tc>
          <w:tcPr>
            <w:tcW w:w="1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w:t>
            </w:r>
          </w:p>
        </w:tc>
        <w:tc>
          <w:tcPr>
            <w:tcW w:w="1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2"/>
        </w:trPr>
        <w:tc>
          <w:tcPr>
            <w:tcW w:w="50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196"/>
        </w:trPr>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Outstanding, December 27, 2020</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413</w:t>
            </w:r>
          </w:p>
        </w:tc>
        <w:tc>
          <w:tcPr>
            <w:tcW w:w="15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1.14</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36"/>
        </w:trPr>
        <w:tc>
          <w:tcPr>
            <w:tcW w:w="5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December 27, 2020</w:t>
            </w: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413</w:t>
            </w:r>
          </w:p>
        </w:tc>
        <w:tc>
          <w:tcPr>
            <w:tcW w:w="15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1.14</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Common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restricted Common Stock activity during the 13 weeks ended December 27, 2020:</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00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Weighted</w:t>
            </w:r>
          </w:p>
        </w:tc>
      </w:tr>
      <w:tr>
        <w:trPr>
          <w:trHeight w:val="203"/>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r>
      <w:tr>
        <w:trPr>
          <w:trHeight w:val="203"/>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Grant Date</w:t>
            </w:r>
          </w:p>
        </w:tc>
      </w:tr>
      <w:tr>
        <w:trPr>
          <w:trHeight w:val="203"/>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 Except Per Share Data)</w:t>
            </w:r>
          </w:p>
        </w:tc>
        <w:tc>
          <w:tcPr>
            <w:tcW w:w="34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Shares</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Fair Value</w:t>
            </w:r>
          </w:p>
        </w:tc>
      </w:tr>
      <w:tr>
        <w:trPr>
          <w:trHeight w:val="196"/>
        </w:trPr>
        <w:tc>
          <w:tcPr>
            <w:tcW w:w="6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September 27, 2020</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1,550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2.15</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34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2.77</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34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458</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34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6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27, 2020</w:t>
            </w:r>
          </w:p>
        </w:tc>
        <w:tc>
          <w:tcPr>
            <w:tcW w:w="34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1,561</w:t>
            </w:r>
          </w:p>
        </w:tc>
        <w:tc>
          <w:tcPr>
            <w:tcW w:w="1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1.67</w:t>
            </w:r>
          </w:p>
        </w:tc>
      </w:tr>
    </w:tbl>
    <w:p>
      <w:pPr>
        <w:spacing w:after="0" w:line="202" w:lineRule="exact"/>
        <w:rPr>
          <w:sz w:val="20"/>
          <w:szCs w:val="20"/>
          <w:color w:val="auto"/>
        </w:rPr>
      </w:pPr>
    </w:p>
    <w:p>
      <w:pPr>
        <w:jc w:val="both"/>
        <w:ind w:left="660" w:right="100"/>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December 27, 2020 is $1,534,000, which will be recognized over a weighted average period of 1.9 years.</w:t>
      </w:r>
    </w:p>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ind w:left="660" w:right="80"/>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1140" w:right="58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model-derived valuations in which all significant inputs are observable in active markets.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$4,226,000, including our 17% ownership of the non-voting common stock of TCT, are carried at cost. Fair value of the remaining investments are carried at cost.</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Our fixed rate debt consists of $523,556,000 principal amount of the Term Loan recorded at carrying value. At December 27, 2020, based on market price quotations, the fair value is $532,456,000. This represents a level 2 fair value measurement.</w:t>
      </w:r>
    </w:p>
    <w:p>
      <w:pPr>
        <w:spacing w:after="0" w:line="183" w:lineRule="exact"/>
        <w:rPr>
          <w:sz w:val="20"/>
          <w:szCs w:val="20"/>
          <w:color w:val="auto"/>
        </w:rPr>
      </w:pPr>
    </w:p>
    <w:p>
      <w:pPr>
        <w:jc w:val="both"/>
        <w:ind w:left="660" w:right="80"/>
        <w:spacing w:after="0" w:line="238" w:lineRule="auto"/>
        <w:rPr>
          <w:sz w:val="20"/>
          <w:szCs w:val="20"/>
          <w:color w:val="auto"/>
        </w:rPr>
      </w:pPr>
      <w:r>
        <w:rPr>
          <w:rFonts w:ascii="Arial" w:cs="Arial" w:eastAsia="Arial" w:hAnsi="Arial"/>
          <w:sz w:val="18"/>
          <w:szCs w:val="18"/>
          <w:color w:val="auto"/>
        </w:rPr>
        <w:t>As discussed more fully in Note 5, we recorded a liability for the Warrants issued in connection with the Warrant Agreement. The liability was initially measured at its fair value and we measure the liability to fair value each reporting period, with changes reported in other non-operating income (expense). The initial fair value of the Warrants was $16,930,000. The fair value of Warrants at December 27, 2020 and September 27, 2020 are $247,000 and $363,000, respectively. Fair value is determined using the Black-Scholes option pricing model. These represent level 2 fair value measurements.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660" w:right="80"/>
        <w:spacing w:after="0" w:line="250"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8.</w:t>
      </w:r>
    </w:p>
    <w:p>
      <w:pPr>
        <w:spacing w:after="0" w:line="181" w:lineRule="exact"/>
        <w:rPr>
          <w:sz w:val="20"/>
          <w:szCs w:val="20"/>
          <w:color w:val="auto"/>
        </w:rPr>
      </w:pPr>
    </w:p>
    <w:p>
      <w:pPr>
        <w:jc w:val="both"/>
        <w:ind w:left="660" w:right="80"/>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Operations and Comprehensive Income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ind w:left="660" w:right="80"/>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2013.</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Restructuring Costs and Other</w:t>
      </w:r>
    </w:p>
    <w:p>
      <w:pPr>
        <w:sectPr>
          <w:pgSz w:w="11900" w:h="16838" w:orient="portrait"/>
          <w:cols w:equalWidth="0" w:num="1">
            <w:col w:w="11320"/>
          </w:cols>
          <w:pgMar w:left="320" w:top="125" w:right="259" w:bottom="128" w:gutter="0" w:footer="0" w:header="0"/>
        </w:sectPr>
      </w:pPr>
    </w:p>
    <w:bookmarkStart w:id="16" w:name="page17"/>
    <w:bookmarkEnd w:id="16"/>
    <w:p>
      <w:pPr>
        <w:ind w:right="20"/>
        <w:spacing w:after="0" w:line="245" w:lineRule="auto"/>
        <w:rPr>
          <w:sz w:val="20"/>
          <w:szCs w:val="20"/>
          <w:color w:val="auto"/>
        </w:rPr>
      </w:pPr>
      <w:r>
        <w:rPr>
          <w:rFonts w:ascii="Arial" w:cs="Arial" w:eastAsia="Arial" w:hAnsi="Arial"/>
          <w:sz w:val="18"/>
          <w:szCs w:val="18"/>
          <w:color w:val="auto"/>
        </w:rPr>
        <w:t>We have recognized $3,167,000 of expense related to restructuring costs and other. This amount consists of severance expense of $3,167,000. We did not have a significant restructuring liability as of December 27,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evaluated subsequent events through February 5, 2021. No events have occurred subsequent to December 27, 2020 that require disclosure or recognition in these financial statements.</w:t>
      </w:r>
    </w:p>
    <w:p>
      <w:pPr>
        <w:spacing w:after="0" w:line="18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13 weeks ended December 27, 2020. This discussion should be read in conjunction with the Consolidated Financial Statements and related Notes thereto, included herein, and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this report, we present Adjusted EBITDA, cash costs, and total operating revenue less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included herein, under the caption “Continuing Operations”. Adjusted EBITDA is reconciled to net income, below, its closest comparable number under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top w:val="single" w:sz="8" w:color="auto"/>
              <w:bottom w:val="single" w:sz="8" w:color="auto"/>
            </w:tcBorders>
          </w:tcPr>
          <w:p>
            <w:pPr>
              <w:spacing w:after="0"/>
              <w:rPr>
                <w:sz w:val="18"/>
                <w:szCs w:val="18"/>
                <w:color w:val="auto"/>
              </w:rPr>
            </w:pPr>
          </w:p>
        </w:tc>
        <w:tc>
          <w:tcPr>
            <w:tcW w:w="49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 Weeks Ended</w:t>
            </w:r>
          </w:p>
        </w:tc>
        <w:tc>
          <w:tcPr>
            <w:tcW w:w="0" w:type="dxa"/>
            <w:vAlign w:val="bottom"/>
          </w:tcPr>
          <w:p>
            <w:pPr>
              <w:spacing w:after="0"/>
              <w:rPr>
                <w:sz w:val="1"/>
                <w:szCs w:val="1"/>
                <w:color w:val="auto"/>
              </w:rPr>
            </w:pPr>
          </w:p>
        </w:tc>
      </w:tr>
      <w:tr>
        <w:trPr>
          <w:trHeight w:val="195"/>
        </w:trPr>
        <w:tc>
          <w:tcPr>
            <w:tcW w:w="478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9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December 27,</w:t>
            </w:r>
          </w:p>
        </w:tc>
        <w:tc>
          <w:tcPr>
            <w:tcW w:w="15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49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2020</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9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16,403</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4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49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6,311</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Non-operating (income) expenses, net</w:t>
            </w:r>
          </w:p>
        </w:tc>
        <w:tc>
          <w:tcPr>
            <w:tcW w:w="4920" w:type="dxa"/>
            <w:vAlign w:val="bottom"/>
          </w:tcPr>
          <w:p>
            <w:pPr>
              <w:jc w:val="right"/>
              <w:spacing w:after="0" w:line="202" w:lineRule="exact"/>
              <w:rPr>
                <w:sz w:val="20"/>
                <w:szCs w:val="20"/>
                <w:color w:val="auto"/>
              </w:rPr>
            </w:pPr>
            <w:r>
              <w:rPr>
                <w:rFonts w:ascii="Arial" w:cs="Arial" w:eastAsia="Arial" w:hAnsi="Arial"/>
                <w:sz w:val="18"/>
                <w:szCs w:val="18"/>
                <w:color w:val="auto"/>
              </w:rPr>
              <w:t>(1,906)</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4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(1,743)</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2"/>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Loss on sale of assets and other, net</w:t>
            </w:r>
          </w:p>
        </w:tc>
        <w:tc>
          <w:tcPr>
            <w:tcW w:w="4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5,222</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49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10,441</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4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3,167</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49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220</w:t>
            </w:r>
          </w:p>
        </w:tc>
        <w:tc>
          <w:tcPr>
            <w:tcW w:w="1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4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49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1,890</w:t>
            </w:r>
          </w:p>
        </w:tc>
        <w:tc>
          <w:tcPr>
            <w:tcW w:w="15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4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40,005</w:t>
            </w:r>
          </w:p>
        </w:tc>
        <w:tc>
          <w:tcPr>
            <w:tcW w:w="15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28,122</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tcPr>
          <w:p>
            <w:pPr>
              <w:spacing w:after="0"/>
              <w:rPr>
                <w:sz w:val="24"/>
                <w:szCs w:val="24"/>
                <w:color w:val="auto"/>
              </w:rPr>
            </w:pPr>
          </w:p>
        </w:tc>
        <w:tc>
          <w:tcPr>
            <w:tcW w:w="4920" w:type="dxa"/>
            <w:vAlign w:val="bottom"/>
          </w:tcPr>
          <w:p>
            <w:pPr>
              <w:jc w:val="right"/>
              <w:ind w:right="3890"/>
              <w:spacing w:after="0"/>
              <w:rPr>
                <w:sz w:val="20"/>
                <w:szCs w:val="20"/>
                <w:color w:val="auto"/>
              </w:rPr>
            </w:pPr>
            <w:r>
              <w:rPr>
                <w:rFonts w:ascii="Arial" w:cs="Arial" w:eastAsia="Arial" w:hAnsi="Arial"/>
                <w:sz w:val="18"/>
                <w:szCs w:val="18"/>
                <w:color w:val="auto"/>
              </w:rPr>
              <w:t>16</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240"/>
          </w:cols>
          <w:pgMar w:left="320" w:top="125" w:right="339" w:bottom="0" w:gutter="0" w:footer="0" w:header="0"/>
        </w:sectPr>
      </w:pPr>
    </w:p>
    <w:bookmarkStart w:id="18" w:name="page19"/>
    <w:bookmarkEnd w:id="18"/>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include the following:</w:t>
      </w:r>
    </w:p>
    <w:p>
      <w:pPr>
        <w:spacing w:after="0" w:line="194" w:lineRule="exact"/>
        <w:rPr>
          <w:sz w:val="20"/>
          <w:szCs w:val="20"/>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Intangible assets, other than goodwill;</w:t>
      </w:r>
    </w:p>
    <w:p>
      <w:pPr>
        <w:ind w:left="460" w:hanging="223"/>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postretirement and postemployment benefit plans;</w:t>
      </w:r>
    </w:p>
    <w:p>
      <w:pPr>
        <w:ind w:left="460" w:hanging="223"/>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 and</w:t>
      </w: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prepared its initial estimates of the fair values of intangible assets utilizing the multi-period excess earnings method for customer-related amortizable intangible assets and the relief from royalty method for indefinite lived masthead assets. Examples of critical estimates in valuing certain of the intangible assets and goodwill we have acquired include but are not limited to:</w:t>
      </w:r>
    </w:p>
    <w:p>
      <w:pPr>
        <w:spacing w:after="0" w:line="191" w:lineRule="exact"/>
        <w:rPr>
          <w:sz w:val="20"/>
          <w:szCs w:val="20"/>
          <w:color w:val="auto"/>
        </w:rPr>
      </w:pPr>
    </w:p>
    <w:p>
      <w:pPr>
        <w:ind w:left="460" w:right="4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spacing w:after="0" w:line="1" w:lineRule="exact"/>
        <w:rPr>
          <w:rFonts w:ascii="Arial" w:cs="Arial" w:eastAsia="Arial" w:hAnsi="Arial"/>
          <w:sz w:val="18"/>
          <w:szCs w:val="18"/>
          <w:color w:val="auto"/>
        </w:rPr>
      </w:pPr>
    </w:p>
    <w:p>
      <w:pPr>
        <w:ind w:left="460" w:hanging="223"/>
        <w:spacing w:after="0" w:line="23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 rates; and</w:t>
      </w: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 information regarding our accounting for business combinations can be found in Note 1. Additional information regarding all other critical accounting policies can be found under the caption “Management's Discussion and Analysis of Financial Condition and Results of Operations” in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recently completed acquisition of BHMG and Buffalo News, 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72.5% of all adults in our larger markets through a combination of our print and digital content offerings.</w:t>
      </w:r>
    </w:p>
    <w:p>
      <w:pPr>
        <w:spacing w:after="0" w:line="198" w:lineRule="exact"/>
        <w:rPr>
          <w:sz w:val="20"/>
          <w:szCs w:val="20"/>
          <w:color w:val="auto"/>
        </w:rPr>
      </w:pPr>
    </w:p>
    <w:p>
      <w:pPr>
        <w:ind w:left="66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than55 million unique visitors, in the month of December 2020 with 489 million page views and 114 million visits.</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approximately 1.2 million subscribers to our print and digital products, with estimated readership totaling three million. Digital only subscribers totaled approximately 286,000, with a 69.2% increase over the prior year.</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also operate TownNews, through our 82.5% owned subsidiary INN Partners, L.C. (“TownNews”). TownNews provides state-of-the-art web hosting, content management services and video management services to nearly 2,200 other media organizations including broadcast.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 with Berkshire Hathaway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(“BHMG”) (the “Purchase Agreement”). As part of the Purchase Agreement, the Company purchased certain assets and assumed certain liabilities of BHMG’s newspapers and related community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The Transactions were financed pursuant to a credit agreement dated as of January 29, 2020 between the Company and BH Finance LLC, a Delaware limited liability company affiliated with Berkshire (the “Credit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BHMG includes 30 daily newspapers and digital operations, in addition to 49 paid weekly newspapers with websites and 32 other print products. Buffalo News is a provider of local print and digital news to the Buffalo, NY area. Between July 2, 2018 and March 16, 2020, the Company managed the BH Media Newspaper Business pursuant to a Management Agreement between BHMG and the Company dated June 26, 2018 (the “Management Agreement”).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Transactions, the Management Agreement terminated on March 16, 2020. As part of the settlement of the preexisting relationship, the Company received $5,425,000 at closing. This amount represented $1,245,000 in fixed fees pro-rated under the contract and $4,180,000 in variable fees based upon the pro-rated annual target. The Company did not recognize a gain or loss as a result of the settlement of this preexisting relationship.</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BHMG, as Landlord, and the Company, as Tenant, providing for the leasing of 68 properties and related fixtures (including production equipment) used in the BH Media Newspaper Business (the “BH Lease”). The BH Lease was signed and commenced on March 16, 2020. The BH Lease requires the Company to pay annual rent of $8,000,000, payable in equal monthly payments, as well as all operating costs relating to the properties (including maintenance, repairs, property taxes and insurance). Rent payments will be subject to a Rent Credit (as defined in the BH Lease) equal to 8.00% of the net consideration for any leased real estate sold by BH Media during the term of the BH Lease.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OTHER ASSETS</w:t>
      </w:r>
    </w:p>
    <w:p>
      <w:pPr>
        <w:sectPr>
          <w:pgSz w:w="11900" w:h="16846" w:orient="portrait"/>
          <w:cols w:equalWidth="0" w:num="1">
            <w:col w:w="11240"/>
          </w:cols>
          <w:pgMar w:left="320" w:top="341" w:right="339" w:bottom="0" w:gutter="0" w:footer="0" w:header="0"/>
        </w:sectPr>
      </w:pPr>
    </w:p>
    <w:bookmarkStart w:id="19" w:name="page20"/>
    <w:bookmarkEnd w:id="19"/>
    <w:p>
      <w:pPr>
        <w:spacing w:after="0" w:line="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significant amounts of goodwill and identified intangible assets. Since 2007 we have recorded impairment charges totaling almost $1.3 billion to reduce the value of certain of these assets. Future decreases in our market value, or significant differences in revenue, expenses or cash flows from estimates used to determine fair value, could result in additional impairment charges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2021 to 2020 and will continue to affect period-over-period comparisons for future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98" w:lineRule="exact"/>
        <w:rPr>
          <w:sz w:val="20"/>
          <w:szCs w:val="20"/>
          <w:color w:val="auto"/>
        </w:rPr>
      </w:pPr>
    </w:p>
    <w:p>
      <w:pPr>
        <w:jc w:val="both"/>
        <w:ind w:left="460" w:hanging="223"/>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 March 2020, we completed the acquisition of BHMG and </w:t>
      </w:r>
      <w:r>
        <w:rPr>
          <w:rFonts w:ascii="Arial" w:cs="Arial" w:eastAsia="Arial" w:hAnsi="Arial"/>
          <w:sz w:val="18"/>
          <w:szCs w:val="18"/>
          <w:i w:val="1"/>
          <w:iCs w:val="1"/>
          <w:color w:val="auto"/>
        </w:rPr>
        <w:t>The Buffalo News</w:t>
      </w:r>
      <w:r>
        <w:rPr>
          <w:rFonts w:ascii="Arial" w:cs="Arial" w:eastAsia="Arial" w:hAnsi="Arial"/>
          <w:sz w:val="18"/>
          <w:szCs w:val="18"/>
          <w:color w:val="auto"/>
        </w:rPr>
        <w:t xml:space="preserve"> for a purchase price of $140,000,000. The acquisition was funded by the Term Loan, as part of a broader comprehensive refinancing of all of our then outstanding debt, as well as cash on our balance sheet.</w:t>
      </w:r>
    </w:p>
    <w:p>
      <w:pPr>
        <w:spacing w:after="0" w:line="181" w:lineRule="exact"/>
        <w:rPr>
          <w:rFonts w:ascii="Arial" w:cs="Arial" w:eastAsia="Arial" w:hAnsi="Arial"/>
          <w:sz w:val="18"/>
          <w:szCs w:val="18"/>
          <w:color w:val="auto"/>
        </w:rPr>
      </w:pPr>
    </w:p>
    <w:p>
      <w:pPr>
        <w:ind w:left="460" w:hanging="223"/>
        <w:spacing w:after="0" w:line="24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operating results have experienced lower revenue and profitability over the last several years and these trends are expected to continue in the future; however, the pandemic and government restrictions caused significant and immediate declines in demand for certain of our products and services, and ultimately in advertising revenue.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COVID-19 pandemic has had and the Company currently expects that it will continue to have a significant negative impact, in the near term,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combination with our acquisition integration, ongoing business transformation and addressing the continued effects of COVID-19 on our operating results, we continued to implement measures to solidify our relationship with our local advertisers, reduce our cost structure and preserve liquidity, and as a result we achieved $100 million in cost reductions from December 2019 through December 2020 on a proforma basis. These reductions were achieved by centralizing certain business functions and systems and reducing duplicate cost structures across the combined organization. The Company believes these initiatives will allow us to meet our commitments; however, they may not be sufficient to fully offset the negative impact of the COVID-19 pandemic on the Company’s business and results of operations.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evaluated the current economic environment as of December 27, 2020 and have concluded that there is no event or circumstance that has occurred to trigger an impairment assessment of our long-lived or indefinite-lived assets. We will continue to monitor the environment to determine whether the impacts to the Company represent an event or change in circumstances that may trigger a need to reassess for useful life revision or impairment.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WEEKS ENDED DECEMBER 27,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December</w:t>
            </w:r>
          </w:p>
        </w:tc>
        <w:tc>
          <w:tcPr>
            <w:tcW w:w="14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December</w:t>
            </w:r>
          </w:p>
        </w:tc>
        <w:tc>
          <w:tcPr>
            <w:tcW w:w="1060" w:type="dxa"/>
            <w:vAlign w:val="bottom"/>
            <w:tcBorders>
              <w:top w:val="single" w:sz="8" w:color="auto"/>
            </w:tcBorders>
          </w:tcPr>
          <w:p>
            <w:pPr>
              <w:spacing w:after="0"/>
              <w:rPr>
                <w:sz w:val="18"/>
                <w:szCs w:val="18"/>
                <w:color w:val="auto"/>
              </w:rPr>
            </w:pPr>
          </w:p>
        </w:tc>
      </w:tr>
      <w:tr>
        <w:trPr>
          <w:trHeight w:val="203"/>
        </w:trPr>
        <w:tc>
          <w:tcPr>
            <w:tcW w:w="5740" w:type="dxa"/>
            <w:vAlign w:val="bottom"/>
          </w:tcPr>
          <w:p>
            <w:pPr>
              <w:spacing w:after="0"/>
              <w:rPr>
                <w:sz w:val="17"/>
                <w:szCs w:val="17"/>
                <w:color w:val="auto"/>
              </w:rPr>
            </w:pPr>
          </w:p>
        </w:tc>
        <w:tc>
          <w:tcPr>
            <w:tcW w:w="30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27,</w:t>
            </w:r>
          </w:p>
        </w:tc>
        <w:tc>
          <w:tcPr>
            <w:tcW w:w="14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29,</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Percent</w:t>
            </w:r>
          </w:p>
        </w:tc>
      </w:tr>
      <w:tr>
        <w:trPr>
          <w:trHeight w:val="203"/>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30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2020</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30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102,629</w:t>
            </w: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65,727</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56.1</w:t>
            </w: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w:t>
            </w:r>
          </w:p>
        </w:tc>
        <w:tc>
          <w:tcPr>
            <w:tcW w:w="30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90,508</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41,694</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30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18,680</w:t>
            </w:r>
          </w:p>
        </w:tc>
        <w:tc>
          <w:tcPr>
            <w:tcW w:w="14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14,922</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25.2</w:t>
            </w:r>
          </w:p>
        </w:tc>
      </w:tr>
      <w:tr>
        <w:trPr>
          <w:trHeight w:val="196"/>
        </w:trPr>
        <w:tc>
          <w:tcPr>
            <w:tcW w:w="5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30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211,817</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122,343</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73.1</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30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84,163</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43,243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94.6</w:t>
            </w: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30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7,992</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4,736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68.8</w:t>
            </w:r>
          </w:p>
        </w:tc>
      </w:tr>
      <w:tr>
        <w:trPr>
          <w:trHeight w:val="203"/>
        </w:trPr>
        <w:tc>
          <w:tcPr>
            <w:tcW w:w="57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30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81,767</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48,462</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68.7</w:t>
            </w:r>
          </w:p>
        </w:tc>
      </w:tr>
      <w:tr>
        <w:trPr>
          <w:trHeight w:val="196"/>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30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173,922</w:t>
            </w:r>
          </w:p>
        </w:tc>
        <w:tc>
          <w:tcPr>
            <w:tcW w:w="14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96,441</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80.3</w:t>
            </w:r>
          </w:p>
        </w:tc>
      </w:tr>
      <w:tr>
        <w:trPr>
          <w:trHeight w:val="196"/>
        </w:trPr>
        <w:tc>
          <w:tcPr>
            <w:tcW w:w="5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 less cash costs</w:t>
            </w:r>
          </w:p>
        </w:tc>
        <w:tc>
          <w:tcPr>
            <w:tcW w:w="30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37,895</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25,902</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46.3</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30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10,441</w:t>
            </w:r>
          </w:p>
        </w:tc>
        <w:tc>
          <w:tcPr>
            <w:tcW w:w="14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6,719</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55.4</w:t>
            </w: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loss on sales, impairments and other, net</w:t>
            </w:r>
          </w:p>
        </w:tc>
        <w:tc>
          <w:tcPr>
            <w:tcW w:w="30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5,222</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814</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2"/>
        </w:trPr>
        <w:tc>
          <w:tcPr>
            <w:tcW w:w="5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30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3,167</w:t>
            </w:r>
          </w:p>
        </w:tc>
        <w:tc>
          <w:tcPr>
            <w:tcW w:w="14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1,632</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94.1</w:t>
            </w:r>
          </w:p>
        </w:tc>
      </w:tr>
      <w:tr>
        <w:trPr>
          <w:trHeight w:val="196"/>
        </w:trPr>
        <w:tc>
          <w:tcPr>
            <w:tcW w:w="5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0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192,752</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105,606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82.5</w:t>
            </w:r>
          </w:p>
        </w:tc>
      </w:tr>
      <w:tr>
        <w:trPr>
          <w:trHeight w:val="209"/>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3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1,743</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1,569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196"/>
        </w:trPr>
        <w:tc>
          <w:tcPr>
            <w:tcW w:w="5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30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20,808</w:t>
            </w:r>
          </w:p>
        </w:tc>
        <w:tc>
          <w:tcPr>
            <w:tcW w:w="14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18,306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13.7</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3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5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30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(11,882)</w:t>
            </w:r>
          </w:p>
        </w:tc>
        <w:tc>
          <w:tcPr>
            <w:tcW w:w="14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(11,115)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r>
      <w:tr>
        <w:trPr>
          <w:trHeight w:val="203"/>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30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(1,196)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30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23,830</w:t>
            </w:r>
          </w:p>
        </w:tc>
        <w:tc>
          <w:tcPr>
            <w:tcW w:w="14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2"/>
        </w:trPr>
        <w:tc>
          <w:tcPr>
            <w:tcW w:w="57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30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(12,310)</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2"/>
        </w:trPr>
        <w:tc>
          <w:tcPr>
            <w:tcW w:w="57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30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2,268</w:t>
            </w:r>
          </w:p>
        </w:tc>
        <w:tc>
          <w:tcPr>
            <w:tcW w:w="14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1,593</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12"/>
        </w:trPr>
        <w:tc>
          <w:tcPr>
            <w:tcW w:w="5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Non-operating expenses, net</w:t>
            </w:r>
          </w:p>
        </w:tc>
        <w:tc>
          <w:tcPr>
            <w:tcW w:w="30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1,906</w:t>
            </w:r>
          </w:p>
        </w:tc>
        <w:tc>
          <w:tcPr>
            <w:tcW w:w="14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(12,311)</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-3211195</wp:posOffset>
            </wp:positionV>
            <wp:extent cx="7132320"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ectPr>
          <w:pgSz w:w="11900" w:h="16900" w:orient="portrait"/>
          <w:cols w:equalWidth="0" w:num="1">
            <w:col w:w="11240"/>
          </w:cols>
          <w:pgMar w:left="320" w:top="341" w:right="3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22,714</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7,588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03"/>
        </w:trPr>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2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6,311</w:t>
            </w:r>
          </w:p>
        </w:tc>
        <w:tc>
          <w:tcPr>
            <w:tcW w:w="13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1,871</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26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16,403</w:t>
            </w:r>
          </w:p>
        </w:tc>
        <w:tc>
          <w:tcPr>
            <w:tcW w:w="138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5,717</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26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(501)</w:t>
            </w:r>
          </w:p>
        </w:tc>
        <w:tc>
          <w:tcPr>
            <w:tcW w:w="13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(397)</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26.2</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26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15,902</w:t>
            </w:r>
          </w:p>
        </w:tc>
        <w:tc>
          <w:tcPr>
            <w:tcW w:w="138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5,320</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comprehensive income, net of income taxes</w:t>
            </w:r>
          </w:p>
        </w:tc>
        <w:tc>
          <w:tcPr>
            <w:tcW w:w="22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1,142</w:t>
            </w:r>
          </w:p>
        </w:tc>
        <w:tc>
          <w:tcPr>
            <w:tcW w:w="13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317</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36"/>
        </w:trPr>
        <w:tc>
          <w:tcPr>
            <w:tcW w:w="6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Lee Enterprises, Incorporated</w:t>
            </w:r>
          </w:p>
        </w:tc>
        <w:tc>
          <w:tcPr>
            <w:tcW w:w="226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17,044</w:t>
            </w:r>
          </w:p>
        </w:tc>
        <w:tc>
          <w:tcPr>
            <w:tcW w:w="138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5,637</w:t>
            </w:r>
          </w:p>
        </w:tc>
        <w:tc>
          <w:tcPr>
            <w:tcW w:w="9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6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0.28</w:t>
            </w:r>
          </w:p>
        </w:tc>
        <w:tc>
          <w:tcPr>
            <w:tcW w:w="138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0.09</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2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0.28</w:t>
            </w:r>
          </w:p>
        </w:tc>
        <w:tc>
          <w:tcPr>
            <w:tcW w:w="13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0.09</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References to the “2021 Quarter” refer to the 13 weeks ended December 27, 2020. Similarly, references to the “2020 Quarter” refer to the 13 weeks ended December 29,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operating revenue was $211,817,000 in the 2021 Quarter, up $ 89,474,000, or 73.1%, which included $109,061,000 in revenue from the acquisitions. Total operating revenue on a proforma basis was down 10.9%.</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and marketing services revenue totaled $102,629,000 in the 2021 Quarter, up 56.1% compared to the prior year with $47,850,000 attributable to acquisitions. Print advertising revenues were $67,616,000 in the 2021 Quarter, up 54.7% compared to the prior year, with $34,869,000 attributable to acquired print advertising revenue. Digital advertising and marketing services totaled $35,013,000 in the 2021 Quarter, up 58.9% compared to the prior year, with $12,981,000 attributable to acquired digital advertising and marketing services revenue. Digital advertising and marketing services represented 34.1% of the 2021 Quarter total advertising and marketing services revenue. Increases in the 2021 Quarter are attributed to acquired revenue, increases in Amplified Agency revenue, and incremental political revenue, partially offset by the continued downward trend in print advertising demand in the 2021 Quarter.</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Subscription revenue totaled $90,508,000 in the 2021 Quarter, up 117.1% compared to the 2020 Quarter. The increase is attributed to $51,603,000 of acquired subscription revenue and an increase in digital-only subscription revenue partially offset by lower print circulation units, consistent with industry trends and timing of price increases. As of December 27, 2020, we now have nearly 286,000 digital only subscribers.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which primarily consists of digital services revenue from TownNews and commercial printing revenue, increased $3,758,000, or 25.2%, in the 2021 Quarter compared to the 2020 Quarter. Other revenue in the 2021 Quarter included $ 9,603,000 of acquired other revenue, primarily from commercial printing. Digital services revenue totaled $4,991,000 in the 2021 Quarter, a 6.6% increase compared to the 2020 Quarter. On a stand -alone basis, revenue at TownNews totaled $6,704,000, an increase of 8.5%. Commercial printing revenue totaled $6,749,000 in the 2021 Quarter, a 304.6% increase compared to the 2020 Quarter, due to $6,093,000 of acquired commercial printing revenue. Management Agreement revenue was $0 in the 2021 Quarter compared to $3,978,000 in the 2020 Quarter, due to the cessation of the agreement in conjunction with the Transactions.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$62,534,000 in the 2021 Quarter, an increase of 57.9% over the 2020 Quarter, and represented 29.5% of our total operating revenue in the 2021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$174,000 in the 2021 Quarter.</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operating expenses were $192,752,000, a 82.5% increase compared to the 2020 Quarter, which included $99,081,000 in acquired operating expenses. Operating expenses include compensation expense, newsprint and ink, other operating expenses, depreciation, amortization, restructuring and other expenses, assets loss (gain) on sales, and impairments. Cash costs were $173,922,000, an 80.3% increase compared to the 2020 Quarter, which included $92,719,000 of acquired Cash Costs. Cash costs on a proforma basis were down 10.1%.</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expense increased $40,920,000 in the 2021 Quarter, or 94.6%, compared to the 2020 Quarter. This increase was attributable to $44,268,000 of acquired compensation expense, partially offset by a reduction in FTEs on a proforma basis.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Newsprint and ink costs increased $3,256,000 in the 2021 Quarter, or 68.8%, compared to the 2020 Quarter. The increase is attributable to acquired newsprint and ink expenses of $ 5,156,000 offset by declines in newsprint volumes and prices. See Item 3, “Commodities”, included herein, for further discussion and analysis of the impact of newsprint on our business.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expenses increased $33,305,000 in the 2021 Quarter, or 68.7%, compared to the 2020 Quarter.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$43,294,000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Restructuring costs and other totaled $3,167,000 and $1,632,000 in the 2021 Quarter and 2020 Quarter, respectively. Restructuring costs in the 2021 and 2020 Quarters is predominately severance.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increased $1,931,000, or 74.3%, and amortization expense increased $1,791,000, or 43.5%, in the 2021 Quarter. Increases in both are due to the acquired assets from BHMG and Buffalo News.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Assets loss (gain) on sales, impairments and other, was a net loss of $5,222,000 in the 2021 Quarter compared to a net loss of $814,000 in the 2020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$20,808,000 in the 2021 Quarter compared to $18,306,000 in the 2020 Quarter.</w:t>
      </w:r>
    </w:p>
    <w:p>
      <w:pPr>
        <w:sectPr>
          <w:pgSz w:w="11900" w:h="16838" w:orient="portrait"/>
          <w:cols w:equalWidth="0" w:num="1">
            <w:col w:w="11240"/>
          </w:cols>
          <w:pgMar w:left="320" w:top="135" w:right="339" w:bottom="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increased $767,000, or 6.9%, to $11,882,000 in the 2021 Quarter, compared to the same period last year. Our weighted average cost of debt, excluding amortization of debt financing costs, was 9.0% at the end of the 2021 Quarter and 9.9% at the end of the 2020 Quarter. The reduction of the weighted average cost of debt is due to the 2020 Refinancing.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debt financing and administrative expense in the 2021 Quarter compared to $1,196,000 in the 2020 Quarter.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$2,343,000 periodic pension and other postretirement benefits in the 2021 Quarter and $475,000 in the 2020 Quarter. We recorded non-operating income of $116,000 and $1,017,000 in the 2021 and 2020 Quarter, related to the changes in the value of the Warrants.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recognized a non-cash curtailment gain of $23,830,000 and a reduction in our benefit obligation in the 2021 Quarter by eliminating post-retirement medical coverage for certain employees.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recognized pension withdrawal costs in the quarter of $12,310,000 in connection with the withdrawal from a pension plan that covered certain employees. This withdrawal liability will be paid in equal quarterly installments over the next 20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recorded an income tax expense of $6,311,000, or 27.8% of pretax income in the 2021 Quarter. In the 2020 Quarter, we recognized an income tax expense of $1,871,000, or 24.7% of pretax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income was $16,403,000 and diluted earnings per share was $0.28 for the 2021 Quarter compared to net income of $5,717,000 and diluted earnings per share of $0.09 for 2020 Quarter. The change reflects the various items discussed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was $18,371,000 in the 2021 Period compared to $10,361,000 in the 2020 Period. Net income for the 2021 Period totaled $ 16,403,000 compared to $5,717,000 in the 2020 Period. The increase in cash provided by operating activities in the 2021 Period is mainly attributed to the acquired operations of BH Media and Buffalo.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investing activities totaled $74,000 in the 2021 Period compared to $3,740,000 in the 2020 Period. Capital spending totaled $1,738,000 in the 2021 Period compared to $ 2,458,000 in the 2020 Period. Cash proceeds from asset sales, mainly real estate, totaled $2,235,000 in the 2021 Period compared to $20,000 in the 2020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financing activities totaled $14,888,000 in the 2021 period compared to cash required for financing activities of $10,798,000 in the 2020 Period. Debt reduction accounted for all of the remaining usage of funds in both the 2021 Period and the 2020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March 2020, in connection with the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completed a comprehensive refinancing of its debt, which consists of a 25-year term loan with BH Finance in an aggregate principal amount of $576,000,000. The Term Loan, which matures March 16, 2045, bears interest at an annual rate of 9.0%.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December 27,</w:t>
            </w:r>
          </w:p>
        </w:tc>
        <w:tc>
          <w:tcPr>
            <w:tcW w:w="1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September 27,</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vMerge w:val="continue"/>
          </w:tcPr>
          <w:p>
            <w:pPr>
              <w:spacing w:after="0"/>
              <w:rPr>
                <w:sz w:val="17"/>
                <w:szCs w:val="17"/>
                <w:color w:val="auto"/>
              </w:rPr>
            </w:pPr>
          </w:p>
        </w:tc>
        <w:tc>
          <w:tcPr>
            <w:tcW w:w="31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7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Rates (%)</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31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523,556</w:t>
            </w:r>
          </w:p>
        </w:tc>
        <w:tc>
          <w:tcPr>
            <w:tcW w:w="17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538,290</w:t>
            </w:r>
          </w:p>
        </w:tc>
        <w:tc>
          <w:tcPr>
            <w:tcW w:w="1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1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17,142</w:t>
            </w:r>
          </w:p>
        </w:tc>
        <w:tc>
          <w:tcPr>
            <w:tcW w:w="17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13,733</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31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506,414</w:t>
            </w:r>
          </w:p>
        </w:tc>
        <w:tc>
          <w:tcPr>
            <w:tcW w:w="17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524,557</w:t>
            </w: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 instances of change in control. There are no other scheduled mandatory principal payments required under the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Excess cash flow for the 13 weeks ended December 27, 2020 totaled $17,142,000, which was used to repay debt in January 2021.</w:t>
      </w:r>
    </w:p>
    <w:p>
      <w:pPr>
        <w:sectPr>
          <w:pgSz w:w="11900" w:h="16838" w:orient="portrait"/>
          <w:cols w:equalWidth="0" w:num="1">
            <w:col w:w="11240"/>
          </w:cols>
          <w:pgMar w:left="320" w:top="319" w:right="339" w:bottom="0" w:gutter="0" w:footer="0" w:header="0"/>
        </w:sectPr>
      </w:pPr>
    </w:p>
    <w:bookmarkStart w:id="22" w:name="page23"/>
    <w:bookmarkEnd w:id="22"/>
    <w:p>
      <w:pPr>
        <w:spacing w:after="0" w:line="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 There are no financial performance covenants under our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closing of the transactions, we no longer have access to a Revolving Facility.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2020, we filed a Form S-3 registration statement ("Shelf"), that gave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Upon the filing of our Annual Report on Form 10-K, however, as a result of SEC issuer eligibility rules, we were not eligible to utilize an S-3 registration statement or the Shelf. We expect to be eligible to use the Shelf on and after June 1,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evaluate the effects of the COVID-19 pandemic on our results of operations and cash flows. To combat the negative impacts, we have taken significant and immediate action to manage cash flow by implementing various initiatives including reductions in force, compensation reductions, furloughs, and reductions in capital investments. We are also working with our large vendors to evaluate the amount and timing of significant expenses.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While we currently forecast sufficient near-term liquidity, the ultimate impact of the COVID-19 pandemic could have a material impact on the Company's liquidity and its ability to meet its ongoing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earn an amount in excess of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Price increases (or decreases) for our products or services are implemented when deemed appropriate by us. We continuously evaluate price increases, productivity improvements, sourcing efficiencies and other cost reductions to mitigate the impact of inflation.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Newsprint prices driven by declining demand decreased during the December Quarter reaching what maybe a bottom on the price cycle. All North American newsprint producers have announced price increases for implementation in January 2021 and February 2021 based on a slowdown of domestic demand, forecasted improvements in export demand, a declining favorable exchange rate between the U.S. dollar and the Canadian dollar, and reduced available North American production capacity.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long-term supply strategy is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$505,000 annualized based on anticipated consumption in 2021,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fixed rate debt consists of $ 523,556,000 principal amount of the Term Loan recorded at carrying value. At December 27, 2020, based on market price quotations, the fair value is $532,456,000.</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w:t>
      </w:r>
    </w:p>
    <w:p>
      <w:pPr>
        <w:sectPr>
          <w:pgSz w:w="11900" w:h="16850" w:orient="portrait"/>
          <w:cols w:equalWidth="0" w:num="1">
            <w:col w:w="11240"/>
          </w:cols>
          <w:pgMar w:left="320" w:top="140" w:right="339" w:bottom="0" w:gutter="0" w:footer="0" w:header="0"/>
        </w:sectPr>
      </w:pPr>
    </w:p>
    <w:bookmarkStart w:id="23" w:name="page24"/>
    <w:bookmarkEnd w:id="23"/>
    <w:p>
      <w:pPr>
        <w:jc w:val="both"/>
        <w:spacing w:after="0" w:line="245" w:lineRule="auto"/>
        <w:rPr>
          <w:sz w:val="20"/>
          <w:szCs w:val="20"/>
          <w:color w:val="auto"/>
        </w:rPr>
      </w:pPr>
      <w:r>
        <w:rPr>
          <w:rFonts w:ascii="Arial" w:cs="Arial" w:eastAsia="Arial" w:hAnsi="Arial"/>
          <w:sz w:val="18"/>
          <w:szCs w:val="18"/>
          <w:color w:val="auto"/>
        </w:rPr>
        <w:t>“Evaluation Date”). Based on this evaluation, our Chief Executive Officer and Chief Financial Officer concluded that as of the Evaluation Date, our disclosure controls and procedures were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have not been considered in our assessment over internal control over financial reporting. Other than the Transactions, there have been no changes in our internal control over financial reporting that occurred during the 13 weeks ended December 27, 2020 that have materially affected, or are reasonably likely to materially affect, our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2020 Form 10-K.</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our newspapers have not experienced a union strike in the recent past nor do we anticipate a union strike to occur, we cannot preclude the possibility that a strike may occur at one or more of our newspapers at some point in the future. This could disrupt the normal operations of the Company.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9220" w:type="dxa"/>
            <w:vAlign w:val="bottom"/>
            <w:tcBorders>
              <w:bottom w:val="single" w:sz="8" w:color="auto"/>
            </w:tcBorders>
          </w:tcPr>
          <w:p>
            <w:pPr>
              <w:ind w:left="8120"/>
              <w:spacing w:after="0"/>
              <w:rPr>
                <w:sz w:val="20"/>
                <w:szCs w:val="20"/>
                <w:color w:val="auto"/>
              </w:rPr>
            </w:pPr>
            <w:r>
              <w:rPr>
                <w:rFonts w:ascii="Arial" w:cs="Arial" w:eastAsia="Arial" w:hAnsi="Arial"/>
                <w:sz w:val="18"/>
                <w:szCs w:val="18"/>
                <w:color w:val="auto"/>
              </w:rPr>
              <w:t>Description</w:t>
            </w:r>
          </w:p>
        </w:tc>
        <w:tc>
          <w:tcPr>
            <w:tcW w:w="920" w:type="dxa"/>
            <w:vAlign w:val="bottom"/>
            <w:tcBorders>
              <w:bottom w:val="single" w:sz="8" w:color="auto"/>
            </w:tcBorders>
          </w:tcPr>
          <w:p>
            <w:pPr>
              <w:spacing w:after="0"/>
              <w:rPr>
                <w:sz w:val="18"/>
                <w:szCs w:val="18"/>
                <w:color w:val="auto"/>
              </w:rPr>
            </w:pPr>
          </w:p>
        </w:tc>
      </w:tr>
      <w:tr>
        <w:trPr>
          <w:trHeight w:val="39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220" w:type="dxa"/>
            <w:vAlign w:val="bottom"/>
          </w:tcPr>
          <w:p>
            <w:pPr>
              <w:ind w:left="380"/>
              <w:spacing w:after="0"/>
              <w:rPr>
                <w:rFonts w:ascii="Arial" w:cs="Arial" w:eastAsia="Arial" w:hAnsi="Arial"/>
                <w:sz w:val="18"/>
                <w:szCs w:val="18"/>
                <w:u w:val="single" w:color="auto"/>
                <w:color w:val="3498DB"/>
              </w:rPr>
            </w:pPr>
            <w:hyperlink w:anchor="page25">
              <w:r>
                <w:rPr>
                  <w:rFonts w:ascii="Arial" w:cs="Arial" w:eastAsia="Arial" w:hAnsi="Arial"/>
                  <w:sz w:val="18"/>
                  <w:szCs w:val="18"/>
                  <w:u w:val="single" w:color="auto"/>
                  <w:color w:val="3498DB"/>
                </w:rPr>
                <w:t>Rule 13a-14(a) Certification of Chief Executive Officer</w:t>
              </w:r>
            </w:hyperlink>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31.2</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26">
              <w:r>
                <w:rPr>
                  <w:rFonts w:ascii="Arial" w:cs="Arial" w:eastAsia="Arial" w:hAnsi="Arial"/>
                  <w:sz w:val="18"/>
                  <w:szCs w:val="18"/>
                  <w:u w:val="single" w:color="auto"/>
                  <w:color w:val="3498DB"/>
                </w:rPr>
                <w:t>Rule 13a-14(a)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32.1</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27">
              <w:r>
                <w:rPr>
                  <w:rFonts w:ascii="Arial" w:cs="Arial" w:eastAsia="Arial" w:hAnsi="Arial"/>
                  <w:sz w:val="18"/>
                  <w:szCs w:val="18"/>
                  <w:u w:val="single" w:color="auto"/>
                  <w:color w:val="3498DB"/>
                </w:rPr>
                <w:t>Section 1350 Certification of Chief Executive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32.2</w:t>
            </w:r>
          </w:p>
        </w:tc>
        <w:tc>
          <w:tcPr>
            <w:tcW w:w="9220" w:type="dxa"/>
            <w:vAlign w:val="bottom"/>
          </w:tcPr>
          <w:p>
            <w:pPr>
              <w:ind w:left="380"/>
              <w:spacing w:after="0" w:line="202" w:lineRule="exact"/>
              <w:rPr>
                <w:rFonts w:ascii="Arial" w:cs="Arial" w:eastAsia="Arial" w:hAnsi="Arial"/>
                <w:sz w:val="18"/>
                <w:szCs w:val="18"/>
                <w:u w:val="single" w:color="auto"/>
                <w:color w:val="3498DB"/>
              </w:rPr>
            </w:pPr>
            <w:hyperlink w:anchor="page28">
              <w:r>
                <w:rPr>
                  <w:rFonts w:ascii="Arial" w:cs="Arial" w:eastAsia="Arial" w:hAnsi="Arial"/>
                  <w:sz w:val="18"/>
                  <w:szCs w:val="18"/>
                  <w:u w:val="single" w:color="auto"/>
                  <w:color w:val="3498DB"/>
                </w:rPr>
                <w:t>Section 1350 Certification of Chief Financial Officer</w:t>
              </w:r>
            </w:hyperlink>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rPr>
                <w:sz w:val="17"/>
                <w:szCs w:val="17"/>
                <w:color w:val="auto"/>
              </w:rPr>
            </w:pP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2"/>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9220" w:type="dxa"/>
            <w:vAlign w:val="bottom"/>
          </w:tcPr>
          <w:p>
            <w:pPr>
              <w:ind w:left="380"/>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r>
      <w:tr>
        <w:trPr>
          <w:trHeight w:val="203"/>
        </w:trPr>
        <w:tc>
          <w:tcPr>
            <w:tcW w:w="1100" w:type="dxa"/>
            <w:vAlign w:val="bottom"/>
            <w:tcBorders>
              <w:bottom w:val="single" w:sz="8" w:color="auto"/>
            </w:tcBorders>
          </w:tcPr>
          <w:p>
            <w:pPr>
              <w:spacing w:after="0"/>
              <w:rPr>
                <w:sz w:val="17"/>
                <w:szCs w:val="17"/>
                <w:color w:val="auto"/>
              </w:rPr>
            </w:pPr>
          </w:p>
        </w:tc>
        <w:tc>
          <w:tcPr>
            <w:tcW w:w="92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7"/>
                <w:szCs w:val="17"/>
                <w:color w:val="auto"/>
              </w:rPr>
            </w:pPr>
          </w:p>
        </w:tc>
      </w:tr>
      <w:tr>
        <w:trPr>
          <w:trHeight w:val="412"/>
        </w:trPr>
        <w:tc>
          <w:tcPr>
            <w:tcW w:w="1100" w:type="dxa"/>
            <w:vAlign w:val="bottom"/>
          </w:tcPr>
          <w:p>
            <w:pPr>
              <w:spacing w:after="0"/>
              <w:rPr>
                <w:sz w:val="24"/>
                <w:szCs w:val="24"/>
                <w:color w:val="auto"/>
              </w:rPr>
            </w:pPr>
          </w:p>
        </w:tc>
        <w:tc>
          <w:tcPr>
            <w:tcW w:w="9220" w:type="dxa"/>
            <w:vAlign w:val="bottom"/>
          </w:tcPr>
          <w:p>
            <w:pPr>
              <w:ind w:left="442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194" w:lineRule="exact"/>
        <w:rPr>
          <w:sz w:val="20"/>
          <w:szCs w:val="20"/>
          <w:color w:val="auto"/>
        </w:rPr>
      </w:pPr>
    </w:p>
    <w:p>
      <w:pPr>
        <w:ind w:left="280"/>
        <w:spacing w:after="0"/>
        <w:tabs>
          <w:tab w:leader="none" w:pos="956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3223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Timothy R. Millage</w:t>
      </w:r>
    </w:p>
    <w:p>
      <w:pPr>
        <w:ind w:left="28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18"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sz w:val="20"/>
          <w:szCs w:val="20"/>
          <w:color w:val="auto"/>
        </w:rPr>
      </w:pPr>
    </w:p>
    <w:p>
      <w:pPr>
        <w:ind w:left="680" w:right="14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sz w:val="20"/>
          <w:szCs w:val="20"/>
          <w:color w:val="auto"/>
        </w:rPr>
      </w:pPr>
    </w:p>
    <w:p>
      <w:pPr>
        <w:ind w:left="680" w:right="4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700" w:right="160" w:hanging="558"/>
        <w:spacing w:after="0" w:line="238"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1" w:lineRule="exact"/>
        <w:rPr>
          <w:rFonts w:ascii="Arial" w:cs="Arial" w:eastAsia="Arial" w:hAnsi="Arial"/>
          <w:sz w:val="18"/>
          <w:szCs w:val="18"/>
          <w:color w:val="auto"/>
        </w:rPr>
      </w:pPr>
    </w:p>
    <w:p>
      <w:pPr>
        <w:ind w:left="1700" w:right="140" w:hanging="558"/>
        <w:spacing w:after="0" w:line="261" w:lineRule="auto"/>
        <w:tabs>
          <w:tab w:leader="none" w:pos="17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700" w:right="320" w:hanging="558"/>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ind w:left="1700" w:right="180" w:hanging="558"/>
        <w:spacing w:after="0" w:line="238" w:lineRule="auto"/>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80" w:right="24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700" w:right="40" w:hanging="558"/>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700" w:right="400" w:hanging="558"/>
        <w:spacing w:after="0" w:line="246" w:lineRule="auto"/>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18" w:right="339" w:bottom="1440" w:gutter="0" w:footer="0" w:header="0"/>
        </w:sectPr>
      </w:pPr>
    </w:p>
    <w:bookmarkStart w:id="26" w:name="page27"/>
    <w:bookmarkEnd w:id="26"/>
    <w:p>
      <w:pPr>
        <w:ind w:left="10240"/>
        <w:spacing w:after="0"/>
        <w:rPr>
          <w:sz w:val="20"/>
          <w:szCs w:val="20"/>
          <w:color w:val="auto"/>
        </w:rPr>
      </w:pPr>
      <w:r>
        <w:rPr>
          <w:rFonts w:ascii="Arial" w:cs="Arial" w:eastAsia="Arial" w:hAnsi="Arial"/>
          <w:sz w:val="17"/>
          <w:szCs w:val="17"/>
          <w:b w:val="1"/>
          <w:bCs w:val="1"/>
          <w:color w:val="auto"/>
        </w:rPr>
        <w:t>Exhibit 32.1</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920" w:right="800" w:hanging="912"/>
        <w:spacing w:after="0" w:line="246"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27,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380" w:hanging="912"/>
        <w:spacing w:after="0" w:line="246"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8" w:right="339" w:bottom="1440" w:gutter="0" w:footer="0" w:header="0"/>
        </w:sectPr>
      </w:pPr>
    </w:p>
    <w:bookmarkStart w:id="27" w:name="page28"/>
    <w:bookmarkEnd w:id="27"/>
    <w:p>
      <w:pPr>
        <w:ind w:left="10240"/>
        <w:spacing w:after="0"/>
        <w:rPr>
          <w:sz w:val="20"/>
          <w:szCs w:val="20"/>
          <w:color w:val="auto"/>
        </w:rPr>
      </w:pPr>
      <w:r>
        <w:rPr>
          <w:rFonts w:ascii="Arial" w:cs="Arial" w:eastAsia="Arial" w:hAnsi="Arial"/>
          <w:sz w:val="17"/>
          <w:szCs w:val="17"/>
          <w:b w:val="1"/>
          <w:bCs w:val="1"/>
          <w:color w:val="auto"/>
        </w:rPr>
        <w:t>Exhibit 32.2</w:t>
      </w:r>
    </w:p>
    <w:p>
      <w:pPr>
        <w:spacing w:after="0" w:line="23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83" w:lineRule="exact"/>
        <w:rPr>
          <w:sz w:val="20"/>
          <w:szCs w:val="20"/>
          <w:color w:val="auto"/>
        </w:rPr>
      </w:pPr>
    </w:p>
    <w:p>
      <w:pPr>
        <w:ind w:left="580" w:right="40" w:hanging="572"/>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27, 2020 ("Quarterly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580" w:right="720" w:hanging="572"/>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375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bullet"/>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4"/>
      <w:numFmt w:val="bullet"/>
      <w:start w:val="1"/>
    </w:lvl>
  </w:abstractNum>
  <w:abstractNum w:abstractNumId="8">
    <w:nsid w:val="62BBD95A"/>
    <w:multiLevelType w:val="hybridMultilevel"/>
    <w:lvl w:ilvl="0">
      <w:lvlJc w:val="left"/>
      <w:lvlText w:val="5"/>
      <w:numFmt w:val="bullet"/>
      <w:start w:val="1"/>
    </w:lvl>
    <w:lvl w:ilvl="1">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6"/>
      <w:numFmt w:val="bullet"/>
      <w:start w:val="1"/>
    </w:lvl>
  </w:abstractNum>
  <w:abstractNum w:abstractNumId="11">
    <w:nsid w:val="333AB105"/>
    <w:multiLevelType w:val="hybridMultilevel"/>
    <w:lvl w:ilvl="0">
      <w:lvlJc w:val="left"/>
      <w:lvlText w:val="7"/>
      <w:numFmt w:val="bullet"/>
      <w:start w:val="1"/>
    </w:lvl>
  </w:abstractNum>
  <w:abstractNum w:abstractNumId="12">
    <w:nsid w:val="721DA317"/>
    <w:multiLevelType w:val="hybridMultilevel"/>
    <w:lvl w:ilvl="0">
      <w:lvlJc w:val="left"/>
      <w:lvlText w:val="8"/>
      <w:numFmt w:val="bullet"/>
      <w:start w:val="1"/>
    </w:lvl>
  </w:abstractNum>
  <w:abstractNum w:abstractNumId="13">
    <w:nsid w:val="2443A858"/>
    <w:multiLevelType w:val="hybridMultilevel"/>
    <w:lvl w:ilvl="0">
      <w:lvlJc w:val="left"/>
      <w:lvlText w:val="9"/>
      <w:numFmt w:val="bullet"/>
      <w:start w:val="1"/>
    </w:lvl>
  </w:abstractNum>
  <w:abstractNum w:abstractNumId="14">
    <w:nsid w:val="2D1D5AE9"/>
    <w:multiLevelType w:val="hybridMultilevel"/>
    <w:lvl w:ilvl="0">
      <w:lvlJc w:val="left"/>
      <w:lvlText w:val="%1"/>
      <w:numFmt w:val="decimal"/>
      <w:start w:val="10"/>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4"/>
      <w:numFmt w:val="bullet"/>
      <w:start w:val="1"/>
    </w:lvl>
    <w:lvl w:ilvl="1">
      <w:lvlJc w:val="left"/>
      <w:lvlText w:val="%2)"/>
      <w:numFmt w:val="lowerLetter"/>
      <w:start w:val="1"/>
    </w:lvl>
  </w:abstractNum>
  <w:abstractNum w:abstractNumId="23">
    <w:nsid w:val="71F32454"/>
    <w:multiLevelType w:val="hybridMultilevel"/>
    <w:lvl w:ilvl="0">
      <w:lvlJc w:val="left"/>
      <w:lvlText w:val="5"/>
      <w:numFmt w:val="bullet"/>
      <w:start w:val="1"/>
    </w:lvl>
    <w:lvl w:ilvl="1">
      <w:lvlJc w:val="left"/>
      <w:lvlText w:val="%2)"/>
      <w:numFmt w:val="lowerLetter"/>
      <w:start w:val="1"/>
    </w:lvl>
  </w:abstractNum>
  <w:abstractNum w:abstractNumId="24">
    <w:nsid w:val="2CA88611"/>
    <w:multiLevelType w:val="hybridMultilevel"/>
    <w:lvl w:ilvl="0">
      <w:lvlJc w:val="left"/>
      <w:lvlText w:val="1"/>
      <w:numFmt w:val="bullet"/>
      <w:start w:val="1"/>
    </w:lvl>
  </w:abstractNum>
  <w:abstractNum w:abstractNumId="25">
    <w:nsid w:val="836C40E"/>
    <w:multiLevelType w:val="hybridMultilevel"/>
    <w:lvl w:ilvl="0">
      <w:lvlJc w:val="left"/>
      <w:lvlText w:val="2"/>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lvl w:ilvl="1">
      <w:lvlJc w:val="left"/>
      <w:lvlText w:val="%2)"/>
      <w:numFmt w:val="lowerLetter"/>
      <w:start w:val="1"/>
    </w:lvl>
  </w:abstractNum>
  <w:abstractNum w:abstractNumId="28">
    <w:nsid w:val="8138641"/>
    <w:multiLevelType w:val="hybridMultilevel"/>
    <w:lvl w:ilvl="0">
      <w:lvlJc w:val="left"/>
      <w:lvlText w:val="5"/>
      <w:numFmt w:val="bullet"/>
      <w:start w:val="1"/>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2021-02-05T15:42:21Z</dcterms:created>
  <dcterms:modified xsi:type="dcterms:W3CDTF">2021-02-05T15:42:21Z</dcterms:modified>
</cp:coreProperties>
</file>