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9" w:lineRule="exact"/>
        <w:rPr>
          <w:sz w:val="24"/>
          <w:szCs w:val="24"/>
          <w:color w:val="auto"/>
        </w:rPr>
      </w:pPr>
    </w:p>
    <w:p>
      <w:pPr>
        <w:jc w:val="center"/>
        <w:ind w:right="-19"/>
        <w:spacing w:after="0"/>
        <w:rPr>
          <w:sz w:val="20"/>
          <w:szCs w:val="20"/>
          <w:color w:val="auto"/>
        </w:rPr>
      </w:pPr>
      <w:r>
        <w:rPr>
          <w:rFonts w:ascii="Wingdings" w:cs="Wingdings" w:eastAsia="Wingdings" w:hAnsi="Wingdings"/>
          <w:sz w:val="17"/>
          <w:szCs w:val="17"/>
          <w:b w:val="1"/>
          <w:bCs w:val="1"/>
          <w:color w:val="auto"/>
        </w:rPr>
        <w:t xml:space="preserve">x </w:t>
      </w:r>
      <w:r>
        <w:rPr>
          <w:rFonts w:ascii="Arial" w:cs="Arial" w:eastAsia="Arial" w:hAnsi="Arial"/>
          <w:sz w:val="17"/>
          <w:szCs w:val="17"/>
          <w:color w:val="auto"/>
        </w:rPr>
        <w:t>QUARTERLY REPORT PURSUANT TO SECTION 13 OR 15(d) OF THE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Quarterly Period Ended December 29, 2024</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2600"/>
        <w:spacing w:after="0"/>
        <w:rPr>
          <w:sz w:val="20"/>
          <w:szCs w:val="20"/>
          <w:color w:val="auto"/>
        </w:rPr>
      </w:pPr>
      <w:r>
        <w:rPr>
          <w:rFonts w:ascii="Wingdings" w:cs="Wingdings" w:eastAsia="Wingdings" w:hAnsi="Wingdings"/>
          <w:sz w:val="17"/>
          <w:szCs w:val="17"/>
          <w:b w:val="1"/>
          <w:bCs w:val="1"/>
          <w:color w:val="auto"/>
        </w:rPr>
        <w:t xml:space="preserve">o </w:t>
      </w:r>
      <w:r>
        <w:rPr>
          <w:rFonts w:ascii="Arial" w:cs="Arial" w:eastAsia="Arial" w:hAnsi="Arial"/>
          <w:sz w:val="17"/>
          <w:szCs w:val="17"/>
          <w:color w:val="auto"/>
        </w:rPr>
        <w:t>TRANSITION REPORT PURSUANT TO SECTION 13 OR 15(d) OF THE</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Commission File Number 1-6227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58"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42-0823980</w:t>
      </w:r>
    </w:p>
    <w:p>
      <w:pPr>
        <w:spacing w:after="0" w:line="3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4600 E. 53rd Street, Davenport, Iowa 52807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Trading Symbol(s)</w:t>
            </w:r>
          </w:p>
        </w:tc>
        <w:tc>
          <w:tcPr>
            <w:tcW w:w="4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8"/>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r>
        <w:trPr>
          <w:trHeight w:val="23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Preferred Share Purchase Rights</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bl>
    <w:p>
      <w:pPr>
        <w:spacing w:after="0" w:line="166"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03"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6" w:lineRule="exact"/>
        <w:rPr>
          <w:sz w:val="24"/>
          <w:szCs w:val="24"/>
          <w:color w:val="auto"/>
        </w:rPr>
      </w:pPr>
    </w:p>
    <w:p>
      <w:pPr>
        <w:sectPr>
          <w:pgSz w:w="11900" w:h="16838" w:orient="portrait"/>
          <w:cols w:equalWidth="0" w:num="2">
            <w:col w:w="8600" w:space="720"/>
            <w:col w:w="192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3460"/>
        <w:spacing w:after="0"/>
        <w:rPr>
          <w:sz w:val="20"/>
          <w:szCs w:val="20"/>
          <w:color w:val="auto"/>
        </w:rPr>
      </w:pPr>
      <w:r>
        <w:rPr>
          <w:rFonts w:ascii="Arial" w:cs="Arial" w:eastAsia="Arial" w:hAnsi="Arial"/>
          <w:sz w:val="18"/>
          <w:szCs w:val="18"/>
          <w:color w:val="auto"/>
        </w:rPr>
        <w:t>Smaller reporting company</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3">
            <w:col w:w="4900" w:space="720"/>
            <w:col w:w="2980" w:space="720"/>
            <w:col w:w="1920"/>
          </w:cols>
          <w:pgMar w:left="320" w:top="229" w:right="339" w:bottom="1440" w:gutter="0" w:footer="0" w:header="0"/>
          <w:type w:val="continuous"/>
        </w:sectPr>
      </w:pPr>
    </w:p>
    <w:p>
      <w:pPr>
        <w:spacing w:after="0" w:line="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5" w:lineRule="exact"/>
        <w:rPr>
          <w:sz w:val="24"/>
          <w:szCs w:val="24"/>
          <w:color w:val="auto"/>
        </w:rPr>
      </w:pPr>
    </w:p>
    <w:p>
      <w:pPr>
        <w:spacing w:after="0"/>
        <w:tabs>
          <w:tab w:leader="none" w:pos="92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2025, 6,190,939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rPr>
              <w:t>PAGE</w:t>
            </w:r>
          </w:p>
        </w:tc>
      </w:tr>
      <w:tr>
        <w:trPr>
          <w:trHeight w:val="331"/>
        </w:trPr>
        <w:tc>
          <w:tcPr>
            <w:tcW w:w="20" w:type="dxa"/>
            <w:vAlign w:val="bottom"/>
          </w:tcPr>
          <w:p>
            <w:pPr>
              <w:spacing w:after="0"/>
              <w:rPr>
                <w:sz w:val="24"/>
                <w:szCs w:val="24"/>
                <w:color w:val="auto"/>
              </w:rPr>
            </w:pPr>
          </w:p>
        </w:tc>
        <w:tc>
          <w:tcPr>
            <w:tcW w:w="10020" w:type="dxa"/>
            <w:vAlign w:val="bottom"/>
            <w:gridSpan w:val="18"/>
          </w:tcPr>
          <w:p>
            <w:pPr>
              <w:spacing w:after="0"/>
              <w:rPr>
                <w:sz w:val="20"/>
                <w:szCs w:val="20"/>
                <w:color w:val="auto"/>
              </w:rPr>
            </w:pPr>
            <w:r>
              <w:rPr>
                <w:rFonts w:ascii="Arial" w:cs="Arial" w:eastAsia="Arial" w:hAnsi="Arial"/>
                <w:sz w:val="18"/>
                <w:szCs w:val="18"/>
                <w:color w:val="0000FF"/>
              </w:rPr>
              <w:t>FORWARD LOOKING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1</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5"/>
          </w:tcPr>
          <w:p>
            <w:pPr>
              <w:spacing w:after="0"/>
              <w:rPr>
                <w:sz w:val="20"/>
                <w:szCs w:val="20"/>
                <w:color w:val="auto"/>
              </w:rPr>
            </w:pPr>
            <w:r>
              <w:rPr>
                <w:rFonts w:ascii="Arial" w:cs="Arial" w:eastAsia="Arial" w:hAnsi="Arial"/>
                <w:sz w:val="18"/>
                <w:szCs w:val="18"/>
                <w:color w:val="0000FF"/>
                <w:w w:val="98"/>
              </w:rPr>
              <w:t>FINANCIAL INFORMATION</w:t>
            </w:r>
          </w:p>
        </w:tc>
        <w:tc>
          <w:tcPr>
            <w:tcW w:w="6500" w:type="dxa"/>
            <w:vAlign w:val="bottom"/>
            <w:gridSpan w:val="11"/>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gridSpan w:val="9"/>
          </w:tcPr>
          <w:p>
            <w:pPr>
              <w:spacing w:after="0"/>
              <w:rPr>
                <w:sz w:val="20"/>
                <w:szCs w:val="20"/>
                <w:color w:val="auto"/>
              </w:rPr>
            </w:pPr>
            <w:r>
              <w:rPr>
                <w:rFonts w:ascii="Arial" w:cs="Arial" w:eastAsia="Arial" w:hAnsi="Arial"/>
                <w:sz w:val="18"/>
                <w:szCs w:val="18"/>
                <w:color w:val="0000FF"/>
                <w:w w:val="99"/>
              </w:rPr>
              <w:t>Financial Statements (Unaudited)</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60" w:type="dxa"/>
            <w:vAlign w:val="bottom"/>
            <w:gridSpan w:val="13"/>
          </w:tcPr>
          <w:p>
            <w:pPr>
              <w:spacing w:after="0"/>
              <w:rPr>
                <w:sz w:val="20"/>
                <w:szCs w:val="20"/>
                <w:color w:val="auto"/>
              </w:rPr>
            </w:pPr>
            <w:r>
              <w:rPr>
                <w:rFonts w:ascii="Arial" w:cs="Arial" w:eastAsia="Arial" w:hAnsi="Arial"/>
                <w:sz w:val="18"/>
                <w:szCs w:val="18"/>
                <w:color w:val="0000FF"/>
                <w:w w:val="99"/>
              </w:rPr>
              <w:t>Consolidated Statements of (Loss) Income and Comprehensive (Loss) Income</w:t>
            </w:r>
          </w:p>
        </w:tc>
        <w:tc>
          <w:tcPr>
            <w:tcW w:w="134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4</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60" w:type="dxa"/>
            <w:vAlign w:val="bottom"/>
            <w:gridSpan w:val="13"/>
          </w:tcPr>
          <w:p>
            <w:pPr>
              <w:spacing w:after="0"/>
              <w:rPr>
                <w:sz w:val="20"/>
                <w:szCs w:val="20"/>
                <w:color w:val="auto"/>
              </w:rPr>
            </w:pPr>
            <w:r>
              <w:rPr>
                <w:rFonts w:ascii="Arial" w:cs="Arial" w:eastAsia="Arial" w:hAnsi="Arial"/>
                <w:sz w:val="18"/>
                <w:szCs w:val="18"/>
                <w:color w:val="0000FF"/>
              </w:rPr>
              <w:t>Consolidated Statements of Deficit</w:t>
            </w:r>
          </w:p>
        </w:tc>
        <w:tc>
          <w:tcPr>
            <w:tcW w:w="134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Arial" w:cs="Arial" w:eastAsia="Arial" w:hAnsi="Arial"/>
                <w:sz w:val="18"/>
                <w:szCs w:val="18"/>
                <w:color w:val="0000FF"/>
              </w:rPr>
              <w:t>Consolidated Statements of Cash Flows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6</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Arial" w:cs="Arial" w:eastAsia="Arial" w:hAnsi="Arial"/>
                <w:sz w:val="18"/>
                <w:szCs w:val="18"/>
                <w:color w:val="0000FF"/>
              </w:rPr>
              <w:t>Notes to Consolidated Financial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7</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000" w:type="dxa"/>
            <w:vAlign w:val="bottom"/>
            <w:gridSpan w:val="7"/>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7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19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76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19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88"/>
              </w:rPr>
              <w:t>Exhibits</w:t>
            </w:r>
          </w:p>
        </w:tc>
        <w:tc>
          <w:tcPr>
            <w:tcW w:w="800" w:type="dxa"/>
            <w:vAlign w:val="bottom"/>
            <w:gridSpan w:val="4"/>
          </w:tcPr>
          <w:p>
            <w:pPr>
              <w:spacing w:after="0"/>
              <w:rPr>
                <w:sz w:val="24"/>
                <w:szCs w:val="24"/>
                <w:color w:val="auto"/>
              </w:rPr>
            </w:pPr>
          </w:p>
        </w:tc>
        <w:tc>
          <w:tcPr>
            <w:tcW w:w="620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20</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21</w:t>
            </w:r>
          </w:p>
        </w:tc>
      </w:tr>
      <w:tr>
        <w:trPr>
          <w:trHeight w:val="10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“2025”, “2024"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203" w:lineRule="exact"/>
        <w:rPr>
          <w:sz w:val="20"/>
          <w:szCs w:val="20"/>
          <w:color w:val="auto"/>
        </w:rPr>
      </w:pPr>
    </w:p>
    <w:p>
      <w:pPr>
        <w:ind w:left="660" w:right="20" w:hanging="328"/>
        <w:spacing w:after="0" w:line="26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20" w:type="dxa"/>
            <w:vAlign w:val="bottom"/>
            <w:tcBorders>
              <w:top w:val="single" w:sz="8" w:color="auto"/>
              <w:bottom w:val="single" w:sz="8" w:color="auto"/>
            </w:tcBorders>
          </w:tcPr>
          <w:p>
            <w:pPr>
              <w:spacing w:after="0"/>
              <w:rPr>
                <w:sz w:val="21"/>
                <w:szCs w:val="21"/>
                <w:color w:val="auto"/>
              </w:rPr>
            </w:pPr>
          </w:p>
        </w:tc>
        <w:tc>
          <w:tcPr>
            <w:tcW w:w="4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r>
      <w:tr>
        <w:trPr>
          <w:trHeight w:val="218"/>
        </w:trPr>
        <w:tc>
          <w:tcPr>
            <w:tcW w:w="5120" w:type="dxa"/>
            <w:vAlign w:val="bottom"/>
          </w:tcPr>
          <w:p>
            <w:pPr>
              <w:spacing w:after="0"/>
              <w:rPr>
                <w:sz w:val="18"/>
                <w:szCs w:val="18"/>
                <w:color w:val="auto"/>
              </w:rPr>
            </w:pPr>
          </w:p>
        </w:tc>
        <w:tc>
          <w:tcPr>
            <w:tcW w:w="4660" w:type="dxa"/>
            <w:vAlign w:val="bottom"/>
          </w:tcPr>
          <w:p>
            <w:pPr>
              <w:jc w:val="right"/>
              <w:ind w:right="170"/>
              <w:spacing w:after="0"/>
              <w:rPr>
                <w:sz w:val="20"/>
                <w:szCs w:val="20"/>
                <w:color w:val="auto"/>
              </w:rPr>
            </w:pPr>
            <w:r>
              <w:rPr>
                <w:rFonts w:ascii="Arial" w:cs="Arial" w:eastAsia="Arial" w:hAnsi="Arial"/>
                <w:sz w:val="18"/>
                <w:szCs w:val="18"/>
                <w:color w:val="auto"/>
              </w:rPr>
              <w:t>December 29,</w:t>
            </w: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29,</w:t>
            </w:r>
          </w:p>
        </w:tc>
      </w:tr>
      <w:tr>
        <w:trPr>
          <w:trHeight w:val="262"/>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58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6,122</w:t>
            </w:r>
          </w:p>
        </w:tc>
        <w:tc>
          <w:tcPr>
            <w:tcW w:w="1260" w:type="dxa"/>
            <w:vAlign w:val="bottom"/>
          </w:tcPr>
          <w:p>
            <w:pPr>
              <w:jc w:val="right"/>
              <w:spacing w:after="0"/>
              <w:rPr>
                <w:sz w:val="20"/>
                <w:szCs w:val="20"/>
                <w:color w:val="auto"/>
              </w:rPr>
            </w:pPr>
            <w:r>
              <w:rPr>
                <w:rFonts w:ascii="Arial" w:cs="Arial" w:eastAsia="Arial" w:hAnsi="Arial"/>
                <w:sz w:val="18"/>
                <w:szCs w:val="18"/>
                <w:color w:val="auto"/>
              </w:rPr>
              <w:t>9,598</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59,539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60,648</w:t>
            </w: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6,231</w:t>
            </w:r>
          </w:p>
        </w:tc>
        <w:tc>
          <w:tcPr>
            <w:tcW w:w="1260" w:type="dxa"/>
            <w:vAlign w:val="bottom"/>
          </w:tcPr>
          <w:p>
            <w:pPr>
              <w:jc w:val="right"/>
              <w:spacing w:after="0"/>
              <w:rPr>
                <w:sz w:val="20"/>
                <w:szCs w:val="20"/>
                <w:color w:val="auto"/>
              </w:rPr>
            </w:pPr>
            <w:r>
              <w:rPr>
                <w:rFonts w:ascii="Arial" w:cs="Arial" w:eastAsia="Arial" w:hAnsi="Arial"/>
                <w:sz w:val="18"/>
                <w:szCs w:val="18"/>
                <w:color w:val="auto"/>
              </w:rPr>
              <w:t>5,643</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20,409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92,301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97,773</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27,713</w:t>
            </w:r>
          </w:p>
        </w:tc>
        <w:tc>
          <w:tcPr>
            <w:tcW w:w="1260" w:type="dxa"/>
            <w:vAlign w:val="bottom"/>
          </w:tcPr>
          <w:p>
            <w:pPr>
              <w:jc w:val="right"/>
              <w:spacing w:after="0"/>
              <w:rPr>
                <w:sz w:val="20"/>
                <w:szCs w:val="20"/>
                <w:color w:val="auto"/>
              </w:rPr>
            </w:pPr>
            <w:r>
              <w:rPr>
                <w:rFonts w:ascii="Arial" w:cs="Arial" w:eastAsia="Arial" w:hAnsi="Arial"/>
                <w:sz w:val="18"/>
                <w:szCs w:val="18"/>
                <w:color w:val="auto"/>
              </w:rPr>
              <w:t>27,941</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6,090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33,803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33,983</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6,377</w:t>
            </w:r>
          </w:p>
        </w:tc>
        <w:tc>
          <w:tcPr>
            <w:tcW w:w="1260" w:type="dxa"/>
            <w:vAlign w:val="bottom"/>
          </w:tcPr>
          <w:p>
            <w:pPr>
              <w:jc w:val="right"/>
              <w:spacing w:after="0"/>
              <w:rPr>
                <w:sz w:val="20"/>
                <w:szCs w:val="20"/>
                <w:color w:val="auto"/>
              </w:rPr>
            </w:pPr>
            <w:r>
              <w:rPr>
                <w:rFonts w:ascii="Arial" w:cs="Arial" w:eastAsia="Arial" w:hAnsi="Arial"/>
                <w:sz w:val="18"/>
                <w:szCs w:val="18"/>
                <w:color w:val="auto"/>
              </w:rPr>
              <w:t>6,420</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69,821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191,923</w:t>
            </w:r>
          </w:p>
        </w:tc>
        <w:tc>
          <w:tcPr>
            <w:tcW w:w="1260" w:type="dxa"/>
            <w:vAlign w:val="bottom"/>
          </w:tcPr>
          <w:p>
            <w:pPr>
              <w:jc w:val="right"/>
              <w:spacing w:after="0"/>
              <w:rPr>
                <w:sz w:val="20"/>
                <w:szCs w:val="20"/>
                <w:color w:val="auto"/>
              </w:rPr>
            </w:pPr>
            <w:r>
              <w:rPr>
                <w:rFonts w:ascii="Arial" w:cs="Arial" w:eastAsia="Arial" w:hAnsi="Arial"/>
                <w:sz w:val="18"/>
                <w:szCs w:val="18"/>
                <w:color w:val="auto"/>
              </w:rPr>
              <w:t>196,312</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7,165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r>
      <w:tr>
        <w:trPr>
          <w:trHeight w:val="223"/>
        </w:trPr>
        <w:tc>
          <w:tcPr>
            <w:tcW w:w="5820" w:type="dxa"/>
            <w:vAlign w:val="bottom"/>
          </w:tcPr>
          <w:p>
            <w:pPr>
              <w:spacing w:after="0"/>
              <w:rPr>
                <w:sz w:val="19"/>
                <w:szCs w:val="19"/>
                <w:color w:val="auto"/>
              </w:rPr>
            </w:pP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275,286</w:t>
            </w:r>
          </w:p>
        </w:tc>
        <w:tc>
          <w:tcPr>
            <w:tcW w:w="1260" w:type="dxa"/>
            <w:vAlign w:val="bottom"/>
          </w:tcPr>
          <w:p>
            <w:pPr>
              <w:jc w:val="right"/>
              <w:spacing w:after="0"/>
              <w:rPr>
                <w:sz w:val="20"/>
                <w:szCs w:val="20"/>
                <w:color w:val="auto"/>
              </w:rPr>
            </w:pPr>
            <w:r>
              <w:rPr>
                <w:rFonts w:ascii="Arial" w:cs="Arial" w:eastAsia="Arial" w:hAnsi="Arial"/>
                <w:sz w:val="18"/>
                <w:szCs w:val="18"/>
                <w:color w:val="auto"/>
              </w:rPr>
              <w:t>278,509</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232,454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234,137</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42,832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44,372</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31,886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323,858</w:t>
            </w:r>
          </w:p>
        </w:tc>
        <w:tc>
          <w:tcPr>
            <w:tcW w:w="1260" w:type="dxa"/>
            <w:vAlign w:val="bottom"/>
          </w:tcPr>
          <w:p>
            <w:pPr>
              <w:jc w:val="right"/>
              <w:spacing w:after="0"/>
              <w:rPr>
                <w:sz w:val="20"/>
                <w:szCs w:val="20"/>
                <w:color w:val="auto"/>
              </w:rPr>
            </w:pPr>
            <w:r>
              <w:rPr>
                <w:rFonts w:ascii="Arial" w:cs="Arial" w:eastAsia="Arial" w:hAnsi="Arial"/>
                <w:sz w:val="18"/>
                <w:szCs w:val="18"/>
                <w:color w:val="auto"/>
              </w:rPr>
              <w:t>328,040</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66,600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70,075</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Pension plan assets, net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4,962</w:t>
            </w:r>
          </w:p>
        </w:tc>
        <w:tc>
          <w:tcPr>
            <w:tcW w:w="126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plan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23,729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12,997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12,083</w:t>
            </w:r>
          </w:p>
        </w:tc>
      </w:tr>
      <w:tr>
        <w:trPr>
          <w:trHeight w:val="24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632,968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649,171</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40" w:type="dxa"/>
            <w:vAlign w:val="bottom"/>
            <w:tcBorders>
              <w:top w:val="single" w:sz="8" w:color="auto"/>
              <w:bottom w:val="single" w:sz="8" w:color="auto"/>
            </w:tcBorders>
          </w:tcPr>
          <w:p>
            <w:pPr>
              <w:spacing w:after="0"/>
              <w:rPr>
                <w:sz w:val="21"/>
                <w:szCs w:val="21"/>
                <w:color w:val="auto"/>
              </w:rPr>
            </w:pPr>
          </w:p>
        </w:tc>
        <w:tc>
          <w:tcPr>
            <w:tcW w:w="21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7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214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December 29,</w:t>
            </w:r>
          </w:p>
        </w:tc>
        <w:tc>
          <w:tcPr>
            <w:tcW w:w="1460" w:type="dxa"/>
            <w:vAlign w:val="bottom"/>
          </w:tcPr>
          <w:p>
            <w:pPr>
              <w:jc w:val="right"/>
              <w:spacing w:after="0" w:line="177"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7,818</w:t>
            </w:r>
          </w:p>
        </w:tc>
        <w:tc>
          <w:tcPr>
            <w:tcW w:w="1460" w:type="dxa"/>
            <w:vAlign w:val="bottom"/>
          </w:tcPr>
          <w:p>
            <w:pPr>
              <w:jc w:val="right"/>
              <w:spacing w:after="0"/>
              <w:rPr>
                <w:sz w:val="20"/>
                <w:szCs w:val="20"/>
                <w:color w:val="auto"/>
              </w:rPr>
            </w:pPr>
            <w:r>
              <w:rPr>
                <w:rFonts w:ascii="Arial" w:cs="Arial" w:eastAsia="Arial" w:hAnsi="Arial"/>
                <w:sz w:val="18"/>
                <w:szCs w:val="18"/>
                <w:color w:val="auto"/>
              </w:rPr>
              <w:t>8,139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44,795</w:t>
            </w:r>
          </w:p>
        </w:tc>
        <w:tc>
          <w:tcPr>
            <w:tcW w:w="1460" w:type="dxa"/>
            <w:vAlign w:val="bottom"/>
          </w:tcPr>
          <w:p>
            <w:pPr>
              <w:jc w:val="right"/>
              <w:spacing w:after="0"/>
              <w:rPr>
                <w:sz w:val="20"/>
                <w:szCs w:val="20"/>
                <w:color w:val="auto"/>
              </w:rPr>
            </w:pPr>
            <w:r>
              <w:rPr>
                <w:rFonts w:ascii="Arial" w:cs="Arial" w:eastAsia="Arial" w:hAnsi="Arial"/>
                <w:sz w:val="18"/>
                <w:szCs w:val="18"/>
                <w:color w:val="auto"/>
              </w:rPr>
              <w:t>36,290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other accrued liabilities</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36,088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39,170</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30,285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118,986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115,354</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445,943</w:t>
            </w:r>
          </w:p>
        </w:tc>
        <w:tc>
          <w:tcPr>
            <w:tcW w:w="1460" w:type="dxa"/>
            <w:vAlign w:val="bottom"/>
          </w:tcPr>
          <w:p>
            <w:pPr>
              <w:jc w:val="right"/>
              <w:spacing w:after="0"/>
              <w:rPr>
                <w:sz w:val="20"/>
                <w:szCs w:val="20"/>
                <w:color w:val="auto"/>
              </w:rPr>
            </w:pPr>
            <w:r>
              <w:rPr>
                <w:rFonts w:ascii="Arial" w:cs="Arial" w:eastAsia="Arial" w:hAnsi="Arial"/>
                <w:sz w:val="18"/>
                <w:szCs w:val="18"/>
                <w:color w:val="auto"/>
              </w:rPr>
              <w:t>445,943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26,962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29,769</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Pension obligations</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552</w:t>
            </w:r>
          </w:p>
        </w:tc>
        <w:tc>
          <w:tcPr>
            <w:tcW w:w="146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7,516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28,236</w:t>
            </w:r>
          </w:p>
        </w:tc>
        <w:tc>
          <w:tcPr>
            <w:tcW w:w="1460" w:type="dxa"/>
            <w:vAlign w:val="bottom"/>
          </w:tcPr>
          <w:p>
            <w:pPr>
              <w:jc w:val="right"/>
              <w:spacing w:after="0"/>
              <w:rPr>
                <w:sz w:val="20"/>
                <w:szCs w:val="20"/>
                <w:color w:val="auto"/>
              </w:rPr>
            </w:pPr>
            <w:r>
              <w:rPr>
                <w:rFonts w:ascii="Arial" w:cs="Arial" w:eastAsia="Arial" w:hAnsi="Arial"/>
                <w:sz w:val="18"/>
                <w:szCs w:val="18"/>
                <w:color w:val="auto"/>
              </w:rPr>
              <w:t>28,403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3,509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Withdrawal liabilities and other</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25,441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25,499</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657,145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656,505</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Commitments and Contingent Liabilities (Note 9)</w:t>
            </w:r>
          </w:p>
        </w:tc>
        <w:tc>
          <w:tcPr>
            <w:tcW w:w="2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2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Common Stock, $0.01 par value; authorized 12,000 shares; issued and outstanding:</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62</w:t>
            </w:r>
          </w:p>
        </w:tc>
        <w:tc>
          <w:tcPr>
            <w:tcW w:w="14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29, 2024; 6,190 shares; $0.01 par value</w:t>
            </w:r>
          </w:p>
        </w:tc>
        <w:tc>
          <w:tcPr>
            <w:tcW w:w="2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September 29, 2024; 6,190 shares; $0.01 par value</w:t>
            </w:r>
          </w:p>
        </w:tc>
        <w:tc>
          <w:tcPr>
            <w:tcW w:w="2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262,569</w:t>
            </w:r>
          </w:p>
        </w:tc>
        <w:tc>
          <w:tcPr>
            <w:tcW w:w="1460" w:type="dxa"/>
            <w:vAlign w:val="bottom"/>
          </w:tcPr>
          <w:p>
            <w:pPr>
              <w:jc w:val="right"/>
              <w:spacing w:after="0"/>
              <w:rPr>
                <w:sz w:val="20"/>
                <w:szCs w:val="20"/>
                <w:color w:val="auto"/>
              </w:rPr>
            </w:pPr>
            <w:r>
              <w:rPr>
                <w:rFonts w:ascii="Arial" w:cs="Arial" w:eastAsia="Arial" w:hAnsi="Arial"/>
                <w:sz w:val="18"/>
                <w:szCs w:val="18"/>
                <w:color w:val="auto"/>
              </w:rPr>
              <w:t>262,470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(309,089)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(292,341)</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19,805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19,920</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Lee Enterprises, Inc. Stockholders' deficit</w:t>
            </w:r>
          </w:p>
        </w:tc>
        <w:tc>
          <w:tcPr>
            <w:tcW w:w="2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(26,653)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interests</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2,476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deficit</w:t>
            </w:r>
          </w:p>
        </w:tc>
        <w:tc>
          <w:tcPr>
            <w:tcW w:w="2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(24,177)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deficit</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632,968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649,171</w:t>
            </w:r>
          </w:p>
        </w:tc>
        <w:tc>
          <w:tcPr>
            <w:tcW w:w="0" w:type="dxa"/>
            <w:vAlign w:val="bottom"/>
          </w:tcPr>
          <w:p>
            <w:pPr>
              <w:spacing w:after="0"/>
              <w:rPr>
                <w:sz w:val="1"/>
                <w:szCs w:val="1"/>
                <w:color w:val="auto"/>
              </w:rPr>
            </w:pP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INCOME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300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color w:val="auto"/>
              </w:rPr>
              <w:t>December 29,</w:t>
            </w:r>
          </w:p>
        </w:tc>
        <w:tc>
          <w:tcPr>
            <w:tcW w:w="14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24,</w:t>
            </w:r>
          </w:p>
        </w:tc>
        <w:tc>
          <w:tcPr>
            <w:tcW w:w="0" w:type="dxa"/>
            <w:vAlign w:val="bottom"/>
          </w:tcPr>
          <w:p>
            <w:pPr>
              <w:spacing w:after="0"/>
              <w:rPr>
                <w:sz w:val="1"/>
                <w:szCs w:val="1"/>
                <w:color w:val="auto"/>
              </w:rPr>
            </w:pPr>
          </w:p>
        </w:tc>
      </w:tr>
      <w:tr>
        <w:trPr>
          <w:trHeight w:val="243"/>
        </w:trPr>
        <w:tc>
          <w:tcPr>
            <w:tcW w:w="6800" w:type="dxa"/>
            <w:vAlign w:val="bottom"/>
            <w:tcBorders>
              <w:bottom w:val="single" w:sz="8" w:color="auto"/>
            </w:tcBorders>
            <w:vMerge w:val="continue"/>
          </w:tcPr>
          <w:p>
            <w:pPr>
              <w:spacing w:after="0"/>
              <w:rPr>
                <w:sz w:val="21"/>
                <w:szCs w:val="21"/>
                <w:color w:val="auto"/>
              </w:rPr>
            </w:pPr>
          </w:p>
        </w:tc>
        <w:tc>
          <w:tcPr>
            <w:tcW w:w="3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68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80"/>
              <w:spacing w:after="0"/>
              <w:rPr>
                <w:sz w:val="20"/>
                <w:szCs w:val="20"/>
                <w:color w:val="auto"/>
              </w:rPr>
            </w:pPr>
            <w:r>
              <w:rPr>
                <w:rFonts w:ascii="Arial" w:cs="Arial" w:eastAsia="Arial" w:hAnsi="Arial"/>
                <w:sz w:val="18"/>
                <w:szCs w:val="18"/>
                <w:color w:val="auto"/>
              </w:rPr>
              <w:t>Advertising and marketing services</w:t>
            </w:r>
          </w:p>
        </w:tc>
        <w:tc>
          <w:tcPr>
            <w:tcW w:w="3000" w:type="dxa"/>
            <w:vAlign w:val="bottom"/>
          </w:tcPr>
          <w:p>
            <w:pPr>
              <w:jc w:val="right"/>
              <w:ind w:right="250"/>
              <w:spacing w:after="0"/>
              <w:rPr>
                <w:sz w:val="20"/>
                <w:szCs w:val="20"/>
                <w:color w:val="auto"/>
              </w:rPr>
            </w:pPr>
            <w:r>
              <w:rPr>
                <w:rFonts w:ascii="Arial" w:cs="Arial" w:eastAsia="Arial" w:hAnsi="Arial"/>
                <w:sz w:val="18"/>
                <w:szCs w:val="18"/>
                <w:color w:val="auto"/>
              </w:rPr>
              <w:t>66,590</w:t>
            </w:r>
          </w:p>
        </w:tc>
        <w:tc>
          <w:tcPr>
            <w:tcW w:w="1440" w:type="dxa"/>
            <w:vAlign w:val="bottom"/>
          </w:tcPr>
          <w:p>
            <w:pPr>
              <w:jc w:val="right"/>
              <w:spacing w:after="0"/>
              <w:rPr>
                <w:sz w:val="20"/>
                <w:szCs w:val="20"/>
                <w:color w:val="auto"/>
              </w:rPr>
            </w:pPr>
            <w:r>
              <w:rPr>
                <w:rFonts w:ascii="Arial" w:cs="Arial" w:eastAsia="Arial" w:hAnsi="Arial"/>
                <w:sz w:val="18"/>
                <w:szCs w:val="18"/>
                <w:color w:val="auto"/>
              </w:rPr>
              <w:t>70,887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3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64,997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71,339</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12,975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13,452</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3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144,562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155,678</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3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60,254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59,676</w:t>
            </w:r>
          </w:p>
        </w:tc>
        <w:tc>
          <w:tcPr>
            <w:tcW w:w="0" w:type="dxa"/>
            <w:vAlign w:val="bottom"/>
          </w:tcPr>
          <w:p>
            <w:pPr>
              <w:spacing w:after="0"/>
              <w:rPr>
                <w:sz w:val="1"/>
                <w:szCs w:val="1"/>
                <w:color w:val="auto"/>
              </w:rPr>
            </w:pPr>
          </w:p>
        </w:tc>
      </w:tr>
      <w:tr>
        <w:trPr>
          <w:trHeight w:val="229"/>
        </w:trPr>
        <w:tc>
          <w:tcPr>
            <w:tcW w:w="6800" w:type="dxa"/>
            <w:vAlign w:val="bottom"/>
          </w:tcPr>
          <w:p>
            <w:pPr>
              <w:ind w:left="180"/>
              <w:spacing w:after="0"/>
              <w:rPr>
                <w:sz w:val="20"/>
                <w:szCs w:val="20"/>
                <w:color w:val="auto"/>
              </w:rPr>
            </w:pPr>
            <w:r>
              <w:rPr>
                <w:rFonts w:ascii="Arial" w:cs="Arial" w:eastAsia="Arial" w:hAnsi="Arial"/>
                <w:sz w:val="18"/>
                <w:szCs w:val="18"/>
                <w:color w:val="auto"/>
              </w:rPr>
              <w:t>Newsprint and ink</w:t>
            </w:r>
          </w:p>
        </w:tc>
        <w:tc>
          <w:tcPr>
            <w:tcW w:w="3000" w:type="dxa"/>
            <w:vAlign w:val="bottom"/>
          </w:tcPr>
          <w:p>
            <w:pPr>
              <w:jc w:val="right"/>
              <w:ind w:right="250"/>
              <w:spacing w:after="0"/>
              <w:rPr>
                <w:sz w:val="20"/>
                <w:szCs w:val="20"/>
                <w:color w:val="auto"/>
              </w:rPr>
            </w:pPr>
            <w:r>
              <w:rPr>
                <w:rFonts w:ascii="Arial" w:cs="Arial" w:eastAsia="Arial" w:hAnsi="Arial"/>
                <w:sz w:val="18"/>
                <w:szCs w:val="18"/>
                <w:color w:val="auto"/>
              </w:rPr>
              <w:t>3,616</w:t>
            </w:r>
          </w:p>
        </w:tc>
        <w:tc>
          <w:tcPr>
            <w:tcW w:w="1440" w:type="dxa"/>
            <w:vAlign w:val="bottom"/>
          </w:tcPr>
          <w:p>
            <w:pPr>
              <w:jc w:val="right"/>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3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74,680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0" w:type="dxa"/>
            <w:vAlign w:val="bottom"/>
          </w:tcPr>
          <w:p>
            <w:pPr>
              <w:spacing w:after="0"/>
              <w:rPr>
                <w:sz w:val="1"/>
                <w:szCs w:val="1"/>
                <w:color w:val="auto"/>
              </w:rPr>
            </w:pPr>
          </w:p>
        </w:tc>
      </w:tr>
      <w:tr>
        <w:trPr>
          <w:trHeight w:val="230"/>
        </w:trPr>
        <w:tc>
          <w:tcPr>
            <w:tcW w:w="6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0" w:type="dxa"/>
            <w:vAlign w:val="bottom"/>
          </w:tcPr>
          <w:p>
            <w:pPr>
              <w:jc w:val="right"/>
              <w:ind w:right="250"/>
              <w:spacing w:after="0"/>
              <w:rPr>
                <w:sz w:val="20"/>
                <w:szCs w:val="20"/>
                <w:color w:val="auto"/>
              </w:rPr>
            </w:pPr>
            <w:r>
              <w:rPr>
                <w:rFonts w:ascii="Arial" w:cs="Arial" w:eastAsia="Arial" w:hAnsi="Arial"/>
                <w:sz w:val="18"/>
                <w:szCs w:val="18"/>
                <w:color w:val="auto"/>
              </w:rPr>
              <w:t>6,265</w:t>
            </w:r>
          </w:p>
        </w:tc>
        <w:tc>
          <w:tcPr>
            <w:tcW w:w="1440" w:type="dxa"/>
            <w:vAlign w:val="bottom"/>
          </w:tcPr>
          <w:p>
            <w:pPr>
              <w:jc w:val="right"/>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gain on sales, impairments and other, net</w:t>
            </w:r>
          </w:p>
        </w:tc>
        <w:tc>
          <w:tcPr>
            <w:tcW w:w="3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Restructuring costs and other</w:t>
            </w:r>
          </w:p>
        </w:tc>
        <w:tc>
          <w:tcPr>
            <w:tcW w:w="3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5,150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149,036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149,386</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3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3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(3,352)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3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(10,282)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30"/>
        </w:trPr>
        <w:tc>
          <w:tcPr>
            <w:tcW w:w="6800" w:type="dxa"/>
            <w:vAlign w:val="bottom"/>
          </w:tcPr>
          <w:p>
            <w:pPr>
              <w:ind w:left="180"/>
              <w:spacing w:after="0"/>
              <w:rPr>
                <w:sz w:val="20"/>
                <w:szCs w:val="20"/>
                <w:color w:val="auto"/>
              </w:rPr>
            </w:pPr>
            <w:r>
              <w:rPr>
                <w:rFonts w:ascii="Arial" w:cs="Arial" w:eastAsia="Arial" w:hAnsi="Arial"/>
                <w:sz w:val="18"/>
                <w:szCs w:val="18"/>
                <w:color w:val="auto"/>
              </w:rPr>
              <w:t>Pension and OPEB related benefit and other, net</w:t>
            </w:r>
          </w:p>
        </w:tc>
        <w:tc>
          <w:tcPr>
            <w:tcW w:w="3000" w:type="dxa"/>
            <w:vAlign w:val="bottom"/>
          </w:tcPr>
          <w:p>
            <w:pPr>
              <w:jc w:val="right"/>
              <w:ind w:right="250"/>
              <w:spacing w:after="0"/>
              <w:rPr>
                <w:sz w:val="20"/>
                <w:szCs w:val="20"/>
                <w:color w:val="auto"/>
              </w:rPr>
            </w:pPr>
            <w:r>
              <w:rPr>
                <w:rFonts w:ascii="Arial" w:cs="Arial" w:eastAsia="Arial" w:hAnsi="Arial"/>
                <w:sz w:val="18"/>
                <w:szCs w:val="18"/>
                <w:color w:val="auto"/>
              </w:rPr>
              <w:t>653</w:t>
            </w:r>
          </w:p>
        </w:tc>
        <w:tc>
          <w:tcPr>
            <w:tcW w:w="14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Curtailment/Settlement gains</w:t>
            </w:r>
          </w:p>
        </w:tc>
        <w:tc>
          <w:tcPr>
            <w:tcW w:w="3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3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(9,629)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(12,981)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3,243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(16,224)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(524)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attributable to Lee Enterprises, Incorporated</w:t>
            </w:r>
          </w:p>
        </w:tc>
        <w:tc>
          <w:tcPr>
            <w:tcW w:w="3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(16,748)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3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Lee Enterprises, Incorporated</w:t>
            </w:r>
          </w:p>
        </w:tc>
        <w:tc>
          <w:tcPr>
            <w:tcW w:w="3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(16,863)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tcPr>
          <w:p>
            <w:pPr>
              <w:ind w:left="20"/>
              <w:spacing w:after="0" w:line="203" w:lineRule="exact"/>
              <w:rPr>
                <w:sz w:val="20"/>
                <w:szCs w:val="20"/>
                <w:color w:val="auto"/>
              </w:rPr>
            </w:pPr>
            <w:r>
              <w:rPr>
                <w:rFonts w:ascii="Arial" w:cs="Arial" w:eastAsia="Arial" w:hAnsi="Arial"/>
                <w:sz w:val="18"/>
                <w:szCs w:val="18"/>
                <w:color w:val="auto"/>
              </w:rPr>
              <w:t>(Loss) earnings per common share:</w:t>
            </w:r>
          </w:p>
        </w:tc>
        <w:tc>
          <w:tcPr>
            <w:tcW w:w="3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3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90"/>
              <w:spacing w:after="0" w:line="189" w:lineRule="exact"/>
              <w:rPr>
                <w:sz w:val="20"/>
                <w:szCs w:val="20"/>
                <w:color w:val="auto"/>
              </w:rPr>
            </w:pPr>
            <w:r>
              <w:rPr>
                <w:rFonts w:ascii="Arial" w:cs="Arial" w:eastAsia="Arial" w:hAnsi="Arial"/>
                <w:sz w:val="18"/>
                <w:szCs w:val="18"/>
                <w:color w:val="auto"/>
              </w:rPr>
              <w:t>Accumulated</w:t>
            </w:r>
          </w:p>
        </w:tc>
        <w:tc>
          <w:tcPr>
            <w:tcW w:w="16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500" w:type="dxa"/>
            <w:vAlign w:val="bottom"/>
            <w:vMerge w:val="restart"/>
          </w:tcPr>
          <w:p>
            <w:pPr>
              <w:jc w:val="right"/>
              <w:ind w:right="110"/>
              <w:spacing w:after="0"/>
              <w:rPr>
                <w:sz w:val="20"/>
                <w:szCs w:val="20"/>
                <w:color w:val="auto"/>
              </w:rPr>
            </w:pPr>
            <w:r>
              <w:rPr>
                <w:rFonts w:ascii="Arial" w:cs="Arial" w:eastAsia="Arial" w:hAnsi="Arial"/>
                <w:sz w:val="18"/>
                <w:szCs w:val="18"/>
                <w:color w:val="auto"/>
              </w:rPr>
              <w:t>Accumulated</w:t>
            </w: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740" w:type="dxa"/>
            <w:vAlign w:val="bottom"/>
            <w:vMerge w:val="restart"/>
          </w:tcPr>
          <w:p>
            <w:pPr>
              <w:jc w:val="right"/>
              <w:ind w:right="310"/>
              <w:spacing w:after="0"/>
              <w:rPr>
                <w:sz w:val="20"/>
                <w:szCs w:val="20"/>
                <w:color w:val="auto"/>
              </w:rPr>
            </w:pPr>
            <w:r>
              <w:rPr>
                <w:rFonts w:ascii="Arial" w:cs="Arial" w:eastAsia="Arial" w:hAnsi="Arial"/>
                <w:sz w:val="18"/>
                <w:szCs w:val="18"/>
                <w:color w:val="auto"/>
              </w:rPr>
              <w:t>Additional</w:t>
            </w:r>
          </w:p>
        </w:tc>
        <w:tc>
          <w:tcPr>
            <w:tcW w:w="1840" w:type="dxa"/>
            <w:vAlign w:val="bottom"/>
          </w:tcPr>
          <w:p>
            <w:pPr>
              <w:jc w:val="right"/>
              <w:ind w:right="90"/>
              <w:spacing w:after="0" w:line="176" w:lineRule="exact"/>
              <w:rPr>
                <w:sz w:val="20"/>
                <w:szCs w:val="20"/>
                <w:color w:val="auto"/>
              </w:rPr>
            </w:pPr>
            <w:r>
              <w:rPr>
                <w:rFonts w:ascii="Arial" w:cs="Arial" w:eastAsia="Arial" w:hAnsi="Arial"/>
                <w:sz w:val="18"/>
                <w:szCs w:val="18"/>
                <w:color w:val="auto"/>
              </w:rPr>
              <w:t>Other</w:t>
            </w:r>
          </w:p>
        </w:tc>
        <w:tc>
          <w:tcPr>
            <w:tcW w:w="1660" w:type="dxa"/>
            <w:vAlign w:val="bottom"/>
            <w:vMerge w:val="restart"/>
          </w:tcPr>
          <w:p>
            <w:pPr>
              <w:jc w:val="right"/>
              <w:ind w:right="130"/>
              <w:spacing w:after="0"/>
              <w:rPr>
                <w:sz w:val="20"/>
                <w:szCs w:val="20"/>
                <w:color w:val="auto"/>
              </w:rPr>
            </w:pPr>
            <w:r>
              <w:rPr>
                <w:rFonts w:ascii="Arial" w:cs="Arial" w:eastAsia="Arial" w:hAnsi="Arial"/>
                <w:sz w:val="18"/>
                <w:szCs w:val="18"/>
                <w:color w:val="auto"/>
              </w:rPr>
              <w:t>Non-Controlling</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840" w:type="dxa"/>
            <w:vAlign w:val="bottom"/>
          </w:tcPr>
          <w:p>
            <w:pPr>
              <w:jc w:val="right"/>
              <w:ind w:right="90"/>
              <w:spacing w:after="0" w:line="176" w:lineRule="exact"/>
              <w:rPr>
                <w:sz w:val="20"/>
                <w:szCs w:val="20"/>
                <w:color w:val="auto"/>
              </w:rPr>
            </w:pPr>
            <w:r>
              <w:rPr>
                <w:rFonts w:ascii="Arial" w:cs="Arial" w:eastAsia="Arial" w:hAnsi="Arial"/>
                <w:sz w:val="18"/>
                <w:szCs w:val="18"/>
                <w:color w:val="auto"/>
              </w:rPr>
              <w:t>Comprehensive</w:t>
            </w:r>
          </w:p>
        </w:tc>
        <w:tc>
          <w:tcPr>
            <w:tcW w:w="1660" w:type="dxa"/>
            <w:vAlign w:val="bottom"/>
            <w:vMerge w:val="continue"/>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vMerge w:val="continue"/>
          </w:tcPr>
          <w:p>
            <w:pPr>
              <w:spacing w:after="0"/>
              <w:rPr>
                <w:sz w:val="21"/>
                <w:szCs w:val="21"/>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Deficit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paid-in capital</w:t>
            </w: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Income</w:t>
            </w:r>
          </w:p>
        </w:tc>
        <w:tc>
          <w:tcPr>
            <w:tcW w:w="1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Interests:</w:t>
            </w: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2024</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(292,341)</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262,470</w:t>
            </w: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19,920</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(331)</w:t>
            </w: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w:t>
            </w:r>
          </w:p>
        </w:tc>
        <w:tc>
          <w:tcPr>
            <w:tcW w:w="15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(16,748)</w:t>
            </w:r>
          </w:p>
        </w:tc>
        <w:tc>
          <w:tcPr>
            <w:tcW w:w="11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524</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0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840" w:type="dxa"/>
            <w:vAlign w:val="bottom"/>
            <w:vMerge w:val="continue"/>
            <w:shd w:val="clear" w:color="auto" w:fill="CCEEFF"/>
          </w:tcPr>
          <w:p>
            <w:pPr>
              <w:spacing w:after="0"/>
              <w:rPr>
                <w:sz w:val="21"/>
                <w:szCs w:val="21"/>
                <w:color w:val="auto"/>
              </w:rPr>
            </w:pPr>
          </w:p>
        </w:tc>
        <w:tc>
          <w:tcPr>
            <w:tcW w:w="166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430</w:t>
            </w: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Deferred income taxes,</w:t>
            </w:r>
          </w:p>
        </w:tc>
        <w:tc>
          <w:tcPr>
            <w:tcW w:w="15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vMerge w:val="restart"/>
          </w:tcPr>
          <w:p>
            <w:pPr>
              <w:jc w:val="right"/>
              <w:ind w:right="150"/>
              <w:spacing w:after="0"/>
              <w:rPr>
                <w:sz w:val="20"/>
                <w:szCs w:val="20"/>
                <w:color w:val="auto"/>
              </w:rPr>
            </w:pPr>
            <w:r>
              <w:rPr>
                <w:rFonts w:ascii="Arial" w:cs="Arial" w:eastAsia="Arial" w:hAnsi="Arial"/>
                <w:sz w:val="18"/>
                <w:szCs w:val="18"/>
                <w:color w:val="auto"/>
              </w:rPr>
              <w:t>36</w:t>
            </w:r>
          </w:p>
        </w:tc>
        <w:tc>
          <w:tcPr>
            <w:tcW w:w="166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net</w:t>
            </w:r>
          </w:p>
        </w:tc>
        <w:tc>
          <w:tcPr>
            <w:tcW w:w="15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740" w:type="dxa"/>
            <w:vAlign w:val="bottom"/>
            <w:vMerge w:val="continue"/>
          </w:tcPr>
          <w:p>
            <w:pPr>
              <w:spacing w:after="0"/>
              <w:rPr>
                <w:sz w:val="21"/>
                <w:szCs w:val="21"/>
                <w:color w:val="auto"/>
              </w:rPr>
            </w:pPr>
          </w:p>
        </w:tc>
        <w:tc>
          <w:tcPr>
            <w:tcW w:w="1840" w:type="dxa"/>
            <w:vAlign w:val="bottom"/>
            <w:vMerge w:val="continue"/>
          </w:tcPr>
          <w:p>
            <w:pPr>
              <w:spacing w:after="0"/>
              <w:rPr>
                <w:sz w:val="21"/>
                <w:szCs w:val="21"/>
                <w:color w:val="auto"/>
              </w:rPr>
            </w:pPr>
          </w:p>
        </w:tc>
        <w:tc>
          <w:tcPr>
            <w:tcW w:w="16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(603)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740" w:type="dxa"/>
            <w:vAlign w:val="bottom"/>
            <w:tcBorders>
              <w:bottom w:val="single" w:sz="8" w:color="auto"/>
            </w:tcBorders>
            <w:vMerge w:val="continue"/>
            <w:shd w:val="clear" w:color="auto" w:fill="CCEEFF"/>
          </w:tcPr>
          <w:p>
            <w:pPr>
              <w:spacing w:after="0"/>
              <w:rPr>
                <w:sz w:val="21"/>
                <w:szCs w:val="21"/>
                <w:color w:val="auto"/>
              </w:rPr>
            </w:pPr>
          </w:p>
        </w:tc>
        <w:tc>
          <w:tcPr>
            <w:tcW w:w="1840" w:type="dxa"/>
            <w:vAlign w:val="bottom"/>
            <w:tcBorders>
              <w:bottom w:val="single" w:sz="8" w:color="auto"/>
            </w:tcBorders>
            <w:vMerge w:val="continue"/>
            <w:shd w:val="clear" w:color="auto" w:fill="CCEEFF"/>
          </w:tcPr>
          <w:p>
            <w:pPr>
              <w:spacing w:after="0"/>
              <w:rPr>
                <w:sz w:val="21"/>
                <w:szCs w:val="21"/>
                <w:color w:val="auto"/>
              </w:rPr>
            </w:pPr>
          </w:p>
        </w:tc>
        <w:tc>
          <w:tcPr>
            <w:tcW w:w="166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29, 2024</w:t>
            </w: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(309,089)</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262,569</w:t>
            </w:r>
          </w:p>
        </w:tc>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19,805</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2,476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(24,177)</w:t>
            </w:r>
          </w:p>
        </w:tc>
        <w:tc>
          <w:tcPr>
            <w:tcW w:w="0" w:type="dxa"/>
            <w:vAlign w:val="bottom"/>
          </w:tcPr>
          <w:p>
            <w:pPr>
              <w:spacing w:after="0"/>
              <w:rPr>
                <w:sz w:val="1"/>
                <w:szCs w:val="1"/>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40" w:type="dxa"/>
            <w:vAlign w:val="bottom"/>
          </w:tcPr>
          <w:p>
            <w:pPr>
              <w:jc w:val="right"/>
              <w:ind w:right="90"/>
              <w:spacing w:after="0" w:line="169" w:lineRule="exact"/>
              <w:rPr>
                <w:sz w:val="20"/>
                <w:szCs w:val="20"/>
                <w:color w:val="auto"/>
              </w:rPr>
            </w:pPr>
            <w:r>
              <w:rPr>
                <w:rFonts w:ascii="Arial" w:cs="Arial" w:eastAsia="Arial" w:hAnsi="Arial"/>
                <w:sz w:val="18"/>
                <w:szCs w:val="18"/>
                <w:color w:val="auto"/>
              </w:rPr>
              <w:t>Accumulated</w:t>
            </w: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500" w:type="dxa"/>
            <w:vAlign w:val="bottom"/>
            <w:vMerge w:val="restart"/>
          </w:tcPr>
          <w:p>
            <w:pPr>
              <w:jc w:val="right"/>
              <w:ind w:right="90"/>
              <w:spacing w:after="0"/>
              <w:rPr>
                <w:sz w:val="20"/>
                <w:szCs w:val="20"/>
                <w:color w:val="auto"/>
              </w:rPr>
            </w:pPr>
            <w:r>
              <w:rPr>
                <w:rFonts w:ascii="Arial" w:cs="Arial" w:eastAsia="Arial" w:hAnsi="Arial"/>
                <w:sz w:val="18"/>
                <w:szCs w:val="18"/>
                <w:color w:val="auto"/>
              </w:rPr>
              <w:t>Accumulated</w:t>
            </w: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740" w:type="dxa"/>
            <w:vAlign w:val="bottom"/>
            <w:vMerge w:val="restart"/>
          </w:tcPr>
          <w:p>
            <w:pPr>
              <w:jc w:val="right"/>
              <w:ind w:right="310"/>
              <w:spacing w:after="0"/>
              <w:rPr>
                <w:sz w:val="20"/>
                <w:szCs w:val="20"/>
                <w:color w:val="auto"/>
              </w:rPr>
            </w:pPr>
            <w:r>
              <w:rPr>
                <w:rFonts w:ascii="Arial" w:cs="Arial" w:eastAsia="Arial" w:hAnsi="Arial"/>
                <w:sz w:val="18"/>
                <w:szCs w:val="18"/>
                <w:color w:val="auto"/>
              </w:rPr>
              <w:t>Additional</w:t>
            </w:r>
          </w:p>
        </w:tc>
        <w:tc>
          <w:tcPr>
            <w:tcW w:w="1840" w:type="dxa"/>
            <w:vAlign w:val="bottom"/>
          </w:tcPr>
          <w:p>
            <w:pPr>
              <w:jc w:val="right"/>
              <w:ind w:right="90"/>
              <w:spacing w:after="0" w:line="176" w:lineRule="exact"/>
              <w:rPr>
                <w:sz w:val="20"/>
                <w:szCs w:val="20"/>
                <w:color w:val="auto"/>
              </w:rPr>
            </w:pPr>
            <w:r>
              <w:rPr>
                <w:rFonts w:ascii="Arial" w:cs="Arial" w:eastAsia="Arial" w:hAnsi="Arial"/>
                <w:sz w:val="18"/>
                <w:szCs w:val="18"/>
                <w:color w:val="auto"/>
              </w:rPr>
              <w:t>Other</w:t>
            </w:r>
          </w:p>
        </w:tc>
        <w:tc>
          <w:tcPr>
            <w:tcW w:w="1660" w:type="dxa"/>
            <w:vAlign w:val="bottom"/>
            <w:vMerge w:val="restart"/>
          </w:tcPr>
          <w:p>
            <w:pPr>
              <w:jc w:val="right"/>
              <w:ind w:right="130"/>
              <w:spacing w:after="0"/>
              <w:rPr>
                <w:sz w:val="20"/>
                <w:szCs w:val="20"/>
                <w:color w:val="auto"/>
              </w:rPr>
            </w:pPr>
            <w:r>
              <w:rPr>
                <w:rFonts w:ascii="Arial" w:cs="Arial" w:eastAsia="Arial" w:hAnsi="Arial"/>
                <w:sz w:val="18"/>
                <w:szCs w:val="18"/>
                <w:color w:val="auto"/>
              </w:rPr>
              <w:t>Non-Controlling</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840" w:type="dxa"/>
            <w:vAlign w:val="bottom"/>
          </w:tcPr>
          <w:p>
            <w:pPr>
              <w:jc w:val="right"/>
              <w:ind w:right="90"/>
              <w:spacing w:after="0" w:line="176" w:lineRule="exact"/>
              <w:rPr>
                <w:sz w:val="20"/>
                <w:szCs w:val="20"/>
                <w:color w:val="auto"/>
              </w:rPr>
            </w:pPr>
            <w:r>
              <w:rPr>
                <w:rFonts w:ascii="Arial" w:cs="Arial" w:eastAsia="Arial" w:hAnsi="Arial"/>
                <w:sz w:val="18"/>
                <w:szCs w:val="18"/>
                <w:color w:val="auto"/>
              </w:rPr>
              <w:t>Comprehensive</w:t>
            </w:r>
          </w:p>
        </w:tc>
        <w:tc>
          <w:tcPr>
            <w:tcW w:w="1660" w:type="dxa"/>
            <w:vAlign w:val="bottom"/>
            <w:vMerge w:val="continue"/>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vMerge w:val="continue"/>
          </w:tcPr>
          <w:p>
            <w:pPr>
              <w:spacing w:after="0"/>
              <w:rPr>
                <w:sz w:val="21"/>
                <w:szCs w:val="21"/>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Deficit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paid-in capital</w:t>
            </w: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Income</w:t>
            </w:r>
          </w:p>
        </w:tc>
        <w:tc>
          <w:tcPr>
            <w:tcW w:w="1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Interests:</w:t>
            </w: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25, 2023</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(266,496)</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260,832</w:t>
            </w: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26,843</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2,466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(96)</w:t>
            </w: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attributable to Lee</w:t>
            </w:r>
          </w:p>
        </w:tc>
        <w:tc>
          <w:tcPr>
            <w:tcW w:w="15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688</w:t>
            </w:r>
          </w:p>
        </w:tc>
        <w:tc>
          <w:tcPr>
            <w:tcW w:w="118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545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0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840" w:type="dxa"/>
            <w:vAlign w:val="bottom"/>
            <w:vMerge w:val="continue"/>
            <w:shd w:val="clear" w:color="auto" w:fill="CCEEFF"/>
          </w:tcPr>
          <w:p>
            <w:pPr>
              <w:spacing w:after="0"/>
              <w:rPr>
                <w:sz w:val="21"/>
                <w:szCs w:val="21"/>
                <w:color w:val="auto"/>
              </w:rPr>
            </w:pPr>
          </w:p>
        </w:tc>
        <w:tc>
          <w:tcPr>
            <w:tcW w:w="166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214</w:t>
            </w: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(2,286)</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Deferred income taxes,</w:t>
            </w:r>
          </w:p>
        </w:tc>
        <w:tc>
          <w:tcPr>
            <w:tcW w:w="15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7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vMerge w:val="restart"/>
          </w:tcPr>
          <w:p>
            <w:pPr>
              <w:jc w:val="right"/>
              <w:ind w:right="90"/>
              <w:spacing w:after="0"/>
              <w:rPr>
                <w:sz w:val="20"/>
                <w:szCs w:val="20"/>
                <w:color w:val="auto"/>
              </w:rPr>
            </w:pPr>
            <w:r>
              <w:rPr>
                <w:rFonts w:ascii="Arial" w:cs="Arial" w:eastAsia="Arial" w:hAnsi="Arial"/>
                <w:sz w:val="18"/>
                <w:szCs w:val="18"/>
                <w:color w:val="auto"/>
              </w:rPr>
              <w:t>(28)</w:t>
            </w:r>
          </w:p>
        </w:tc>
        <w:tc>
          <w:tcPr>
            <w:tcW w:w="166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net</w:t>
            </w:r>
          </w:p>
        </w:tc>
        <w:tc>
          <w:tcPr>
            <w:tcW w:w="15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740" w:type="dxa"/>
            <w:vAlign w:val="bottom"/>
            <w:vMerge w:val="continue"/>
          </w:tcPr>
          <w:p>
            <w:pPr>
              <w:spacing w:after="0"/>
              <w:rPr>
                <w:sz w:val="21"/>
                <w:szCs w:val="21"/>
                <w:color w:val="auto"/>
              </w:rPr>
            </w:pPr>
          </w:p>
        </w:tc>
        <w:tc>
          <w:tcPr>
            <w:tcW w:w="1840" w:type="dxa"/>
            <w:vAlign w:val="bottom"/>
            <w:vMerge w:val="continue"/>
          </w:tcPr>
          <w:p>
            <w:pPr>
              <w:spacing w:after="0"/>
              <w:rPr>
                <w:sz w:val="21"/>
                <w:szCs w:val="21"/>
                <w:color w:val="auto"/>
              </w:rPr>
            </w:pPr>
          </w:p>
        </w:tc>
        <w:tc>
          <w:tcPr>
            <w:tcW w:w="16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(553)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740" w:type="dxa"/>
            <w:vAlign w:val="bottom"/>
            <w:tcBorders>
              <w:bottom w:val="single" w:sz="8" w:color="auto"/>
            </w:tcBorders>
            <w:vMerge w:val="continue"/>
            <w:shd w:val="clear" w:color="auto" w:fill="CCEEFF"/>
          </w:tcPr>
          <w:p>
            <w:pPr>
              <w:spacing w:after="0"/>
              <w:rPr>
                <w:sz w:val="21"/>
                <w:szCs w:val="21"/>
                <w:color w:val="auto"/>
              </w:rPr>
            </w:pPr>
          </w:p>
        </w:tc>
        <w:tc>
          <w:tcPr>
            <w:tcW w:w="1840" w:type="dxa"/>
            <w:vAlign w:val="bottom"/>
            <w:tcBorders>
              <w:bottom w:val="single" w:sz="8" w:color="auto"/>
            </w:tcBorders>
            <w:vMerge w:val="continue"/>
            <w:shd w:val="clear" w:color="auto" w:fill="CCEEFF"/>
          </w:tcPr>
          <w:p>
            <w:pPr>
              <w:spacing w:after="0"/>
              <w:rPr>
                <w:sz w:val="21"/>
                <w:szCs w:val="21"/>
                <w:color w:val="auto"/>
              </w:rPr>
            </w:pPr>
          </w:p>
        </w:tc>
        <w:tc>
          <w:tcPr>
            <w:tcW w:w="166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24, 2023</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(265,808)</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61</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260,950</w:t>
            </w:r>
          </w:p>
        </w:tc>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24,529</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2,458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22,190</w:t>
            </w:r>
          </w:p>
        </w:tc>
        <w:tc>
          <w:tcPr>
            <w:tcW w:w="0" w:type="dxa"/>
            <w:vAlign w:val="bottom"/>
          </w:tcPr>
          <w:p>
            <w:pPr>
              <w:spacing w:after="0"/>
              <w:rPr>
                <w:sz w:val="1"/>
                <w:szCs w:val="1"/>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color w:val="auto"/>
              </w:rPr>
              <w:t>December 29,</w:t>
            </w:r>
          </w:p>
        </w:tc>
        <w:tc>
          <w:tcPr>
            <w:tcW w:w="14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24,</w:t>
            </w:r>
          </w:p>
        </w:tc>
      </w:tr>
      <w:tr>
        <w:trPr>
          <w:trHeight w:val="242"/>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1"/>
        </w:trPr>
        <w:tc>
          <w:tcPr>
            <w:tcW w:w="78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(required for) operating activities:</w:t>
            </w:r>
          </w:p>
        </w:tc>
        <w:tc>
          <w:tcPr>
            <w:tcW w:w="19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980" w:type="dxa"/>
            <w:vAlign w:val="bottom"/>
          </w:tcPr>
          <w:p>
            <w:pPr>
              <w:jc w:val="right"/>
              <w:ind w:right="190"/>
              <w:spacing w:after="0"/>
              <w:rPr>
                <w:sz w:val="20"/>
                <w:szCs w:val="20"/>
                <w:color w:val="auto"/>
              </w:rPr>
            </w:pPr>
            <w:r>
              <w:rPr>
                <w:rFonts w:ascii="Arial" w:cs="Arial" w:eastAsia="Arial" w:hAnsi="Arial"/>
                <w:sz w:val="18"/>
                <w:szCs w:val="18"/>
                <w:color w:val="auto"/>
              </w:rPr>
              <w:t>(16,224)</w:t>
            </w:r>
          </w:p>
        </w:tc>
        <w:tc>
          <w:tcPr>
            <w:tcW w:w="144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(required for) provided by operating activities:</w:t>
            </w:r>
          </w:p>
        </w:tc>
        <w:tc>
          <w:tcPr>
            <w:tcW w:w="19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6,265</w:t>
            </w:r>
          </w:p>
        </w:tc>
        <w:tc>
          <w:tcPr>
            <w:tcW w:w="1440" w:type="dxa"/>
            <w:vAlign w:val="bottom"/>
          </w:tcPr>
          <w:p>
            <w:pPr>
              <w:jc w:val="right"/>
              <w:spacing w:after="0"/>
              <w:rPr>
                <w:sz w:val="20"/>
                <w:szCs w:val="20"/>
                <w:color w:val="auto"/>
              </w:rPr>
            </w:pPr>
            <w:r>
              <w:rPr>
                <w:rFonts w:ascii="Arial" w:cs="Arial" w:eastAsia="Arial" w:hAnsi="Arial"/>
                <w:sz w:val="18"/>
                <w:szCs w:val="18"/>
                <w:color w:val="auto"/>
              </w:rPr>
              <w:t>7,295</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1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3,474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Curtailment/Settlement gain</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(3,593)</w:t>
            </w:r>
          </w:p>
        </w:tc>
      </w:tr>
      <w:tr>
        <w:trPr>
          <w:trHeight w:val="229"/>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430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Assets gain on sales, impairments and other, net</w:t>
            </w:r>
          </w:p>
        </w:tc>
        <w:tc>
          <w:tcPr>
            <w:tcW w:w="1980" w:type="dxa"/>
            <w:vAlign w:val="bottom"/>
          </w:tcPr>
          <w:p>
            <w:pPr>
              <w:jc w:val="right"/>
              <w:ind w:right="190"/>
              <w:spacing w:after="0"/>
              <w:rPr>
                <w:sz w:val="20"/>
                <w:szCs w:val="20"/>
                <w:color w:val="auto"/>
              </w:rPr>
            </w:pPr>
            <w:r>
              <w:rPr>
                <w:rFonts w:ascii="Arial" w:cs="Arial" w:eastAsia="Arial" w:hAnsi="Arial"/>
                <w:sz w:val="18"/>
                <w:szCs w:val="18"/>
                <w:color w:val="auto"/>
              </w:rPr>
              <w:t>(929)</w:t>
            </w:r>
          </w:p>
        </w:tc>
        <w:tc>
          <w:tcPr>
            <w:tcW w:w="144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29"/>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net of distributions, deemed returns on investment of TNI and MNI</w:t>
            </w:r>
          </w:p>
        </w:tc>
        <w:tc>
          <w:tcPr>
            <w:tcW w:w="1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980" w:type="dxa"/>
            <w:vAlign w:val="bottom"/>
          </w:tcPr>
          <w:p>
            <w:pPr>
              <w:jc w:val="right"/>
              <w:ind w:right="190"/>
              <w:spacing w:after="0"/>
              <w:rPr>
                <w:sz w:val="20"/>
                <w:szCs w:val="20"/>
                <w:color w:val="auto"/>
              </w:rPr>
            </w:pPr>
            <w:r>
              <w:rPr>
                <w:rFonts w:ascii="Arial" w:cs="Arial" w:eastAsia="Arial" w:hAnsi="Arial"/>
                <w:sz w:val="18"/>
                <w:szCs w:val="18"/>
                <w:color w:val="auto"/>
              </w:rPr>
              <w:t>(131)</w:t>
            </w:r>
          </w:p>
        </w:tc>
        <w:tc>
          <w:tcPr>
            <w:tcW w:w="144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9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receivables</w:t>
            </w:r>
          </w:p>
        </w:tc>
        <w:tc>
          <w:tcPr>
            <w:tcW w:w="1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(2,682)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Increase in inventories and other</w:t>
            </w:r>
          </w:p>
        </w:tc>
        <w:tc>
          <w:tcPr>
            <w:tcW w:w="1980" w:type="dxa"/>
            <w:vAlign w:val="bottom"/>
          </w:tcPr>
          <w:p>
            <w:pPr>
              <w:jc w:val="right"/>
              <w:ind w:right="190"/>
              <w:spacing w:after="0"/>
              <w:rPr>
                <w:sz w:val="20"/>
                <w:szCs w:val="20"/>
                <w:color w:val="auto"/>
              </w:rPr>
            </w:pPr>
            <w:r>
              <w:rPr>
                <w:rFonts w:ascii="Arial" w:cs="Arial" w:eastAsia="Arial" w:hAnsi="Arial"/>
                <w:sz w:val="18"/>
                <w:szCs w:val="18"/>
                <w:color w:val="auto"/>
              </w:rPr>
              <w:t>(406)</w:t>
            </w: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accounts payable and other accrued liabilities</w:t>
            </w:r>
          </w:p>
        </w:tc>
        <w:tc>
          <w:tcPr>
            <w:tcW w:w="1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4,197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980" w:type="dxa"/>
            <w:vAlign w:val="bottom"/>
          </w:tcPr>
          <w:p>
            <w:pPr>
              <w:jc w:val="right"/>
              <w:ind w:right="190"/>
              <w:spacing w:after="0"/>
              <w:rPr>
                <w:sz w:val="20"/>
                <w:szCs w:val="20"/>
                <w:color w:val="auto"/>
              </w:rPr>
            </w:pPr>
            <w:r>
              <w:rPr>
                <w:rFonts w:ascii="Arial" w:cs="Arial" w:eastAsia="Arial" w:hAnsi="Arial"/>
                <w:sz w:val="18"/>
                <w:szCs w:val="18"/>
                <w:color w:val="auto"/>
              </w:rPr>
              <w:t>(893)</w:t>
            </w:r>
          </w:p>
        </w:tc>
        <w:tc>
          <w:tcPr>
            <w:tcW w:w="14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income taxes payable</w:t>
            </w:r>
          </w:p>
        </w:tc>
        <w:tc>
          <w:tcPr>
            <w:tcW w:w="1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30"/>
        </w:trPr>
        <w:tc>
          <w:tcPr>
            <w:tcW w:w="78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(required for) provided by operating activities</w:t>
            </w:r>
          </w:p>
        </w:tc>
        <w:tc>
          <w:tcPr>
            <w:tcW w:w="1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(7,337)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Cash provided by investing activities:</w:t>
            </w:r>
          </w:p>
        </w:tc>
        <w:tc>
          <w:tcPr>
            <w:tcW w:w="19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(1,553)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Proceeds from sales of assets</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5,414</w:t>
            </w:r>
          </w:p>
        </w:tc>
        <w:tc>
          <w:tcPr>
            <w:tcW w:w="1440" w:type="dxa"/>
            <w:vAlign w:val="bottom"/>
          </w:tcPr>
          <w:p>
            <w:pPr>
              <w:jc w:val="right"/>
              <w:spacing w:after="0"/>
              <w:rPr>
                <w:sz w:val="20"/>
                <w:szCs w:val="20"/>
                <w:color w:val="auto"/>
              </w:rPr>
            </w:pPr>
            <w:r>
              <w:rPr>
                <w:rFonts w:ascii="Arial" w:cs="Arial" w:eastAsia="Arial" w:hAnsi="Arial"/>
                <w:sz w:val="18"/>
                <w:szCs w:val="18"/>
                <w:color w:val="auto"/>
              </w:rPr>
              <w:t>3,145</w:t>
            </w:r>
          </w:p>
        </w:tc>
      </w:tr>
      <w:tr>
        <w:trPr>
          <w:trHeight w:val="230"/>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3,861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financing activities:</w:t>
            </w:r>
          </w:p>
        </w:tc>
        <w:tc>
          <w:tcPr>
            <w:tcW w:w="19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(1,580)</w:t>
            </w:r>
          </w:p>
        </w:tc>
      </w:tr>
      <w:tr>
        <w:trPr>
          <w:trHeight w:val="229"/>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Common stock transactions, net</w:t>
            </w:r>
          </w:p>
        </w:tc>
        <w:tc>
          <w:tcPr>
            <w:tcW w:w="1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(3,476)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9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1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9,598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w:t>
            </w:r>
          </w:p>
        </w:tc>
      </w:tr>
      <w:tr>
        <w:trPr>
          <w:trHeight w:val="223"/>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End of period</w:t>
            </w: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6,122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w:t>
            </w:r>
          </w:p>
        </w:tc>
      </w:tr>
      <w:tr>
        <w:trPr>
          <w:trHeight w:val="21"/>
        </w:trPr>
        <w:tc>
          <w:tcPr>
            <w:tcW w:w="78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December 29, 2024, and our results of operations and cash flows for the periods presented. The Consolidated Financial Statements should be read in conjunction with the Consolidated Financial Statements and Notes thereto included in the Company's 2024 Annual Report on Form 10-K.</w:t>
      </w:r>
    </w:p>
    <w:p>
      <w:pPr>
        <w:spacing w:after="0" w:line="14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Company's fiscal year ends on the last Sunday in September. Fiscal year 2025 ends September 28, 2025, and fiscal year 2024 ended September 29, 2024. Fiscal year 2025 includes 52 weeks of operations and 2024 included 53 weeks of operations. Because of seasonal and other factors, the results of operations for the three months ended December 29, 2024, are not necessarily indicative of the results to be expected for the full year.</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(“BLOX Digital" formerly "TownNews”).</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30"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6223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1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56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80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December 29,</w:t>
            </w:r>
          </w:p>
        </w:tc>
        <w:tc>
          <w:tcPr>
            <w:tcW w:w="1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24,</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auto"/>
            </w:tcBorders>
            <w:vMerge w:val="continue"/>
          </w:tcPr>
          <w:p>
            <w:pPr>
              <w:spacing w:after="0"/>
              <w:rPr>
                <w:sz w:val="21"/>
                <w:szCs w:val="21"/>
                <w:color w:val="auto"/>
              </w:rPr>
            </w:pPr>
          </w:p>
        </w:tc>
        <w:tc>
          <w:tcPr>
            <w:tcW w:w="2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Print advertising revenue</w:t>
            </w:r>
          </w:p>
        </w:tc>
        <w:tc>
          <w:tcPr>
            <w:tcW w:w="2800" w:type="dxa"/>
            <w:vAlign w:val="bottom"/>
          </w:tcPr>
          <w:p>
            <w:pPr>
              <w:jc w:val="right"/>
              <w:ind w:right="210"/>
              <w:spacing w:after="0"/>
              <w:rPr>
                <w:sz w:val="20"/>
                <w:szCs w:val="20"/>
                <w:color w:val="auto"/>
              </w:rPr>
            </w:pPr>
            <w:r>
              <w:rPr>
                <w:rFonts w:ascii="Arial" w:cs="Arial" w:eastAsia="Arial" w:hAnsi="Arial"/>
                <w:sz w:val="18"/>
                <w:szCs w:val="18"/>
                <w:color w:val="auto"/>
              </w:rPr>
              <w:t>19,861</w:t>
            </w:r>
          </w:p>
        </w:tc>
        <w:tc>
          <w:tcPr>
            <w:tcW w:w="1380" w:type="dxa"/>
            <w:vAlign w:val="bottom"/>
          </w:tcPr>
          <w:p>
            <w:pPr>
              <w:jc w:val="right"/>
              <w:spacing w:after="0"/>
              <w:rPr>
                <w:sz w:val="20"/>
                <w:szCs w:val="20"/>
                <w:color w:val="auto"/>
              </w:rPr>
            </w:pPr>
            <w:r>
              <w:rPr>
                <w:rFonts w:ascii="Arial" w:cs="Arial" w:eastAsia="Arial" w:hAnsi="Arial"/>
                <w:sz w:val="18"/>
                <w:szCs w:val="18"/>
                <w:color w:val="auto"/>
              </w:rPr>
              <w:t>24,435</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advertising and marketing services revenue</w:t>
            </w:r>
          </w:p>
        </w:tc>
        <w:tc>
          <w:tcPr>
            <w:tcW w:w="2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46,729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46,452</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66,590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70,887</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Print subscription revenue</w:t>
            </w:r>
          </w:p>
        </w:tc>
        <w:tc>
          <w:tcPr>
            <w:tcW w:w="2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43,432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51,872</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Digital subscription revenue</w:t>
            </w:r>
          </w:p>
        </w:tc>
        <w:tc>
          <w:tcPr>
            <w:tcW w:w="2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21,565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19,467</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64,997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71,339</w:t>
            </w: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rPr>
                <w:sz w:val="20"/>
                <w:szCs w:val="20"/>
                <w:color w:val="auto"/>
              </w:rPr>
            </w:pPr>
            <w:r>
              <w:rPr>
                <w:rFonts w:ascii="Arial" w:cs="Arial" w:eastAsia="Arial" w:hAnsi="Arial"/>
                <w:sz w:val="18"/>
                <w:szCs w:val="18"/>
                <w:color w:val="auto"/>
              </w:rPr>
              <w:t>Print other revenue</w:t>
            </w:r>
          </w:p>
        </w:tc>
        <w:tc>
          <w:tcPr>
            <w:tcW w:w="2800" w:type="dxa"/>
            <w:vAlign w:val="bottom"/>
          </w:tcPr>
          <w:p>
            <w:pPr>
              <w:jc w:val="right"/>
              <w:ind w:right="210"/>
              <w:spacing w:after="0"/>
              <w:rPr>
                <w:sz w:val="20"/>
                <w:szCs w:val="20"/>
                <w:color w:val="auto"/>
              </w:rPr>
            </w:pPr>
            <w:r>
              <w:rPr>
                <w:rFonts w:ascii="Arial" w:cs="Arial" w:eastAsia="Arial" w:hAnsi="Arial"/>
                <w:sz w:val="18"/>
                <w:szCs w:val="18"/>
                <w:color w:val="auto"/>
              </w:rPr>
              <w:t>7,888</w:t>
            </w:r>
          </w:p>
        </w:tc>
        <w:tc>
          <w:tcPr>
            <w:tcW w:w="1380" w:type="dxa"/>
            <w:vAlign w:val="bottom"/>
          </w:tcPr>
          <w:p>
            <w:pPr>
              <w:jc w:val="right"/>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other revenue</w:t>
            </w:r>
          </w:p>
        </w:tc>
        <w:tc>
          <w:tcPr>
            <w:tcW w:w="2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5,087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12,975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13,452</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144,562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155,678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3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The Company’s primary source of contract liabilities is unearned revenue from subscriptions paid in advance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service provided. The Company expects to recognize the revenue related to unsatisfied performance obligations over the next twelve months in accordance with the terms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of the subscriptions and other contracts with customers. Revenue recognized in the three months ended December 29, 2024, that was included in the contract liability as of September 29, 2024, was $19.4 million.</w:t>
      </w:r>
    </w:p>
    <w:p>
      <w:pPr>
        <w:spacing w:after="0" w:line="12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Accounts receivable, excluding allowance for credit losses was $65.4 million and $67.2 million as of December 29, 2024, and September 29, 2024</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Allowance for credit losses was $5.9 million and $6.5 million as of December 29, 2024, and September 29, 2024</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47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660" w:type="dxa"/>
            <w:vAlign w:val="bottom"/>
            <w:tcBorders>
              <w:top w:val="single" w:sz="8" w:color="auto"/>
            </w:tcBorders>
          </w:tcPr>
          <w:p>
            <w:pPr>
              <w:jc w:val="right"/>
              <w:ind w:right="110"/>
              <w:spacing w:after="0" w:line="197" w:lineRule="exact"/>
              <w:rPr>
                <w:sz w:val="20"/>
                <w:szCs w:val="20"/>
                <w:color w:val="auto"/>
              </w:rPr>
            </w:pPr>
            <w:r>
              <w:rPr>
                <w:rFonts w:ascii="Arial" w:cs="Arial" w:eastAsia="Arial" w:hAnsi="Arial"/>
                <w:sz w:val="18"/>
                <w:szCs w:val="18"/>
                <w:color w:val="auto"/>
              </w:rPr>
              <w:t>December 29,</w:t>
            </w:r>
          </w:p>
        </w:tc>
        <w:tc>
          <w:tcPr>
            <w:tcW w:w="142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35"/>
        </w:trPr>
        <w:tc>
          <w:tcPr>
            <w:tcW w:w="4720" w:type="dxa"/>
            <w:vAlign w:val="bottom"/>
            <w:tcBorders>
              <w:bottom w:val="single" w:sz="8" w:color="auto"/>
            </w:tcBorders>
            <w:vMerge w:val="continue"/>
          </w:tcPr>
          <w:p>
            <w:pPr>
              <w:spacing w:after="0"/>
              <w:rPr>
                <w:sz w:val="20"/>
                <w:szCs w:val="20"/>
                <w:color w:val="auto"/>
              </w:rPr>
            </w:pPr>
          </w:p>
        </w:tc>
        <w:tc>
          <w:tcPr>
            <w:tcW w:w="3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660" w:type="dxa"/>
            <w:vAlign w:val="bottom"/>
            <w:shd w:val="clear" w:color="auto" w:fill="CCEEFF"/>
          </w:tcPr>
          <w:p>
            <w:pPr>
              <w:jc w:val="center"/>
              <w:ind w:left="2590"/>
              <w:spacing w:after="0"/>
              <w:rPr>
                <w:sz w:val="20"/>
                <w:szCs w:val="20"/>
                <w:color w:val="auto"/>
              </w:rPr>
            </w:pPr>
            <w:r>
              <w:rPr>
                <w:rFonts w:ascii="Arial" w:cs="Arial" w:eastAsia="Arial" w:hAnsi="Arial"/>
                <w:sz w:val="18"/>
                <w:szCs w:val="18"/>
                <w:color w:val="auto"/>
              </w:rPr>
              <w:t>6,514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52"/>
        </w:trPr>
        <w:tc>
          <w:tcPr>
            <w:tcW w:w="472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3660" w:type="dxa"/>
            <w:vAlign w:val="bottom"/>
          </w:tcPr>
          <w:p>
            <w:pPr>
              <w:jc w:val="center"/>
              <w:ind w:left="2590"/>
              <w:spacing w:after="0"/>
              <w:rPr>
                <w:sz w:val="20"/>
                <w:szCs w:val="20"/>
                <w:color w:val="auto"/>
              </w:rPr>
            </w:pPr>
            <w:r>
              <w:rPr>
                <w:rFonts w:ascii="Arial" w:cs="Arial" w:eastAsia="Arial" w:hAnsi="Arial"/>
                <w:sz w:val="18"/>
                <w:szCs w:val="18"/>
                <w:color w:val="auto"/>
              </w:rPr>
              <w:t>3,474</w:t>
            </w:r>
          </w:p>
        </w:tc>
        <w:tc>
          <w:tcPr>
            <w:tcW w:w="1420" w:type="dxa"/>
            <w:vAlign w:val="bottom"/>
          </w:tcPr>
          <w:p>
            <w:pPr>
              <w:jc w:val="right"/>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3660" w:type="dxa"/>
            <w:vAlign w:val="bottom"/>
            <w:tcBorders>
              <w:bottom w:val="single" w:sz="8" w:color="auto"/>
            </w:tcBorders>
            <w:shd w:val="clear" w:color="auto" w:fill="CCEEFF"/>
          </w:tcPr>
          <w:p>
            <w:pPr>
              <w:jc w:val="center"/>
              <w:ind w:left="2570"/>
              <w:spacing w:after="0"/>
              <w:rPr>
                <w:sz w:val="20"/>
                <w:szCs w:val="20"/>
                <w:color w:val="auto"/>
              </w:rPr>
            </w:pPr>
            <w:r>
              <w:rPr>
                <w:rFonts w:ascii="Arial" w:cs="Arial" w:eastAsia="Arial" w:hAnsi="Arial"/>
                <w:sz w:val="18"/>
                <w:szCs w:val="18"/>
                <w:color w:val="auto"/>
                <w:w w:val="98"/>
              </w:rPr>
              <w:t>(4,123)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3660" w:type="dxa"/>
            <w:vAlign w:val="bottom"/>
            <w:tcBorders>
              <w:bottom w:val="single" w:sz="8" w:color="auto"/>
            </w:tcBorders>
          </w:tcPr>
          <w:p>
            <w:pPr>
              <w:jc w:val="center"/>
              <w:ind w:left="2590"/>
              <w:spacing w:after="0"/>
              <w:rPr>
                <w:sz w:val="20"/>
                <w:szCs w:val="20"/>
                <w:color w:val="auto"/>
              </w:rPr>
            </w:pPr>
            <w:r>
              <w:rPr>
                <w:rFonts w:ascii="Arial" w:cs="Arial" w:eastAsia="Arial" w:hAnsi="Arial"/>
                <w:sz w:val="18"/>
                <w:szCs w:val="18"/>
                <w:color w:val="auto"/>
              </w:rPr>
              <w:t>5,865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5"/>
        </w:trPr>
        <w:tc>
          <w:tcPr>
            <w:tcW w:w="47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Most of our contracts have original expected lengths of one year or less and revenue is earned at a rate and amount that corresponds directly with the value to the customer.</w:t>
      </w:r>
    </w:p>
    <w:p>
      <w:pPr>
        <w:spacing w:after="0" w:line="144" w:lineRule="exact"/>
        <w:rPr>
          <w:sz w:val="20"/>
          <w:szCs w:val="20"/>
          <w:color w:val="auto"/>
        </w:rPr>
      </w:pPr>
    </w:p>
    <w:p>
      <w:pPr>
        <w:ind w:left="660" w:right="7080" w:hanging="652"/>
        <w:spacing w:after="0" w:line="453" w:lineRule="auto"/>
        <w:tabs>
          <w:tab w:leader="none" w:pos="3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Gannett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6223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1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77"/>
        </w:trPr>
        <w:tc>
          <w:tcPr>
            <w:tcW w:w="45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90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rPr>
              <w:t>December 29,</w:t>
            </w:r>
          </w:p>
        </w:tc>
        <w:tc>
          <w:tcPr>
            <w:tcW w:w="13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December 24,</w:t>
            </w:r>
          </w:p>
        </w:tc>
        <w:tc>
          <w:tcPr>
            <w:tcW w:w="0" w:type="dxa"/>
            <w:vAlign w:val="bottom"/>
          </w:tcPr>
          <w:p>
            <w:pPr>
              <w:spacing w:after="0"/>
              <w:rPr>
                <w:sz w:val="1"/>
                <w:szCs w:val="1"/>
                <w:color w:val="auto"/>
              </w:rPr>
            </w:pPr>
          </w:p>
        </w:tc>
      </w:tr>
      <w:tr>
        <w:trPr>
          <w:trHeight w:val="235"/>
        </w:trPr>
        <w:tc>
          <w:tcPr>
            <w:tcW w:w="4520" w:type="dxa"/>
            <w:vAlign w:val="bottom"/>
            <w:tcBorders>
              <w:bottom w:val="single" w:sz="8" w:color="auto"/>
            </w:tcBorders>
            <w:vMerge w:val="continue"/>
          </w:tcPr>
          <w:p>
            <w:pPr>
              <w:spacing w:after="0"/>
              <w:rPr>
                <w:sz w:val="20"/>
                <w:szCs w:val="20"/>
                <w:color w:val="auto"/>
              </w:rPr>
            </w:pPr>
          </w:p>
        </w:tc>
        <w:tc>
          <w:tcPr>
            <w:tcW w:w="3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6,533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3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5,206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1,327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9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39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1,250</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3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625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9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TNI makes periodic distributions of its earnings and for the three months ended December 29, 2024, and December 24, 2023, we received $0.5 million and $1.2 million in distributions, respectively.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platforms. Net income or loss of MNI (after income taxes) is allocated equally to us and The Capital Times Company (“TCT”). MNI conducts its business under the trade name Capital Newspapers.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6223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1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67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December 29,</w:t>
            </w:r>
          </w:p>
        </w:tc>
        <w:tc>
          <w:tcPr>
            <w:tcW w:w="1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24,</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9,759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Operating expenses, excluding restructuring costs, depreciation and amortization</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7,455</w:t>
            </w:r>
          </w:p>
        </w:tc>
        <w:tc>
          <w:tcPr>
            <w:tcW w:w="1380" w:type="dxa"/>
            <w:vAlign w:val="bottom"/>
          </w:tcPr>
          <w:p>
            <w:pPr>
              <w:jc w:val="right"/>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2,214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994</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MNI</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497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MNI makes periodic distributions of its earnings and in the three months ended December 29, 2024 and December 24, 2023, we received $0.9 million and $0.4 million in distributions, respectively.</w:t>
      </w:r>
    </w:p>
    <w:p>
      <w:pPr>
        <w:spacing w:after="0" w:line="11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and identified intangible assets consist of the following:</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2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120" w:type="dxa"/>
            <w:vAlign w:val="bottom"/>
            <w:tcBorders>
              <w:top w:val="single" w:sz="8" w:color="auto"/>
            </w:tcBorders>
          </w:tcPr>
          <w:p>
            <w:pPr>
              <w:jc w:val="right"/>
              <w:ind w:right="110"/>
              <w:spacing w:after="0" w:line="189" w:lineRule="exact"/>
              <w:rPr>
                <w:sz w:val="20"/>
                <w:szCs w:val="20"/>
                <w:color w:val="auto"/>
              </w:rPr>
            </w:pPr>
            <w:r>
              <w:rPr>
                <w:rFonts w:ascii="Arial" w:cs="Arial" w:eastAsia="Arial" w:hAnsi="Arial"/>
                <w:sz w:val="18"/>
                <w:szCs w:val="18"/>
                <w:color w:val="auto"/>
              </w:rPr>
              <w:t>December 29,</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auto"/>
            </w:tcBorders>
            <w:vMerge w:val="continue"/>
          </w:tcPr>
          <w:p>
            <w:pPr>
              <w:spacing w:after="0"/>
              <w:rPr>
                <w:sz w:val="21"/>
                <w:szCs w:val="21"/>
                <w:color w:val="auto"/>
              </w:rPr>
            </w:pPr>
          </w:p>
        </w:tc>
        <w:tc>
          <w:tcPr>
            <w:tcW w:w="3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period</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328,040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Allocated to sold operations</w:t>
            </w:r>
          </w:p>
        </w:tc>
        <w:tc>
          <w:tcPr>
            <w:tcW w:w="3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(4,182)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323,858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328,040</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3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Mastheads</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10,917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3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and newspaper subscriber lists</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262,146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262,242</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amortization</w:t>
            </w:r>
          </w:p>
        </w:tc>
        <w:tc>
          <w:tcPr>
            <w:tcW w:w="3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(206,463)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(203,084)</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55,683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59,158</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 net</w:t>
            </w:r>
          </w:p>
        </w:tc>
        <w:tc>
          <w:tcPr>
            <w:tcW w:w="3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390,458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398,115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approximately ten years.</w:t>
      </w:r>
    </w:p>
    <w:p>
      <w:pPr>
        <w:spacing w:after="0" w:line="1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During the three months ended December 29, 2024, the Company sold certain non-core operations. Goodwill was allocated to these operations, which totaled $4.2 million.</w:t>
      </w:r>
    </w:p>
    <w:p>
      <w:pPr>
        <w:spacing w:after="0" w:line="126"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debt consisting of a single 25-year term loan with BH Finance LLC, with an aggregate principal balance of $445.9 million at a 9% annual fixed rate and maturing on March 16, 2045 (referred to herein as “Credit Agreement” and “Term Loan”). On December 29, 2024, the fair value was $ 383.3 million, representing a Level 2 fair value measurement, which are fair values estimated using significant other observable inputs for similar instruments.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During the three months ended December 29, 2024, we made no principal debt payments. Future payments are contingent on the Company's ability to generate future excess cash flow, as defined in the Credit Agreement. As of December 29, 2024, $— million was recognized as current maturities of long-term debt in the Consolidated Balance Sheets due to non-core asset monetization.</w:t>
      </w:r>
    </w:p>
    <w:p>
      <w:pPr>
        <w:spacing w:after="0" w:line="144"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one defined benefit pension plan that covers certain employees, including plans established under collective bargaining agreements. Additionally, we provide retiree medical and life insurance benefits under postretirement plans at several of our operating locations. Through December 29, 2024, our liability and related expense for benefits under the plans are recorded over the service period of employees based upon annual actuarial calculations.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PENSION PLANS</w:t>
            </w:r>
          </w:p>
        </w:tc>
        <w:tc>
          <w:tcPr>
            <w:tcW w:w="3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2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29,</w:t>
            </w:r>
          </w:p>
        </w:tc>
        <w:tc>
          <w:tcPr>
            <w:tcW w:w="1260" w:type="dxa"/>
            <w:vAlign w:val="bottom"/>
          </w:tcPr>
          <w:p>
            <w:pPr>
              <w:jc w:val="right"/>
              <w:spacing w:after="0" w:line="169" w:lineRule="exact"/>
              <w:rPr>
                <w:sz w:val="20"/>
                <w:szCs w:val="20"/>
                <w:color w:val="auto"/>
              </w:rPr>
            </w:pPr>
            <w:r>
              <w:rPr>
                <w:rFonts w:ascii="Arial" w:cs="Arial" w:eastAsia="Arial" w:hAnsi="Arial"/>
                <w:sz w:val="18"/>
                <w:szCs w:val="18"/>
                <w:color w:val="auto"/>
              </w:rPr>
              <w:t>December 24,</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auto"/>
            </w:tcBorders>
            <w:vMerge w:val="continue"/>
          </w:tcPr>
          <w:p>
            <w:pPr>
              <w:spacing w:after="0"/>
              <w:rPr>
                <w:sz w:val="21"/>
                <w:szCs w:val="21"/>
                <w:color w:val="auto"/>
              </w:rPr>
            </w:pPr>
          </w:p>
        </w:tc>
        <w:tc>
          <w:tcPr>
            <w:tcW w:w="3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2,034</w:t>
            </w:r>
          </w:p>
        </w:tc>
        <w:tc>
          <w:tcPr>
            <w:tcW w:w="126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(2,319)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 gain</w:t>
            </w:r>
          </w:p>
        </w:tc>
        <w:tc>
          <w:tcPr>
            <w:tcW w:w="33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 cost</w:t>
            </w:r>
          </w:p>
        </w:tc>
        <w:tc>
          <w:tcPr>
            <w:tcW w:w="334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(72)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2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3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29,</w:t>
            </w:r>
          </w:p>
        </w:tc>
        <w:tc>
          <w:tcPr>
            <w:tcW w:w="1260" w:type="dxa"/>
            <w:vAlign w:val="bottom"/>
          </w:tcPr>
          <w:p>
            <w:pPr>
              <w:jc w:val="right"/>
              <w:spacing w:after="0" w:line="169" w:lineRule="exact"/>
              <w:rPr>
                <w:sz w:val="20"/>
                <w:szCs w:val="20"/>
                <w:color w:val="auto"/>
              </w:rPr>
            </w:pPr>
            <w:r>
              <w:rPr>
                <w:rFonts w:ascii="Arial" w:cs="Arial" w:eastAsia="Arial" w:hAnsi="Arial"/>
                <w:sz w:val="18"/>
                <w:szCs w:val="18"/>
                <w:color w:val="auto"/>
              </w:rPr>
              <w:t>December 24,</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auto"/>
            </w:tcBorders>
            <w:vMerge w:val="continue"/>
          </w:tcPr>
          <w:p>
            <w:pPr>
              <w:spacing w:after="0"/>
              <w:rPr>
                <w:sz w:val="21"/>
                <w:szCs w:val="21"/>
                <w:color w:val="auto"/>
              </w:rPr>
            </w:pPr>
          </w:p>
        </w:tc>
        <w:tc>
          <w:tcPr>
            <w:tcW w:w="3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108</w:t>
            </w: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(410)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3340" w:type="dxa"/>
            <w:vAlign w:val="bottom"/>
          </w:tcPr>
          <w:p>
            <w:pPr>
              <w:jc w:val="right"/>
              <w:ind w:right="870"/>
              <w:spacing w:after="0"/>
              <w:rPr>
                <w:sz w:val="20"/>
                <w:szCs w:val="20"/>
                <w:color w:val="auto"/>
              </w:rPr>
            </w:pPr>
            <w:r>
              <w:rPr>
                <w:rFonts w:ascii="Arial" w:cs="Arial" w:eastAsia="Arial" w:hAnsi="Arial"/>
                <w:sz w:val="18"/>
                <w:szCs w:val="18"/>
                <w:color w:val="auto"/>
              </w:rPr>
              <w:t>(292)</w:t>
            </w:r>
          </w:p>
        </w:tc>
        <w:tc>
          <w:tcPr>
            <w:tcW w:w="126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3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(71)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w:t>
            </w:r>
          </w:p>
        </w:tc>
        <w:tc>
          <w:tcPr>
            <w:tcW w:w="33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postretirement benefit</w:t>
            </w:r>
          </w:p>
        </w:tc>
        <w:tc>
          <w:tcPr>
            <w:tcW w:w="334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(664)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In the three months ended December 29, 2024 and December 24, 2023, we made no contributions to our pension plans. We have no required contributions to our pension plans for 2025.</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prior periods, the Company effectuated withdrawals from several multiemployer plans. As of December 29, 2024 and September 29, 2024, we had $23.3 million and $23.6 million of accrued withdrawal liabilities. The liabilities reflect the estimated value of payments to the fund, payable over 20-years.</w:t>
      </w:r>
    </w:p>
    <w:p>
      <w:pPr>
        <w:spacing w:after="0" w:line="144"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recorded an income tax expense of $3.2 million related to loss before taxes of $13.0 million for the three months ended December 29, 2024. We recorded an income tax expense of $0.2 million related to income before taxes of $1.5 million for the three months ended December 24, 2023. The effective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income tax rate for the three months ended December 29, 2024, was 25.0%. The effective income tax rate for the three months ended December 24, 2023, was 16.7%.</w:t>
      </w:r>
    </w:p>
    <w:p>
      <w:pPr>
        <w:spacing w:after="0" w:line="166" w:lineRule="exact"/>
        <w:rPr>
          <w:sz w:val="20"/>
          <w:szCs w:val="20"/>
          <w:color w:val="auto"/>
        </w:rPr>
      </w:pPr>
    </w:p>
    <w:p>
      <w:pPr>
        <w:ind w:left="660" w:right="220"/>
        <w:spacing w:after="0" w:line="301" w:lineRule="auto"/>
        <w:rPr>
          <w:sz w:val="20"/>
          <w:szCs w:val="20"/>
          <w:color w:val="auto"/>
        </w:rPr>
      </w:pPr>
      <w:r>
        <w:rPr>
          <w:rFonts w:ascii="Arial" w:cs="Arial" w:eastAsia="Arial" w:hAnsi="Arial"/>
          <w:sz w:val="17"/>
          <w:szCs w:val="17"/>
          <w:color w:val="auto"/>
        </w:rPr>
        <w:t>The primary differences between these rates and the U.S. federal statutory rate of 21% are because of state taxes, non-deductible expenses, changes in valuation allowance, and adjustments to reserves for uncertain tax positions, including any related interest.</w:t>
      </w:r>
    </w:p>
    <w:p>
      <w:pPr>
        <w:spacing w:after="0" w:line="17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30 state and local jurisdictions. We do not currently have any federal or material state income tax examinations in progress. Our income tax returns have generally been audited or closed to audit through 2016.</w:t>
      </w:r>
    </w:p>
    <w:p>
      <w:pPr>
        <w:spacing w:after="0" w:line="144"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COMMON SHARE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(loss) earnings per common share:</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60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2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 and Shares, Except Per Share Data)</w:t>
            </w:r>
          </w:p>
        </w:tc>
        <w:tc>
          <w:tcPr>
            <w:tcW w:w="292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29,</w:t>
            </w:r>
          </w:p>
        </w:tc>
        <w:tc>
          <w:tcPr>
            <w:tcW w:w="1240" w:type="dxa"/>
            <w:vAlign w:val="bottom"/>
          </w:tcPr>
          <w:p>
            <w:pPr>
              <w:jc w:val="right"/>
              <w:spacing w:after="0" w:line="169" w:lineRule="exact"/>
              <w:rPr>
                <w:sz w:val="20"/>
                <w:szCs w:val="20"/>
                <w:color w:val="auto"/>
              </w:rPr>
            </w:pPr>
            <w:r>
              <w:rPr>
                <w:rFonts w:ascii="Arial" w:cs="Arial" w:eastAsia="Arial" w:hAnsi="Arial"/>
                <w:sz w:val="18"/>
                <w:szCs w:val="18"/>
                <w:color w:val="auto"/>
              </w:rPr>
              <w:t>December 24,</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auto"/>
            </w:tcBorders>
            <w:vMerge w:val="continue"/>
          </w:tcPr>
          <w:p>
            <w:pPr>
              <w:spacing w:after="0"/>
              <w:rPr>
                <w:sz w:val="21"/>
                <w:szCs w:val="21"/>
                <w:color w:val="auto"/>
              </w:rPr>
            </w:pPr>
          </w:p>
        </w:tc>
        <w:tc>
          <w:tcPr>
            <w:tcW w:w="29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income attributable to Lee Enterprises, Incorporated:</w:t>
            </w:r>
          </w:p>
        </w:tc>
        <w:tc>
          <w:tcPr>
            <w:tcW w:w="29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(16,748)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w:t>
            </w:r>
          </w:p>
        </w:tc>
        <w:tc>
          <w:tcPr>
            <w:tcW w:w="2920" w:type="dxa"/>
            <w:vAlign w:val="bottom"/>
          </w:tcPr>
          <w:p>
            <w:pPr>
              <w:jc w:val="right"/>
              <w:ind w:right="910"/>
              <w:spacing w:after="0" w:line="203" w:lineRule="exact"/>
              <w:rPr>
                <w:sz w:val="20"/>
                <w:szCs w:val="20"/>
                <w:color w:val="auto"/>
              </w:rPr>
            </w:pPr>
            <w:r>
              <w:rPr>
                <w:rFonts w:ascii="Arial" w:cs="Arial" w:eastAsia="Arial" w:hAnsi="Arial"/>
                <w:sz w:val="18"/>
                <w:szCs w:val="18"/>
                <w:color w:val="auto"/>
              </w:rPr>
              <w:t>6,192</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weighted average restricted Common Stock</w:t>
            </w:r>
          </w:p>
        </w:tc>
        <w:tc>
          <w:tcPr>
            <w:tcW w:w="29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(204)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Basic average common shares</w:t>
            </w:r>
          </w:p>
        </w:tc>
        <w:tc>
          <w:tcPr>
            <w:tcW w:w="2920" w:type="dxa"/>
            <w:vAlign w:val="bottom"/>
          </w:tcPr>
          <w:p>
            <w:pPr>
              <w:jc w:val="right"/>
              <w:ind w:right="910"/>
              <w:spacing w:after="0"/>
              <w:rPr>
                <w:sz w:val="20"/>
                <w:szCs w:val="20"/>
                <w:color w:val="auto"/>
              </w:rPr>
            </w:pPr>
            <w:r>
              <w:rPr>
                <w:rFonts w:ascii="Arial" w:cs="Arial" w:eastAsia="Arial" w:hAnsi="Arial"/>
                <w:sz w:val="18"/>
                <w:szCs w:val="18"/>
                <w:color w:val="auto"/>
              </w:rPr>
              <w:t>5,988</w:t>
            </w:r>
          </w:p>
        </w:tc>
        <w:tc>
          <w:tcPr>
            <w:tcW w:w="1240" w:type="dxa"/>
            <w:vAlign w:val="bottom"/>
          </w:tcPr>
          <w:p>
            <w:pPr>
              <w:jc w:val="right"/>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restricted Common Stock</w:t>
            </w:r>
          </w:p>
        </w:tc>
        <w:tc>
          <w:tcPr>
            <w:tcW w:w="29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average common shares</w:t>
            </w:r>
          </w:p>
        </w:tc>
        <w:tc>
          <w:tcPr>
            <w:tcW w:w="29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5,988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per common share:</w:t>
            </w:r>
          </w:p>
        </w:tc>
        <w:tc>
          <w:tcPr>
            <w:tcW w:w="2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2920" w:type="dxa"/>
            <w:vAlign w:val="bottom"/>
          </w:tcPr>
          <w:p>
            <w:pPr>
              <w:jc w:val="right"/>
              <w:ind w:right="870"/>
              <w:spacing w:after="0"/>
              <w:rPr>
                <w:sz w:val="20"/>
                <w:szCs w:val="20"/>
                <w:color w:val="auto"/>
              </w:rPr>
            </w:pPr>
            <w:r>
              <w:rPr>
                <w:rFonts w:ascii="Arial" w:cs="Arial" w:eastAsia="Arial" w:hAnsi="Arial"/>
                <w:sz w:val="18"/>
                <w:szCs w:val="18"/>
                <w:color w:val="auto"/>
              </w:rPr>
              <w:t>(2.80)</w:t>
            </w:r>
          </w:p>
        </w:tc>
        <w:tc>
          <w:tcPr>
            <w:tcW w:w="124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55"/>
        </w:trPr>
        <w:tc>
          <w:tcPr>
            <w:tcW w:w="5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9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(2.80)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For the three months ended December 29, 2024 and December 24, 2023 we had no and 128,019 weighted average shares, respectively, not considered in the computation of diluted earnings per share because the Company recorded net losses.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Agreement</w:t>
      </w:r>
    </w:p>
    <w:p>
      <w:pPr>
        <w:spacing w:after="0" w:line="252"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202"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March 27, 2025,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216"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127" w:lineRule="exact"/>
        <w:rPr>
          <w:sz w:val="20"/>
          <w:szCs w:val="20"/>
          <w:color w:val="auto"/>
        </w:rPr>
      </w:pPr>
    </w:p>
    <w:p>
      <w:pPr>
        <w:ind w:left="660" w:right="6820" w:hanging="652"/>
        <w:spacing w:after="0" w:line="461" w:lineRule="auto"/>
        <w:tabs>
          <w:tab w:leader="none" w:pos="3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Legal Proceedings</w:t>
      </w:r>
    </w:p>
    <w:p>
      <w:pPr>
        <w:spacing w:after="0" w:line="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except for the case described below, which amounts are recognized in "Prepaids and Other" and "Compensation and other accrued liabilities" on the Consolidated Balance Sheets, it is our opinion that the disposition of these matters will not have a material adverse effect on our Consolidated Financial Statements, taken as a whole.</w:t>
      </w:r>
    </w:p>
    <w:p>
      <w:pPr>
        <w:spacing w:after="0" w:line="20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was named as a defendant by a group of Plaintiffs acting on behalf of a proposed class of digital subscribers in a lawsuit in 2022. The lawsuit alleged that the Company violated the Video Privacy Protection Act (“VPPA”) by using pixels to track subscribers’ video viewing activity on Company websites and sharing it with Meta without consent.</w:t>
      </w:r>
    </w:p>
    <w:p>
      <w:pPr>
        <w:spacing w:after="0" w:line="209"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Company has agreed to a preliminary settlement with the Plaintiffs for $9.5 million, subject to required court approval. The entire settlement amount will be paid by the Company’s insurance carriers.</w:t>
      </w:r>
    </w:p>
    <w:p>
      <w:pPr>
        <w:spacing w:after="0" w:line="181"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The settlement liability and insurance receivable are recorded within “Compensation and other accrued liabilities” and “Prepaids and other” on the Consolidated Balance Sheets as of December 29, 2024 and September 29, 2024,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months ended December 29, 2024. This discussion should be read in conjunction with the Consolidated Financial Statements and related Notes thereto, included herein, and our 2024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 together with its subsidiaries, is a digital-first subscription business providing local markets with valuable, high</w:t>
      </w:r>
    </w:p>
    <w:p>
      <w:pPr>
        <w:spacing w:after="0" w:line="1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quality, trusted, intensely local news, information, advertising and marketing services. We inform consumers in 72 mid-sized local communities in 25 states with a rapidly growing digital subscription platform including 774,000 digital subscribers. Our core strategy aims to grow audiences and engagement through creating, collecting, and distributing trusted local news and information, continuous improvements to subscriber experience, and offering a full suite of omni-channel advertising and marketing to more than 25,000 local advertisers.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 portfolio includes digital subscription platforms, daily, weekly and monthly newspapers and niche products, all delivering original local news and information as well as national and international news. Our products offer digital and print editions, and our content and advertising is available in real time through our websites and mobile apps. We operate in predominately mid-sized communities with products ranging from large daily newspapers and associated digital products, such as the St. Louis Post-Dispatch and The Buffalo News, to non-daily newspapers with news websites and digital platforms serving smaller communities.</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made investments in talent and technology to improve user experience, content, data visualization and marketing to align with the shift in spending habits by both consumers and advertisers toward digital products.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aim to grow our business through three main categories: subscriptions to our product offerings, advertising and marketing solutions to local advertisers, and digital services to a diverse set of customers. Execution of this strategy is expected to transform Lee into a growing and sustainable local media organization.</w:t>
      </w:r>
    </w:p>
    <w:p>
      <w:pPr>
        <w:spacing w:after="0" w:line="1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digital subscription platforms are the fastest growing digital subscription platforms in local media.</w:t>
      </w:r>
    </w:p>
    <w:p>
      <w:pPr>
        <w:spacing w:after="0" w:line="23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Amplified Digital® Agency ("Amplified"), our digital marketing services agency, offers a full suite of digital marketing solutions to local advertisers.</w:t>
      </w:r>
    </w:p>
    <w:p>
      <w:pPr>
        <w:spacing w:after="0" w:line="166"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BLOX Digital (formerly known as TownNews), our software as a service (SaaS) content platform, is one of the largest web-hosting and content management SaaS providers in North America. BLOX Digital represents a powerful opportunity to drive additional digital revenue by providing state-of-the-art web hosting and content management services to more than 2,000 customers who rely on BLOX Digital for their web, over-the-top display, mobile, video and social media products.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majority-owned subsidiary, BLOX Digital.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digitally-focused marketing solutions company. Our focus is on the local market - including local news and information, local advertising and marketing services to top local accounts, and digital services to local content curators. To align with the core strength of our Company, our operating strategy is locally focused around three pillars:</w:t>
      </w:r>
    </w:p>
    <w:p>
      <w:pPr>
        <w:spacing w:after="0" w:line="14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23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digital subscription base and revenue through audience growth and continued conversion of our massive digital audiences.</w:t>
      </w:r>
    </w:p>
    <w:p>
      <w:pPr>
        <w:spacing w:after="0" w:line="166"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Diversify and expand offerings for advertisers through our vast array of rapidly growing digital products, our large digitally adept sales force, and Amplified, our full-service digital agency.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December 29,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Borders>
              <w:top w:val="single" w:sz="8" w:color="auto"/>
            </w:tcBorders>
          </w:tcPr>
          <w:p>
            <w:pPr>
              <w:spacing w:after="0"/>
              <w:rPr>
                <w:sz w:val="17"/>
                <w:szCs w:val="17"/>
                <w:color w:val="auto"/>
              </w:rPr>
            </w:pPr>
          </w:p>
        </w:tc>
        <w:tc>
          <w:tcPr>
            <w:tcW w:w="4820" w:type="dxa"/>
            <w:vAlign w:val="bottom"/>
            <w:tcBorders>
              <w:top w:val="single" w:sz="8" w:color="auto"/>
            </w:tcBorders>
            <w:gridSpan w:val="2"/>
            <w:vMerge w:val="restart"/>
          </w:tcPr>
          <w:p>
            <w:pPr>
              <w:jc w:val="right"/>
              <w:ind w:right="450"/>
              <w:spacing w:after="0"/>
              <w:rPr>
                <w:sz w:val="20"/>
                <w:szCs w:val="20"/>
                <w:color w:val="auto"/>
              </w:rPr>
            </w:pPr>
            <w:r>
              <w:rPr>
                <w:rFonts w:ascii="Arial" w:cs="Arial" w:eastAsia="Arial" w:hAnsi="Arial"/>
                <w:sz w:val="18"/>
                <w:szCs w:val="18"/>
                <w:color w:val="auto"/>
              </w:rPr>
              <w:t>December 29, 2024 December 24, 2023</w:t>
            </w:r>
          </w:p>
        </w:tc>
        <w:tc>
          <w:tcPr>
            <w:tcW w:w="132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5"/>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4820" w:type="dxa"/>
            <w:vAlign w:val="bottom"/>
            <w:tcBorders>
              <w:bottom w:val="single" w:sz="8" w:color="auto"/>
            </w:tcBorders>
            <w:gridSpan w:val="2"/>
            <w:vMerge w:val="continue"/>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0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19,861</w:t>
            </w: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24,435</w:t>
            </w:r>
          </w:p>
        </w:tc>
        <w:tc>
          <w:tcPr>
            <w:tcW w:w="13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30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46,729</w:t>
            </w:r>
          </w:p>
        </w:tc>
        <w:tc>
          <w:tcPr>
            <w:tcW w:w="17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46,452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3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66,590</w:t>
            </w: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70,887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30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43,432</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51,872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3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21,565</w:t>
            </w: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19,467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0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64,997</w:t>
            </w:r>
          </w:p>
        </w:tc>
        <w:tc>
          <w:tcPr>
            <w:tcW w:w="17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71,339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10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7,888</w:t>
            </w: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8,492</w:t>
            </w: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30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5,087</w:t>
            </w:r>
          </w:p>
        </w:tc>
        <w:tc>
          <w:tcPr>
            <w:tcW w:w="17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4,960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3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12,975</w:t>
            </w: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13,452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30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144,562</w:t>
            </w:r>
          </w:p>
        </w:tc>
        <w:tc>
          <w:tcPr>
            <w:tcW w:w="17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155,678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30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60,254</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59,676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3,616</w:t>
            </w: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4,843</w:t>
            </w: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30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74,680</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74,776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6,265</w:t>
            </w: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7,295</w:t>
            </w:r>
          </w:p>
        </w:tc>
        <w:tc>
          <w:tcPr>
            <w:tcW w:w="13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gain on sales, impairments and other</w:t>
            </w:r>
          </w:p>
        </w:tc>
        <w:tc>
          <w:tcPr>
            <w:tcW w:w="3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(929)</w:t>
            </w:r>
          </w:p>
        </w:tc>
        <w:tc>
          <w:tcPr>
            <w:tcW w:w="1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(1,469)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3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5,150</w:t>
            </w: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4,265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149,036</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149,386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3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1,122</w:t>
            </w: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1,541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30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(3,352)</w:t>
            </w:r>
          </w:p>
        </w:tc>
        <w:tc>
          <w:tcPr>
            <w:tcW w:w="17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7,833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30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(10,282)</w:t>
            </w:r>
          </w:p>
        </w:tc>
        <w:tc>
          <w:tcPr>
            <w:tcW w:w="1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(10,131)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653</w:t>
            </w: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186</w:t>
            </w:r>
          </w:p>
        </w:tc>
        <w:tc>
          <w:tcPr>
            <w:tcW w:w="1320" w:type="dxa"/>
            <w:vAlign w:val="bottom"/>
          </w:tcPr>
          <w:p>
            <w:pPr>
              <w:jc w:val="right"/>
              <w:spacing w:after="0"/>
              <w:rPr>
                <w:sz w:val="20"/>
                <w:szCs w:val="20"/>
                <w:color w:val="auto"/>
              </w:rPr>
            </w:pPr>
            <w:r>
              <w:rPr>
                <w:rFonts w:ascii="Arial" w:cs="Arial" w:eastAsia="Arial" w:hAnsi="Arial"/>
                <w:sz w:val="18"/>
                <w:szCs w:val="18"/>
                <w:color w:val="auto"/>
              </w:rPr>
              <w:t>251.1 %</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Curtailment/Settlement gains</w:t>
            </w:r>
          </w:p>
        </w:tc>
        <w:tc>
          <w:tcPr>
            <w:tcW w:w="30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3,593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3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(9,629)</w:t>
            </w:r>
          </w:p>
        </w:tc>
        <w:tc>
          <w:tcPr>
            <w:tcW w:w="1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(6,352)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51.6 %</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(12,981)</w:t>
            </w:r>
          </w:p>
        </w:tc>
        <w:tc>
          <w:tcPr>
            <w:tcW w:w="1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1,481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3,243</w:t>
            </w: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248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(16,224)</w:t>
            </w:r>
          </w:p>
        </w:tc>
        <w:tc>
          <w:tcPr>
            <w:tcW w:w="17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1,233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per common share:</w:t>
            </w:r>
          </w:p>
        </w:tc>
        <w:tc>
          <w:tcPr>
            <w:tcW w:w="30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60" w:type="dxa"/>
            <w:vAlign w:val="bottom"/>
          </w:tcPr>
          <w:p>
            <w:pPr>
              <w:jc w:val="right"/>
              <w:ind w:right="390"/>
              <w:spacing w:after="0"/>
              <w:rPr>
                <w:sz w:val="20"/>
                <w:szCs w:val="20"/>
                <w:color w:val="auto"/>
              </w:rPr>
            </w:pPr>
            <w:r>
              <w:rPr>
                <w:rFonts w:ascii="Arial" w:cs="Arial" w:eastAsia="Arial" w:hAnsi="Arial"/>
                <w:sz w:val="18"/>
                <w:szCs w:val="18"/>
                <w:color w:val="auto"/>
              </w:rPr>
              <w:t>(2.80)</w:t>
            </w: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0.12</w:t>
            </w:r>
          </w:p>
        </w:tc>
        <w:tc>
          <w:tcPr>
            <w:tcW w:w="13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(2.80)</w:t>
            </w:r>
          </w:p>
        </w:tc>
        <w:tc>
          <w:tcPr>
            <w:tcW w:w="17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0.12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the “2025 Quarter” refer to the three months ended December 29, 2024. Similarly, references to the “2024 Quarter” refer to the three months ended December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$144.6 million in the 2025 Quarter, down $11.1 million, or 7.1%, compared to the 2024 Quarter.</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$66.6 million in the 2025 Quarter, down 6.1% compared to the 2024 Quarter. Print advertising revenues were $19.9 million in the 2025 Quarter, down 18.7% compared to the 2024 Quarter due to continued secular declines in demand for print advertising and a reduced product portfolio through sales and elimination of products that do not meet profitability standards. Digital advertising and marketing services totaled $46.7 million in the 2025 Quarter, up 0.6% compared to the 2024 Quarter. Digital advertising and marketing services represented 70.2% of the 2025 Quarter total advertising and marketing services revenue, compared to 65.5% in the same period last year.</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$65.0 million in the 2025 Quarter, down 8.9% compared to the 2024 Quarter. Decline in full access volume, consistent with historical and industry trends were partially offset by selective increases on our full access subscriptions, growth in digital-only subscribers and price increases on digital subscriptions. Digital-only subscribers grew 5% since the 2024 Quarter and now total 774,000. Digital-only subscription revenue grew 10.8% compared to the 2024 Quarter.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$0.5 million, or 3.5%, in the 2025 Quarter compared to the 2024 Quarter. Digital services revenue totaled $5.1 million in the 2025 Quarter, a 2.6% increase compared to the 2024 Quarter. Commercial printing revenue totaled $4.1 million in the 2025 Quarter, a 9.8% decrease compared to the 2024 Quarter, primarily driven by reduction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$73.4 million in the 2025 Quarter, an increase of 3.5% over the 2024 Quarter, and represented 50.8% of our total operating revenue in the 2025 Quarter.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$0.4 million in the 2025 Quarter.</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were $149.0 million in the 2025 Quarter, a 0.2% decrease compared to the 2024 Quarter. Cash Costs, a non-GAAP financial measure used to summarize certain operating expense (see reconciliation of Non-GAAP financial measures below), were down 0.5% in the 2025 Quarter.</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increased $0.6 million in the 2025 Quarter, or 1.0%, compared to the 2024 Quarter due to investments in digital talent.</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$1.2 million in the 2025 Quarter, or 25.3%, compared to the 2024 Quarter. The decrease is attributable to declines in newsprint volumes.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expenses decreased $0.1 million in the 2025 Quarter, or 0.1%, compared to the 2024 Quarter.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 The decrease is primarily attributable to lower delivery and other print-related costs due to lower volumes of our print edition.</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Restructuring costs and other increased $0.9 million compared to the 2024 Quarter. Restructuring costs and other include severance costs, litigation expenses, and restructuring expenses.</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Depreciation and amortization expense decreased $1.0 million, or 14.1%, in the 2025 Quarter. The decrease in both is attributable to assets becoming fully depreciated or amortized.</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gain on sales, impairments and other, was a net gain of $0.9 million in the 2025 Quarter compared to a net gain of $1.5 million in the 2024 Quarter. Assets gain on sales, impairments and other in the 2025 Quarter were primarily due to the result of the disposition of non-core assets, including real estate.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factors noted above resulted in an operating loss of $3.4 million in the 2025 Quarter compared to operating income of $7.8 million in the 2024 Quarter.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increased $ 0.2 million, or 1.5%, to $10.3 million in the 2025 Quarter, compared to the same Quarter last year. Our weighted average cost of debt was 9% at the end of the 2025 Quarter and 2024 Quarter.</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$0.7 million periodic pension and other postretirement benefits in the 2025 Quarter compared to $ 3.9 million in the 2024 Quarter. The decrease was a result of recognizing a non-cash curtailment gain of $ 1.2 million in the 2024 Quarter as a result of outsourcing certain postemployment defined benefit plan functions. Additionally, during the 2024 Quarter, the Company completed a voluntary lump sum payment of future benefits to terminated vested participants. The offer was accepted by 522 participants representing $22.6 million in plan liabilities. As a result of the offer, a non-cash settlement gain of $2.4 million was recorded in Curtailment/Settlement gain on the Consolidated Statements of Income and Comprehensive Income. Both assets and liabilities of the plan were reduced by $22.6 million.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 Expense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an income tax expense of $3.2 million, or (25.0)% of pretax loss in the 2025 Quarter. In the 2024 Quarter, we recognized an income tax expense of $0.2 million, or 16.7% of pretax income.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(loss) and Earnings (Loss) Per Share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loss was $16.2 million and diluted loss per share were $ 2.80 for the 2025 Quarter compared to net income of $1.2 million and diluted earnings per share of $0.12 for the 2024 Quarter. The change reflects the various items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restructuring costs and other, stock compensation and our 50% share of EBITDA from TNI and MNI, minus equity in earnings of TNI and MNI.</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29, 2024</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24, 2023</w:t>
            </w:r>
          </w:p>
        </w:tc>
      </w:tr>
      <w:tr>
        <w:trPr>
          <w:trHeight w:val="250"/>
        </w:trPr>
        <w:tc>
          <w:tcPr>
            <w:tcW w:w="59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3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9,629</w:t>
            </w:r>
          </w:p>
        </w:tc>
        <w:tc>
          <w:tcPr>
            <w:tcW w:w="1660" w:type="dxa"/>
            <w:vAlign w:val="bottom"/>
          </w:tcPr>
          <w:p>
            <w:pPr>
              <w:jc w:val="right"/>
              <w:spacing w:after="0"/>
              <w:rPr>
                <w:sz w:val="20"/>
                <w:szCs w:val="20"/>
                <w:color w:val="auto"/>
              </w:rPr>
            </w:pPr>
            <w:r>
              <w:rPr>
                <w:rFonts w:ascii="Arial" w:cs="Arial" w:eastAsia="Arial" w:hAnsi="Arial"/>
                <w:sz w:val="18"/>
                <w:szCs w:val="18"/>
                <w:color w:val="auto"/>
              </w:rPr>
              <w:t>6,352</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6,265</w:t>
            </w:r>
          </w:p>
        </w:tc>
        <w:tc>
          <w:tcPr>
            <w:tcW w:w="1660" w:type="dxa"/>
            <w:vAlign w:val="bottom"/>
          </w:tcPr>
          <w:p>
            <w:pPr>
              <w:jc w:val="right"/>
              <w:spacing w:after="0"/>
              <w:rPr>
                <w:sz w:val="20"/>
                <w:szCs w:val="20"/>
                <w:color w:val="auto"/>
              </w:rPr>
            </w:pPr>
            <w:r>
              <w:rPr>
                <w:rFonts w:ascii="Arial" w:cs="Arial" w:eastAsia="Arial" w:hAnsi="Arial"/>
                <w:sz w:val="18"/>
                <w:szCs w:val="18"/>
                <w:color w:val="auto"/>
              </w:rPr>
              <w:t>7,295</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Assets gain on sales, impairments and other, net</w:t>
            </w:r>
          </w:p>
        </w:tc>
        <w:tc>
          <w:tcPr>
            <w:tcW w:w="3600" w:type="dxa"/>
            <w:vAlign w:val="bottom"/>
          </w:tcPr>
          <w:p>
            <w:pPr>
              <w:jc w:val="right"/>
              <w:spacing w:after="0"/>
              <w:rPr>
                <w:sz w:val="20"/>
                <w:szCs w:val="20"/>
                <w:color w:val="auto"/>
              </w:rPr>
            </w:pPr>
            <w:r>
              <w:rPr>
                <w:rFonts w:ascii="Arial" w:cs="Arial" w:eastAsia="Arial" w:hAnsi="Arial"/>
                <w:sz w:val="18"/>
                <w:szCs w:val="18"/>
                <w:color w:val="auto"/>
              </w:rPr>
              <w:t>(929)</w:t>
            </w:r>
          </w:p>
        </w:tc>
        <w:tc>
          <w:tcPr>
            <w:tcW w:w="166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Add:</w:t>
            </w:r>
          </w:p>
        </w:tc>
        <w:tc>
          <w:tcPr>
            <w:tcW w:w="3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3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1,167</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r>
      <w:tr>
        <w:trPr>
          <w:trHeight w:val="22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3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7,609</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18,649</w:t>
            </w: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29, 2024</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24, 2023</w:t>
            </w:r>
          </w:p>
        </w:tc>
      </w:tr>
      <w:tr>
        <w:trPr>
          <w:trHeight w:val="250"/>
        </w:trPr>
        <w:tc>
          <w:tcPr>
            <w:tcW w:w="50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149,036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149,386</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4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6,265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Assets (gain) loss on sales, impairments and other, net</w:t>
            </w:r>
          </w:p>
        </w:tc>
        <w:tc>
          <w:tcPr>
            <w:tcW w:w="4560" w:type="dxa"/>
            <w:vAlign w:val="bottom"/>
          </w:tcPr>
          <w:p>
            <w:pPr>
              <w:jc w:val="right"/>
              <w:spacing w:after="0"/>
              <w:rPr>
                <w:sz w:val="20"/>
                <w:szCs w:val="20"/>
                <w:color w:val="auto"/>
              </w:rPr>
            </w:pPr>
            <w:r>
              <w:rPr>
                <w:rFonts w:ascii="Arial" w:cs="Arial" w:eastAsia="Arial" w:hAnsi="Arial"/>
                <w:sz w:val="18"/>
                <w:szCs w:val="18"/>
                <w:color w:val="auto"/>
              </w:rPr>
              <w:t>(929)</w:t>
            </w:r>
          </w:p>
        </w:tc>
        <w:tc>
          <w:tcPr>
            <w:tcW w:w="166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30"/>
        </w:trPr>
        <w:tc>
          <w:tcPr>
            <w:tcW w:w="5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4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4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138,550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139,295</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902"/>
        </w:trPr>
        <w:tc>
          <w:tcPr>
            <w:tcW w:w="5020" w:type="dxa"/>
            <w:vAlign w:val="bottom"/>
          </w:tcPr>
          <w:p>
            <w:pPr>
              <w:spacing w:after="0"/>
              <w:rPr>
                <w:sz w:val="24"/>
                <w:szCs w:val="24"/>
                <w:color w:val="auto"/>
              </w:rPr>
            </w:pPr>
          </w:p>
        </w:tc>
        <w:tc>
          <w:tcPr>
            <w:tcW w:w="4560" w:type="dxa"/>
            <w:vAlign w:val="bottom"/>
          </w:tcPr>
          <w:p>
            <w:pPr>
              <w:jc w:val="right"/>
              <w:ind w:right="3770"/>
              <w:spacing w:after="0"/>
              <w:rPr>
                <w:sz w:val="20"/>
                <w:szCs w:val="20"/>
                <w:color w:val="auto"/>
              </w:rPr>
            </w:pPr>
            <w:r>
              <w:rPr>
                <w:rFonts w:ascii="Arial" w:cs="Arial" w:eastAsia="Arial" w:hAnsi="Arial"/>
                <w:sz w:val="18"/>
                <w:szCs w:val="18"/>
                <w:color w:val="auto"/>
              </w:rPr>
              <w:t>17</w:t>
            </w:r>
          </w:p>
        </w:tc>
        <w:tc>
          <w:tcPr>
            <w:tcW w:w="1660" w:type="dxa"/>
            <w:vAlign w:val="bottom"/>
          </w:tcPr>
          <w:p>
            <w:pPr>
              <w:spacing w:after="0"/>
              <w:rPr>
                <w:sz w:val="24"/>
                <w:szCs w:val="24"/>
                <w:color w:val="auto"/>
              </w:rPr>
            </w:pPr>
          </w:p>
        </w:tc>
      </w:tr>
      <w:tr>
        <w:trPr>
          <w:trHeight w:val="111"/>
        </w:trPr>
        <w:tc>
          <w:tcPr>
            <w:tcW w:w="502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operations have historically generated cash flow and are expected to provide sufficient liquidity, together with cash on hand, to meet our requirements, primarily operating expenses, interest expense and capital expenditures for at least the next twelve months. A summary of our cash flows is included in the narrative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required by operating activities totaled $7.3 million in 2025 Period compared to cash provided by operating activities of $0.1 million in 2024 Period, a decrease of $7.4 million. The decrease was driven by a decrease in operating results of $13.6 million (defined as net loss adjusted for non-working capital items) partially offset by an increase in working capital of $6.2 million, primarily related to favorable change in accounts receivable.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investing activities totaled $3.9 million in the 2025 Period compared to cash provided by investing activities of $ 2.1 million in the 2024 Period. 2025 Period and 2024 Period included $5.4 million and $3.1 million, respectively, in proceeds from the sale of assets as the Company divested non-core real estate.</w:t>
      </w:r>
    </w:p>
    <w:p>
      <w:pPr>
        <w:spacing w:after="0" w:line="13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anticipate that funds necessary for capital expenditures, which are expected to total approximately $10.0 million in 2025, and other requirements, will be available from internally generated funds.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No cash was required for financing activities in the 2025 Period compared to $1.4 million in 2024 Period. Debt reduction accounted for nearly all the usage of funds in the prior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liquidity, consisting of cash on the balance sheet, totaled $6.1 million on December 29, 2024.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w:t>
      </w:r>
    </w:p>
    <w:p>
      <w:pPr>
        <w:spacing w:after="0" w:line="1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that as of the Evaluation Date, our disclosure controls and procedures were effective.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13 weeks ended December 29, 2024 that have materially affected, or are reasonably likely to materially affect, our internal control over financial reporting.</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2024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3, 2025, the Company experienced a technology outage due to a cyber incident affecting certain business applications, resulting in an operational disruption. The Company is actively investigating the incident, implementing recovery measures, and assessing the potential impact on its operations, financial condition, and internal controls. As of the date of this filing, the Company has not identified any impact that is material; however, the evaluation remains ongoing.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Agreement</w:t>
      </w:r>
    </w:p>
    <w:p>
      <w:pPr>
        <w:spacing w:after="0" w:line="25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March 27, 2025,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8560" w:type="dxa"/>
            <w:vAlign w:val="bottom"/>
            <w:tcBorders>
              <w:top w:val="single" w:sz="8" w:color="auto"/>
              <w:bottom w:val="single" w:sz="8" w:color="auto"/>
            </w:tcBorders>
            <w:gridSpan w:val="5"/>
          </w:tcPr>
          <w:p>
            <w:pPr>
              <w:ind w:left="3780"/>
              <w:spacing w:after="0"/>
              <w:rPr>
                <w:sz w:val="20"/>
                <w:szCs w:val="20"/>
                <w:color w:val="auto"/>
              </w:rPr>
            </w:pPr>
            <w:r>
              <w:rPr>
                <w:rFonts w:ascii="Arial" w:cs="Arial" w:eastAsia="Arial" w:hAnsi="Arial"/>
                <w:sz w:val="18"/>
                <w:szCs w:val="18"/>
                <w:color w:val="auto"/>
              </w:rPr>
              <w:t>Description</w:t>
            </w:r>
          </w:p>
        </w:tc>
        <w:tc>
          <w:tcPr>
            <w:tcW w:w="1300" w:type="dxa"/>
            <w:vAlign w:val="bottom"/>
            <w:tcBorders>
              <w:top w:val="single" w:sz="8" w:color="auto"/>
              <w:bottom w:val="single" w:sz="8" w:color="auto"/>
            </w:tcBorders>
          </w:tcPr>
          <w:p>
            <w:pPr>
              <w:spacing w:after="0"/>
              <w:rPr>
                <w:sz w:val="21"/>
                <w:szCs w:val="21"/>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Rule 13a-14(a) Certification of Chief Executive Officer</w:t>
            </w:r>
          </w:p>
        </w:tc>
        <w:tc>
          <w:tcPr>
            <w:tcW w:w="4280" w:type="dxa"/>
            <w:vAlign w:val="bottom"/>
          </w:tcPr>
          <w:p>
            <w:pPr>
              <w:spacing w:after="0"/>
              <w:rPr>
                <w:sz w:val="24"/>
                <w:szCs w:val="24"/>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42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Rule 13a-14(a) Certification of Chief Financial Officer</w:t>
            </w:r>
          </w:p>
        </w:tc>
        <w:tc>
          <w:tcPr>
            <w:tcW w:w="4340" w:type="dxa"/>
            <w:vAlign w:val="bottom"/>
            <w:gridSpan w:val="2"/>
          </w:tcPr>
          <w:p>
            <w:pPr>
              <w:spacing w:after="0"/>
              <w:rPr>
                <w:sz w:val="18"/>
                <w:szCs w:val="18"/>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560" w:type="dxa"/>
            <w:vAlign w:val="bottom"/>
            <w:gridSpan w:val="5"/>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4440" w:type="dxa"/>
            <w:vAlign w:val="bottom"/>
            <w:gridSpan w:val="3"/>
          </w:tcPr>
          <w:p>
            <w:pPr>
              <w:spacing w:after="0"/>
              <w:rPr>
                <w:sz w:val="18"/>
                <w:szCs w:val="18"/>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0"/>
        </w:trPr>
        <w:tc>
          <w:tcPr>
            <w:tcW w:w="138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8560" w:type="dxa"/>
            <w:vAlign w:val="bottom"/>
            <w:gridSpan w:val="5"/>
          </w:tcPr>
          <w:p>
            <w:pPr>
              <w:spacing w:after="0" w:line="196"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1300" w:type="dxa"/>
            <w:vAlign w:val="bottom"/>
          </w:tcPr>
          <w:p>
            <w:pPr>
              <w:ind w:left="580"/>
              <w:spacing w:after="0" w:line="196" w:lineRule="exact"/>
              <w:rPr>
                <w:sz w:val="20"/>
                <w:szCs w:val="20"/>
                <w:color w:val="auto"/>
              </w:rPr>
            </w:pPr>
            <w:r>
              <w:rPr>
                <w:rFonts w:ascii="Arial" w:cs="Arial" w:eastAsia="Arial" w:hAnsi="Arial"/>
                <w:sz w:val="18"/>
                <w:szCs w:val="18"/>
                <w:color w:val="auto"/>
                <w:w w:val="98"/>
              </w:rPr>
              <w:t>Attached</w:t>
            </w:r>
          </w:p>
        </w:tc>
      </w:tr>
      <w:tr>
        <w:trPr>
          <w:trHeight w:val="238"/>
        </w:trPr>
        <w:tc>
          <w:tcPr>
            <w:tcW w:w="1380" w:type="dxa"/>
            <w:vAlign w:val="bottom"/>
          </w:tcPr>
          <w:p>
            <w:pPr>
              <w:spacing w:after="0"/>
              <w:rPr>
                <w:sz w:val="20"/>
                <w:szCs w:val="20"/>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300" w:type="dxa"/>
            <w:vAlign w:val="bottom"/>
          </w:tcPr>
          <w:p>
            <w:pPr>
              <w:spacing w:after="0"/>
              <w:rPr>
                <w:sz w:val="20"/>
                <w:szCs w:val="20"/>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181"/>
        </w:trPr>
        <w:tc>
          <w:tcPr>
            <w:tcW w:w="1380" w:type="dxa"/>
            <w:vAlign w:val="bottom"/>
          </w:tcPr>
          <w:p>
            <w:pPr>
              <w:ind w:left="20"/>
              <w:spacing w:after="0" w:line="181" w:lineRule="exact"/>
              <w:rPr>
                <w:sz w:val="20"/>
                <w:szCs w:val="20"/>
                <w:color w:val="auto"/>
              </w:rPr>
            </w:pPr>
            <w:r>
              <w:rPr>
                <w:rFonts w:ascii="Arial" w:cs="Arial" w:eastAsia="Arial" w:hAnsi="Arial"/>
                <w:sz w:val="18"/>
                <w:szCs w:val="18"/>
                <w:color w:val="auto"/>
              </w:rPr>
              <w:t>104</w:t>
            </w:r>
          </w:p>
        </w:tc>
        <w:tc>
          <w:tcPr>
            <w:tcW w:w="8560" w:type="dxa"/>
            <w:vAlign w:val="bottom"/>
            <w:gridSpan w:val="5"/>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1300" w:type="dxa"/>
            <w:vAlign w:val="bottom"/>
          </w:tcPr>
          <w:p>
            <w:pPr>
              <w:ind w:left="580"/>
              <w:spacing w:after="0" w:line="181" w:lineRule="exact"/>
              <w:rPr>
                <w:sz w:val="20"/>
                <w:szCs w:val="20"/>
                <w:color w:val="auto"/>
              </w:rPr>
            </w:pPr>
            <w:r>
              <w:rPr>
                <w:rFonts w:ascii="Arial" w:cs="Arial" w:eastAsia="Arial" w:hAnsi="Arial"/>
                <w:sz w:val="18"/>
                <w:szCs w:val="18"/>
                <w:color w:val="auto"/>
                <w:w w:val="98"/>
              </w:rPr>
              <w:t>Attached</w:t>
            </w:r>
          </w:p>
        </w:tc>
      </w:tr>
      <w:tr>
        <w:trPr>
          <w:trHeight w:val="241"/>
        </w:trPr>
        <w:tc>
          <w:tcPr>
            <w:tcW w:w="1380" w:type="dxa"/>
            <w:vAlign w:val="bottom"/>
            <w:tcBorders>
              <w:bottom w:val="single" w:sz="8" w:color="auto"/>
            </w:tcBorders>
          </w:tcPr>
          <w:p>
            <w:pPr>
              <w:spacing w:after="0"/>
              <w:rPr>
                <w:sz w:val="20"/>
                <w:szCs w:val="20"/>
                <w:color w:val="auto"/>
              </w:rPr>
            </w:pPr>
          </w:p>
        </w:tc>
        <w:tc>
          <w:tcPr>
            <w:tcW w:w="8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document)</w:t>
            </w:r>
          </w:p>
        </w:tc>
        <w:tc>
          <w:tcPr>
            <w:tcW w:w="1300" w:type="dxa"/>
            <w:vAlign w:val="bottom"/>
            <w:tcBorders>
              <w:bottom w:val="single" w:sz="8" w:color="auto"/>
            </w:tcBorders>
          </w:tcPr>
          <w:p>
            <w:pPr>
              <w:spacing w:after="0"/>
              <w:rPr>
                <w:sz w:val="20"/>
                <w:szCs w:val="20"/>
                <w:color w:val="auto"/>
              </w:rPr>
            </w:pPr>
          </w:p>
        </w:tc>
      </w:tr>
      <w:tr>
        <w:trPr>
          <w:trHeight w:val="904"/>
        </w:trPr>
        <w:tc>
          <w:tcPr>
            <w:tcW w:w="1380" w:type="dxa"/>
            <w:vAlign w:val="bottom"/>
          </w:tcPr>
          <w:p>
            <w:pPr>
              <w:spacing w:after="0"/>
              <w:rPr>
                <w:sz w:val="24"/>
                <w:szCs w:val="24"/>
                <w:color w:val="auto"/>
              </w:rPr>
            </w:pPr>
          </w:p>
        </w:tc>
        <w:tc>
          <w:tcPr>
            <w:tcW w:w="8560" w:type="dxa"/>
            <w:vAlign w:val="bottom"/>
            <w:gridSpan w:val="5"/>
          </w:tcPr>
          <w:p>
            <w:pPr>
              <w:ind w:left="4140"/>
              <w:spacing w:after="0"/>
              <w:rPr>
                <w:sz w:val="20"/>
                <w:szCs w:val="20"/>
                <w:color w:val="auto"/>
              </w:rPr>
            </w:pPr>
            <w:r>
              <w:rPr>
                <w:rFonts w:ascii="Arial" w:cs="Arial" w:eastAsia="Arial" w:hAnsi="Arial"/>
                <w:sz w:val="18"/>
                <w:szCs w:val="18"/>
                <w:color w:val="auto"/>
              </w:rPr>
              <w:t>20</w:t>
            </w:r>
          </w:p>
        </w:tc>
        <w:tc>
          <w:tcPr>
            <w:tcW w:w="1300" w:type="dxa"/>
            <w:vAlign w:val="bottom"/>
          </w:tcPr>
          <w:p>
            <w:pPr>
              <w:spacing w:after="0"/>
              <w:rPr>
                <w:sz w:val="24"/>
                <w:szCs w:val="24"/>
                <w:color w:val="auto"/>
              </w:rPr>
            </w:pPr>
          </w:p>
        </w:tc>
      </w:tr>
      <w:tr>
        <w:trPr>
          <w:trHeight w:val="111"/>
        </w:trPr>
        <w:tc>
          <w:tcPr>
            <w:tcW w:w="13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LEE ENTERPRISES, INCORPORATED</w:t>
            </w: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9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c>
          <w:tcPr>
            <w:tcW w:w="1680" w:type="dxa"/>
            <w:vAlign w:val="bottom"/>
            <w:tcBorders>
              <w:bottom w:val="single" w:sz="8" w:color="auto"/>
            </w:tcBorders>
          </w:tcPr>
          <w:p>
            <w:pPr>
              <w:spacing w:after="0"/>
              <w:rPr>
                <w:sz w:val="24"/>
                <w:szCs w:val="24"/>
                <w:color w:val="auto"/>
              </w:rPr>
            </w:pPr>
          </w:p>
        </w:tc>
        <w:tc>
          <w:tcPr>
            <w:tcW w:w="4320" w:type="dxa"/>
            <w:vAlign w:val="bottom"/>
          </w:tcPr>
          <w:p>
            <w:pPr>
              <w:ind w:left="2940"/>
              <w:spacing w:after="0"/>
              <w:rPr>
                <w:sz w:val="20"/>
                <w:szCs w:val="20"/>
                <w:color w:val="auto"/>
              </w:rPr>
            </w:pPr>
            <w:r>
              <w:rPr>
                <w:rFonts w:ascii="Arial" w:cs="Arial" w:eastAsia="Arial" w:hAnsi="Arial"/>
                <w:sz w:val="18"/>
                <w:szCs w:val="18"/>
                <w:color w:val="auto"/>
                <w:w w:val="99"/>
              </w:rPr>
              <w:t>February 7, 2025</w:t>
            </w:r>
          </w:p>
        </w:tc>
      </w:tr>
      <w:tr>
        <w:trPr>
          <w:trHeight w:val="218"/>
        </w:trPr>
        <w:tc>
          <w:tcPr>
            <w:tcW w:w="474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16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c>
          <w:tcPr>
            <w:tcW w:w="168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904"/>
        </w:trPr>
        <w:tc>
          <w:tcPr>
            <w:tcW w:w="4740" w:type="dxa"/>
            <w:vAlign w:val="bottom"/>
          </w:tcPr>
          <w:p>
            <w:pPr>
              <w:spacing w:after="0"/>
              <w:rPr>
                <w:sz w:val="24"/>
                <w:szCs w:val="24"/>
                <w:color w:val="auto"/>
              </w:rPr>
            </w:pPr>
          </w:p>
        </w:tc>
        <w:tc>
          <w:tcPr>
            <w:tcW w:w="1680" w:type="dxa"/>
            <w:vAlign w:val="bottom"/>
          </w:tcPr>
          <w:p>
            <w:pPr>
              <w:jc w:val="right"/>
              <w:ind w:right="850"/>
              <w:spacing w:after="0"/>
              <w:rPr>
                <w:sz w:val="20"/>
                <w:szCs w:val="20"/>
                <w:color w:val="auto"/>
              </w:rPr>
            </w:pPr>
            <w:r>
              <w:rPr>
                <w:rFonts w:ascii="Arial" w:cs="Arial" w:eastAsia="Arial" w:hAnsi="Arial"/>
                <w:sz w:val="18"/>
                <w:szCs w:val="18"/>
                <w:color w:val="auto"/>
              </w:rPr>
              <w:t>21</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58"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2025</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79"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58"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2025</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144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Timothy R. Millage</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079" w:right="339" w:bottom="1440" w:gutter="0" w:footer="0" w:header="0"/>
        </w:sectPr>
      </w:pPr>
    </w:p>
    <w:bookmarkStart w:id="25" w:name="page26"/>
    <w:bookmarkEnd w:id="25"/>
    <w:p>
      <w:pPr>
        <w:ind w:left="10240"/>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120" w:hanging="492"/>
        <w:spacing w:after="0" w:line="287" w:lineRule="auto"/>
        <w:tabs>
          <w:tab w:leader="none" w:pos="4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29, 2024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26" w:name="page27"/>
    <w:bookmarkEnd w:id="26"/>
    <w:p>
      <w:pPr>
        <w:ind w:left="10240"/>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120" w:hanging="492"/>
        <w:spacing w:after="0" w:line="287" w:lineRule="auto"/>
        <w:tabs>
          <w:tab w:leader="none" w:pos="4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29, 2024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2025</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8144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2"/>
      <w:numFmt w:val="bullet"/>
      <w:start w:val="1"/>
    </w:lvl>
  </w:abstractNum>
  <w:abstractNum w:abstractNumId="3">
    <w:nsid w:val="109CF92E"/>
    <w:multiLevelType w:val="hybridMultilevel"/>
    <w:lvl w:ilvl="0">
      <w:lvlJc w:val="left"/>
      <w:lvlText w:val="3"/>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6"/>
      <w:numFmt w:val="bullet"/>
      <w:start w:val="1"/>
    </w:lvl>
  </w:abstractNum>
  <w:abstractNum w:abstractNumId="6">
    <w:nsid w:val="1BEFD79F"/>
    <w:multiLevelType w:val="hybridMultilevel"/>
    <w:lvl w:ilvl="0">
      <w:lvlJc w:val="left"/>
      <w:lvlText w:val="7"/>
      <w:numFmt w:val="bullet"/>
      <w:start w:val="1"/>
    </w:lvl>
  </w:abstractNum>
  <w:abstractNum w:abstractNumId="7">
    <w:nsid w:val="41A7C4C9"/>
    <w:multiLevelType w:val="hybridMultilevel"/>
    <w:lvl w:ilvl="0">
      <w:lvlJc w:val="left"/>
      <w:lvlText w:val="8"/>
      <w:numFmt w:val="bullet"/>
      <w:start w:val="1"/>
    </w:lvl>
  </w:abstractNum>
  <w:abstractNum w:abstractNumId="8">
    <w:nsid w:val="6B68079A"/>
    <w:multiLevelType w:val="hybridMultilevel"/>
    <w:lvl w:ilvl="0">
      <w:lvlJc w:val="left"/>
      <w:lvlText w:val="9"/>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4"/>
      <w:numFmt w:val="bullet"/>
      <w:start w:val="1"/>
    </w:lvl>
    <w:lvl w:ilvl="1">
      <w:lvlJc w:val="left"/>
      <w:lvlText w:val="%2)"/>
      <w:numFmt w:val="lowerLetter"/>
      <w:start w:val="1"/>
    </w:lvl>
  </w:abstractNum>
  <w:abstractNum w:abstractNumId="15">
    <w:nsid w:val="257130A3"/>
    <w:multiLevelType w:val="hybridMultilevel"/>
    <w:lvl w:ilvl="0">
      <w:lvlJc w:val="left"/>
      <w:lvlText w:val="5"/>
      <w:numFmt w:val="bullet"/>
      <w:start w:val="1"/>
    </w:lvl>
    <w:lvl w:ilvl="1">
      <w:lvlJc w:val="left"/>
      <w:lvlText w:val="%2)"/>
      <w:numFmt w:val="lowerLetter"/>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4"/>
      <w:numFmt w:val="bullet"/>
      <w:start w:val="1"/>
    </w:lvl>
    <w:lvl w:ilvl="1">
      <w:lvlJc w:val="left"/>
      <w:lvlText w:val="%2)"/>
      <w:numFmt w:val="lowerLetter"/>
      <w:start w:val="1"/>
    </w:lvl>
  </w:abstractNum>
  <w:abstractNum w:abstractNumId="20">
    <w:nsid w:val="721DA317"/>
    <w:multiLevelType w:val="hybridMultilevel"/>
    <w:lvl w:ilvl="0">
      <w:lvlJc w:val="left"/>
      <w:lvlText w:val="5"/>
      <w:numFmt w:val="bullet"/>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2025-02-07T16:41:21Z</dcterms:created>
  <dcterms:modified xsi:type="dcterms:W3CDTF">2025-02-07T16:41:21Z</dcterms:modified>
</cp:coreProperties>
</file>