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9" w:lineRule="exact"/>
        <w:rPr>
          <w:sz w:val="24"/>
          <w:szCs w:val="24"/>
          <w:color w:val="auto"/>
        </w:rPr>
      </w:pPr>
    </w:p>
    <w:p>
      <w:pPr>
        <w:jc w:val="center"/>
        <w:ind w:right="-19"/>
        <w:spacing w:after="0"/>
        <w:rPr>
          <w:sz w:val="20"/>
          <w:szCs w:val="20"/>
          <w:color w:val="auto"/>
        </w:rPr>
      </w:pPr>
      <w:r>
        <w:rPr>
          <w:rFonts w:ascii="Wingdings" w:cs="Wingdings" w:eastAsia="Wingdings" w:hAnsi="Wingdings"/>
          <w:sz w:val="17"/>
          <w:szCs w:val="17"/>
          <w:b w:val="1"/>
          <w:bCs w:val="1"/>
          <w:color w:val="auto"/>
        </w:rPr>
        <w:t xml:space="preserve">x </w:t>
      </w:r>
      <w:r>
        <w:rPr>
          <w:rFonts w:ascii="Arial" w:cs="Arial" w:eastAsia="Arial" w:hAnsi="Arial"/>
          <w:sz w:val="17"/>
          <w:szCs w:val="17"/>
          <w:color w:val="auto"/>
        </w:rPr>
        <w:t>QUARTERLY REPORT PURSUANT TO SECTION 13 OR 15(d) OF THE</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Quarterly Period Ended December 24, 2023</w:t>
      </w:r>
    </w:p>
    <w:p>
      <w:pPr>
        <w:spacing w:after="0" w:line="117"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2600"/>
        <w:spacing w:after="0"/>
        <w:rPr>
          <w:sz w:val="20"/>
          <w:szCs w:val="20"/>
          <w:color w:val="auto"/>
        </w:rPr>
      </w:pPr>
      <w:r>
        <w:rPr>
          <w:rFonts w:ascii="Wingdings" w:cs="Wingdings" w:eastAsia="Wingdings" w:hAnsi="Wingdings"/>
          <w:sz w:val="17"/>
          <w:szCs w:val="17"/>
          <w:b w:val="1"/>
          <w:bCs w:val="1"/>
          <w:color w:val="auto"/>
        </w:rPr>
        <w:t xml:space="preserve">o </w:t>
      </w:r>
      <w:r>
        <w:rPr>
          <w:rFonts w:ascii="Arial" w:cs="Arial" w:eastAsia="Arial" w:hAnsi="Arial"/>
          <w:sz w:val="17"/>
          <w:szCs w:val="17"/>
          <w:color w:val="auto"/>
        </w:rPr>
        <w:t>TRANSITION REPORT PURSUANT TO SECTION 13 OR 15(d) OF THE</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Commission File Number 1-6227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LEE ENTERPRISES, INCORPORATED</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158"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Delaware</w:t>
      </w:r>
    </w:p>
    <w:p>
      <w:pPr>
        <w:spacing w:after="0" w:line="32" w:lineRule="exact"/>
        <w:rPr>
          <w:sz w:val="24"/>
          <w:szCs w:val="24"/>
          <w:color w:val="auto"/>
        </w:rPr>
      </w:pPr>
    </w:p>
    <w:p>
      <w:pPr>
        <w:jc w:val="center"/>
        <w:ind w:right="2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42-0823980</w:t>
      </w:r>
    </w:p>
    <w:p>
      <w:pPr>
        <w:spacing w:after="0" w:line="32"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60" w:space="720"/>
            <w:col w:w="3760"/>
          </w:cols>
          <w:pgMar w:left="320" w:top="2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4600 E. 53rd Street, Davenport, Iowa 52807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Trading Symbol(s)</w:t>
            </w:r>
          </w:p>
        </w:tc>
        <w:tc>
          <w:tcPr>
            <w:tcW w:w="4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320" w:type="dxa"/>
            <w:vAlign w:val="bottom"/>
          </w:tcPr>
          <w:p>
            <w:pPr>
              <w:jc w:val="center"/>
              <w:spacing w:after="0"/>
              <w:rPr>
                <w:sz w:val="20"/>
                <w:szCs w:val="20"/>
                <w:color w:val="auto"/>
              </w:rPr>
            </w:pPr>
            <w:r>
              <w:rPr>
                <w:rFonts w:ascii="Arial" w:cs="Arial" w:eastAsia="Arial" w:hAnsi="Arial"/>
                <w:sz w:val="18"/>
                <w:szCs w:val="18"/>
                <w:color w:val="auto"/>
                <w:w w:val="99"/>
              </w:rPr>
              <w:t>Common Stock, par value $.01 per share</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9"/>
              </w:rPr>
              <w:t>LEE</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9"/>
              </w:rPr>
              <w:t>The Nasdaq Global Select Market</w:t>
            </w:r>
          </w:p>
        </w:tc>
      </w:tr>
    </w:tbl>
    <w:p>
      <w:pPr>
        <w:spacing w:after="0" w:line="161"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type w:val="continuous"/>
        </w:sectPr>
      </w:pPr>
    </w:p>
    <w:p>
      <w:pPr>
        <w:spacing w:after="0" w:line="103" w:lineRule="exact"/>
        <w:rPr>
          <w:sz w:val="24"/>
          <w:szCs w:val="24"/>
          <w:color w:val="auto"/>
        </w:rPr>
      </w:pPr>
    </w:p>
    <w:p>
      <w:pPr>
        <w:ind w:left="36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1" w:lineRule="exact"/>
        <w:rPr>
          <w:sz w:val="24"/>
          <w:szCs w:val="24"/>
          <w:color w:val="auto"/>
        </w:rPr>
      </w:pPr>
    </w:p>
    <w:p>
      <w:pPr>
        <w:ind w:left="37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26" w:lineRule="exact"/>
        <w:rPr>
          <w:sz w:val="24"/>
          <w:szCs w:val="24"/>
          <w:color w:val="auto"/>
        </w:rPr>
      </w:pPr>
    </w:p>
    <w:p>
      <w:pPr>
        <w:sectPr>
          <w:pgSz w:w="11900" w:h="16838" w:orient="portrait"/>
          <w:cols w:equalWidth="0" w:num="2">
            <w:col w:w="8600" w:space="720"/>
            <w:col w:w="192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jc w:val="center"/>
        <w:ind w:right="3460"/>
        <w:spacing w:after="0"/>
        <w:rPr>
          <w:sz w:val="20"/>
          <w:szCs w:val="20"/>
          <w:color w:val="auto"/>
        </w:rPr>
      </w:pPr>
      <w:r>
        <w:rPr>
          <w:rFonts w:ascii="Arial" w:cs="Arial" w:eastAsia="Arial" w:hAnsi="Arial"/>
          <w:sz w:val="18"/>
          <w:szCs w:val="18"/>
          <w:color w:val="auto"/>
        </w:rPr>
        <w:t>Smaller reporting company</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1" w:lineRule="exact"/>
        <w:rPr>
          <w:sz w:val="24"/>
          <w:szCs w:val="24"/>
          <w:color w:val="auto"/>
        </w:rPr>
      </w:pPr>
    </w:p>
    <w:p>
      <w:pPr>
        <w:ind w:left="37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o</w:t>
      </w:r>
    </w:p>
    <w:p>
      <w:pPr>
        <w:spacing w:after="0" w:line="200" w:lineRule="exact"/>
        <w:rPr>
          <w:sz w:val="24"/>
          <w:szCs w:val="24"/>
          <w:color w:val="auto"/>
        </w:rPr>
      </w:pPr>
    </w:p>
    <w:p>
      <w:pPr>
        <w:sectPr>
          <w:pgSz w:w="11900" w:h="16838" w:orient="portrait"/>
          <w:cols w:equalWidth="0" w:num="3">
            <w:col w:w="4900" w:space="720"/>
            <w:col w:w="2980" w:space="720"/>
            <w:col w:w="1920"/>
          </w:cols>
          <w:pgMar w:left="320" w:top="229" w:right="339" w:bottom="1440" w:gutter="0" w:footer="0" w:header="0"/>
          <w:type w:val="continuous"/>
        </w:sectPr>
      </w:pPr>
    </w:p>
    <w:p>
      <w:pPr>
        <w:spacing w:after="0" w:line="2"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45" w:lineRule="exact"/>
        <w:rPr>
          <w:sz w:val="24"/>
          <w:szCs w:val="24"/>
          <w:color w:val="auto"/>
        </w:rPr>
      </w:pPr>
    </w:p>
    <w:p>
      <w:pPr>
        <w:ind w:right="900"/>
        <w:spacing w:after="0" w:line="412" w:lineRule="auto"/>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As of January 31, 2024, 6,143,119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Table Of Contents</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PAGE</w:t>
            </w:r>
          </w:p>
        </w:tc>
      </w:tr>
      <w:tr>
        <w:trPr>
          <w:trHeight w:val="331"/>
        </w:trPr>
        <w:tc>
          <w:tcPr>
            <w:tcW w:w="20" w:type="dxa"/>
            <w:vAlign w:val="bottom"/>
          </w:tcPr>
          <w:p>
            <w:pPr>
              <w:spacing w:after="0"/>
              <w:rPr>
                <w:sz w:val="24"/>
                <w:szCs w:val="24"/>
                <w:color w:val="auto"/>
              </w:rPr>
            </w:pPr>
          </w:p>
        </w:tc>
        <w:tc>
          <w:tcPr>
            <w:tcW w:w="10340" w:type="dxa"/>
            <w:vAlign w:val="bottom"/>
            <w:gridSpan w:val="19"/>
          </w:tcPr>
          <w:p>
            <w:pPr>
              <w:spacing w:after="0"/>
              <w:rPr>
                <w:sz w:val="20"/>
                <w:szCs w:val="20"/>
                <w:color w:val="auto"/>
              </w:rPr>
            </w:pPr>
            <w:r>
              <w:rPr>
                <w:rFonts w:ascii="Arial" w:cs="Arial" w:eastAsia="Arial" w:hAnsi="Arial"/>
                <w:sz w:val="18"/>
                <w:szCs w:val="18"/>
                <w:color w:val="0000FF"/>
              </w:rPr>
              <w:t>FORWARD LOOKING STATEMENTS</w:t>
            </w: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1</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40" w:type="dxa"/>
            <w:vAlign w:val="bottom"/>
            <w:gridSpan w:val="5"/>
          </w:tcPr>
          <w:p>
            <w:pPr>
              <w:spacing w:after="0"/>
              <w:rPr>
                <w:sz w:val="20"/>
                <w:szCs w:val="20"/>
                <w:color w:val="auto"/>
              </w:rPr>
            </w:pPr>
            <w:r>
              <w:rPr>
                <w:rFonts w:ascii="Arial" w:cs="Arial" w:eastAsia="Arial" w:hAnsi="Arial"/>
                <w:sz w:val="18"/>
                <w:szCs w:val="18"/>
                <w:color w:val="0000FF"/>
                <w:w w:val="98"/>
              </w:rPr>
              <w:t>FINANCIAL INFORMATION</w:t>
            </w:r>
          </w:p>
        </w:tc>
        <w:tc>
          <w:tcPr>
            <w:tcW w:w="6820" w:type="dxa"/>
            <w:vAlign w:val="bottom"/>
            <w:gridSpan w:val="12"/>
          </w:tcPr>
          <w:p>
            <w:pPr>
              <w:spacing w:after="0"/>
              <w:rPr>
                <w:sz w:val="24"/>
                <w:szCs w:val="24"/>
                <w:color w:val="auto"/>
              </w:rPr>
            </w:pP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680" w:type="dxa"/>
            <w:vAlign w:val="bottom"/>
            <w:gridSpan w:val="9"/>
          </w:tcPr>
          <w:p>
            <w:pPr>
              <w:spacing w:after="0"/>
              <w:rPr>
                <w:sz w:val="20"/>
                <w:szCs w:val="20"/>
                <w:color w:val="auto"/>
              </w:rPr>
            </w:pPr>
            <w:r>
              <w:rPr>
                <w:rFonts w:ascii="Arial" w:cs="Arial" w:eastAsia="Arial" w:hAnsi="Arial"/>
                <w:sz w:val="18"/>
                <w:szCs w:val="18"/>
                <w:color w:val="0000FF"/>
                <w:w w:val="99"/>
              </w:rPr>
              <w:t>Financial Statements (Unaudited)</w:t>
            </w:r>
          </w:p>
        </w:tc>
        <w:tc>
          <w:tcPr>
            <w:tcW w:w="5240" w:type="dxa"/>
            <w:vAlign w:val="bottom"/>
            <w:gridSpan w:val="7"/>
          </w:tcPr>
          <w:p>
            <w:pPr>
              <w:spacing w:after="0"/>
              <w:rPr>
                <w:sz w:val="24"/>
                <w:szCs w:val="24"/>
                <w:color w:val="auto"/>
              </w:rPr>
            </w:pP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0000FF"/>
              </w:rPr>
              <w:t>Consolidated Balance Sheets - December 24, 2023, and September 24, 2023</w:t>
            </w: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0000FF"/>
              </w:rPr>
              <w:t>Consolidated Statements of Income (Loss) and Comprehensive Income (Loss) -Three months</w:t>
            </w: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4</w:t>
            </w:r>
          </w:p>
        </w:tc>
        <w:tc>
          <w:tcPr>
            <w:tcW w:w="40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11"/>
          </w:tcPr>
          <w:p>
            <w:pPr>
              <w:spacing w:after="0" w:line="169" w:lineRule="exact"/>
              <w:rPr>
                <w:sz w:val="20"/>
                <w:szCs w:val="20"/>
                <w:color w:val="auto"/>
              </w:rPr>
            </w:pPr>
            <w:r>
              <w:rPr>
                <w:rFonts w:ascii="Arial" w:cs="Arial" w:eastAsia="Arial" w:hAnsi="Arial"/>
                <w:sz w:val="18"/>
                <w:szCs w:val="18"/>
                <w:color w:val="0000FF"/>
                <w:w w:val="99"/>
              </w:rPr>
              <w:t>ended December 24, 2023 and December 25, 2022</w:t>
            </w:r>
          </w:p>
        </w:tc>
        <w:tc>
          <w:tcPr>
            <w:tcW w:w="3360" w:type="dxa"/>
            <w:vAlign w:val="bottom"/>
            <w:tcBorders>
              <w:top w:val="single" w:sz="8" w:color="0000FF"/>
            </w:tcBorders>
            <w:gridSpan w:val="3"/>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0000FF"/>
              </w:rPr>
              <w:t>Consolidated Statements of Stockholder's Equity - Three months ended December 24, 2023, and</w:t>
            </w: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5</w:t>
            </w:r>
          </w:p>
        </w:tc>
        <w:tc>
          <w:tcPr>
            <w:tcW w:w="40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9"/>
              </w:rPr>
              <w:t>December 25, 2022</w:t>
            </w:r>
          </w:p>
        </w:tc>
        <w:tc>
          <w:tcPr>
            <w:tcW w:w="6140" w:type="dxa"/>
            <w:vAlign w:val="bottom"/>
            <w:tcBorders>
              <w:top w:val="single" w:sz="8" w:color="0000FF"/>
            </w:tcBorders>
            <w:gridSpan w:val="8"/>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0000FF"/>
              </w:rPr>
              <w:t>Consolidated Statements of Cash Flows - Three months ended December 24, 2023, and</w:t>
            </w: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6</w:t>
            </w:r>
          </w:p>
        </w:tc>
        <w:tc>
          <w:tcPr>
            <w:tcW w:w="40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8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December 25, 2022</w:t>
            </w:r>
          </w:p>
        </w:tc>
        <w:tc>
          <w:tcPr>
            <w:tcW w:w="840" w:type="dxa"/>
            <w:vAlign w:val="bottom"/>
            <w:gridSpan w:val="3"/>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920" w:type="dxa"/>
            <w:vAlign w:val="bottom"/>
            <w:gridSpan w:val="16"/>
          </w:tcPr>
          <w:p>
            <w:pPr>
              <w:spacing w:after="0"/>
              <w:rPr>
                <w:sz w:val="20"/>
                <w:szCs w:val="20"/>
                <w:color w:val="auto"/>
              </w:rPr>
            </w:pPr>
            <w:r>
              <w:rPr>
                <w:rFonts w:ascii="Arial" w:cs="Arial" w:eastAsia="Arial" w:hAnsi="Arial"/>
                <w:sz w:val="18"/>
                <w:szCs w:val="18"/>
                <w:color w:val="0000FF"/>
              </w:rPr>
              <w:t>Notes to Consolidated Financial Statements</w:t>
            </w:r>
          </w:p>
        </w:tc>
        <w:tc>
          <w:tcPr>
            <w:tcW w:w="480" w:type="dxa"/>
            <w:vAlign w:val="bottom"/>
            <w:gridSpan w:val="2"/>
          </w:tcPr>
          <w:p>
            <w:pPr>
              <w:jc w:val="center"/>
              <w:ind w:left="290"/>
              <w:spacing w:after="0"/>
              <w:rPr>
                <w:sz w:val="20"/>
                <w:szCs w:val="20"/>
                <w:color w:val="auto"/>
              </w:rPr>
            </w:pPr>
            <w:r>
              <w:rPr>
                <w:rFonts w:ascii="Arial" w:cs="Arial" w:eastAsia="Arial" w:hAnsi="Arial"/>
                <w:sz w:val="18"/>
                <w:szCs w:val="18"/>
                <w:color w:val="0000FF"/>
                <w:w w:val="99"/>
              </w:rPr>
              <w:t>7</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3"/>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84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12</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2000" w:type="dxa"/>
            <w:vAlign w:val="bottom"/>
            <w:gridSpan w:val="8"/>
          </w:tcPr>
          <w:p>
            <w:pPr>
              <w:spacing w:after="0"/>
              <w:rPr>
                <w:sz w:val="20"/>
                <w:szCs w:val="20"/>
                <w:color w:val="auto"/>
              </w:rPr>
            </w:pPr>
            <w:r>
              <w:rPr>
                <w:rFonts w:ascii="Arial" w:cs="Arial" w:eastAsia="Arial" w:hAnsi="Arial"/>
                <w:sz w:val="18"/>
                <w:szCs w:val="18"/>
                <w:color w:val="0000FF"/>
                <w:w w:val="99"/>
              </w:rPr>
              <w:t>Controls and Procedures</w:t>
            </w:r>
          </w:p>
        </w:tc>
        <w:tc>
          <w:tcPr>
            <w:tcW w:w="5080" w:type="dxa"/>
            <w:vAlign w:val="bottom"/>
            <w:gridSpan w:val="5"/>
          </w:tcPr>
          <w:p>
            <w:pPr>
              <w:spacing w:after="0"/>
              <w:rPr>
                <w:sz w:val="24"/>
                <w:szCs w:val="24"/>
                <w:color w:val="auto"/>
              </w:rPr>
            </w:pPr>
          </w:p>
        </w:tc>
        <w:tc>
          <w:tcPr>
            <w:tcW w:w="84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17</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90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880" w:type="dxa"/>
            <w:vAlign w:val="bottom"/>
            <w:gridSpan w:val="3"/>
          </w:tcPr>
          <w:p>
            <w:pPr>
              <w:jc w:val="center"/>
              <w:ind w:right="40"/>
              <w:spacing w:after="0"/>
              <w:rPr>
                <w:sz w:val="20"/>
                <w:szCs w:val="20"/>
                <w:color w:val="auto"/>
              </w:rPr>
            </w:pPr>
            <w:r>
              <w:rPr>
                <w:rFonts w:ascii="Arial" w:cs="Arial" w:eastAsia="Arial" w:hAnsi="Arial"/>
                <w:sz w:val="18"/>
                <w:szCs w:val="18"/>
                <w:color w:val="0000FF"/>
                <w:w w:val="99"/>
              </w:rPr>
              <w:t>18</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sz w:val="20"/>
                <w:szCs w:val="20"/>
                <w:color w:val="auto"/>
              </w:rPr>
            </w:pPr>
            <w:r>
              <w:rPr>
                <w:rFonts w:ascii="Arial" w:cs="Arial" w:eastAsia="Arial" w:hAnsi="Arial"/>
                <w:sz w:val="18"/>
                <w:szCs w:val="18"/>
                <w:color w:val="0000FF"/>
                <w:w w:val="99"/>
              </w:rPr>
              <w:t>Legal Proceedings</w:t>
            </w:r>
          </w:p>
        </w:tc>
        <w:tc>
          <w:tcPr>
            <w:tcW w:w="642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18</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5"/>
          </w:tcPr>
          <w:p>
            <w:pPr>
              <w:spacing w:after="0"/>
              <w:rPr>
                <w:sz w:val="20"/>
                <w:szCs w:val="20"/>
                <w:color w:val="auto"/>
              </w:rPr>
            </w:pPr>
            <w:r>
              <w:rPr>
                <w:rFonts w:ascii="Arial" w:cs="Arial" w:eastAsia="Arial" w:hAnsi="Arial"/>
                <w:sz w:val="18"/>
                <w:szCs w:val="18"/>
                <w:color w:val="0000FF"/>
              </w:rPr>
              <w:t>Risk Factors</w:t>
            </w:r>
          </w:p>
        </w:tc>
        <w:tc>
          <w:tcPr>
            <w:tcW w:w="642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18</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6920" w:type="dxa"/>
            <w:vAlign w:val="bottom"/>
            <w:gridSpan w:val="1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88"/>
              </w:rPr>
              <w:t>Exhibits</w:t>
            </w:r>
          </w:p>
        </w:tc>
        <w:tc>
          <w:tcPr>
            <w:tcW w:w="400" w:type="dxa"/>
            <w:vAlign w:val="bottom"/>
            <w:gridSpan w:val="2"/>
          </w:tcPr>
          <w:p>
            <w:pPr>
              <w:spacing w:after="0"/>
              <w:rPr>
                <w:sz w:val="24"/>
                <w:szCs w:val="24"/>
                <w:color w:val="auto"/>
              </w:rPr>
            </w:pPr>
          </w:p>
        </w:tc>
        <w:tc>
          <w:tcPr>
            <w:tcW w:w="6920" w:type="dxa"/>
            <w:vAlign w:val="bottom"/>
            <w:gridSpan w:val="13"/>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18</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20</w:t>
            </w:r>
          </w:p>
        </w:tc>
      </w:tr>
      <w:tr>
        <w:trPr>
          <w:trHeight w:val="10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“2024”, “2023" and the like refer to the fiscal years ended the last Sunday in September.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36" w:lineRule="exact"/>
        <w:rPr>
          <w:sz w:val="20"/>
          <w:szCs w:val="20"/>
          <w:color w:val="auto"/>
        </w:rPr>
      </w:pPr>
    </w:p>
    <w:p>
      <w:pPr>
        <w:ind w:left="660" w:right="20" w:hanging="328"/>
        <w:spacing w:after="0" w:line="26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long-term or permanent changes the COVID-19 pandemic may have on the publishing industry; which may result in permanent revenue reductions and other risks and uncertainties;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or Buffalo News for unknown legal and other matters that may arise;</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including statements regarding the impacts that the COVID-19 pandemic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20" w:type="dxa"/>
            <w:vAlign w:val="bottom"/>
            <w:tcBorders>
              <w:top w:val="single" w:sz="8" w:color="auto"/>
              <w:bottom w:val="single" w:sz="8" w:color="auto"/>
            </w:tcBorders>
          </w:tcPr>
          <w:p>
            <w:pPr>
              <w:spacing w:after="0"/>
              <w:rPr>
                <w:sz w:val="21"/>
                <w:szCs w:val="21"/>
                <w:color w:val="auto"/>
              </w:rPr>
            </w:pPr>
          </w:p>
        </w:tc>
        <w:tc>
          <w:tcPr>
            <w:tcW w:w="46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r>
      <w:tr>
        <w:trPr>
          <w:trHeight w:val="218"/>
        </w:trPr>
        <w:tc>
          <w:tcPr>
            <w:tcW w:w="5120" w:type="dxa"/>
            <w:vAlign w:val="bottom"/>
          </w:tcPr>
          <w:p>
            <w:pPr>
              <w:spacing w:after="0"/>
              <w:rPr>
                <w:sz w:val="18"/>
                <w:szCs w:val="18"/>
                <w:color w:val="auto"/>
              </w:rPr>
            </w:pPr>
          </w:p>
        </w:tc>
        <w:tc>
          <w:tcPr>
            <w:tcW w:w="4660" w:type="dxa"/>
            <w:vAlign w:val="bottom"/>
          </w:tcPr>
          <w:p>
            <w:pPr>
              <w:jc w:val="right"/>
              <w:ind w:right="170"/>
              <w:spacing w:after="0"/>
              <w:rPr>
                <w:sz w:val="20"/>
                <w:szCs w:val="20"/>
                <w:color w:val="auto"/>
              </w:rPr>
            </w:pPr>
            <w:r>
              <w:rPr>
                <w:rFonts w:ascii="Arial" w:cs="Arial" w:eastAsia="Arial" w:hAnsi="Arial"/>
                <w:sz w:val="18"/>
                <w:szCs w:val="18"/>
                <w:color w:val="auto"/>
              </w:rPr>
              <w:t>December 24,</w:t>
            </w:r>
          </w:p>
        </w:tc>
        <w:tc>
          <w:tcPr>
            <w:tcW w:w="1460" w:type="dxa"/>
            <w:vAlign w:val="bottom"/>
          </w:tcPr>
          <w:p>
            <w:pPr>
              <w:jc w:val="right"/>
              <w:spacing w:after="0"/>
              <w:rPr>
                <w:sz w:val="20"/>
                <w:szCs w:val="20"/>
                <w:color w:val="auto"/>
              </w:rPr>
            </w:pPr>
            <w:r>
              <w:rPr>
                <w:rFonts w:ascii="Arial" w:cs="Arial" w:eastAsia="Arial" w:hAnsi="Arial"/>
                <w:sz w:val="18"/>
                <w:szCs w:val="18"/>
                <w:color w:val="auto"/>
              </w:rPr>
              <w:t>September 24,</w:t>
            </w:r>
          </w:p>
        </w:tc>
      </w:tr>
      <w:tr>
        <w:trPr>
          <w:trHeight w:val="262"/>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628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2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15,365</w:t>
            </w:r>
          </w:p>
        </w:tc>
        <w:tc>
          <w:tcPr>
            <w:tcW w:w="1260" w:type="dxa"/>
            <w:vAlign w:val="bottom"/>
          </w:tcPr>
          <w:p>
            <w:pPr>
              <w:jc w:val="right"/>
              <w:spacing w:after="0"/>
              <w:rPr>
                <w:sz w:val="20"/>
                <w:szCs w:val="20"/>
                <w:color w:val="auto"/>
              </w:rPr>
            </w:pPr>
            <w:r>
              <w:rPr>
                <w:rFonts w:ascii="Arial" w:cs="Arial" w:eastAsia="Arial" w:hAnsi="Arial"/>
                <w:sz w:val="18"/>
                <w:szCs w:val="18"/>
                <w:color w:val="auto"/>
              </w:rPr>
              <w:t>14,548</w:t>
            </w:r>
          </w:p>
        </w:tc>
      </w:tr>
      <w:tr>
        <w:trPr>
          <w:trHeight w:val="23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and contract assets, net</w:t>
            </w:r>
          </w:p>
        </w:tc>
        <w:tc>
          <w:tcPr>
            <w:tcW w:w="3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68,103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69,104</w:t>
            </w:r>
          </w:p>
        </w:tc>
      </w:tr>
      <w:tr>
        <w:trPr>
          <w:trHeight w:val="229"/>
        </w:trPr>
        <w:tc>
          <w:tcPr>
            <w:tcW w:w="62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7,637</w:t>
            </w:r>
          </w:p>
        </w:tc>
        <w:tc>
          <w:tcPr>
            <w:tcW w:w="1260" w:type="dxa"/>
            <w:vAlign w:val="bottom"/>
          </w:tcPr>
          <w:p>
            <w:pPr>
              <w:jc w:val="right"/>
              <w:spacing w:after="0"/>
              <w:rPr>
                <w:sz w:val="20"/>
                <w:szCs w:val="20"/>
                <w:color w:val="auto"/>
              </w:rPr>
            </w:pPr>
            <w:r>
              <w:rPr>
                <w:rFonts w:ascii="Arial" w:cs="Arial" w:eastAsia="Arial" w:hAnsi="Arial"/>
                <w:sz w:val="18"/>
                <w:szCs w:val="18"/>
                <w:color w:val="auto"/>
              </w:rPr>
              <w:t>7,504</w:t>
            </w:r>
          </w:p>
        </w:tc>
      </w:tr>
      <w:tr>
        <w:trPr>
          <w:trHeight w:val="229"/>
        </w:trPr>
        <w:tc>
          <w:tcPr>
            <w:tcW w:w="6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37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14,761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15,373</w:t>
            </w:r>
          </w:p>
        </w:tc>
      </w:tr>
      <w:tr>
        <w:trPr>
          <w:trHeight w:val="22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assets</w:t>
            </w:r>
          </w:p>
        </w:tc>
        <w:tc>
          <w:tcPr>
            <w:tcW w:w="3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105,866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106,529</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Associated companies</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27,741</w:t>
            </w:r>
          </w:p>
        </w:tc>
        <w:tc>
          <w:tcPr>
            <w:tcW w:w="1260" w:type="dxa"/>
            <w:vAlign w:val="bottom"/>
          </w:tcPr>
          <w:p>
            <w:pPr>
              <w:jc w:val="right"/>
              <w:spacing w:after="0"/>
              <w:rPr>
                <w:sz w:val="20"/>
                <w:szCs w:val="20"/>
                <w:color w:val="auto"/>
              </w:rPr>
            </w:pPr>
            <w:r>
              <w:rPr>
                <w:rFonts w:ascii="Arial" w:cs="Arial" w:eastAsia="Arial" w:hAnsi="Arial"/>
                <w:sz w:val="18"/>
                <w:szCs w:val="18"/>
                <w:color w:val="auto"/>
              </w:rPr>
              <w:t>27,819</w:t>
            </w:r>
          </w:p>
        </w:tc>
      </w:tr>
      <w:tr>
        <w:trPr>
          <w:trHeight w:val="229"/>
        </w:trPr>
        <w:tc>
          <w:tcPr>
            <w:tcW w:w="6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7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5,569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w:t>
            </w:r>
          </w:p>
        </w:tc>
      </w:tr>
      <w:tr>
        <w:trPr>
          <w:trHeight w:val="22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w:t>
            </w:r>
          </w:p>
        </w:tc>
        <w:tc>
          <w:tcPr>
            <w:tcW w:w="3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33,310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33,391</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280" w:type="dxa"/>
            <w:vAlign w:val="bottom"/>
          </w:tcPr>
          <w:p>
            <w:pPr>
              <w:ind w:left="180"/>
              <w:spacing w:after="0"/>
              <w:rPr>
                <w:sz w:val="20"/>
                <w:szCs w:val="20"/>
                <w:color w:val="auto"/>
              </w:rPr>
            </w:pPr>
            <w:r>
              <w:rPr>
                <w:rFonts w:ascii="Arial" w:cs="Arial" w:eastAsia="Arial" w:hAnsi="Arial"/>
                <w:sz w:val="18"/>
                <w:szCs w:val="18"/>
                <w:color w:val="auto"/>
              </w:rPr>
              <w:t>Land and improvements</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11,995</w:t>
            </w:r>
          </w:p>
        </w:tc>
        <w:tc>
          <w:tcPr>
            <w:tcW w:w="1260" w:type="dxa"/>
            <w:vAlign w:val="bottom"/>
          </w:tcPr>
          <w:p>
            <w:pPr>
              <w:jc w:val="right"/>
              <w:spacing w:after="0"/>
              <w:rPr>
                <w:sz w:val="20"/>
                <w:szCs w:val="20"/>
                <w:color w:val="auto"/>
              </w:rPr>
            </w:pPr>
            <w:r>
              <w:rPr>
                <w:rFonts w:ascii="Arial" w:cs="Arial" w:eastAsia="Arial" w:hAnsi="Arial"/>
                <w:sz w:val="18"/>
                <w:szCs w:val="18"/>
                <w:color w:val="auto"/>
              </w:rPr>
              <w:t>12,366</w:t>
            </w:r>
          </w:p>
        </w:tc>
      </w:tr>
      <w:tr>
        <w:trPr>
          <w:trHeight w:val="23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Buildings and improvements</w:t>
            </w:r>
          </w:p>
        </w:tc>
        <w:tc>
          <w:tcPr>
            <w:tcW w:w="3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82,989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83,140</w:t>
            </w: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211,356</w:t>
            </w:r>
          </w:p>
        </w:tc>
        <w:tc>
          <w:tcPr>
            <w:tcW w:w="1260" w:type="dxa"/>
            <w:vAlign w:val="bottom"/>
          </w:tcPr>
          <w:p>
            <w:pPr>
              <w:jc w:val="right"/>
              <w:spacing w:after="0"/>
              <w:rPr>
                <w:sz w:val="20"/>
                <w:szCs w:val="20"/>
                <w:color w:val="auto"/>
              </w:rPr>
            </w:pPr>
            <w:r>
              <w:rPr>
                <w:rFonts w:ascii="Arial" w:cs="Arial" w:eastAsia="Arial" w:hAnsi="Arial"/>
                <w:sz w:val="18"/>
                <w:szCs w:val="18"/>
                <w:color w:val="auto"/>
              </w:rPr>
              <w:t>213,714</w:t>
            </w:r>
          </w:p>
        </w:tc>
      </w:tr>
      <w:tr>
        <w:trPr>
          <w:trHeight w:val="230"/>
        </w:trPr>
        <w:tc>
          <w:tcPr>
            <w:tcW w:w="6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37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1,368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r>
      <w:tr>
        <w:trPr>
          <w:trHeight w:val="223"/>
        </w:trPr>
        <w:tc>
          <w:tcPr>
            <w:tcW w:w="6280" w:type="dxa"/>
            <w:vAlign w:val="bottom"/>
          </w:tcPr>
          <w:p>
            <w:pPr>
              <w:spacing w:after="0"/>
              <w:rPr>
                <w:sz w:val="19"/>
                <w:szCs w:val="19"/>
                <w:color w:val="auto"/>
              </w:rPr>
            </w:pP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307,708</w:t>
            </w:r>
          </w:p>
        </w:tc>
        <w:tc>
          <w:tcPr>
            <w:tcW w:w="1260" w:type="dxa"/>
            <w:vAlign w:val="bottom"/>
          </w:tcPr>
          <w:p>
            <w:pPr>
              <w:jc w:val="right"/>
              <w:spacing w:after="0"/>
              <w:rPr>
                <w:sz w:val="20"/>
                <w:szCs w:val="20"/>
                <w:color w:val="auto"/>
              </w:rPr>
            </w:pPr>
            <w:r>
              <w:rPr>
                <w:rFonts w:ascii="Arial" w:cs="Arial" w:eastAsia="Arial" w:hAnsi="Arial"/>
                <w:sz w:val="18"/>
                <w:szCs w:val="18"/>
                <w:color w:val="auto"/>
              </w:rPr>
              <w:t>311,673</w:t>
            </w:r>
          </w:p>
        </w:tc>
      </w:tr>
      <w:tr>
        <w:trPr>
          <w:trHeight w:val="230"/>
        </w:trPr>
        <w:tc>
          <w:tcPr>
            <w:tcW w:w="6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37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248,530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250,439</w:t>
            </w:r>
          </w:p>
        </w:tc>
      </w:tr>
      <w:tr>
        <w:trPr>
          <w:trHeight w:val="22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Property and equipment, net</w:t>
            </w:r>
          </w:p>
        </w:tc>
        <w:tc>
          <w:tcPr>
            <w:tcW w:w="3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59,178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61,234</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38,417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40,822</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328,243</w:t>
            </w:r>
          </w:p>
        </w:tc>
        <w:tc>
          <w:tcPr>
            <w:tcW w:w="1260" w:type="dxa"/>
            <w:vAlign w:val="bottom"/>
          </w:tcPr>
          <w:p>
            <w:pPr>
              <w:jc w:val="right"/>
              <w:spacing w:after="0"/>
              <w:rPr>
                <w:sz w:val="20"/>
                <w:szCs w:val="20"/>
                <w:color w:val="auto"/>
              </w:rPr>
            </w:pPr>
            <w:r>
              <w:rPr>
                <w:rFonts w:ascii="Arial" w:cs="Arial" w:eastAsia="Arial" w:hAnsi="Arial"/>
                <w:sz w:val="18"/>
                <w:szCs w:val="18"/>
                <w:color w:val="auto"/>
              </w:rPr>
              <w:t>329,504</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3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90,384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94,988</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Pension plan assets, net</w:t>
            </w:r>
          </w:p>
        </w:tc>
        <w:tc>
          <w:tcPr>
            <w:tcW w:w="3700" w:type="dxa"/>
            <w:vAlign w:val="bottom"/>
          </w:tcPr>
          <w:p>
            <w:pPr>
              <w:jc w:val="right"/>
              <w:ind w:right="430"/>
              <w:spacing w:after="0"/>
              <w:rPr>
                <w:sz w:val="20"/>
                <w:szCs w:val="20"/>
                <w:color w:val="auto"/>
              </w:rPr>
            </w:pPr>
            <w:r>
              <w:rPr>
                <w:rFonts w:ascii="Arial" w:cs="Arial" w:eastAsia="Arial" w:hAnsi="Arial"/>
                <w:sz w:val="18"/>
                <w:szCs w:val="18"/>
                <w:color w:val="auto"/>
              </w:rPr>
              <w:t>11,095</w:t>
            </w:r>
          </w:p>
        </w:tc>
        <w:tc>
          <w:tcPr>
            <w:tcW w:w="1260" w:type="dxa"/>
            <w:vAlign w:val="bottom"/>
          </w:tcPr>
          <w:p>
            <w:pPr>
              <w:jc w:val="right"/>
              <w:spacing w:after="0"/>
              <w:rPr>
                <w:sz w:val="20"/>
                <w:szCs w:val="20"/>
                <w:color w:val="auto"/>
              </w:rPr>
            </w:pPr>
            <w:r>
              <w:rPr>
                <w:rFonts w:ascii="Arial" w:cs="Arial" w:eastAsia="Arial" w:hAnsi="Arial"/>
                <w:sz w:val="18"/>
                <w:szCs w:val="18"/>
                <w:color w:val="auto"/>
              </w:rPr>
              <w:t>10,843</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plan assets, net</w:t>
            </w:r>
          </w:p>
        </w:tc>
        <w:tc>
          <w:tcPr>
            <w:tcW w:w="3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21,821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21,565</w:t>
            </w: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14,195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12,741</w:t>
            </w:r>
          </w:p>
        </w:tc>
      </w:tr>
      <w:tr>
        <w:trPr>
          <w:trHeight w:val="248"/>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7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702,509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711,617</w:t>
            </w: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80" w:type="dxa"/>
            <w:vAlign w:val="bottom"/>
            <w:tcBorders>
              <w:top w:val="single" w:sz="8" w:color="auto"/>
              <w:bottom w:val="single" w:sz="8" w:color="auto"/>
            </w:tcBorders>
          </w:tcPr>
          <w:p>
            <w:pPr>
              <w:spacing w:after="0"/>
              <w:rPr>
                <w:sz w:val="21"/>
                <w:szCs w:val="21"/>
                <w:color w:val="auto"/>
              </w:rPr>
            </w:pPr>
          </w:p>
        </w:tc>
        <w:tc>
          <w:tcPr>
            <w:tcW w:w="32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5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3200" w:type="dxa"/>
            <w:vAlign w:val="bottom"/>
          </w:tcPr>
          <w:p>
            <w:pPr>
              <w:jc w:val="right"/>
              <w:ind w:right="170"/>
              <w:spacing w:after="0" w:line="177" w:lineRule="exact"/>
              <w:rPr>
                <w:sz w:val="20"/>
                <w:szCs w:val="20"/>
                <w:color w:val="auto"/>
              </w:rPr>
            </w:pPr>
            <w:r>
              <w:rPr>
                <w:rFonts w:ascii="Arial" w:cs="Arial" w:eastAsia="Arial" w:hAnsi="Arial"/>
                <w:sz w:val="18"/>
                <w:szCs w:val="18"/>
                <w:color w:val="auto"/>
              </w:rPr>
              <w:t>December 24,</w:t>
            </w:r>
          </w:p>
        </w:tc>
        <w:tc>
          <w:tcPr>
            <w:tcW w:w="1460" w:type="dxa"/>
            <w:vAlign w:val="bottom"/>
          </w:tcPr>
          <w:p>
            <w:pPr>
              <w:jc w:val="right"/>
              <w:spacing w:after="0" w:line="177" w:lineRule="exact"/>
              <w:rPr>
                <w:sz w:val="20"/>
                <w:szCs w:val="20"/>
                <w:color w:val="auto"/>
              </w:rPr>
            </w:pPr>
            <w:r>
              <w:rPr>
                <w:rFonts w:ascii="Arial" w:cs="Arial" w:eastAsia="Arial" w:hAnsi="Arial"/>
                <w:sz w:val="18"/>
                <w:szCs w:val="18"/>
                <w:color w:val="auto"/>
              </w:rPr>
              <w:t>September 24,</w:t>
            </w:r>
          </w:p>
        </w:tc>
        <w:tc>
          <w:tcPr>
            <w:tcW w:w="0" w:type="dxa"/>
            <w:vAlign w:val="bottom"/>
          </w:tcPr>
          <w:p>
            <w:pPr>
              <w:spacing w:after="0"/>
              <w:rPr>
                <w:sz w:val="1"/>
                <w:szCs w:val="1"/>
                <w:color w:val="auto"/>
              </w:rPr>
            </w:pPr>
          </w:p>
        </w:tc>
      </w:tr>
      <w:tr>
        <w:trPr>
          <w:trHeight w:val="235"/>
        </w:trPr>
        <w:tc>
          <w:tcPr>
            <w:tcW w:w="6580" w:type="dxa"/>
            <w:vAlign w:val="bottom"/>
            <w:tcBorders>
              <w:bottom w:val="single" w:sz="8" w:color="auto"/>
            </w:tcBorders>
            <w:vMerge w:val="continue"/>
          </w:tcPr>
          <w:p>
            <w:pPr>
              <w:spacing w:after="0"/>
              <w:rPr>
                <w:sz w:val="20"/>
                <w:szCs w:val="20"/>
                <w:color w:val="auto"/>
              </w:rPr>
            </w:pPr>
          </w:p>
        </w:tc>
        <w:tc>
          <w:tcPr>
            <w:tcW w:w="3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78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Current portion of lease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7,602</w:t>
            </w:r>
          </w:p>
        </w:tc>
        <w:tc>
          <w:tcPr>
            <w:tcW w:w="1260" w:type="dxa"/>
            <w:vAlign w:val="bottom"/>
          </w:tcPr>
          <w:p>
            <w:pPr>
              <w:jc w:val="right"/>
              <w:spacing w:after="0"/>
              <w:rPr>
                <w:sz w:val="20"/>
                <w:szCs w:val="20"/>
                <w:color w:val="auto"/>
              </w:rPr>
            </w:pPr>
            <w:r>
              <w:rPr>
                <w:rFonts w:ascii="Arial" w:cs="Arial" w:eastAsia="Arial" w:hAnsi="Arial"/>
                <w:sz w:val="18"/>
                <w:szCs w:val="18"/>
                <w:color w:val="auto"/>
              </w:rPr>
              <w:t>7,755</w:t>
            </w: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38,537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36,290</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Compensation and other accrued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26,960</w:t>
            </w:r>
          </w:p>
        </w:tc>
        <w:tc>
          <w:tcPr>
            <w:tcW w:w="1260" w:type="dxa"/>
            <w:vAlign w:val="bottom"/>
          </w:tcPr>
          <w:p>
            <w:pPr>
              <w:jc w:val="right"/>
              <w:spacing w:after="0"/>
              <w:rPr>
                <w:sz w:val="20"/>
                <w:szCs w:val="20"/>
                <w:color w:val="auto"/>
              </w:rPr>
            </w:pPr>
            <w:r>
              <w:rPr>
                <w:rFonts w:ascii="Arial" w:cs="Arial" w:eastAsia="Arial" w:hAnsi="Arial"/>
                <w:sz w:val="18"/>
                <w:szCs w:val="18"/>
                <w:color w:val="auto"/>
              </w:rPr>
              <w:t>29,448</w:t>
            </w:r>
          </w:p>
        </w:tc>
      </w:tr>
      <w:tr>
        <w:trPr>
          <w:trHeight w:val="229"/>
        </w:trPr>
        <w:tc>
          <w:tcPr>
            <w:tcW w:w="7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Unearned revenue</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39,550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40,843</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liabilities</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112,649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114,336</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454,161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455,741</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34,160</w:t>
            </w:r>
          </w:p>
        </w:tc>
        <w:tc>
          <w:tcPr>
            <w:tcW w:w="1260" w:type="dxa"/>
            <w:vAlign w:val="bottom"/>
          </w:tcPr>
          <w:p>
            <w:pPr>
              <w:jc w:val="right"/>
              <w:spacing w:after="0"/>
              <w:rPr>
                <w:sz w:val="20"/>
                <w:szCs w:val="20"/>
                <w:color w:val="auto"/>
              </w:rPr>
            </w:pPr>
            <w:r>
              <w:rPr>
                <w:rFonts w:ascii="Arial" w:cs="Arial" w:eastAsia="Arial" w:hAnsi="Arial"/>
                <w:sz w:val="18"/>
                <w:szCs w:val="18"/>
                <w:color w:val="auto"/>
              </w:rPr>
              <w:t>36,580</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obligations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561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Postretirement and postemployment benefit obligations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7,427</w:t>
            </w:r>
          </w:p>
        </w:tc>
        <w:tc>
          <w:tcPr>
            <w:tcW w:w="1260" w:type="dxa"/>
            <w:vAlign w:val="bottom"/>
          </w:tcPr>
          <w:p>
            <w:pPr>
              <w:jc w:val="right"/>
              <w:spacing w:after="0"/>
              <w:rPr>
                <w:sz w:val="20"/>
                <w:szCs w:val="20"/>
                <w:color w:val="auto"/>
              </w:rPr>
            </w:pPr>
            <w:r>
              <w:rPr>
                <w:rFonts w:ascii="Arial" w:cs="Arial" w:eastAsia="Arial" w:hAnsi="Arial"/>
                <w:sz w:val="18"/>
                <w:szCs w:val="18"/>
                <w:color w:val="auto"/>
              </w:rPr>
              <w:t>8,618</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40,735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41,351</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5,980</w:t>
            </w:r>
          </w:p>
        </w:tc>
        <w:tc>
          <w:tcPr>
            <w:tcW w:w="1260" w:type="dxa"/>
            <w:vAlign w:val="bottom"/>
          </w:tcPr>
          <w:p>
            <w:pPr>
              <w:jc w:val="right"/>
              <w:spacing w:after="0"/>
              <w:rPr>
                <w:sz w:val="20"/>
                <w:szCs w:val="20"/>
                <w:color w:val="auto"/>
              </w:rPr>
            </w:pPr>
            <w:r>
              <w:rPr>
                <w:rFonts w:ascii="Arial" w:cs="Arial" w:eastAsia="Arial" w:hAnsi="Arial"/>
                <w:sz w:val="18"/>
                <w:szCs w:val="18"/>
                <w:color w:val="auto"/>
              </w:rPr>
              <w:t>5,809</w:t>
            </w:r>
          </w:p>
        </w:tc>
      </w:tr>
      <w:tr>
        <w:trPr>
          <w:trHeight w:val="229"/>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Withdrawal liabilities and other</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24,646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24,890</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680,319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687,911</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Common Stock, $0.01 par value; authorized 12,000 shares; issued and outstanding:</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61</w:t>
            </w: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24, 2023; 6,143 shares; $0.01 par value</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September 24, 2023; 6,063 shares; $0.01 par value</w:t>
            </w: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 $2 par value; authorized 3,000 shares; none issued</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260,950</w:t>
            </w:r>
          </w:p>
        </w:tc>
        <w:tc>
          <w:tcPr>
            <w:tcW w:w="1260" w:type="dxa"/>
            <w:vAlign w:val="bottom"/>
          </w:tcPr>
          <w:p>
            <w:pPr>
              <w:jc w:val="right"/>
              <w:spacing w:after="0"/>
              <w:rPr>
                <w:sz w:val="20"/>
                <w:szCs w:val="20"/>
                <w:color w:val="auto"/>
              </w:rPr>
            </w:pPr>
            <w:r>
              <w:rPr>
                <w:rFonts w:ascii="Arial" w:cs="Arial" w:eastAsia="Arial" w:hAnsi="Arial"/>
                <w:sz w:val="18"/>
                <w:szCs w:val="18"/>
                <w:color w:val="auto"/>
              </w:rPr>
              <w:t>260,832</w:t>
            </w: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1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(265,808)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(266,496)</w:t>
            </w:r>
          </w:p>
        </w:tc>
      </w:tr>
      <w:tr>
        <w:trPr>
          <w:trHeight w:val="230"/>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24,529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26,843</w:t>
            </w:r>
          </w:p>
        </w:tc>
      </w:tr>
      <w:tr>
        <w:trPr>
          <w:trHeight w:val="223"/>
        </w:trPr>
        <w:tc>
          <w:tcPr>
            <w:tcW w:w="7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19,732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21,240</w:t>
            </w:r>
          </w:p>
        </w:tc>
      </w:tr>
      <w:tr>
        <w:trPr>
          <w:trHeight w:val="223"/>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Non-controlling interests</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2,458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r>
      <w:tr>
        <w:trPr>
          <w:trHeight w:val="223"/>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22,190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23,706</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equity</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702,509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711,617</w:t>
            </w: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262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color w:val="auto"/>
              </w:rPr>
              <w:t>December 24,</w:t>
            </w:r>
          </w:p>
        </w:tc>
        <w:tc>
          <w:tcPr>
            <w:tcW w:w="14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December 25,</w:t>
            </w:r>
          </w:p>
        </w:tc>
        <w:tc>
          <w:tcPr>
            <w:tcW w:w="0" w:type="dxa"/>
            <w:vAlign w:val="bottom"/>
          </w:tcPr>
          <w:p>
            <w:pPr>
              <w:spacing w:after="0"/>
              <w:rPr>
                <w:sz w:val="1"/>
                <w:szCs w:val="1"/>
                <w:color w:val="auto"/>
              </w:rPr>
            </w:pPr>
          </w:p>
        </w:tc>
      </w:tr>
      <w:tr>
        <w:trPr>
          <w:trHeight w:val="243"/>
        </w:trPr>
        <w:tc>
          <w:tcPr>
            <w:tcW w:w="7180" w:type="dxa"/>
            <w:vAlign w:val="bottom"/>
            <w:tcBorders>
              <w:bottom w:val="single" w:sz="8" w:color="auto"/>
            </w:tcBorders>
            <w:vMerge w:val="continue"/>
          </w:tcPr>
          <w:p>
            <w:pPr>
              <w:spacing w:after="0"/>
              <w:rPr>
                <w:sz w:val="21"/>
                <w:szCs w:val="21"/>
                <w:color w:val="auto"/>
              </w:rPr>
            </w:pPr>
          </w:p>
        </w:tc>
        <w:tc>
          <w:tcPr>
            <w:tcW w:w="2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0"/>
        </w:trPr>
        <w:tc>
          <w:tcPr>
            <w:tcW w:w="7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180"/>
              <w:spacing w:after="0"/>
              <w:rPr>
                <w:sz w:val="20"/>
                <w:szCs w:val="20"/>
                <w:color w:val="auto"/>
              </w:rPr>
            </w:pPr>
            <w:r>
              <w:rPr>
                <w:rFonts w:ascii="Arial" w:cs="Arial" w:eastAsia="Arial" w:hAnsi="Arial"/>
                <w:sz w:val="18"/>
                <w:szCs w:val="18"/>
                <w:color w:val="auto"/>
              </w:rPr>
              <w:t>Advertising and marketing services</w:t>
            </w:r>
          </w:p>
        </w:tc>
        <w:tc>
          <w:tcPr>
            <w:tcW w:w="2620" w:type="dxa"/>
            <w:vAlign w:val="bottom"/>
          </w:tcPr>
          <w:p>
            <w:pPr>
              <w:jc w:val="right"/>
              <w:ind w:right="250"/>
              <w:spacing w:after="0"/>
              <w:rPr>
                <w:sz w:val="20"/>
                <w:szCs w:val="20"/>
                <w:color w:val="auto"/>
              </w:rPr>
            </w:pPr>
            <w:r>
              <w:rPr>
                <w:rFonts w:ascii="Arial" w:cs="Arial" w:eastAsia="Arial" w:hAnsi="Arial"/>
                <w:sz w:val="18"/>
                <w:szCs w:val="18"/>
                <w:color w:val="auto"/>
              </w:rPr>
              <w:t>70,887</w:t>
            </w:r>
          </w:p>
        </w:tc>
        <w:tc>
          <w:tcPr>
            <w:tcW w:w="1440" w:type="dxa"/>
            <w:vAlign w:val="bottom"/>
          </w:tcPr>
          <w:p>
            <w:pPr>
              <w:jc w:val="right"/>
              <w:spacing w:after="0"/>
              <w:rPr>
                <w:sz w:val="20"/>
                <w:szCs w:val="20"/>
                <w:color w:val="auto"/>
              </w:rPr>
            </w:pPr>
            <w:r>
              <w:rPr>
                <w:rFonts w:ascii="Arial" w:cs="Arial" w:eastAsia="Arial" w:hAnsi="Arial"/>
                <w:sz w:val="18"/>
                <w:szCs w:val="18"/>
                <w:color w:val="auto"/>
              </w:rPr>
              <w:t>89,585</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2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71,339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79,699</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2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13,452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15,847</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155,678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185,131</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2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59,676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75,446</w:t>
            </w:r>
          </w:p>
        </w:tc>
        <w:tc>
          <w:tcPr>
            <w:tcW w:w="0" w:type="dxa"/>
            <w:vAlign w:val="bottom"/>
          </w:tcPr>
          <w:p>
            <w:pPr>
              <w:spacing w:after="0"/>
              <w:rPr>
                <w:sz w:val="1"/>
                <w:szCs w:val="1"/>
                <w:color w:val="auto"/>
              </w:rPr>
            </w:pPr>
          </w:p>
        </w:tc>
      </w:tr>
      <w:tr>
        <w:trPr>
          <w:trHeight w:val="229"/>
        </w:trPr>
        <w:tc>
          <w:tcPr>
            <w:tcW w:w="7180" w:type="dxa"/>
            <w:vAlign w:val="bottom"/>
          </w:tcPr>
          <w:p>
            <w:pPr>
              <w:ind w:left="180"/>
              <w:spacing w:after="0"/>
              <w:rPr>
                <w:sz w:val="20"/>
                <w:szCs w:val="20"/>
                <w:color w:val="auto"/>
              </w:rPr>
            </w:pPr>
            <w:r>
              <w:rPr>
                <w:rFonts w:ascii="Arial" w:cs="Arial" w:eastAsia="Arial" w:hAnsi="Arial"/>
                <w:sz w:val="18"/>
                <w:szCs w:val="18"/>
                <w:color w:val="auto"/>
              </w:rPr>
              <w:t>Newsprint and ink</w:t>
            </w:r>
          </w:p>
        </w:tc>
        <w:tc>
          <w:tcPr>
            <w:tcW w:w="2620" w:type="dxa"/>
            <w:vAlign w:val="bottom"/>
          </w:tcPr>
          <w:p>
            <w:pPr>
              <w:jc w:val="right"/>
              <w:ind w:right="250"/>
              <w:spacing w:after="0"/>
              <w:rPr>
                <w:sz w:val="20"/>
                <w:szCs w:val="20"/>
                <w:color w:val="auto"/>
              </w:rPr>
            </w:pPr>
            <w:r>
              <w:rPr>
                <w:rFonts w:ascii="Arial" w:cs="Arial" w:eastAsia="Arial" w:hAnsi="Arial"/>
                <w:sz w:val="18"/>
                <w:szCs w:val="18"/>
                <w:color w:val="auto"/>
              </w:rPr>
              <w:t>4,843</w:t>
            </w:r>
          </w:p>
        </w:tc>
        <w:tc>
          <w:tcPr>
            <w:tcW w:w="1440" w:type="dxa"/>
            <w:vAlign w:val="bottom"/>
          </w:tcPr>
          <w:p>
            <w:pPr>
              <w:jc w:val="right"/>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2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74,776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86,774</w:t>
            </w:r>
          </w:p>
        </w:tc>
        <w:tc>
          <w:tcPr>
            <w:tcW w:w="0" w:type="dxa"/>
            <w:vAlign w:val="bottom"/>
          </w:tcPr>
          <w:p>
            <w:pPr>
              <w:spacing w:after="0"/>
              <w:rPr>
                <w:sz w:val="1"/>
                <w:szCs w:val="1"/>
                <w:color w:val="auto"/>
              </w:rPr>
            </w:pPr>
          </w:p>
        </w:tc>
      </w:tr>
      <w:tr>
        <w:trPr>
          <w:trHeight w:val="230"/>
        </w:trPr>
        <w:tc>
          <w:tcPr>
            <w:tcW w:w="71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20" w:type="dxa"/>
            <w:vAlign w:val="bottom"/>
          </w:tcPr>
          <w:p>
            <w:pPr>
              <w:jc w:val="right"/>
              <w:ind w:right="250"/>
              <w:spacing w:after="0"/>
              <w:rPr>
                <w:sz w:val="20"/>
                <w:szCs w:val="20"/>
                <w:color w:val="auto"/>
              </w:rPr>
            </w:pPr>
            <w:r>
              <w:rPr>
                <w:rFonts w:ascii="Arial" w:cs="Arial" w:eastAsia="Arial" w:hAnsi="Arial"/>
                <w:sz w:val="18"/>
                <w:szCs w:val="18"/>
                <w:color w:val="auto"/>
              </w:rPr>
              <w:t>7,295</w:t>
            </w:r>
          </w:p>
        </w:tc>
        <w:tc>
          <w:tcPr>
            <w:tcW w:w="1440" w:type="dxa"/>
            <w:vAlign w:val="bottom"/>
          </w:tcPr>
          <w:p>
            <w:pPr>
              <w:jc w:val="right"/>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gain on sales, impairments and other, net</w:t>
            </w:r>
          </w:p>
        </w:tc>
        <w:tc>
          <w:tcPr>
            <w:tcW w:w="2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(1,469)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Restructuring costs and other</w:t>
            </w:r>
          </w:p>
        </w:tc>
        <w:tc>
          <w:tcPr>
            <w:tcW w:w="2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4,265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149,386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175,621</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1,541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7,833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2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(10,131)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(10,408)</w:t>
            </w:r>
          </w:p>
        </w:tc>
        <w:tc>
          <w:tcPr>
            <w:tcW w:w="0" w:type="dxa"/>
            <w:vAlign w:val="bottom"/>
          </w:tcPr>
          <w:p>
            <w:pPr>
              <w:spacing w:after="0"/>
              <w:rPr>
                <w:sz w:val="1"/>
                <w:szCs w:val="1"/>
                <w:color w:val="auto"/>
              </w:rPr>
            </w:pPr>
          </w:p>
        </w:tc>
      </w:tr>
      <w:tr>
        <w:trPr>
          <w:trHeight w:val="230"/>
        </w:trPr>
        <w:tc>
          <w:tcPr>
            <w:tcW w:w="7180" w:type="dxa"/>
            <w:vAlign w:val="bottom"/>
          </w:tcPr>
          <w:p>
            <w:pPr>
              <w:ind w:left="180"/>
              <w:spacing w:after="0"/>
              <w:rPr>
                <w:sz w:val="20"/>
                <w:szCs w:val="20"/>
                <w:color w:val="auto"/>
              </w:rPr>
            </w:pPr>
            <w:r>
              <w:rPr>
                <w:rFonts w:ascii="Arial" w:cs="Arial" w:eastAsia="Arial" w:hAnsi="Arial"/>
                <w:sz w:val="18"/>
                <w:szCs w:val="18"/>
                <w:color w:val="auto"/>
              </w:rPr>
              <w:t>Pension and OPEB related benefit and other, net</w:t>
            </w:r>
          </w:p>
        </w:tc>
        <w:tc>
          <w:tcPr>
            <w:tcW w:w="2620" w:type="dxa"/>
            <w:vAlign w:val="bottom"/>
          </w:tcPr>
          <w:p>
            <w:pPr>
              <w:jc w:val="right"/>
              <w:ind w:right="250"/>
              <w:spacing w:after="0"/>
              <w:rPr>
                <w:sz w:val="20"/>
                <w:szCs w:val="20"/>
                <w:color w:val="auto"/>
              </w:rPr>
            </w:pPr>
            <w:r>
              <w:rPr>
                <w:rFonts w:ascii="Arial" w:cs="Arial" w:eastAsia="Arial" w:hAnsi="Arial"/>
                <w:sz w:val="18"/>
                <w:szCs w:val="18"/>
                <w:color w:val="auto"/>
              </w:rPr>
              <w:t>186</w:t>
            </w:r>
          </w:p>
        </w:tc>
        <w:tc>
          <w:tcPr>
            <w:tcW w:w="1440" w:type="dxa"/>
            <w:vAlign w:val="bottom"/>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Curtailment/Settlement gains</w:t>
            </w:r>
          </w:p>
        </w:tc>
        <w:tc>
          <w:tcPr>
            <w:tcW w:w="2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3,593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2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(6,352)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1,481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2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248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1,233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(545)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Lee Enterprises, Incorporated</w:t>
            </w:r>
          </w:p>
        </w:tc>
        <w:tc>
          <w:tcPr>
            <w:tcW w:w="2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688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 net of income taxes</w:t>
            </w:r>
          </w:p>
        </w:tc>
        <w:tc>
          <w:tcPr>
            <w:tcW w:w="2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(2,314)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 attributable to Lee Enterprises, Incorporated</w:t>
            </w:r>
          </w:p>
        </w:tc>
        <w:tc>
          <w:tcPr>
            <w:tcW w:w="26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80" w:type="dxa"/>
            <w:vAlign w:val="bottom"/>
          </w:tcPr>
          <w:p>
            <w:pPr>
              <w:ind w:left="20"/>
              <w:spacing w:after="0" w:line="203" w:lineRule="exact"/>
              <w:rPr>
                <w:sz w:val="20"/>
                <w:szCs w:val="20"/>
                <w:color w:val="auto"/>
              </w:rPr>
            </w:pPr>
            <w:r>
              <w:rPr>
                <w:rFonts w:ascii="Arial" w:cs="Arial" w:eastAsia="Arial" w:hAnsi="Arial"/>
                <w:sz w:val="18"/>
                <w:szCs w:val="18"/>
                <w:color w:val="auto"/>
              </w:rPr>
              <w:t>Earnings per common share:</w:t>
            </w:r>
          </w:p>
        </w:tc>
        <w:tc>
          <w:tcPr>
            <w:tcW w:w="2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0.12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0.12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71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0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right"/>
              <w:ind w:right="350"/>
              <w:spacing w:after="0" w:line="189" w:lineRule="exact"/>
              <w:rPr>
                <w:sz w:val="20"/>
                <w:szCs w:val="20"/>
                <w:color w:val="auto"/>
              </w:rPr>
            </w:pPr>
            <w:r>
              <w:rPr>
                <w:rFonts w:ascii="Arial" w:cs="Arial" w:eastAsia="Arial" w:hAnsi="Arial"/>
                <w:sz w:val="18"/>
                <w:szCs w:val="18"/>
                <w:color w:val="auto"/>
              </w:rPr>
              <w:t>Accumulated</w:t>
            </w: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1960" w:type="dxa"/>
            <w:vAlign w:val="bottom"/>
            <w:vMerge w:val="restart"/>
          </w:tcPr>
          <w:p>
            <w:pPr>
              <w:jc w:val="right"/>
              <w:ind w:right="130"/>
              <w:spacing w:after="0"/>
              <w:rPr>
                <w:sz w:val="20"/>
                <w:szCs w:val="20"/>
                <w:color w:val="auto"/>
              </w:rPr>
            </w:pPr>
            <w:r>
              <w:rPr>
                <w:rFonts w:ascii="Arial" w:cs="Arial" w:eastAsia="Arial" w:hAnsi="Arial"/>
                <w:sz w:val="18"/>
                <w:szCs w:val="18"/>
                <w:color w:val="auto"/>
              </w:rPr>
              <w:t>Accumulated</w:t>
            </w:r>
          </w:p>
        </w:tc>
        <w:tc>
          <w:tcPr>
            <w:tcW w:w="1720" w:type="dxa"/>
            <w:vAlign w:val="bottom"/>
          </w:tcPr>
          <w:p>
            <w:pPr>
              <w:spacing w:after="0"/>
              <w:rPr>
                <w:sz w:val="15"/>
                <w:szCs w:val="15"/>
                <w:color w:val="auto"/>
              </w:rPr>
            </w:pPr>
          </w:p>
        </w:tc>
        <w:tc>
          <w:tcPr>
            <w:tcW w:w="1620" w:type="dxa"/>
            <w:vAlign w:val="bottom"/>
            <w:vMerge w:val="restart"/>
          </w:tcPr>
          <w:p>
            <w:pPr>
              <w:jc w:val="right"/>
              <w:ind w:right="190"/>
              <w:spacing w:after="0"/>
              <w:rPr>
                <w:sz w:val="20"/>
                <w:szCs w:val="20"/>
                <w:color w:val="auto"/>
              </w:rPr>
            </w:pPr>
            <w:r>
              <w:rPr>
                <w:rFonts w:ascii="Arial" w:cs="Arial" w:eastAsia="Arial" w:hAnsi="Arial"/>
                <w:sz w:val="18"/>
                <w:szCs w:val="18"/>
                <w:color w:val="auto"/>
              </w:rPr>
              <w:t>Additional</w:t>
            </w:r>
          </w:p>
        </w:tc>
        <w:tc>
          <w:tcPr>
            <w:tcW w:w="198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960" w:type="dxa"/>
            <w:vAlign w:val="bottom"/>
            <w:vMerge w:val="continue"/>
          </w:tcPr>
          <w:p>
            <w:pPr>
              <w:spacing w:after="0"/>
              <w:rPr>
                <w:sz w:val="15"/>
                <w:szCs w:val="15"/>
                <w:color w:val="auto"/>
              </w:rPr>
            </w:pPr>
          </w:p>
        </w:tc>
        <w:tc>
          <w:tcPr>
            <w:tcW w:w="1720" w:type="dxa"/>
            <w:vAlign w:val="bottom"/>
            <w:vMerge w:val="restart"/>
          </w:tcPr>
          <w:p>
            <w:pPr>
              <w:jc w:val="right"/>
              <w:ind w:right="150"/>
              <w:spacing w:after="0"/>
              <w:rPr>
                <w:sz w:val="20"/>
                <w:szCs w:val="20"/>
                <w:color w:val="auto"/>
              </w:rPr>
            </w:pPr>
            <w:r>
              <w:rPr>
                <w:rFonts w:ascii="Arial" w:cs="Arial" w:eastAsia="Arial" w:hAnsi="Arial"/>
                <w:sz w:val="18"/>
                <w:szCs w:val="18"/>
                <w:color w:val="auto"/>
              </w:rPr>
              <w:t>Common Stock</w:t>
            </w:r>
          </w:p>
        </w:tc>
        <w:tc>
          <w:tcPr>
            <w:tcW w:w="1620" w:type="dxa"/>
            <w:vAlign w:val="bottom"/>
            <w:vMerge w:val="continue"/>
          </w:tcPr>
          <w:p>
            <w:pPr>
              <w:spacing w:after="0"/>
              <w:rPr>
                <w:sz w:val="15"/>
                <w:szCs w:val="15"/>
                <w:color w:val="auto"/>
              </w:rPr>
            </w:pPr>
          </w:p>
        </w:tc>
        <w:tc>
          <w:tcPr>
            <w:tcW w:w="198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Comprehensive</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900" w:type="dxa"/>
            <w:vAlign w:val="bottom"/>
            <w:tcBorders>
              <w:bottom w:val="single" w:sz="8" w:color="auto"/>
            </w:tcBorders>
            <w:vMerge w:val="continue"/>
          </w:tcPr>
          <w:p>
            <w:pPr>
              <w:spacing w:after="0"/>
              <w:rPr>
                <w:sz w:val="21"/>
                <w:szCs w:val="21"/>
                <w:color w:val="auto"/>
              </w:rPr>
            </w:pP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Deficit</w:t>
            </w:r>
          </w:p>
        </w:tc>
        <w:tc>
          <w:tcPr>
            <w:tcW w:w="1720" w:type="dxa"/>
            <w:vAlign w:val="bottom"/>
            <w:tcBorders>
              <w:bottom w:val="single" w:sz="8" w:color="auto"/>
            </w:tcBorders>
            <w:vMerge w:val="continue"/>
          </w:tcPr>
          <w:p>
            <w:pPr>
              <w:spacing w:after="0"/>
              <w:rPr>
                <w:sz w:val="21"/>
                <w:szCs w:val="21"/>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paid-in capital</w:t>
            </w:r>
          </w:p>
        </w:tc>
        <w:tc>
          <w:tcPr>
            <w:tcW w:w="1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25, 2023</w:t>
            </w:r>
          </w:p>
        </w:tc>
        <w:tc>
          <w:tcPr>
            <w:tcW w:w="1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(266,496)</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260,832</w:t>
            </w:r>
          </w:p>
        </w:tc>
        <w:tc>
          <w:tcPr>
            <w:tcW w:w="1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26,843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21,240</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(96)</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75"/>
        </w:trPr>
        <w:tc>
          <w:tcPr>
            <w:tcW w:w="2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attributable to Lee</w:t>
            </w:r>
          </w:p>
        </w:tc>
        <w:tc>
          <w:tcPr>
            <w:tcW w:w="19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688</w:t>
            </w:r>
          </w:p>
        </w:tc>
        <w:tc>
          <w:tcPr>
            <w:tcW w:w="17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960" w:type="dxa"/>
            <w:vAlign w:val="bottom"/>
            <w:vMerge w:val="continue"/>
            <w:shd w:val="clear" w:color="auto" w:fill="CCEEFF"/>
          </w:tcPr>
          <w:p>
            <w:pPr>
              <w:spacing w:after="0"/>
              <w:rPr>
                <w:sz w:val="21"/>
                <w:szCs w:val="21"/>
                <w:color w:val="auto"/>
              </w:rPr>
            </w:pPr>
          </w:p>
        </w:tc>
        <w:tc>
          <w:tcPr>
            <w:tcW w:w="1720" w:type="dxa"/>
            <w:vAlign w:val="bottom"/>
            <w:vMerge w:val="continue"/>
            <w:shd w:val="clear" w:color="auto" w:fill="CCEEFF"/>
          </w:tcPr>
          <w:p>
            <w:pPr>
              <w:spacing w:after="0"/>
              <w:rPr>
                <w:sz w:val="21"/>
                <w:szCs w:val="21"/>
                <w:color w:val="auto"/>
              </w:rPr>
            </w:pPr>
          </w:p>
        </w:tc>
        <w:tc>
          <w:tcPr>
            <w:tcW w:w="1620" w:type="dxa"/>
            <w:vAlign w:val="bottom"/>
            <w:vMerge w:val="continue"/>
            <w:shd w:val="clear" w:color="auto" w:fill="CCEEFF"/>
          </w:tcPr>
          <w:p>
            <w:pPr>
              <w:spacing w:after="0"/>
              <w:rPr>
                <w:sz w:val="21"/>
                <w:szCs w:val="21"/>
                <w:color w:val="auto"/>
              </w:rPr>
            </w:pPr>
          </w:p>
        </w:tc>
        <w:tc>
          <w:tcPr>
            <w:tcW w:w="198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214</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(2,286)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24, 2023</w:t>
            </w:r>
          </w:p>
        </w:tc>
        <w:tc>
          <w:tcPr>
            <w:tcW w:w="1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(265,808)</w:t>
            </w:r>
          </w:p>
        </w:tc>
        <w:tc>
          <w:tcPr>
            <w:tcW w:w="1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61</w:t>
            </w: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260,950</w:t>
            </w:r>
          </w:p>
        </w:tc>
        <w:tc>
          <w:tcPr>
            <w:tcW w:w="19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24,529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19,732</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90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80" w:type="dxa"/>
            <w:vAlign w:val="bottom"/>
          </w:tcPr>
          <w:p>
            <w:pPr>
              <w:jc w:val="right"/>
              <w:ind w:right="350"/>
              <w:spacing w:after="0" w:line="169" w:lineRule="exact"/>
              <w:rPr>
                <w:sz w:val="20"/>
                <w:szCs w:val="20"/>
                <w:color w:val="auto"/>
              </w:rPr>
            </w:pPr>
            <w:r>
              <w:rPr>
                <w:rFonts w:ascii="Arial" w:cs="Arial" w:eastAsia="Arial" w:hAnsi="Arial"/>
                <w:sz w:val="18"/>
                <w:szCs w:val="18"/>
                <w:color w:val="auto"/>
              </w:rPr>
              <w:t>Accumulated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960" w:type="dxa"/>
            <w:vAlign w:val="bottom"/>
            <w:vMerge w:val="restart"/>
          </w:tcPr>
          <w:p>
            <w:pPr>
              <w:jc w:val="right"/>
              <w:ind w:right="130"/>
              <w:spacing w:after="0"/>
              <w:rPr>
                <w:sz w:val="20"/>
                <w:szCs w:val="20"/>
                <w:color w:val="auto"/>
              </w:rPr>
            </w:pPr>
            <w:r>
              <w:rPr>
                <w:rFonts w:ascii="Arial" w:cs="Arial" w:eastAsia="Arial" w:hAnsi="Arial"/>
                <w:sz w:val="18"/>
                <w:szCs w:val="18"/>
                <w:color w:val="auto"/>
              </w:rPr>
              <w:t>Accumulated</w:t>
            </w:r>
          </w:p>
        </w:tc>
        <w:tc>
          <w:tcPr>
            <w:tcW w:w="1720" w:type="dxa"/>
            <w:vAlign w:val="bottom"/>
          </w:tcPr>
          <w:p>
            <w:pPr>
              <w:spacing w:after="0"/>
              <w:rPr>
                <w:sz w:val="15"/>
                <w:szCs w:val="15"/>
                <w:color w:val="auto"/>
              </w:rPr>
            </w:pPr>
          </w:p>
        </w:tc>
        <w:tc>
          <w:tcPr>
            <w:tcW w:w="1620" w:type="dxa"/>
            <w:vAlign w:val="bottom"/>
            <w:vMerge w:val="restart"/>
          </w:tcPr>
          <w:p>
            <w:pPr>
              <w:jc w:val="right"/>
              <w:ind w:right="190"/>
              <w:spacing w:after="0"/>
              <w:rPr>
                <w:sz w:val="20"/>
                <w:szCs w:val="20"/>
                <w:color w:val="auto"/>
              </w:rPr>
            </w:pPr>
            <w:r>
              <w:rPr>
                <w:rFonts w:ascii="Arial" w:cs="Arial" w:eastAsia="Arial" w:hAnsi="Arial"/>
                <w:sz w:val="18"/>
                <w:szCs w:val="18"/>
                <w:color w:val="auto"/>
              </w:rPr>
              <w:t>Additional</w:t>
            </w:r>
          </w:p>
        </w:tc>
        <w:tc>
          <w:tcPr>
            <w:tcW w:w="198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960" w:type="dxa"/>
            <w:vAlign w:val="bottom"/>
            <w:vMerge w:val="continue"/>
          </w:tcPr>
          <w:p>
            <w:pPr>
              <w:spacing w:after="0"/>
              <w:rPr>
                <w:sz w:val="15"/>
                <w:szCs w:val="15"/>
                <w:color w:val="auto"/>
              </w:rPr>
            </w:pPr>
          </w:p>
        </w:tc>
        <w:tc>
          <w:tcPr>
            <w:tcW w:w="1720" w:type="dxa"/>
            <w:vAlign w:val="bottom"/>
            <w:vMerge w:val="restart"/>
          </w:tcPr>
          <w:p>
            <w:pPr>
              <w:jc w:val="right"/>
              <w:ind w:right="150"/>
              <w:spacing w:after="0"/>
              <w:rPr>
                <w:sz w:val="20"/>
                <w:szCs w:val="20"/>
                <w:color w:val="auto"/>
              </w:rPr>
            </w:pPr>
            <w:r>
              <w:rPr>
                <w:rFonts w:ascii="Arial" w:cs="Arial" w:eastAsia="Arial" w:hAnsi="Arial"/>
                <w:sz w:val="18"/>
                <w:szCs w:val="18"/>
                <w:color w:val="auto"/>
              </w:rPr>
              <w:t>Common Stock</w:t>
            </w:r>
          </w:p>
        </w:tc>
        <w:tc>
          <w:tcPr>
            <w:tcW w:w="1620" w:type="dxa"/>
            <w:vAlign w:val="bottom"/>
            <w:vMerge w:val="continue"/>
          </w:tcPr>
          <w:p>
            <w:pPr>
              <w:spacing w:after="0"/>
              <w:rPr>
                <w:sz w:val="15"/>
                <w:szCs w:val="15"/>
                <w:color w:val="auto"/>
              </w:rPr>
            </w:pPr>
          </w:p>
        </w:tc>
        <w:tc>
          <w:tcPr>
            <w:tcW w:w="198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Comprehensive</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900" w:type="dxa"/>
            <w:vAlign w:val="bottom"/>
            <w:tcBorders>
              <w:bottom w:val="single" w:sz="8" w:color="auto"/>
            </w:tcBorders>
            <w:vMerge w:val="continue"/>
          </w:tcPr>
          <w:p>
            <w:pPr>
              <w:spacing w:after="0"/>
              <w:rPr>
                <w:sz w:val="21"/>
                <w:szCs w:val="21"/>
                <w:color w:val="auto"/>
              </w:rPr>
            </w:pP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Deficit</w:t>
            </w:r>
          </w:p>
        </w:tc>
        <w:tc>
          <w:tcPr>
            <w:tcW w:w="1720" w:type="dxa"/>
            <w:vAlign w:val="bottom"/>
            <w:tcBorders>
              <w:bottom w:val="single" w:sz="8" w:color="auto"/>
            </w:tcBorders>
            <w:vMerge w:val="continue"/>
          </w:tcPr>
          <w:p>
            <w:pPr>
              <w:spacing w:after="0"/>
              <w:rPr>
                <w:sz w:val="21"/>
                <w:szCs w:val="21"/>
                <w:color w:val="auto"/>
              </w:rPr>
            </w:pPr>
          </w:p>
        </w:tc>
        <w:tc>
          <w:tcPr>
            <w:tcW w:w="1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paid-in capital</w:t>
            </w:r>
          </w:p>
        </w:tc>
        <w:tc>
          <w:tcPr>
            <w:tcW w:w="1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Income</w:t>
            </w: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26, 2022</w:t>
            </w:r>
          </w:p>
        </w:tc>
        <w:tc>
          <w:tcPr>
            <w:tcW w:w="1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(261,229)</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259,521</w:t>
            </w:r>
          </w:p>
        </w:tc>
        <w:tc>
          <w:tcPr>
            <w:tcW w:w="1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16,653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15,005</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(383)</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75"/>
        </w:trPr>
        <w:tc>
          <w:tcPr>
            <w:tcW w:w="2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attributable to Lee</w:t>
            </w:r>
          </w:p>
        </w:tc>
        <w:tc>
          <w:tcPr>
            <w:tcW w:w="19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1,099</w:t>
            </w:r>
          </w:p>
        </w:tc>
        <w:tc>
          <w:tcPr>
            <w:tcW w:w="17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960" w:type="dxa"/>
            <w:vAlign w:val="bottom"/>
            <w:vMerge w:val="continue"/>
            <w:shd w:val="clear" w:color="auto" w:fill="CCEEFF"/>
          </w:tcPr>
          <w:p>
            <w:pPr>
              <w:spacing w:after="0"/>
              <w:rPr>
                <w:sz w:val="21"/>
                <w:szCs w:val="21"/>
                <w:color w:val="auto"/>
              </w:rPr>
            </w:pPr>
          </w:p>
        </w:tc>
        <w:tc>
          <w:tcPr>
            <w:tcW w:w="1720" w:type="dxa"/>
            <w:vAlign w:val="bottom"/>
            <w:vMerge w:val="continue"/>
            <w:shd w:val="clear" w:color="auto" w:fill="CCEEFF"/>
          </w:tcPr>
          <w:p>
            <w:pPr>
              <w:spacing w:after="0"/>
              <w:rPr>
                <w:sz w:val="21"/>
                <w:szCs w:val="21"/>
                <w:color w:val="auto"/>
              </w:rPr>
            </w:pPr>
          </w:p>
        </w:tc>
        <w:tc>
          <w:tcPr>
            <w:tcW w:w="1620" w:type="dxa"/>
            <w:vAlign w:val="bottom"/>
            <w:vMerge w:val="continue"/>
            <w:shd w:val="clear" w:color="auto" w:fill="CCEEFF"/>
          </w:tcPr>
          <w:p>
            <w:pPr>
              <w:spacing w:after="0"/>
              <w:rPr>
                <w:sz w:val="21"/>
                <w:szCs w:val="21"/>
                <w:color w:val="auto"/>
              </w:rPr>
            </w:pPr>
          </w:p>
        </w:tc>
        <w:tc>
          <w:tcPr>
            <w:tcW w:w="198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349</w:t>
            </w: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25, 2022</w:t>
            </w:r>
          </w:p>
        </w:tc>
        <w:tc>
          <w:tcPr>
            <w:tcW w:w="1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(260,130)</w:t>
            </w:r>
          </w:p>
        </w:tc>
        <w:tc>
          <w:tcPr>
            <w:tcW w:w="1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259,487</w:t>
            </w:r>
          </w:p>
        </w:tc>
        <w:tc>
          <w:tcPr>
            <w:tcW w:w="19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16,513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15,930</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0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color w:val="auto"/>
              </w:rPr>
              <w:t>December 24,</w:t>
            </w:r>
          </w:p>
        </w:tc>
        <w:tc>
          <w:tcPr>
            <w:tcW w:w="14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December 25,</w:t>
            </w:r>
          </w:p>
        </w:tc>
      </w:tr>
      <w:tr>
        <w:trPr>
          <w:trHeight w:val="242"/>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1"/>
        </w:trPr>
        <w:tc>
          <w:tcPr>
            <w:tcW w:w="78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(required for) provided by operating activities:</w:t>
            </w:r>
          </w:p>
        </w:tc>
        <w:tc>
          <w:tcPr>
            <w:tcW w:w="20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1,233</w:t>
            </w:r>
          </w:p>
        </w:tc>
        <w:tc>
          <w:tcPr>
            <w:tcW w:w="1440" w:type="dxa"/>
            <w:vAlign w:val="bottom"/>
          </w:tcPr>
          <w:p>
            <w:pPr>
              <w:jc w:val="right"/>
              <w:spacing w:after="0"/>
              <w:rPr>
                <w:sz w:val="20"/>
                <w:szCs w:val="20"/>
                <w:color w:val="auto"/>
              </w:rPr>
            </w:pPr>
            <w:r>
              <w:rPr>
                <w:rFonts w:ascii="Arial" w:cs="Arial" w:eastAsia="Arial" w:hAnsi="Arial"/>
                <w:sz w:val="18"/>
                <w:szCs w:val="18"/>
                <w:color w:val="auto"/>
              </w:rPr>
              <w:t>1,824</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7,295</w:t>
            </w:r>
          </w:p>
        </w:tc>
        <w:tc>
          <w:tcPr>
            <w:tcW w:w="1440" w:type="dxa"/>
            <w:vAlign w:val="bottom"/>
          </w:tcPr>
          <w:p>
            <w:pPr>
              <w:jc w:val="right"/>
              <w:spacing w:after="0"/>
              <w:rPr>
                <w:sz w:val="20"/>
                <w:szCs w:val="20"/>
                <w:color w:val="auto"/>
              </w:rPr>
            </w:pPr>
            <w:r>
              <w:rPr>
                <w:rFonts w:ascii="Arial" w:cs="Arial" w:eastAsia="Arial" w:hAnsi="Arial"/>
                <w:sz w:val="18"/>
                <w:szCs w:val="18"/>
                <w:color w:val="auto"/>
              </w:rPr>
              <w:t>7,886</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2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3,724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Curtailment/Settlement gain</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(3,593)</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Assets gain on sales, impairments and other, net</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(1,469)</w:t>
            </w:r>
          </w:p>
        </w:tc>
        <w:tc>
          <w:tcPr>
            <w:tcW w:w="1440" w:type="dxa"/>
            <w:vAlign w:val="bottom"/>
          </w:tcPr>
          <w:p>
            <w:pPr>
              <w:jc w:val="right"/>
              <w:spacing w:after="0"/>
              <w:rPr>
                <w:sz w:val="20"/>
                <w:szCs w:val="20"/>
                <w:color w:val="auto"/>
              </w:rPr>
            </w:pPr>
            <w:r>
              <w:rPr>
                <w:rFonts w:ascii="Arial" w:cs="Arial" w:eastAsia="Arial" w:hAnsi="Arial"/>
                <w:sz w:val="18"/>
                <w:szCs w:val="18"/>
                <w:color w:val="auto"/>
              </w:rPr>
              <w:t>(2,563)</w:t>
            </w:r>
          </w:p>
        </w:tc>
      </w:tr>
      <w:tr>
        <w:trPr>
          <w:trHeight w:val="229"/>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net of distributions deemed returns on investment of TNI and MNI</w:t>
            </w:r>
          </w:p>
        </w:tc>
        <w:tc>
          <w:tcPr>
            <w:tcW w:w="2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Gain on sale of investment</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(1,408)</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(645)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Return of letters of credit collateral</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(550)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0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receivables and contract assets</w:t>
            </w:r>
          </w:p>
        </w:tc>
        <w:tc>
          <w:tcPr>
            <w:tcW w:w="2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(3,040)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(Increase) decrease in inventories and other</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(66)</w:t>
            </w:r>
          </w:p>
        </w:tc>
        <w:tc>
          <w:tcPr>
            <w:tcW w:w="14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accounts payable and other accrued liabilities</w:t>
            </w:r>
          </w:p>
        </w:tc>
        <w:tc>
          <w:tcPr>
            <w:tcW w:w="2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(418)</w:t>
            </w:r>
          </w:p>
        </w:tc>
        <w:tc>
          <w:tcPr>
            <w:tcW w:w="144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income taxes payable</w:t>
            </w:r>
          </w:p>
        </w:tc>
        <w:tc>
          <w:tcPr>
            <w:tcW w:w="2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(2,105)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29"/>
        </w:trPr>
        <w:tc>
          <w:tcPr>
            <w:tcW w:w="7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(505)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r>
      <w:tr>
        <w:trPr>
          <w:trHeight w:val="223"/>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(required for) operating activities</w:t>
            </w:r>
          </w:p>
        </w:tc>
        <w:tc>
          <w:tcPr>
            <w:tcW w:w="20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Cash provided by (required for) investing activities:</w:t>
            </w:r>
          </w:p>
        </w:tc>
        <w:tc>
          <w:tcPr>
            <w:tcW w:w="20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(1,030)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Proceeds from sales of assets</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3,145</w:t>
            </w:r>
          </w:p>
        </w:tc>
        <w:tc>
          <w:tcPr>
            <w:tcW w:w="144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30"/>
        </w:trPr>
        <w:tc>
          <w:tcPr>
            <w:tcW w:w="7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0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r>
      <w:tr>
        <w:trPr>
          <w:trHeight w:val="22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2,095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required for financing activities:</w:t>
            </w:r>
          </w:p>
        </w:tc>
        <w:tc>
          <w:tcPr>
            <w:tcW w:w="20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2000" w:type="dxa"/>
            <w:vAlign w:val="bottom"/>
          </w:tcPr>
          <w:p>
            <w:pPr>
              <w:jc w:val="right"/>
              <w:ind w:right="190"/>
              <w:spacing w:after="0"/>
              <w:rPr>
                <w:sz w:val="20"/>
                <w:szCs w:val="20"/>
                <w:color w:val="auto"/>
              </w:rPr>
            </w:pPr>
            <w:r>
              <w:rPr>
                <w:rFonts w:ascii="Arial" w:cs="Arial" w:eastAsia="Arial" w:hAnsi="Arial"/>
                <w:sz w:val="18"/>
                <w:szCs w:val="18"/>
                <w:color w:val="auto"/>
              </w:rPr>
              <w:t>(1,580)</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Common stock transactions, net</w:t>
            </w:r>
          </w:p>
        </w:tc>
        <w:tc>
          <w:tcPr>
            <w:tcW w:w="20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required for financing activities</w:t>
            </w: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(1,359)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816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20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14,548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16,185</w:t>
            </w:r>
          </w:p>
        </w:tc>
      </w:tr>
      <w:tr>
        <w:trPr>
          <w:trHeight w:val="223"/>
        </w:trPr>
        <w:tc>
          <w:tcPr>
            <w:tcW w:w="7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End of period</w:t>
            </w:r>
          </w:p>
        </w:tc>
        <w:tc>
          <w:tcPr>
            <w:tcW w:w="2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15,364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18,346</w:t>
            </w:r>
          </w:p>
        </w:tc>
      </w:tr>
      <w:tr>
        <w:trPr>
          <w:trHeight w:val="20"/>
        </w:trPr>
        <w:tc>
          <w:tcPr>
            <w:tcW w:w="78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8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December 24, 2023, and our results of operations and cash flows for the periods presented. The Consolidated Financial Statements should be read in conjunction with the Consolidated Financial Statements and Notes thereto included in the Company's 2023 Annual Report on Form 10-K.</w:t>
      </w:r>
    </w:p>
    <w:p>
      <w:pPr>
        <w:spacing w:after="0" w:line="14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Company's fiscal year ends on the last Sunday in September. Fiscal year 2024 ends on September 24, 2024, and fiscal year 2023 ended September 24, 2023. Fiscal year 2024 includes 53 weeks of operations and 2023 included 52 weeks of operations. Because of seasonal and other factors, the results of operations for the three months ended December 24, 2023, are not necessarily indicative of the results to be expected for the full year.</w:t>
      </w:r>
    </w:p>
    <w:p>
      <w:pPr>
        <w:spacing w:after="0" w:line="14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Consolidated Financial Statements include our accounts and those of our wholly owned subsidiaries, as well as our 82.5% interest in INN Partners, L.C. (“BLOX Digital" formerly "TownNews”).</w:t>
      </w:r>
    </w:p>
    <w:p>
      <w:pPr>
        <w:spacing w:after="0" w:line="11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Our 50% interest in TNI Partners ("TNI") and our 50% interest in Madison Newspapers, Inc. ("MNI") are accounted for using the equity method and are reported at cost, plus our share of undistributed earnings since acquisition less, for TNI, amortization of intangible assets.</w:t>
      </w:r>
    </w:p>
    <w:p>
      <w:pPr>
        <w:spacing w:after="0" w:line="13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In 2024, certain prior period amounts within the consolidated financial statements have been adjusted to conform with current period presentation. These matters did not change operating revenues, net income (loss), accumulated deficit, and earnings per share in all periods presented.</w:t>
      </w:r>
    </w:p>
    <w:p>
      <w:pPr>
        <w:spacing w:after="0" w:line="144"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146050</wp:posOffset>
            </wp:positionV>
            <wp:extent cx="6223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219"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177"/>
        </w:trPr>
        <w:tc>
          <w:tcPr>
            <w:tcW w:w="52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140" w:type="dxa"/>
            <w:vAlign w:val="bottom"/>
            <w:tcBorders>
              <w:top w:val="single" w:sz="8" w:color="auto"/>
            </w:tcBorders>
          </w:tcPr>
          <w:p>
            <w:pPr>
              <w:jc w:val="right"/>
              <w:ind w:right="150"/>
              <w:spacing w:after="0" w:line="177" w:lineRule="exact"/>
              <w:rPr>
                <w:sz w:val="20"/>
                <w:szCs w:val="20"/>
                <w:color w:val="auto"/>
              </w:rPr>
            </w:pPr>
            <w:r>
              <w:rPr>
                <w:rFonts w:ascii="Arial" w:cs="Arial" w:eastAsia="Arial" w:hAnsi="Arial"/>
                <w:sz w:val="18"/>
                <w:szCs w:val="18"/>
                <w:color w:val="auto"/>
              </w:rPr>
              <w:t>December 24,</w:t>
            </w:r>
          </w:p>
        </w:tc>
        <w:tc>
          <w:tcPr>
            <w:tcW w:w="13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December 25,</w:t>
            </w:r>
          </w:p>
        </w:tc>
        <w:tc>
          <w:tcPr>
            <w:tcW w:w="0" w:type="dxa"/>
            <w:vAlign w:val="bottom"/>
          </w:tcPr>
          <w:p>
            <w:pPr>
              <w:spacing w:after="0"/>
              <w:rPr>
                <w:sz w:val="1"/>
                <w:szCs w:val="1"/>
                <w:color w:val="auto"/>
              </w:rPr>
            </w:pPr>
          </w:p>
        </w:tc>
      </w:tr>
      <w:tr>
        <w:trPr>
          <w:trHeight w:val="235"/>
        </w:trPr>
        <w:tc>
          <w:tcPr>
            <w:tcW w:w="5280" w:type="dxa"/>
            <w:vAlign w:val="bottom"/>
            <w:tcBorders>
              <w:bottom w:val="single" w:sz="8" w:color="auto"/>
            </w:tcBorders>
            <w:vMerge w:val="continue"/>
          </w:tcPr>
          <w:p>
            <w:pPr>
              <w:spacing w:after="0"/>
              <w:rPr>
                <w:sz w:val="20"/>
                <w:szCs w:val="20"/>
                <w:color w:val="auto"/>
              </w:rPr>
            </w:pPr>
          </w:p>
        </w:tc>
        <w:tc>
          <w:tcPr>
            <w:tcW w:w="3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Print advertising revenue</w:t>
            </w:r>
          </w:p>
        </w:tc>
        <w:tc>
          <w:tcPr>
            <w:tcW w:w="3140" w:type="dxa"/>
            <w:vAlign w:val="bottom"/>
          </w:tcPr>
          <w:p>
            <w:pPr>
              <w:jc w:val="right"/>
              <w:ind w:right="210"/>
              <w:spacing w:after="0"/>
              <w:rPr>
                <w:sz w:val="20"/>
                <w:szCs w:val="20"/>
                <w:color w:val="auto"/>
              </w:rPr>
            </w:pPr>
            <w:r>
              <w:rPr>
                <w:rFonts w:ascii="Arial" w:cs="Arial" w:eastAsia="Arial" w:hAnsi="Arial"/>
                <w:sz w:val="18"/>
                <w:szCs w:val="18"/>
                <w:color w:val="auto"/>
              </w:rPr>
              <w:t>24,435</w:t>
            </w:r>
          </w:p>
        </w:tc>
        <w:tc>
          <w:tcPr>
            <w:tcW w:w="1380" w:type="dxa"/>
            <w:vAlign w:val="bottom"/>
          </w:tcPr>
          <w:p>
            <w:pPr>
              <w:jc w:val="right"/>
              <w:spacing w:after="0"/>
              <w:rPr>
                <w:sz w:val="20"/>
                <w:szCs w:val="20"/>
                <w:color w:val="auto"/>
              </w:rPr>
            </w:pPr>
            <w:r>
              <w:rPr>
                <w:rFonts w:ascii="Arial" w:cs="Arial" w:eastAsia="Arial" w:hAnsi="Arial"/>
                <w:sz w:val="18"/>
                <w:szCs w:val="18"/>
                <w:color w:val="auto"/>
              </w:rPr>
              <w:t>41,836</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advertising revenue</w:t>
            </w:r>
          </w:p>
        </w:tc>
        <w:tc>
          <w:tcPr>
            <w:tcW w:w="3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46,452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47,749</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3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70,887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89,585</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Print subscription revenue</w:t>
            </w:r>
          </w:p>
        </w:tc>
        <w:tc>
          <w:tcPr>
            <w:tcW w:w="3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51,872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67,370</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Digital subscription revenue</w:t>
            </w:r>
          </w:p>
        </w:tc>
        <w:tc>
          <w:tcPr>
            <w:tcW w:w="3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19,467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3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71,339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79,699</w:t>
            </w:r>
          </w:p>
        </w:tc>
        <w:tc>
          <w:tcPr>
            <w:tcW w:w="0" w:type="dxa"/>
            <w:vAlign w:val="bottom"/>
          </w:tcPr>
          <w:p>
            <w:pPr>
              <w:spacing w:after="0"/>
              <w:rPr>
                <w:sz w:val="1"/>
                <w:szCs w:val="1"/>
                <w:color w:val="auto"/>
              </w:rPr>
            </w:pPr>
          </w:p>
        </w:tc>
      </w:tr>
      <w:tr>
        <w:trPr>
          <w:trHeight w:val="223"/>
        </w:trPr>
        <w:tc>
          <w:tcPr>
            <w:tcW w:w="5280" w:type="dxa"/>
            <w:vAlign w:val="bottom"/>
          </w:tcPr>
          <w:p>
            <w:pPr>
              <w:ind w:left="180"/>
              <w:spacing w:after="0"/>
              <w:rPr>
                <w:sz w:val="20"/>
                <w:szCs w:val="20"/>
                <w:color w:val="auto"/>
              </w:rPr>
            </w:pPr>
            <w:r>
              <w:rPr>
                <w:rFonts w:ascii="Arial" w:cs="Arial" w:eastAsia="Arial" w:hAnsi="Arial"/>
                <w:sz w:val="18"/>
                <w:szCs w:val="18"/>
                <w:color w:val="auto"/>
              </w:rPr>
              <w:t>Print other revenue</w:t>
            </w:r>
          </w:p>
        </w:tc>
        <w:tc>
          <w:tcPr>
            <w:tcW w:w="3140" w:type="dxa"/>
            <w:vAlign w:val="bottom"/>
          </w:tcPr>
          <w:p>
            <w:pPr>
              <w:jc w:val="right"/>
              <w:ind w:right="210"/>
              <w:spacing w:after="0"/>
              <w:rPr>
                <w:sz w:val="20"/>
                <w:szCs w:val="20"/>
                <w:color w:val="auto"/>
              </w:rPr>
            </w:pPr>
            <w:r>
              <w:rPr>
                <w:rFonts w:ascii="Arial" w:cs="Arial" w:eastAsia="Arial" w:hAnsi="Arial"/>
                <w:sz w:val="18"/>
                <w:szCs w:val="18"/>
                <w:color w:val="auto"/>
              </w:rPr>
              <w:t>8,492</w:t>
            </w:r>
          </w:p>
        </w:tc>
        <w:tc>
          <w:tcPr>
            <w:tcW w:w="1380" w:type="dxa"/>
            <w:vAlign w:val="bottom"/>
          </w:tcPr>
          <w:p>
            <w:pPr>
              <w:jc w:val="right"/>
              <w:spacing w:after="0"/>
              <w:rPr>
                <w:sz w:val="20"/>
                <w:szCs w:val="20"/>
                <w:color w:val="auto"/>
              </w:rPr>
            </w:pPr>
            <w:r>
              <w:rPr>
                <w:rFonts w:ascii="Arial" w:cs="Arial" w:eastAsia="Arial" w:hAnsi="Arial"/>
                <w:sz w:val="18"/>
                <w:szCs w:val="18"/>
                <w:color w:val="auto"/>
              </w:rPr>
              <w:t>11,120</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other revenue</w:t>
            </w:r>
          </w:p>
        </w:tc>
        <w:tc>
          <w:tcPr>
            <w:tcW w:w="3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4,960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3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13,452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15,847</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3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155,678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185,131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pacing w:after="0" w:line="14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contract liabilities is unearned revenue from subscriptions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the service provided. The Company expects to recognize the revenue related to unsatisfied performance obligations over the next twelve months in accordance with the terms of the subscriptions and other contracts with customers. Revenue recognized in the three months ended December 24, 2023, that was included in the contract liability as of September 24, 2023, was $27.2 million.</w:t>
      </w:r>
    </w:p>
    <w:p>
      <w:pPr>
        <w:spacing w:after="0" w:line="13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Accounts receivable, excluding allowance for credit losses was $74.3 million and $74.4 million as of December 24, 2023, and September 24, 2023</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Allowance for credit losses was $6.2 million and $5.3 million as of December 24, 2023, and September 24, 2023</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w:t>
      </w:r>
    </w:p>
    <w:p>
      <w:pPr>
        <w:spacing w:after="0" w:line="13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Sales commissions are expensed as incurred as the associated contractual periods are one year or less. These costs are recorded within compensation. Most of our contracts have original expected lengths of one year or less and revenue is earned at a rate and amount that corresponds directly with the value to the customer.</w:t>
      </w:r>
    </w:p>
    <w:p>
      <w:pPr>
        <w:spacing w:after="0" w:line="144"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TNI Partners</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Gannets Co. Inc.'s subsidiary Citizen Publishing Company (“Citizen”),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 to the partnership's operations and publication of the newspaper and other media.</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or loss of TNI (before income taxes) is allocated equally to Star Publishing and Citizen.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TNI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146050</wp:posOffset>
            </wp:positionV>
            <wp:extent cx="6223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19"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177"/>
        </w:trPr>
        <w:tc>
          <w:tcPr>
            <w:tcW w:w="5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180" w:type="dxa"/>
            <w:vAlign w:val="bottom"/>
            <w:tcBorders>
              <w:top w:val="single" w:sz="8" w:color="auto"/>
            </w:tcBorders>
          </w:tcPr>
          <w:p>
            <w:pPr>
              <w:jc w:val="right"/>
              <w:ind w:right="150"/>
              <w:spacing w:after="0" w:line="177" w:lineRule="exact"/>
              <w:rPr>
                <w:sz w:val="20"/>
                <w:szCs w:val="20"/>
                <w:color w:val="auto"/>
              </w:rPr>
            </w:pPr>
            <w:r>
              <w:rPr>
                <w:rFonts w:ascii="Arial" w:cs="Arial" w:eastAsia="Arial" w:hAnsi="Arial"/>
                <w:sz w:val="18"/>
                <w:szCs w:val="18"/>
                <w:color w:val="auto"/>
              </w:rPr>
              <w:t>December 24,</w:t>
            </w:r>
          </w:p>
        </w:tc>
        <w:tc>
          <w:tcPr>
            <w:tcW w:w="13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December 25,</w:t>
            </w:r>
          </w:p>
        </w:tc>
        <w:tc>
          <w:tcPr>
            <w:tcW w:w="0" w:type="dxa"/>
            <w:vAlign w:val="bottom"/>
          </w:tcPr>
          <w:p>
            <w:pPr>
              <w:spacing w:after="0"/>
              <w:rPr>
                <w:sz w:val="1"/>
                <w:szCs w:val="1"/>
                <w:color w:val="auto"/>
              </w:rPr>
            </w:pPr>
          </w:p>
        </w:tc>
      </w:tr>
      <w:tr>
        <w:trPr>
          <w:trHeight w:val="235"/>
        </w:trPr>
        <w:tc>
          <w:tcPr>
            <w:tcW w:w="5240" w:type="dxa"/>
            <w:vAlign w:val="bottom"/>
            <w:tcBorders>
              <w:bottom w:val="single" w:sz="8" w:color="auto"/>
            </w:tcBorders>
            <w:vMerge w:val="continue"/>
          </w:tcPr>
          <w:p>
            <w:pPr>
              <w:spacing w:after="0"/>
              <w:rPr>
                <w:sz w:val="20"/>
                <w:szCs w:val="20"/>
                <w:color w:val="auto"/>
              </w:rPr>
            </w:pPr>
          </w:p>
        </w:tc>
        <w:tc>
          <w:tcPr>
            <w:tcW w:w="3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6,991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8,814</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3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4,681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2,310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Arial" w:cs="Arial" w:eastAsia="Arial" w:hAnsi="Arial"/>
                <w:sz w:val="18"/>
                <w:szCs w:val="18"/>
                <w:color w:val="auto"/>
              </w:rPr>
              <w:t>Company's 50% share of operating income</w:t>
            </w:r>
          </w:p>
        </w:tc>
        <w:tc>
          <w:tcPr>
            <w:tcW w:w="318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1,155</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55"/>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TNI</w:t>
            </w:r>
          </w:p>
        </w:tc>
        <w:tc>
          <w:tcPr>
            <w:tcW w:w="3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1,155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TNI makes periodic distributions of its earnings and for the three months ended December 24, 2023, and December 25, 2022, we received $1.2 million and $0.9 million in distributions, respectively.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154940</wp:posOffset>
            </wp:positionV>
            <wp:extent cx="61550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232"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67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0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color w:val="auto"/>
              </w:rPr>
              <w:t>December 24,</w:t>
            </w:r>
          </w:p>
        </w:tc>
        <w:tc>
          <w:tcPr>
            <w:tcW w:w="1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December 25,</w:t>
            </w:r>
          </w:p>
        </w:tc>
        <w:tc>
          <w:tcPr>
            <w:tcW w:w="0" w:type="dxa"/>
            <w:vAlign w:val="bottom"/>
          </w:tcPr>
          <w:p>
            <w:pPr>
              <w:spacing w:after="0"/>
              <w:rPr>
                <w:sz w:val="1"/>
                <w:szCs w:val="1"/>
                <w:color w:val="auto"/>
              </w:rPr>
            </w:pPr>
          </w:p>
        </w:tc>
      </w:tr>
      <w:tr>
        <w:trPr>
          <w:trHeight w:val="243"/>
        </w:trPr>
        <w:tc>
          <w:tcPr>
            <w:tcW w:w="6700" w:type="dxa"/>
            <w:vAlign w:val="bottom"/>
            <w:tcBorders>
              <w:bottom w:val="single" w:sz="8" w:color="auto"/>
            </w:tcBorders>
            <w:vMerge w:val="continue"/>
          </w:tcPr>
          <w:p>
            <w:pPr>
              <w:spacing w:after="0"/>
              <w:rPr>
                <w:sz w:val="21"/>
                <w:szCs w:val="21"/>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0"/>
        </w:trPr>
        <w:tc>
          <w:tcPr>
            <w:tcW w:w="67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10,602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 excluding restructuring costs, depreciation and amortization</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7,810</w:t>
            </w:r>
          </w:p>
        </w:tc>
        <w:tc>
          <w:tcPr>
            <w:tcW w:w="1380" w:type="dxa"/>
            <w:vAlign w:val="bottom"/>
          </w:tcPr>
          <w:p>
            <w:pPr>
              <w:jc w:val="right"/>
              <w:spacing w:after="0"/>
              <w:rPr>
                <w:sz w:val="20"/>
                <w:szCs w:val="20"/>
                <w:color w:val="auto"/>
              </w:rPr>
            </w:pPr>
            <w:r>
              <w:rPr>
                <w:rFonts w:ascii="Arial" w:cs="Arial" w:eastAsia="Arial" w:hAnsi="Arial"/>
                <w:sz w:val="18"/>
                <w:szCs w:val="18"/>
                <w:color w:val="auto"/>
              </w:rPr>
              <w:t>9,346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2,611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16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772</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MNI</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386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MNI makes periodic distributions of its earnings and in the three months ended December 24, 2023 and December 25, 2022, we received $0.4 million and $0.3 million in distributions, respectively.</w:t>
      </w:r>
    </w:p>
    <w:p>
      <w:pPr>
        <w:spacing w:after="0" w:line="112"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GOODWILL AND OTHER INTANGIBLE ASSETS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and identified intangible assets consist of the following:</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2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120" w:type="dxa"/>
            <w:vAlign w:val="bottom"/>
            <w:tcBorders>
              <w:top w:val="single" w:sz="8" w:color="auto"/>
            </w:tcBorders>
          </w:tcPr>
          <w:p>
            <w:pPr>
              <w:jc w:val="right"/>
              <w:ind w:right="110"/>
              <w:spacing w:after="0" w:line="189" w:lineRule="exact"/>
              <w:rPr>
                <w:sz w:val="20"/>
                <w:szCs w:val="20"/>
                <w:color w:val="auto"/>
              </w:rPr>
            </w:pPr>
            <w:r>
              <w:rPr>
                <w:rFonts w:ascii="Arial" w:cs="Arial" w:eastAsia="Arial" w:hAnsi="Arial"/>
                <w:sz w:val="18"/>
                <w:szCs w:val="18"/>
                <w:color w:val="auto"/>
              </w:rPr>
              <w:t>December 24,</w:t>
            </w:r>
          </w:p>
        </w:tc>
        <w:tc>
          <w:tcPr>
            <w:tcW w:w="1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24,</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auto"/>
            </w:tcBorders>
            <w:vMerge w:val="continue"/>
          </w:tcPr>
          <w:p>
            <w:pPr>
              <w:spacing w:after="0"/>
              <w:rPr>
                <w:sz w:val="21"/>
                <w:szCs w:val="21"/>
                <w:color w:val="auto"/>
              </w:rPr>
            </w:pPr>
          </w:p>
        </w:tc>
        <w:tc>
          <w:tcPr>
            <w:tcW w:w="3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period</w:t>
            </w:r>
          </w:p>
        </w:tc>
        <w:tc>
          <w:tcPr>
            <w:tcW w:w="3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329,504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329,504</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Allocated to sold operations</w:t>
            </w:r>
          </w:p>
        </w:tc>
        <w:tc>
          <w:tcPr>
            <w:tcW w:w="3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(1,261)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end of period</w:t>
            </w:r>
          </w:p>
        </w:tc>
        <w:tc>
          <w:tcPr>
            <w:tcW w:w="3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328,243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329,504</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3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Mastheads</w:t>
            </w:r>
          </w:p>
        </w:tc>
        <w:tc>
          <w:tcPr>
            <w:tcW w:w="3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18,675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18,675</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3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and newspaper subscriber lists</w:t>
            </w:r>
          </w:p>
        </w:tc>
        <w:tc>
          <w:tcPr>
            <w:tcW w:w="3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305,100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306,766</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accumulated amortization</w:t>
            </w:r>
          </w:p>
        </w:tc>
        <w:tc>
          <w:tcPr>
            <w:tcW w:w="3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(233,391)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(230,453)</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shd w:val="clear" w:color="auto" w:fill="CCEEFF"/>
          </w:tcPr>
          <w:p>
            <w:pPr>
              <w:spacing w:after="0"/>
              <w:rPr>
                <w:sz w:val="19"/>
                <w:szCs w:val="19"/>
                <w:color w:val="auto"/>
              </w:rPr>
            </w:pPr>
          </w:p>
        </w:tc>
        <w:tc>
          <w:tcPr>
            <w:tcW w:w="3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71,709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76,313</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intangibles, net</w:t>
            </w:r>
          </w:p>
        </w:tc>
        <w:tc>
          <w:tcPr>
            <w:tcW w:w="3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418,627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424,492</w:t>
            </w:r>
          </w:p>
        </w:tc>
        <w:tc>
          <w:tcPr>
            <w:tcW w:w="0" w:type="dxa"/>
            <w:vAlign w:val="bottom"/>
          </w:tcPr>
          <w:p>
            <w:pPr>
              <w:spacing w:after="0"/>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for amortizable assets is 11.2 years.</w:t>
      </w:r>
    </w:p>
    <w:p>
      <w:pPr>
        <w:spacing w:after="0" w:line="18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During the three months ended December 24, 2023 the Company sold non-core operations. Goodwill was allocated on a pro-rata basis to these operations, which totaled $1.3 million.</w:t>
      </w:r>
    </w:p>
    <w:p>
      <w:pPr>
        <w:spacing w:after="0" w:line="112"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Company has debt consisting of a single 25-year term loan with BH Finance LLC, with an aggregate principal balance of $454.2 million at a 9% annual fixed rate and maturing on March 16, 2045 (referred to herein as “Credit Agreement” and “Term Loan”). On December 24, 2023, the fair value is $382.2 million. This represents a level 2 fair value measurement.</w:t>
      </w:r>
    </w:p>
    <w:p>
      <w:pPr>
        <w:spacing w:after="0" w:line="130"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During the three months ended December 24, 2023, we made $1.6 million principal debt payments as a result of non-core asset sales. Future payments are contingent on the Company's ability to generate future excess cash flow, as defined in the Credit Agreement. As of December 24, 2023, there was no excess cash flow payment due.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19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one defined benefit pension plan that covers certain employees, including plans established under collective bargaining agreements. Additionally, we provide retiree medical and life insurance benefits under postretirement plans at several of our operating locations. Through December 24, 2023, our liability and related expense for benefits under the plans are recorded over the service period of employees based upon annual actuarial calculations.</w:t>
      </w:r>
    </w:p>
    <w:p>
      <w:pPr>
        <w:spacing w:after="0" w:line="13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During the three months ended December 24, 2023, the Company offered a voluntary lump sum payment of future benefits to terminated vested participants in the defined benefit pension plan. The offer was accepted by 522 participants, representing a $22.6 million settlement of related pension plan liability. The Company recognized a non-cash settlement gain of $2.4 million, which is reflected within "Curtailment/Settlement gains" on the Consolidated Statements of Income (Loss) and Comprehensive Income (Loss). Pension plan assets and liabilities were reduced by $22.6 million.</w:t>
      </w:r>
    </w:p>
    <w:p>
      <w:pPr>
        <w:spacing w:after="0" w:line="13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During the three months ended December 24, 2023, the Company completed the outsourcing of certain printing operations, which ceased postretirement medical benefits for a group of employees. The Company recognized a non-cash curtailment gain of $1.2 million, which is reflected within "Curtailment/Settlement gains" on the Consolidated Statements of Income (Loss) and Comprehensive Income (Loss).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pension and postretirement cost (benefit) components for our plans are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PENSION PLANS</w:t>
            </w:r>
          </w:p>
        </w:tc>
        <w:tc>
          <w:tcPr>
            <w:tcW w:w="3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Three months ended</w:t>
            </w:r>
          </w:p>
        </w:tc>
        <w:tc>
          <w:tcPr>
            <w:tcW w:w="12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340" w:type="dxa"/>
            <w:vAlign w:val="bottom"/>
          </w:tcPr>
          <w:p>
            <w:pPr>
              <w:jc w:val="right"/>
              <w:ind w:right="850"/>
              <w:spacing w:after="0" w:line="169" w:lineRule="exact"/>
              <w:rPr>
                <w:sz w:val="20"/>
                <w:szCs w:val="20"/>
                <w:color w:val="auto"/>
              </w:rPr>
            </w:pPr>
            <w:r>
              <w:rPr>
                <w:rFonts w:ascii="Arial" w:cs="Arial" w:eastAsia="Arial" w:hAnsi="Arial"/>
                <w:sz w:val="18"/>
                <w:szCs w:val="18"/>
                <w:color w:val="auto"/>
              </w:rPr>
              <w:t>December 24,</w:t>
            </w:r>
          </w:p>
        </w:tc>
        <w:tc>
          <w:tcPr>
            <w:tcW w:w="1260" w:type="dxa"/>
            <w:vAlign w:val="bottom"/>
          </w:tcPr>
          <w:p>
            <w:pPr>
              <w:jc w:val="right"/>
              <w:spacing w:after="0" w:line="169" w:lineRule="exact"/>
              <w:rPr>
                <w:sz w:val="20"/>
                <w:szCs w:val="20"/>
                <w:color w:val="auto"/>
              </w:rPr>
            </w:pPr>
            <w:r>
              <w:rPr>
                <w:rFonts w:ascii="Arial" w:cs="Arial" w:eastAsia="Arial" w:hAnsi="Arial"/>
                <w:sz w:val="18"/>
                <w:szCs w:val="18"/>
                <w:color w:val="auto"/>
              </w:rPr>
              <w:t>December 25,</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auto"/>
            </w:tcBorders>
            <w:vMerge w:val="continue"/>
          </w:tcPr>
          <w:p>
            <w:pPr>
              <w:spacing w:after="0"/>
              <w:rPr>
                <w:sz w:val="21"/>
                <w:szCs w:val="21"/>
                <w:color w:val="auto"/>
              </w:rPr>
            </w:pPr>
          </w:p>
        </w:tc>
        <w:tc>
          <w:tcPr>
            <w:tcW w:w="33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33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3340" w:type="dxa"/>
            <w:vAlign w:val="bottom"/>
          </w:tcPr>
          <w:p>
            <w:pPr>
              <w:jc w:val="right"/>
              <w:ind w:right="910"/>
              <w:spacing w:after="0"/>
              <w:rPr>
                <w:sz w:val="20"/>
                <w:szCs w:val="20"/>
                <w:color w:val="auto"/>
              </w:rPr>
            </w:pPr>
            <w:r>
              <w:rPr>
                <w:rFonts w:ascii="Arial" w:cs="Arial" w:eastAsia="Arial" w:hAnsi="Arial"/>
                <w:sz w:val="18"/>
                <w:szCs w:val="18"/>
                <w:color w:val="auto"/>
              </w:rPr>
              <w:t>2,515</w:t>
            </w:r>
          </w:p>
        </w:tc>
        <w:tc>
          <w:tcPr>
            <w:tcW w:w="1260" w:type="dxa"/>
            <w:vAlign w:val="bottom"/>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3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(2,453)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Amortization of net (gain) loss</w:t>
            </w:r>
          </w:p>
        </w:tc>
        <w:tc>
          <w:tcPr>
            <w:tcW w:w="3340" w:type="dxa"/>
            <w:vAlign w:val="bottom"/>
          </w:tcPr>
          <w:p>
            <w:pPr>
              <w:jc w:val="right"/>
              <w:ind w:right="870"/>
              <w:spacing w:after="0"/>
              <w:rPr>
                <w:sz w:val="20"/>
                <w:szCs w:val="20"/>
                <w:color w:val="auto"/>
              </w:rPr>
            </w:pPr>
            <w:r>
              <w:rPr>
                <w:rFonts w:ascii="Arial" w:cs="Arial" w:eastAsia="Arial" w:hAnsi="Arial"/>
                <w:sz w:val="18"/>
                <w:szCs w:val="18"/>
                <w:color w:val="auto"/>
              </w:rPr>
              <w:t>(2)</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33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212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Settlement gain</w:t>
            </w:r>
          </w:p>
        </w:tc>
        <w:tc>
          <w:tcPr>
            <w:tcW w:w="33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(2,409)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(benefit) cost</w:t>
            </w:r>
          </w:p>
        </w:tc>
        <w:tc>
          <w:tcPr>
            <w:tcW w:w="334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(2,136)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20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POSTRETIREMENT MEDICAL PLANS</w:t>
            </w:r>
          </w:p>
        </w:tc>
        <w:tc>
          <w:tcPr>
            <w:tcW w:w="3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Three months ended</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340" w:type="dxa"/>
            <w:vAlign w:val="bottom"/>
          </w:tcPr>
          <w:p>
            <w:pPr>
              <w:jc w:val="right"/>
              <w:ind w:right="850"/>
              <w:spacing w:after="0" w:line="169" w:lineRule="exact"/>
              <w:rPr>
                <w:sz w:val="20"/>
                <w:szCs w:val="20"/>
                <w:color w:val="auto"/>
              </w:rPr>
            </w:pPr>
            <w:r>
              <w:rPr>
                <w:rFonts w:ascii="Arial" w:cs="Arial" w:eastAsia="Arial" w:hAnsi="Arial"/>
                <w:sz w:val="18"/>
                <w:szCs w:val="18"/>
                <w:color w:val="auto"/>
              </w:rPr>
              <w:t>December 24,</w:t>
            </w:r>
          </w:p>
        </w:tc>
        <w:tc>
          <w:tcPr>
            <w:tcW w:w="1260" w:type="dxa"/>
            <w:vAlign w:val="bottom"/>
          </w:tcPr>
          <w:p>
            <w:pPr>
              <w:jc w:val="right"/>
              <w:spacing w:after="0" w:line="169" w:lineRule="exact"/>
              <w:rPr>
                <w:sz w:val="20"/>
                <w:szCs w:val="20"/>
                <w:color w:val="auto"/>
              </w:rPr>
            </w:pPr>
            <w:r>
              <w:rPr>
                <w:rFonts w:ascii="Arial" w:cs="Arial" w:eastAsia="Arial" w:hAnsi="Arial"/>
                <w:sz w:val="18"/>
                <w:szCs w:val="18"/>
                <w:color w:val="auto"/>
              </w:rPr>
              <w:t>December 25,</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auto"/>
            </w:tcBorders>
            <w:vMerge w:val="continue"/>
          </w:tcPr>
          <w:p>
            <w:pPr>
              <w:spacing w:after="0"/>
              <w:rPr>
                <w:sz w:val="21"/>
                <w:szCs w:val="21"/>
                <w:color w:val="auto"/>
              </w:rPr>
            </w:pPr>
          </w:p>
        </w:tc>
        <w:tc>
          <w:tcPr>
            <w:tcW w:w="33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33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3340" w:type="dxa"/>
            <w:vAlign w:val="bottom"/>
          </w:tcPr>
          <w:p>
            <w:pPr>
              <w:jc w:val="right"/>
              <w:ind w:right="910"/>
              <w:spacing w:after="0"/>
              <w:rPr>
                <w:sz w:val="20"/>
                <w:szCs w:val="20"/>
                <w:color w:val="auto"/>
              </w:rPr>
            </w:pPr>
            <w:r>
              <w:rPr>
                <w:rFonts w:ascii="Arial" w:cs="Arial" w:eastAsia="Arial" w:hAnsi="Arial"/>
                <w:sz w:val="18"/>
                <w:szCs w:val="18"/>
                <w:color w:val="auto"/>
              </w:rPr>
              <w:t>149</w:t>
            </w: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3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(320)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Amortization of net gain</w:t>
            </w:r>
          </w:p>
        </w:tc>
        <w:tc>
          <w:tcPr>
            <w:tcW w:w="3340" w:type="dxa"/>
            <w:vAlign w:val="bottom"/>
          </w:tcPr>
          <w:p>
            <w:pPr>
              <w:jc w:val="right"/>
              <w:ind w:right="870"/>
              <w:spacing w:after="0"/>
              <w:rPr>
                <w:sz w:val="20"/>
                <w:szCs w:val="20"/>
                <w:color w:val="auto"/>
              </w:rPr>
            </w:pPr>
            <w:r>
              <w:rPr>
                <w:rFonts w:ascii="Arial" w:cs="Arial" w:eastAsia="Arial" w:hAnsi="Arial"/>
                <w:sz w:val="18"/>
                <w:szCs w:val="18"/>
                <w:color w:val="auto"/>
              </w:rPr>
              <w:t>(308)</w:t>
            </w:r>
          </w:p>
        </w:tc>
        <w:tc>
          <w:tcPr>
            <w:tcW w:w="126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33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(94)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Curtailment gain</w:t>
            </w:r>
          </w:p>
        </w:tc>
        <w:tc>
          <w:tcPr>
            <w:tcW w:w="33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(1,184)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postretirement benefit</w:t>
            </w:r>
          </w:p>
        </w:tc>
        <w:tc>
          <w:tcPr>
            <w:tcW w:w="334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(1,744)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In the three months ended December 24, 2023 and December 25, 2022, we made no contributions to our pension plans. We have no required contributions to our pension plans for 2024.</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198"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In prior periods, the Company effectuated withdrawals from several multiemployer plans. As of December 24, 2023 and September 24, 2023, we had $24.8 million and $25.1 million of accrued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withdrawal liabilities. The liabilities reflect the estimated value of payments to the fund, payable over 20-years.</w:t>
      </w:r>
    </w:p>
    <w:p>
      <w:pPr>
        <w:spacing w:after="0" w:line="198"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recorded an income tax expense of $0.2 million related to income before taxes of $1.5 million for the three months ended December 24, 2023. We recorded an income tax expense of $0.4 million related to income before taxes of $ 2.3 million for the three months ended December 25, 2022. The effective income tax rate for the three months ended December 24, 2023, was 16.7%. The effective income tax rate for the three months ended December 25, 2022, was 19.4%.</w:t>
      </w:r>
    </w:p>
    <w:p>
      <w:pPr>
        <w:spacing w:after="0" w:line="136"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primary differences between these rates and the U.S. federal statutory rate of 21% are because of state taxes, non-deductible expenses and adjustments to reserves for uncertain tax positions, including any related interest.</w:t>
      </w:r>
    </w:p>
    <w:p>
      <w:pPr>
        <w:spacing w:after="0" w:line="12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or material state income tax examinations in progress. Our income tax returns have generally been audited or closed to audit through 2015.</w:t>
      </w:r>
    </w:p>
    <w:p>
      <w:pPr>
        <w:spacing w:after="0" w:line="130"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60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Three months ended</w:t>
            </w:r>
          </w:p>
        </w:tc>
        <w:tc>
          <w:tcPr>
            <w:tcW w:w="12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6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2920" w:type="dxa"/>
            <w:vAlign w:val="bottom"/>
          </w:tcPr>
          <w:p>
            <w:pPr>
              <w:jc w:val="right"/>
              <w:ind w:right="850"/>
              <w:spacing w:after="0" w:line="169" w:lineRule="exact"/>
              <w:rPr>
                <w:sz w:val="20"/>
                <w:szCs w:val="20"/>
                <w:color w:val="auto"/>
              </w:rPr>
            </w:pPr>
            <w:r>
              <w:rPr>
                <w:rFonts w:ascii="Arial" w:cs="Arial" w:eastAsia="Arial" w:hAnsi="Arial"/>
                <w:sz w:val="18"/>
                <w:szCs w:val="18"/>
                <w:color w:val="auto"/>
              </w:rPr>
              <w:t>December 24,</w:t>
            </w:r>
          </w:p>
        </w:tc>
        <w:tc>
          <w:tcPr>
            <w:tcW w:w="1240" w:type="dxa"/>
            <w:vAlign w:val="bottom"/>
          </w:tcPr>
          <w:p>
            <w:pPr>
              <w:jc w:val="right"/>
              <w:spacing w:after="0" w:line="169" w:lineRule="exact"/>
              <w:rPr>
                <w:sz w:val="20"/>
                <w:szCs w:val="20"/>
                <w:color w:val="auto"/>
              </w:rPr>
            </w:pPr>
            <w:r>
              <w:rPr>
                <w:rFonts w:ascii="Arial" w:cs="Arial" w:eastAsia="Arial" w:hAnsi="Arial"/>
                <w:sz w:val="18"/>
                <w:szCs w:val="18"/>
                <w:color w:val="auto"/>
              </w:rPr>
              <w:t>December 25,</w:t>
            </w:r>
          </w:p>
        </w:tc>
        <w:tc>
          <w:tcPr>
            <w:tcW w:w="0" w:type="dxa"/>
            <w:vAlign w:val="bottom"/>
          </w:tcPr>
          <w:p>
            <w:pPr>
              <w:spacing w:after="0"/>
              <w:rPr>
                <w:sz w:val="1"/>
                <w:szCs w:val="1"/>
                <w:color w:val="auto"/>
              </w:rPr>
            </w:pPr>
          </w:p>
        </w:tc>
      </w:tr>
      <w:tr>
        <w:trPr>
          <w:trHeight w:val="243"/>
        </w:trPr>
        <w:tc>
          <w:tcPr>
            <w:tcW w:w="5600" w:type="dxa"/>
            <w:vAlign w:val="bottom"/>
            <w:tcBorders>
              <w:bottom w:val="single" w:sz="8" w:color="auto"/>
            </w:tcBorders>
            <w:vMerge w:val="continue"/>
          </w:tcPr>
          <w:p>
            <w:pPr>
              <w:spacing w:after="0"/>
              <w:rPr>
                <w:sz w:val="21"/>
                <w:szCs w:val="21"/>
                <w:color w:val="auto"/>
              </w:rPr>
            </w:pPr>
          </w:p>
        </w:tc>
        <w:tc>
          <w:tcPr>
            <w:tcW w:w="29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0"/>
        </w:trPr>
        <w:tc>
          <w:tcPr>
            <w:tcW w:w="56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attributable to Lee Enterprises, Incorporated:</w:t>
            </w:r>
          </w:p>
        </w:tc>
        <w:tc>
          <w:tcPr>
            <w:tcW w:w="29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688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common shares</w:t>
            </w:r>
          </w:p>
        </w:tc>
        <w:tc>
          <w:tcPr>
            <w:tcW w:w="2920" w:type="dxa"/>
            <w:vAlign w:val="bottom"/>
          </w:tcPr>
          <w:p>
            <w:pPr>
              <w:jc w:val="right"/>
              <w:ind w:right="910"/>
              <w:spacing w:after="0" w:line="203" w:lineRule="exact"/>
              <w:rPr>
                <w:sz w:val="20"/>
                <w:szCs w:val="20"/>
                <w:color w:val="auto"/>
              </w:rPr>
            </w:pPr>
            <w:r>
              <w:rPr>
                <w:rFonts w:ascii="Arial" w:cs="Arial" w:eastAsia="Arial" w:hAnsi="Arial"/>
                <w:sz w:val="18"/>
                <w:szCs w:val="18"/>
                <w:color w:val="auto"/>
              </w:rPr>
              <w:t>6,080</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weighted average restricted Common Stock</w:t>
            </w:r>
          </w:p>
        </w:tc>
        <w:tc>
          <w:tcPr>
            <w:tcW w:w="292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(170)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Basic average common shares</w:t>
            </w:r>
          </w:p>
        </w:tc>
        <w:tc>
          <w:tcPr>
            <w:tcW w:w="2920" w:type="dxa"/>
            <w:vAlign w:val="bottom"/>
          </w:tcPr>
          <w:p>
            <w:pPr>
              <w:jc w:val="right"/>
              <w:ind w:right="910"/>
              <w:spacing w:after="0"/>
              <w:rPr>
                <w:sz w:val="20"/>
                <w:szCs w:val="20"/>
                <w:color w:val="auto"/>
              </w:rPr>
            </w:pPr>
            <w:r>
              <w:rPr>
                <w:rFonts w:ascii="Arial" w:cs="Arial" w:eastAsia="Arial" w:hAnsi="Arial"/>
                <w:sz w:val="18"/>
                <w:szCs w:val="18"/>
                <w:color w:val="auto"/>
              </w:rPr>
              <w:t>5,910</w:t>
            </w:r>
          </w:p>
        </w:tc>
        <w:tc>
          <w:tcPr>
            <w:tcW w:w="1240" w:type="dxa"/>
            <w:vAlign w:val="bottom"/>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Dilutive restricted Common Stock</w:t>
            </w:r>
          </w:p>
        </w:tc>
        <w:tc>
          <w:tcPr>
            <w:tcW w:w="29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26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average common shares</w:t>
            </w:r>
          </w:p>
        </w:tc>
        <w:tc>
          <w:tcPr>
            <w:tcW w:w="29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5,936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9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Basic</w:t>
            </w:r>
          </w:p>
        </w:tc>
        <w:tc>
          <w:tcPr>
            <w:tcW w:w="2920" w:type="dxa"/>
            <w:vAlign w:val="bottom"/>
          </w:tcPr>
          <w:p>
            <w:pPr>
              <w:jc w:val="right"/>
              <w:ind w:right="910"/>
              <w:spacing w:after="0"/>
              <w:rPr>
                <w:sz w:val="20"/>
                <w:szCs w:val="20"/>
                <w:color w:val="auto"/>
              </w:rPr>
            </w:pPr>
            <w:r>
              <w:rPr>
                <w:rFonts w:ascii="Arial" w:cs="Arial" w:eastAsia="Arial" w:hAnsi="Arial"/>
                <w:sz w:val="18"/>
                <w:szCs w:val="18"/>
                <w:color w:val="auto"/>
              </w:rPr>
              <w:t>0.12</w:t>
            </w:r>
          </w:p>
        </w:tc>
        <w:tc>
          <w:tcPr>
            <w:tcW w:w="124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54"/>
        </w:trPr>
        <w:tc>
          <w:tcPr>
            <w:tcW w:w="5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9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0.12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For the three months ended December 24, 2023 and December 25, 2022, 128,019 and 74,304 shares, respectively, were not considered in the computation of diluted earnings per common share because their inclusion would result in an anti-dilutive effect on per share amounts.</w:t>
      </w:r>
    </w:p>
    <w:p>
      <w:pPr>
        <w:spacing w:after="0" w:line="130" w:lineRule="exact"/>
        <w:rPr>
          <w:sz w:val="20"/>
          <w:szCs w:val="20"/>
          <w:color w:val="auto"/>
        </w:rPr>
      </w:pPr>
    </w:p>
    <w:p>
      <w:pPr>
        <w:ind w:left="660" w:right="6820" w:hanging="652"/>
        <w:spacing w:after="0" w:line="461" w:lineRule="auto"/>
        <w:tabs>
          <w:tab w:leader="none" w:pos="3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Legal Proceedings</w:t>
      </w:r>
    </w:p>
    <w:p>
      <w:pPr>
        <w:spacing w:after="0" w:line="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 xml:space="preserve">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have a material adverse effect on our Consolidated Financial Statements, taken as a whole.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three months ended December 24, 2023. This discussion should be read in conjunction with the Consolidated Financial Statements and related Notes thereto, included herein, and our 2023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Lee Enterprises, Incorporated, together with its subsidiaries, is a digital-first subscription business providing local markets with valuable, high quality, trusted, intensely local news, information, advertising and marketing services. We inform consumers in 73 mid-sized local communities in 26 states with a rapidly growing digital subscription platform including 735,000 digital subscribers. Our core strategy aims to grow audiences and engagement through creating, collecting, and distributing trusted local news and information, continuous improvements to subscriber experience, and offering a full suite of omni-channel advertising and marketing to more than 30,000 local advertisers.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product portfolio includes digital subscription platforms, daily, weekly and monthly newspapers and niche products, all delivering original local news and information as well as national and international news. Our products offer digital and print editions, and our content and advertising is available in real time through our websites and mobile apps. We operate in predominately mid-sized communities with products ranging from large daily newspapers and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Buffalo News</w:t>
      </w:r>
      <w:r>
        <w:rPr>
          <w:rFonts w:ascii="Arial" w:cs="Arial" w:eastAsia="Arial" w:hAnsi="Arial"/>
          <w:sz w:val="18"/>
          <w:szCs w:val="18"/>
          <w:color w:val="auto"/>
        </w:rPr>
        <w:t>, to non-daily newspapers with news websites and digital platforms serving smaller communities.</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made investments in talent and technology to improve user experience, content, data visualization and marketing to align with the shift in spending habits by both consumers and advertisers toward digital products.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aim to grow our business through three main categories: subscriptions to our product offerings, advertising and marketing solutions to local advertisers, and digital services to a diverse set of customers. Execution of this strategy is expected to transform Lee into a growing and sustainable local media organization.</w:t>
      </w:r>
    </w:p>
    <w:p>
      <w:pPr>
        <w:spacing w:after="0" w:line="14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digital subscription platforms are the fastest growing digital subscription platforms in local media.</w:t>
      </w:r>
    </w:p>
    <w:p>
      <w:pPr>
        <w:spacing w:after="0" w:line="182" w:lineRule="exact"/>
        <w:rPr>
          <w:rFonts w:ascii="Arial" w:cs="Arial" w:eastAsia="Arial" w:hAnsi="Arial"/>
          <w:sz w:val="18"/>
          <w:szCs w:val="18"/>
          <w:color w:val="auto"/>
        </w:rPr>
      </w:pPr>
    </w:p>
    <w:p>
      <w:pPr>
        <w:ind w:left="660" w:right="780" w:hanging="328"/>
        <w:spacing w:after="0" w:line="22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Amplified Digital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("Amplified"), our digital marketing services agency, offers a full suite of digital marketing solutions to local advertisers.</w:t>
      </w:r>
    </w:p>
    <w:p>
      <w:pPr>
        <w:spacing w:after="0" w:line="15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BLOX Digital (formerly known as TownNews), our software as a service (SaaS) content platform, is one of the largest web-hosting and content management SaaS providers in North America. BLOX Digital represents a powerful opportunity to drive additional digital revenue by providing state-of-the-art web hosting and content management services to more than 2,000 customers who rely on BLOX Digital for their web, over-the-top display, mobile, video and social media products.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generate revenue primarily through advertising and marketing services, subscriptions to our digital and print products, and digital services, primarily through our majority-owned subsidiary, BLOX Digital.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major subscription and advertising platform, a trusted local news provider and innovative, digitally-focused marketing solutions company. Our focus is on the local market - including local news and information, local advertising and marketing services to top local accounts, and digital services to local content curators. To align with the core strength of our Company, our operating strategy is locally focused around three pillars:</w:t>
      </w:r>
    </w:p>
    <w:p>
      <w:pPr>
        <w:spacing w:after="0" w:line="13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digital audiences by transforming the way we present local news and information</w:t>
      </w:r>
    </w:p>
    <w:p>
      <w:pPr>
        <w:spacing w:after="0" w:line="1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digital subscription base and revenue through audience growth and continued conversion of our massive digital audiences.</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Diversify and expand offerings for advertisers through our vast array of rapidly growing digital products, our large digitally adapt sales force, and Amplified, our full-service digital agency.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December 24,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432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December 24, 2023 December 25, 2022</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Percent Change</w:t>
            </w:r>
          </w:p>
        </w:tc>
      </w:tr>
      <w:tr>
        <w:trPr>
          <w:trHeight w:val="250"/>
        </w:trPr>
        <w:tc>
          <w:tcPr>
            <w:tcW w:w="53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8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840" w:type="dxa"/>
            <w:vAlign w:val="bottom"/>
          </w:tcPr>
          <w:p>
            <w:pPr>
              <w:jc w:val="right"/>
              <w:ind w:right="450"/>
              <w:spacing w:after="0"/>
              <w:rPr>
                <w:sz w:val="20"/>
                <w:szCs w:val="20"/>
                <w:color w:val="auto"/>
              </w:rPr>
            </w:pPr>
            <w:r>
              <w:rPr>
                <w:rFonts w:ascii="Arial" w:cs="Arial" w:eastAsia="Arial" w:hAnsi="Arial"/>
                <w:sz w:val="18"/>
                <w:szCs w:val="18"/>
                <w:color w:val="auto"/>
              </w:rPr>
              <w:t>24,435</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41,836</w:t>
            </w:r>
          </w:p>
        </w:tc>
        <w:tc>
          <w:tcPr>
            <w:tcW w:w="160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5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28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46,452</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47,749</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70,887</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89,585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23"/>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51,872</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67,370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2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19,467</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12,329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57.9 %</w:t>
            </w:r>
          </w:p>
        </w:tc>
      </w:tr>
      <w:tr>
        <w:trPr>
          <w:trHeight w:val="22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8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71,339</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79,699</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532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840" w:type="dxa"/>
            <w:vAlign w:val="bottom"/>
          </w:tcPr>
          <w:p>
            <w:pPr>
              <w:jc w:val="right"/>
              <w:ind w:right="450"/>
              <w:spacing w:after="0"/>
              <w:rPr>
                <w:sz w:val="20"/>
                <w:szCs w:val="20"/>
                <w:color w:val="auto"/>
              </w:rPr>
            </w:pPr>
            <w:r>
              <w:rPr>
                <w:rFonts w:ascii="Arial" w:cs="Arial" w:eastAsia="Arial" w:hAnsi="Arial"/>
                <w:sz w:val="18"/>
                <w:szCs w:val="18"/>
                <w:color w:val="auto"/>
              </w:rPr>
              <w:t>8,492</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11,120</w:t>
            </w:r>
          </w:p>
        </w:tc>
        <w:tc>
          <w:tcPr>
            <w:tcW w:w="16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5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8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4,960</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4,727</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13,452</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15,847</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8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155,678</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185,131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2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59,676</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75,446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2840" w:type="dxa"/>
            <w:vAlign w:val="bottom"/>
          </w:tcPr>
          <w:p>
            <w:pPr>
              <w:jc w:val="right"/>
              <w:ind w:right="450"/>
              <w:spacing w:after="0"/>
              <w:rPr>
                <w:sz w:val="20"/>
                <w:szCs w:val="20"/>
                <w:color w:val="auto"/>
              </w:rPr>
            </w:pPr>
            <w:r>
              <w:rPr>
                <w:rFonts w:ascii="Arial" w:cs="Arial" w:eastAsia="Arial" w:hAnsi="Arial"/>
                <w:sz w:val="18"/>
                <w:szCs w:val="18"/>
                <w:color w:val="auto"/>
              </w:rPr>
              <w:t>4,843</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7,432</w:t>
            </w:r>
          </w:p>
        </w:tc>
        <w:tc>
          <w:tcPr>
            <w:tcW w:w="160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74,776</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86,774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40" w:type="dxa"/>
            <w:vAlign w:val="bottom"/>
          </w:tcPr>
          <w:p>
            <w:pPr>
              <w:jc w:val="right"/>
              <w:ind w:right="450"/>
              <w:spacing w:after="0"/>
              <w:rPr>
                <w:sz w:val="20"/>
                <w:szCs w:val="20"/>
                <w:color w:val="auto"/>
              </w:rPr>
            </w:pPr>
            <w:r>
              <w:rPr>
                <w:rFonts w:ascii="Arial" w:cs="Arial" w:eastAsia="Arial" w:hAnsi="Arial"/>
                <w:sz w:val="18"/>
                <w:szCs w:val="18"/>
                <w:color w:val="auto"/>
              </w:rPr>
              <w:t>7,295</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7,886</w:t>
            </w:r>
          </w:p>
        </w:tc>
        <w:tc>
          <w:tcPr>
            <w:tcW w:w="1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gain on sales, impairments and other</w:t>
            </w:r>
          </w:p>
        </w:tc>
        <w:tc>
          <w:tcPr>
            <w:tcW w:w="28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(1,469)</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(2,563)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5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2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4,265</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646</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149,386</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175,621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1,541</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1,668</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7,833</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11,178</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(10,131)</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(10,408)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Pension and OPEB related benefit (cost) and other, net</w:t>
            </w:r>
          </w:p>
        </w:tc>
        <w:tc>
          <w:tcPr>
            <w:tcW w:w="2840" w:type="dxa"/>
            <w:vAlign w:val="bottom"/>
          </w:tcPr>
          <w:p>
            <w:pPr>
              <w:jc w:val="right"/>
              <w:ind w:right="450"/>
              <w:spacing w:after="0"/>
              <w:rPr>
                <w:sz w:val="20"/>
                <w:szCs w:val="20"/>
                <w:color w:val="auto"/>
              </w:rPr>
            </w:pPr>
            <w:r>
              <w:rPr>
                <w:rFonts w:ascii="Arial" w:cs="Arial" w:eastAsia="Arial" w:hAnsi="Arial"/>
                <w:sz w:val="18"/>
                <w:szCs w:val="18"/>
                <w:color w:val="auto"/>
              </w:rPr>
              <w:t>186</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1,494</w:t>
            </w:r>
          </w:p>
        </w:tc>
        <w:tc>
          <w:tcPr>
            <w:tcW w:w="160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230"/>
        </w:trPr>
        <w:tc>
          <w:tcPr>
            <w:tcW w:w="5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Curtailment/Settlement gains</w:t>
            </w:r>
          </w:p>
        </w:tc>
        <w:tc>
          <w:tcPr>
            <w:tcW w:w="28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3,593</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2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(6,352)</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(8,914)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1,481</w:t>
            </w:r>
          </w:p>
        </w:tc>
        <w:tc>
          <w:tcPr>
            <w:tcW w:w="1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2,264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28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248</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440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r>
      <w:tr>
        <w:trPr>
          <w:trHeight w:val="22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1,233</w:t>
            </w:r>
          </w:p>
        </w:tc>
        <w:tc>
          <w:tcPr>
            <w:tcW w:w="1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1,824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50"/>
        </w:trPr>
        <w:tc>
          <w:tcPr>
            <w:tcW w:w="53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28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Basic</w:t>
            </w:r>
          </w:p>
        </w:tc>
        <w:tc>
          <w:tcPr>
            <w:tcW w:w="2840" w:type="dxa"/>
            <w:vAlign w:val="bottom"/>
          </w:tcPr>
          <w:p>
            <w:pPr>
              <w:jc w:val="right"/>
              <w:ind w:right="450"/>
              <w:spacing w:after="0"/>
              <w:rPr>
                <w:sz w:val="20"/>
                <w:szCs w:val="20"/>
                <w:color w:val="auto"/>
              </w:rPr>
            </w:pPr>
            <w:r>
              <w:rPr>
                <w:rFonts w:ascii="Arial" w:cs="Arial" w:eastAsia="Arial" w:hAnsi="Arial"/>
                <w:sz w:val="18"/>
                <w:szCs w:val="18"/>
                <w:color w:val="auto"/>
              </w:rPr>
              <w:t>0.12</w:t>
            </w:r>
          </w:p>
        </w:tc>
        <w:tc>
          <w:tcPr>
            <w:tcW w:w="1480" w:type="dxa"/>
            <w:vAlign w:val="bottom"/>
          </w:tcPr>
          <w:p>
            <w:pPr>
              <w:jc w:val="right"/>
              <w:ind w:right="170"/>
              <w:spacing w:after="0"/>
              <w:rPr>
                <w:sz w:val="20"/>
                <w:szCs w:val="20"/>
                <w:color w:val="auto"/>
              </w:rPr>
            </w:pPr>
            <w:r>
              <w:rPr>
                <w:rFonts w:ascii="Arial" w:cs="Arial" w:eastAsia="Arial" w:hAnsi="Arial"/>
                <w:sz w:val="18"/>
                <w:szCs w:val="18"/>
                <w:color w:val="auto"/>
              </w:rPr>
              <w:t>0.19</w:t>
            </w:r>
          </w:p>
        </w:tc>
        <w:tc>
          <w:tcPr>
            <w:tcW w:w="160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30"/>
        </w:trPr>
        <w:tc>
          <w:tcPr>
            <w:tcW w:w="5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8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0.12</w:t>
            </w:r>
          </w:p>
        </w:tc>
        <w:tc>
          <w:tcPr>
            <w:tcW w:w="1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0.19</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the “2024 Quarter” refer to the three months ended December 24, 2023. Similarly, references to the “2023 Quarter” refer to the three months ended December 25, 2022.</w:t>
      </w:r>
    </w:p>
    <w:p>
      <w:pPr>
        <w:spacing w:after="0" w:line="12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$155.7 million in the 2024 Quarter, down $29.5 million, or 15.9%,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and marketing services revenue totaled $70.9 million in the 2024 Quarter, down 20.9% compared to the 2023 Quarter. Print advertising revenues were $ 24.4 million in the 2024 Quarter, down 41.6% compared to the 2023 Quarter due to continued secular declines in demand for print advertising and a reduced product portfolio through sales and elimination of products that do not met profitability standards. Digital advertising and marketing services totaled $46.5 million in the 2024 Quarter, down 2.7% compared to the 2023 Quarter. Digital advertising and marketing services represented 65.5% of the 2024 Quarter total advertising and marketing services revenue, compared to 53.3% in the same period last year.</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$71.3 million in the 2024 Quarter, down 10.5% compared to the 2023 Quarter. Decline in full access volume, consistent with historical and industry trends were partially offset by selective increases on our full access subscriptions, growth in digital-only subscribers and price increases on digital subscriptions. Digital-only subscribers grew 30.4% since the 2023 Quarter and now total 735,000, and revenue from digital-only subscribers totaled $19.5 million, up 57.9% compared to the 2023 Quarter.</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revenue, which primarily consists of commercial printing revenue and digital services from BLOX Digital, decreased $2.4 million, or 15.1%, in the 2024 Quarter compared to the 2023 Quarter. Digital services revenue totaled $5.0 million in the 2024 Quarter, a 4.9% increase compared to the 2023 Quarter. Commercial printing revenue totaled $4.5 million in the 2024 Quarter, a 16.7% decrease compared to the 2023 Quarter, primarily driven by reduction in print volumes from our partners.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$70.9 million in the 2024 Quarter, an increase of 9.4% over the 2023 Quarter, and represented 45.5% of our total operating revenue in the 2024 Quarter.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0.1 in the 2024 Quarter.</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operating expenses were $149.4 million in the 2024 Quarter, a 14.9% decrease compared to the 2023 Quarter. Cash Costs, a non-GAAP financial measure used to summarize certain operating expense (see reconciliation of Non-GAAP financial measures below), were down 17.9% in the 2024 Quarter.</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expense decreased $15.8 million in the 2024 Quarter, or 20.9%, compared to the 2023 Quarter from reductions in full time employees ("FTEs") due to continued business transformation efforts, partially offset by investments in digital talent.</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Newsprint and ink costs decreased $2.6 in the 2024 Quarter, or 34.8%, compared to the 2023 Quarter. The decrease is attributable to declines in newsprint volumes.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operating expenses decreased $12.0 in the 2024 Quarter, or 13.8%, compared to the 2023 Quarter. Other operating expenses include all operating costs not considered to be compensation, newsprint, depreciation and amortization, or restructuring costs and assets loss on sales, impairments, and other, net. The largest components are costs associated with printing and distribution of our printed products, digital cost of goods sold and facility expenses. The decrease is attributable to lower delivery and other print-related costs due to lower volumes of our print edition, partially increases in investments to fund our digital growth strategy partially offset by</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costs and other totaled $4.3 million and $0.6 million in the 2024 Quarter and 2023 Quarter, respectively. Restructuring costs and other include severance costs, litigation expenses, restructuring expenses, and advisor expenses. Restructuring costs in the 2024 and 2023 Quarter's are predominately severance related to our ongoing business transformation.</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and amortization expense decreased $0.6 million, or 7.5%, in the 2024 Quarter. The decrease in both is attributable to assets becoming fully depreciated or amortized.</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gain on sales, impairments and other, was a net gain of $1.5 million in the 2024 Quarter compared to a net gain of $2.6 million in the 2023 Quarter. Assets gain on sales, impairments and other in the 2024 Quarter and in the 2023 Quarter were the result of the disposition of non-core assets, including real estate.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factors noted above resulted in an operating income of $7.8 million in the 2024 Quarter compared to operating income of $11.2 million in the 2023 Quarter.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decreased $0.3 million, or 2.7%, to $10.1 million in the 2024 Quarter, compared to the same period last year. The decrease was due to a lower outstanding balance on our Term Loan. Our weighted average cost of debt was 9.0% at the end of the 2024 Quarter and 2023 Quarter.</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and the fair value adjustment of our Warrants. We recorded $3.9 million periodic pension and other postretirement benefits in the 2024 Quarter compared to $0.3 million in the 2023 Quarter. The increase was a result of recognized a non-cash curtailment gain of $1.2 million in the 2023 Quarter as a result of outsourcing certain postemployment defined benefit plan functions. Additionally, during the Quarter, the Company completed a voluntary lump sum payment of future benefits to terminated vested participants. The offer was accepted by 522 participants representing $22.6 million in plan liabilities. As a result of the offer, a non-cash settlement gain of $2.4 million was recorded in Curtailment/Settlement gain on the Consolidated Statements of Income and Comprehensive Income. Both assets and liabilities of the plan were reduced by $22.6 million.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an income tax expense of $0.2 million, or 16.7% of pretax income in the 2024 Quarter. In the 2023 Quarter, we recognized an income tax expense of $0.4 million, or 19.4% of pretax income.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and Earnings Per Share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income was $1.2 million and diluted earnings per share were $ 0.12 for the 2024 Quarter compared to net income of $1.8 million and diluted earnings per share of $0.19 for the 2023 Quarter. The change reflects the various items discussed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 restructuring costs and other, stock compensation and our 50% share of EBITDA from TNI and MNI, minus equity in earnings of TNI and MNI.</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Adjusted EBITDA and Cash Costs are reconciled to net income (loss) and operating expenses, below, the closest comparable numbers under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3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24, 2023</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25, 2022</w:t>
            </w:r>
          </w:p>
        </w:tc>
      </w:tr>
      <w:tr>
        <w:trPr>
          <w:trHeight w:val="250"/>
        </w:trPr>
        <w:tc>
          <w:tcPr>
            <w:tcW w:w="59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Adjusted to exclude</w:t>
            </w:r>
          </w:p>
        </w:tc>
        <w:tc>
          <w:tcPr>
            <w:tcW w:w="36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Non-operating expenses, net</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6,352</w:t>
            </w:r>
          </w:p>
        </w:tc>
        <w:tc>
          <w:tcPr>
            <w:tcW w:w="1660" w:type="dxa"/>
            <w:vAlign w:val="bottom"/>
          </w:tcPr>
          <w:p>
            <w:pPr>
              <w:jc w:val="right"/>
              <w:spacing w:after="0"/>
              <w:rPr>
                <w:sz w:val="20"/>
                <w:szCs w:val="20"/>
                <w:color w:val="auto"/>
              </w:rPr>
            </w:pPr>
            <w:r>
              <w:rPr>
                <w:rFonts w:ascii="Arial" w:cs="Arial" w:eastAsia="Arial" w:hAnsi="Arial"/>
                <w:sz w:val="18"/>
                <w:szCs w:val="18"/>
                <w:color w:val="auto"/>
              </w:rPr>
              <w:t>8,914</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TNI and MNI</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7,295</w:t>
            </w:r>
          </w:p>
        </w:tc>
        <w:tc>
          <w:tcPr>
            <w:tcW w:w="1660" w:type="dxa"/>
            <w:vAlign w:val="bottom"/>
          </w:tcPr>
          <w:p>
            <w:pPr>
              <w:jc w:val="right"/>
              <w:spacing w:after="0"/>
              <w:rPr>
                <w:sz w:val="20"/>
                <w:szCs w:val="20"/>
                <w:color w:val="auto"/>
              </w:rPr>
            </w:pPr>
            <w:r>
              <w:rPr>
                <w:rFonts w:ascii="Arial" w:cs="Arial" w:eastAsia="Arial" w:hAnsi="Arial"/>
                <w:sz w:val="18"/>
                <w:szCs w:val="18"/>
                <w:color w:val="auto"/>
              </w:rPr>
              <w:t>7,886</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4,265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Assets gain on sales, impairments and other, net</w:t>
            </w:r>
          </w:p>
        </w:tc>
        <w:tc>
          <w:tcPr>
            <w:tcW w:w="3600" w:type="dxa"/>
            <w:vAlign w:val="bottom"/>
          </w:tcPr>
          <w:p>
            <w:pPr>
              <w:jc w:val="right"/>
              <w:spacing w:after="0"/>
              <w:rPr>
                <w:sz w:val="20"/>
                <w:szCs w:val="20"/>
                <w:color w:val="auto"/>
              </w:rPr>
            </w:pPr>
            <w:r>
              <w:rPr>
                <w:rFonts w:ascii="Arial" w:cs="Arial" w:eastAsia="Arial" w:hAnsi="Arial"/>
                <w:sz w:val="18"/>
                <w:szCs w:val="18"/>
                <w:color w:val="auto"/>
              </w:rPr>
              <w:t>(1,469)</w:t>
            </w:r>
          </w:p>
        </w:tc>
        <w:tc>
          <w:tcPr>
            <w:tcW w:w="1660" w:type="dxa"/>
            <w:vAlign w:val="bottom"/>
          </w:tcPr>
          <w:p>
            <w:pPr>
              <w:jc w:val="right"/>
              <w:spacing w:after="0"/>
              <w:rPr>
                <w:sz w:val="20"/>
                <w:szCs w:val="20"/>
                <w:color w:val="auto"/>
              </w:rPr>
            </w:pPr>
            <w:r>
              <w:rPr>
                <w:rFonts w:ascii="Arial" w:cs="Arial" w:eastAsia="Arial" w:hAnsi="Arial"/>
                <w:sz w:val="18"/>
                <w:szCs w:val="18"/>
                <w:color w:val="auto"/>
              </w:rPr>
              <w:t>(2,563)</w:t>
            </w: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Add:</w:t>
            </w:r>
          </w:p>
        </w:tc>
        <w:tc>
          <w:tcPr>
            <w:tcW w:w="36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5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Ownership share of TNI and MNI EBITDA (50%)</w:t>
            </w:r>
          </w:p>
        </w:tc>
        <w:tc>
          <w:tcPr>
            <w:tcW w:w="3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2,052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2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3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18,649</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17,619</w:t>
            </w:r>
          </w:p>
        </w:tc>
      </w:tr>
      <w:tr>
        <w:trPr>
          <w:trHeight w:val="21"/>
        </w:trPr>
        <w:tc>
          <w:tcPr>
            <w:tcW w:w="598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24, 2023</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December 25, 2022</w:t>
            </w:r>
          </w:p>
        </w:tc>
      </w:tr>
      <w:tr>
        <w:trPr>
          <w:trHeight w:val="250"/>
        </w:trPr>
        <w:tc>
          <w:tcPr>
            <w:tcW w:w="476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149,386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175,621</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48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7,295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Assets gain on sales, impairments and other, net</w:t>
            </w:r>
          </w:p>
        </w:tc>
        <w:tc>
          <w:tcPr>
            <w:tcW w:w="4820" w:type="dxa"/>
            <w:vAlign w:val="bottom"/>
          </w:tcPr>
          <w:p>
            <w:pPr>
              <w:jc w:val="right"/>
              <w:spacing w:after="0"/>
              <w:rPr>
                <w:sz w:val="20"/>
                <w:szCs w:val="20"/>
                <w:color w:val="auto"/>
              </w:rPr>
            </w:pPr>
            <w:r>
              <w:rPr>
                <w:rFonts w:ascii="Arial" w:cs="Arial" w:eastAsia="Arial" w:hAnsi="Arial"/>
                <w:sz w:val="18"/>
                <w:szCs w:val="18"/>
                <w:color w:val="auto"/>
              </w:rPr>
              <w:t>(1,469)</w:t>
            </w:r>
          </w:p>
        </w:tc>
        <w:tc>
          <w:tcPr>
            <w:tcW w:w="1660" w:type="dxa"/>
            <w:vAlign w:val="bottom"/>
          </w:tcPr>
          <w:p>
            <w:pPr>
              <w:jc w:val="right"/>
              <w:spacing w:after="0"/>
              <w:rPr>
                <w:sz w:val="20"/>
                <w:szCs w:val="20"/>
                <w:color w:val="auto"/>
              </w:rPr>
            </w:pPr>
            <w:r>
              <w:rPr>
                <w:rFonts w:ascii="Arial" w:cs="Arial" w:eastAsia="Arial" w:hAnsi="Arial"/>
                <w:sz w:val="18"/>
                <w:szCs w:val="18"/>
                <w:color w:val="auto"/>
              </w:rPr>
              <w:t>(2,563)</w:t>
            </w:r>
          </w:p>
        </w:tc>
      </w:tr>
      <w:tr>
        <w:trPr>
          <w:trHeight w:val="230"/>
        </w:trPr>
        <w:tc>
          <w:tcPr>
            <w:tcW w:w="4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4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4,265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2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Costs</w:t>
            </w:r>
          </w:p>
        </w:tc>
        <w:tc>
          <w:tcPr>
            <w:tcW w:w="4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139,295</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169,652</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902"/>
        </w:trPr>
        <w:tc>
          <w:tcPr>
            <w:tcW w:w="4760" w:type="dxa"/>
            <w:vAlign w:val="bottom"/>
          </w:tcPr>
          <w:p>
            <w:pPr>
              <w:spacing w:after="0"/>
              <w:rPr>
                <w:sz w:val="24"/>
                <w:szCs w:val="24"/>
                <w:color w:val="auto"/>
              </w:rPr>
            </w:pPr>
          </w:p>
        </w:tc>
        <w:tc>
          <w:tcPr>
            <w:tcW w:w="4820" w:type="dxa"/>
            <w:vAlign w:val="bottom"/>
          </w:tcPr>
          <w:p>
            <w:pPr>
              <w:jc w:val="right"/>
              <w:ind w:right="3770"/>
              <w:spacing w:after="0"/>
              <w:rPr>
                <w:sz w:val="20"/>
                <w:szCs w:val="20"/>
                <w:color w:val="auto"/>
              </w:rPr>
            </w:pPr>
            <w:r>
              <w:rPr>
                <w:rFonts w:ascii="Arial" w:cs="Arial" w:eastAsia="Arial" w:hAnsi="Arial"/>
                <w:sz w:val="18"/>
                <w:szCs w:val="18"/>
                <w:color w:val="auto"/>
              </w:rPr>
              <w:t>16</w:t>
            </w:r>
          </w:p>
        </w:tc>
        <w:tc>
          <w:tcPr>
            <w:tcW w:w="1660" w:type="dxa"/>
            <w:vAlign w:val="bottom"/>
          </w:tcPr>
          <w:p>
            <w:pPr>
              <w:spacing w:after="0"/>
              <w:rPr>
                <w:sz w:val="24"/>
                <w:szCs w:val="24"/>
                <w:color w:val="auto"/>
              </w:rPr>
            </w:pPr>
          </w:p>
        </w:tc>
      </w:tr>
      <w:tr>
        <w:trPr>
          <w:trHeight w:val="111"/>
        </w:trPr>
        <w:tc>
          <w:tcPr>
            <w:tcW w:w="476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operations have historically generated strong positive cash flow and are expected to provide sufficient liquidity, together with cash on hand, to meet our requirements, primarily operating expenses, interest expense and capital expenditures. A summary of our cash flows is included in the narrative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provided by operating activities totaled $0.1 million in 2024 compared to cash required for operating activities of $2.2 million in 2023, an increase of $2.3 million. The increase was driven by an increase in working capital of $3.7 million, primarily related to favorable change in accounts receivable and accounts payable, partially offset by a decrease in operating results of $1.5 million (defined as net income (loss) adjusted for non-working capital items).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provided by investing activities totaled $2.1 million in the 2024 Period compared to cash provided by investing activities of $ 4.5 million in the 2023 Period. 2024 and 2023 included $3.1 million and $4.1 million, respectively, in proceeds from the sale of assets as the Company divested non-core real estate.</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anticipate that funds necessary for capital expenditures, which are expected to total up to $10.0 million in 2024, and other requirements, will be available from internally generated funds.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required for financing activities totaled $1.4 million in the 2024 Period compared to $0.2 million in the 2023 Period. Debt reduction accounted for nearly all the usage of funds in 2024.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on Liquidity</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liquidity, consisting of cash on the balance sheet, totaled $ 15.4 million on December 24, 2023. This liquidity amount excludes any future cash flows from operations. We expect all interest and principal payments due in the next twelve months will be satisfied by existing cash and our cash flows, which will allow us to maintain an adequate level of liquidity.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are paid more than the current United States or state minimum wage rates. However, until changes to such rates are enacted, the impact of the changes cannot be determined.</w:t>
      </w:r>
    </w:p>
    <w:p>
      <w:pPr>
        <w:spacing w:after="0" w:line="13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September 24, 2023, 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Based on that evaluation the Company has concluded that, because the material weakness in the Company's internal control that existed as of September 24, 2023 and have not been remediated by the end of the period covered by this report, our disclosure controls and procedures were not effective.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material weakness identified by the Company is described below:</w:t>
      </w:r>
    </w:p>
    <w:p>
      <w:pPr>
        <w:spacing w:after="0" w:line="185" w:lineRule="exact"/>
        <w:rPr>
          <w:sz w:val="20"/>
          <w:szCs w:val="20"/>
          <w:color w:val="auto"/>
        </w:rPr>
      </w:pPr>
    </w:p>
    <w:p>
      <w:pPr>
        <w:jc w:val="both"/>
        <w:ind w:left="6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did not design and implement controls to assess the reliability of certain internally generated information, or evaluate information received from certain third-party service providers, that are relevant to certain revenue recognized in the Company's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Plans and Actions</w:t>
      </w:r>
    </w:p>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Management is committed to remediating the material weakness that has been identified and maintaining an effective system of disclosure controls and procedures. During fiscal 2023, management executed certain actions steps to remediate the material weakness, including:</w:t>
      </w:r>
    </w:p>
    <w:p>
      <w:pPr>
        <w:spacing w:after="0" w:line="180" w:lineRule="exact"/>
        <w:rPr>
          <w:sz w:val="20"/>
          <w:szCs w:val="20"/>
          <w:color w:val="auto"/>
        </w:rPr>
      </w:pPr>
    </w:p>
    <w:p>
      <w:pPr>
        <w:jc w:val="both"/>
        <w:ind w:left="660" w:hanging="328"/>
        <w:spacing w:after="0" w:line="25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a project team to review, evaluate and remediate the material weakness in internal controls over financial reporting. The Company's recently expanded Corporate Compliance function is leading management's efforts related to effective control design, documentation and implementation, as well as remediate ineffective controls.</w:t>
      </w:r>
    </w:p>
    <w:p>
      <w:pPr>
        <w:spacing w:after="0" w:line="209"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Enhanced the design of internal controls around evaluating data provided by third-parties, which included the initial implementation of a new revenue IT system.</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Management will continue to execute the remediation steps outlined above until the material weakness is remediated. The material weakness will not be considered remediated until the remediated and/or newly implemented internal controls operate for a sufficient period of time and management has concluded, through testing, that these internal controls are operating effectively. We are working to have the material weakness remediated as soon as possible.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0" w:lineRule="exact"/>
        <w:rPr>
          <w:sz w:val="20"/>
          <w:szCs w:val="20"/>
          <w:color w:val="auto"/>
        </w:rPr>
      </w:pPr>
    </w:p>
    <w:p>
      <w:pPr>
        <w:spacing w:after="0" w:line="39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2023 Form 10-K.</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may, from time to time, evaluate and pursue other opportunities for growth, including through strategic investments, joint ventures, and other acquisitions. These strategic initiatives involve various inherent risks, including, without limitation, general business risk, integration and synergy risk, market acceptance risk and risks associated with the potential distraction of management. Such transactions and initiatives may not ultimately create value for us or our stockholders and may harm our reputation and materially adversely affect our business, financial condition, and results of operations.</w:t>
      </w:r>
    </w:p>
    <w:p>
      <w:pPr>
        <w:spacing w:after="0" w:line="13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or arrangements filed pursuant to Item 601(b)(10)(iii)(A) of Regulation S-K. All other documents listed are filed with this Quarterly Report on Form 10-Q.</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8560" w:type="dxa"/>
            <w:vAlign w:val="bottom"/>
            <w:tcBorders>
              <w:top w:val="single" w:sz="8" w:color="auto"/>
              <w:bottom w:val="single" w:sz="8" w:color="auto"/>
            </w:tcBorders>
            <w:gridSpan w:val="5"/>
          </w:tcPr>
          <w:p>
            <w:pPr>
              <w:ind w:left="3780"/>
              <w:spacing w:after="0"/>
              <w:rPr>
                <w:sz w:val="20"/>
                <w:szCs w:val="20"/>
                <w:color w:val="auto"/>
              </w:rPr>
            </w:pPr>
            <w:r>
              <w:rPr>
                <w:rFonts w:ascii="Arial" w:cs="Arial" w:eastAsia="Arial" w:hAnsi="Arial"/>
                <w:sz w:val="18"/>
                <w:szCs w:val="18"/>
                <w:color w:val="auto"/>
              </w:rPr>
              <w:t>Description</w:t>
            </w:r>
          </w:p>
        </w:tc>
        <w:tc>
          <w:tcPr>
            <w:tcW w:w="1300" w:type="dxa"/>
            <w:vAlign w:val="bottom"/>
            <w:tcBorders>
              <w:top w:val="single" w:sz="8" w:color="auto"/>
              <w:bottom w:val="single" w:sz="8" w:color="auto"/>
            </w:tcBorders>
          </w:tcPr>
          <w:p>
            <w:pPr>
              <w:spacing w:after="0"/>
              <w:rPr>
                <w:sz w:val="21"/>
                <w:szCs w:val="21"/>
                <w:color w:val="auto"/>
              </w:rPr>
            </w:pPr>
          </w:p>
        </w:tc>
      </w:tr>
      <w:tr>
        <w:trPr>
          <w:trHeight w:val="439"/>
        </w:trPr>
        <w:tc>
          <w:tcPr>
            <w:tcW w:w="1380" w:type="dxa"/>
            <w:vAlign w:val="bottom"/>
          </w:tcPr>
          <w:p>
            <w:pPr>
              <w:ind w:left="20"/>
              <w:spacing w:after="0"/>
              <w:rPr>
                <w:sz w:val="20"/>
                <w:szCs w:val="20"/>
                <w:color w:val="auto"/>
              </w:rPr>
            </w:pPr>
            <w:r>
              <w:rPr>
                <w:rFonts w:ascii="Arial" w:cs="Arial" w:eastAsia="Arial" w:hAnsi="Arial"/>
                <w:sz w:val="18"/>
                <w:szCs w:val="18"/>
                <w:color w:val="auto"/>
              </w:rPr>
              <w:t>31.1</w:t>
            </w:r>
          </w:p>
        </w:tc>
        <w:tc>
          <w:tcPr>
            <w:tcW w:w="42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Rule 13a-14(a) Certification of Chief Executive Officer</w:t>
            </w:r>
          </w:p>
        </w:tc>
        <w:tc>
          <w:tcPr>
            <w:tcW w:w="4280" w:type="dxa"/>
            <w:vAlign w:val="bottom"/>
          </w:tcPr>
          <w:p>
            <w:pPr>
              <w:spacing w:after="0"/>
              <w:rPr>
                <w:sz w:val="24"/>
                <w:szCs w:val="24"/>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31.2</w:t>
            </w:r>
          </w:p>
        </w:tc>
        <w:tc>
          <w:tcPr>
            <w:tcW w:w="42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Rule 13a-14(a) Certification of Chief Financial Officer</w:t>
            </w:r>
          </w:p>
        </w:tc>
        <w:tc>
          <w:tcPr>
            <w:tcW w:w="4340" w:type="dxa"/>
            <w:vAlign w:val="bottom"/>
            <w:gridSpan w:val="2"/>
          </w:tcPr>
          <w:p>
            <w:pPr>
              <w:spacing w:after="0"/>
              <w:rPr>
                <w:sz w:val="18"/>
                <w:szCs w:val="18"/>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32.1</w:t>
            </w:r>
          </w:p>
        </w:tc>
        <w:tc>
          <w:tcPr>
            <w:tcW w:w="8560" w:type="dxa"/>
            <w:vAlign w:val="bottom"/>
            <w:gridSpan w:val="5"/>
          </w:tcPr>
          <w:p>
            <w:pPr>
              <w:spacing w:after="0"/>
              <w:rPr>
                <w:sz w:val="20"/>
                <w:szCs w:val="20"/>
                <w:color w:val="auto"/>
              </w:rPr>
            </w:pPr>
            <w:r>
              <w:rPr>
                <w:rFonts w:ascii="Arial" w:cs="Arial" w:eastAsia="Arial" w:hAnsi="Arial"/>
                <w:sz w:val="18"/>
                <w:szCs w:val="18"/>
                <w:color w:val="0000FF"/>
              </w:rPr>
              <w:t>Section 1350 Certification of Chief Executive Officer</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32.2</w:t>
            </w:r>
          </w:p>
        </w:tc>
        <w:tc>
          <w:tcPr>
            <w:tcW w:w="41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4440" w:type="dxa"/>
            <w:vAlign w:val="bottom"/>
            <w:gridSpan w:val="3"/>
          </w:tcPr>
          <w:p>
            <w:pPr>
              <w:spacing w:after="0"/>
              <w:rPr>
                <w:sz w:val="18"/>
                <w:szCs w:val="18"/>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0"/>
        </w:trPr>
        <w:tc>
          <w:tcPr>
            <w:tcW w:w="1380" w:type="dxa"/>
            <w:vAlign w:val="bottom"/>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Arial" w:cs="Arial" w:eastAsia="Arial" w:hAnsi="Arial"/>
                <w:sz w:val="18"/>
                <w:szCs w:val="18"/>
                <w:color w:val="auto"/>
              </w:rPr>
              <w:t>101.INS</w:t>
            </w:r>
          </w:p>
        </w:tc>
        <w:tc>
          <w:tcPr>
            <w:tcW w:w="8560" w:type="dxa"/>
            <w:vAlign w:val="bottom"/>
            <w:gridSpan w:val="5"/>
          </w:tcPr>
          <w:p>
            <w:pPr>
              <w:spacing w:after="0" w:line="196" w:lineRule="exact"/>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1300" w:type="dxa"/>
            <w:vAlign w:val="bottom"/>
          </w:tcPr>
          <w:p>
            <w:pPr>
              <w:ind w:left="580"/>
              <w:spacing w:after="0" w:line="196" w:lineRule="exact"/>
              <w:rPr>
                <w:sz w:val="20"/>
                <w:szCs w:val="20"/>
                <w:color w:val="auto"/>
              </w:rPr>
            </w:pPr>
            <w:r>
              <w:rPr>
                <w:rFonts w:ascii="Arial" w:cs="Arial" w:eastAsia="Arial" w:hAnsi="Arial"/>
                <w:sz w:val="18"/>
                <w:szCs w:val="18"/>
                <w:color w:val="auto"/>
                <w:w w:val="98"/>
              </w:rPr>
              <w:t>Attached</w:t>
            </w:r>
          </w:p>
        </w:tc>
      </w:tr>
      <w:tr>
        <w:trPr>
          <w:trHeight w:val="238"/>
        </w:trPr>
        <w:tc>
          <w:tcPr>
            <w:tcW w:w="1380" w:type="dxa"/>
            <w:vAlign w:val="bottom"/>
          </w:tcPr>
          <w:p>
            <w:pPr>
              <w:spacing w:after="0"/>
              <w:rPr>
                <w:sz w:val="20"/>
                <w:szCs w:val="20"/>
                <w:color w:val="auto"/>
              </w:rPr>
            </w:pPr>
          </w:p>
        </w:tc>
        <w:tc>
          <w:tcPr>
            <w:tcW w:w="8560" w:type="dxa"/>
            <w:vAlign w:val="bottom"/>
            <w:gridSpan w:val="5"/>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1300" w:type="dxa"/>
            <w:vAlign w:val="bottom"/>
          </w:tcPr>
          <w:p>
            <w:pPr>
              <w:spacing w:after="0"/>
              <w:rPr>
                <w:sz w:val="20"/>
                <w:szCs w:val="20"/>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101.SCH</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101.CAL</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101.DEF</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101.LAB</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101.PRE</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300" w:type="dxa"/>
            <w:vAlign w:val="bottom"/>
          </w:tcPr>
          <w:p>
            <w:pPr>
              <w:ind w:left="580"/>
              <w:spacing w:after="0"/>
              <w:rPr>
                <w:sz w:val="20"/>
                <w:szCs w:val="20"/>
                <w:color w:val="auto"/>
              </w:rPr>
            </w:pPr>
            <w:r>
              <w:rPr>
                <w:rFonts w:ascii="Arial" w:cs="Arial" w:eastAsia="Arial" w:hAnsi="Arial"/>
                <w:sz w:val="18"/>
                <w:szCs w:val="18"/>
                <w:color w:val="auto"/>
                <w:w w:val="98"/>
              </w:rPr>
              <w:t>Attached</w:t>
            </w:r>
          </w:p>
        </w:tc>
      </w:tr>
      <w:tr>
        <w:trPr>
          <w:trHeight w:val="181"/>
        </w:trPr>
        <w:tc>
          <w:tcPr>
            <w:tcW w:w="1380" w:type="dxa"/>
            <w:vAlign w:val="bottom"/>
          </w:tcPr>
          <w:p>
            <w:pPr>
              <w:ind w:left="20"/>
              <w:spacing w:after="0" w:line="181" w:lineRule="exact"/>
              <w:rPr>
                <w:sz w:val="20"/>
                <w:szCs w:val="20"/>
                <w:color w:val="auto"/>
              </w:rPr>
            </w:pPr>
            <w:r>
              <w:rPr>
                <w:rFonts w:ascii="Arial" w:cs="Arial" w:eastAsia="Arial" w:hAnsi="Arial"/>
                <w:sz w:val="18"/>
                <w:szCs w:val="18"/>
                <w:color w:val="auto"/>
              </w:rPr>
              <w:t>104</w:t>
            </w:r>
          </w:p>
        </w:tc>
        <w:tc>
          <w:tcPr>
            <w:tcW w:w="8560" w:type="dxa"/>
            <w:vAlign w:val="bottom"/>
            <w:gridSpan w:val="5"/>
          </w:tcPr>
          <w:p>
            <w:pPr>
              <w:spacing w:after="0" w:line="181"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1300" w:type="dxa"/>
            <w:vAlign w:val="bottom"/>
          </w:tcPr>
          <w:p>
            <w:pPr>
              <w:ind w:left="580"/>
              <w:spacing w:after="0" w:line="181" w:lineRule="exact"/>
              <w:rPr>
                <w:sz w:val="20"/>
                <w:szCs w:val="20"/>
                <w:color w:val="auto"/>
              </w:rPr>
            </w:pPr>
            <w:r>
              <w:rPr>
                <w:rFonts w:ascii="Arial" w:cs="Arial" w:eastAsia="Arial" w:hAnsi="Arial"/>
                <w:sz w:val="18"/>
                <w:szCs w:val="18"/>
                <w:color w:val="auto"/>
                <w:w w:val="98"/>
              </w:rPr>
              <w:t>Attached</w:t>
            </w:r>
          </w:p>
        </w:tc>
      </w:tr>
      <w:tr>
        <w:trPr>
          <w:trHeight w:val="241"/>
        </w:trPr>
        <w:tc>
          <w:tcPr>
            <w:tcW w:w="1380" w:type="dxa"/>
            <w:vAlign w:val="bottom"/>
            <w:tcBorders>
              <w:bottom w:val="single" w:sz="8" w:color="auto"/>
            </w:tcBorders>
          </w:tcPr>
          <w:p>
            <w:pPr>
              <w:spacing w:after="0"/>
              <w:rPr>
                <w:sz w:val="20"/>
                <w:szCs w:val="20"/>
                <w:color w:val="auto"/>
              </w:rPr>
            </w:pPr>
          </w:p>
        </w:tc>
        <w:tc>
          <w:tcPr>
            <w:tcW w:w="85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document)</w:t>
            </w:r>
          </w:p>
        </w:tc>
        <w:tc>
          <w:tcPr>
            <w:tcW w:w="1300" w:type="dxa"/>
            <w:vAlign w:val="bottom"/>
            <w:tcBorders>
              <w:bottom w:val="single" w:sz="8" w:color="auto"/>
            </w:tcBorders>
          </w:tcPr>
          <w:p>
            <w:pPr>
              <w:spacing w:after="0"/>
              <w:rPr>
                <w:sz w:val="20"/>
                <w:szCs w:val="20"/>
                <w:color w:val="auto"/>
              </w:rPr>
            </w:pPr>
          </w:p>
        </w:tc>
      </w:tr>
      <w:tr>
        <w:trPr>
          <w:trHeight w:val="891"/>
        </w:trPr>
        <w:tc>
          <w:tcPr>
            <w:tcW w:w="1380" w:type="dxa"/>
            <w:vAlign w:val="bottom"/>
          </w:tcPr>
          <w:p>
            <w:pPr>
              <w:spacing w:after="0"/>
              <w:rPr>
                <w:sz w:val="24"/>
                <w:szCs w:val="24"/>
                <w:color w:val="auto"/>
              </w:rPr>
            </w:pPr>
          </w:p>
        </w:tc>
        <w:tc>
          <w:tcPr>
            <w:tcW w:w="8560" w:type="dxa"/>
            <w:vAlign w:val="bottom"/>
            <w:gridSpan w:val="5"/>
          </w:tcPr>
          <w:p>
            <w:pPr>
              <w:ind w:left="4140"/>
              <w:spacing w:after="0"/>
              <w:rPr>
                <w:sz w:val="20"/>
                <w:szCs w:val="20"/>
                <w:color w:val="auto"/>
              </w:rPr>
            </w:pPr>
            <w:r>
              <w:rPr>
                <w:rFonts w:ascii="Arial" w:cs="Arial" w:eastAsia="Arial" w:hAnsi="Arial"/>
                <w:sz w:val="18"/>
                <w:szCs w:val="18"/>
                <w:color w:val="auto"/>
              </w:rPr>
              <w:t>19</w:t>
            </w:r>
          </w:p>
        </w:tc>
        <w:tc>
          <w:tcPr>
            <w:tcW w:w="1300" w:type="dxa"/>
            <w:vAlign w:val="bottom"/>
          </w:tcPr>
          <w:p>
            <w:pPr>
              <w:spacing w:after="0"/>
              <w:rPr>
                <w:sz w:val="24"/>
                <w:szCs w:val="24"/>
                <w:color w:val="auto"/>
              </w:rPr>
            </w:pPr>
          </w:p>
        </w:tc>
      </w:tr>
      <w:tr>
        <w:trPr>
          <w:trHeight w:val="111"/>
        </w:trPr>
        <w:tc>
          <w:tcPr>
            <w:tcW w:w="138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239"/>
        </w:trPr>
        <w:tc>
          <w:tcPr>
            <w:tcW w:w="4740" w:type="dxa"/>
            <w:vAlign w:val="bottom"/>
          </w:tcPr>
          <w:p>
            <w:pPr>
              <w:ind w:left="20"/>
              <w:spacing w:after="0"/>
              <w:rPr>
                <w:sz w:val="20"/>
                <w:szCs w:val="20"/>
                <w:color w:val="auto"/>
              </w:rPr>
            </w:pPr>
            <w:r>
              <w:rPr>
                <w:rFonts w:ascii="Arial" w:cs="Arial" w:eastAsia="Arial" w:hAnsi="Arial"/>
                <w:sz w:val="18"/>
                <w:szCs w:val="18"/>
                <w:color w:val="auto"/>
              </w:rPr>
              <w:t>LEE ENTERPRISES, INCORPORATED</w:t>
            </w:r>
          </w:p>
        </w:tc>
        <w:tc>
          <w:tcPr>
            <w:tcW w:w="16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9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Millage</w:t>
            </w:r>
          </w:p>
        </w:tc>
        <w:tc>
          <w:tcPr>
            <w:tcW w:w="1680" w:type="dxa"/>
            <w:vAlign w:val="bottom"/>
            <w:tcBorders>
              <w:bottom w:val="single" w:sz="8" w:color="auto"/>
            </w:tcBorders>
          </w:tcPr>
          <w:p>
            <w:pPr>
              <w:spacing w:after="0"/>
              <w:rPr>
                <w:sz w:val="24"/>
                <w:szCs w:val="24"/>
                <w:color w:val="auto"/>
              </w:rPr>
            </w:pPr>
          </w:p>
        </w:tc>
        <w:tc>
          <w:tcPr>
            <w:tcW w:w="4320" w:type="dxa"/>
            <w:vAlign w:val="bottom"/>
          </w:tcPr>
          <w:p>
            <w:pPr>
              <w:ind w:left="2940"/>
              <w:spacing w:after="0"/>
              <w:rPr>
                <w:sz w:val="20"/>
                <w:szCs w:val="20"/>
                <w:color w:val="auto"/>
              </w:rPr>
            </w:pPr>
            <w:r>
              <w:rPr>
                <w:rFonts w:ascii="Arial" w:cs="Arial" w:eastAsia="Arial" w:hAnsi="Arial"/>
                <w:sz w:val="18"/>
                <w:szCs w:val="18"/>
                <w:color w:val="auto"/>
                <w:w w:val="99"/>
              </w:rPr>
              <w:t>February 2, 2024</w:t>
            </w:r>
          </w:p>
        </w:tc>
      </w:tr>
      <w:tr>
        <w:trPr>
          <w:trHeight w:val="218"/>
        </w:trPr>
        <w:tc>
          <w:tcPr>
            <w:tcW w:w="4740" w:type="dxa"/>
            <w:vAlign w:val="bottom"/>
          </w:tcPr>
          <w:p>
            <w:pPr>
              <w:ind w:left="20"/>
              <w:spacing w:after="0"/>
              <w:rPr>
                <w:sz w:val="20"/>
                <w:szCs w:val="20"/>
                <w:color w:val="auto"/>
              </w:rPr>
            </w:pPr>
            <w:r>
              <w:rPr>
                <w:rFonts w:ascii="Arial" w:cs="Arial" w:eastAsia="Arial" w:hAnsi="Arial"/>
                <w:sz w:val="18"/>
                <w:szCs w:val="18"/>
                <w:color w:val="auto"/>
              </w:rPr>
              <w:t>Timothy R. Millage</w:t>
            </w:r>
          </w:p>
        </w:tc>
        <w:tc>
          <w:tcPr>
            <w:tcW w:w="168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c>
          <w:tcPr>
            <w:tcW w:w="168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239"/>
        </w:trPr>
        <w:tc>
          <w:tcPr>
            <w:tcW w:w="47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6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904"/>
        </w:trPr>
        <w:tc>
          <w:tcPr>
            <w:tcW w:w="4740" w:type="dxa"/>
            <w:vAlign w:val="bottom"/>
          </w:tcPr>
          <w:p>
            <w:pPr>
              <w:spacing w:after="0"/>
              <w:rPr>
                <w:sz w:val="24"/>
                <w:szCs w:val="24"/>
                <w:color w:val="auto"/>
              </w:rPr>
            </w:pPr>
          </w:p>
        </w:tc>
        <w:tc>
          <w:tcPr>
            <w:tcW w:w="1680" w:type="dxa"/>
            <w:vAlign w:val="bottom"/>
          </w:tcPr>
          <w:p>
            <w:pPr>
              <w:jc w:val="right"/>
              <w:ind w:right="850"/>
              <w:spacing w:after="0"/>
              <w:rPr>
                <w:sz w:val="20"/>
                <w:szCs w:val="20"/>
                <w:color w:val="auto"/>
              </w:rPr>
            </w:pPr>
            <w:r>
              <w:rPr>
                <w:rFonts w:ascii="Arial" w:cs="Arial" w:eastAsia="Arial" w:hAnsi="Arial"/>
                <w:sz w:val="18"/>
                <w:szCs w:val="18"/>
                <w:color w:val="auto"/>
              </w:rPr>
              <w:t>20</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58"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2024</w:t>
      </w:r>
    </w:p>
    <w:p>
      <w:pPr>
        <w:spacing w:after="0" w:line="19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33172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Kevin D. Mowbray</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079"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58"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2024</w:t>
      </w:r>
    </w:p>
    <w:p>
      <w:pPr>
        <w:spacing w:after="0" w:line="19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17780</wp:posOffset>
            </wp:positionV>
            <wp:extent cx="38144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Timothy R. Millage</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079" w:right="339" w:bottom="1440" w:gutter="0" w:footer="0" w:header="0"/>
        </w:sectPr>
      </w:pPr>
    </w:p>
    <w:bookmarkStart w:id="24" w:name="page25"/>
    <w:bookmarkEnd w:id="24"/>
    <w:p>
      <w:pPr>
        <w:ind w:left="10240"/>
        <w:spacing w:after="0"/>
        <w:rPr>
          <w:sz w:val="20"/>
          <w:szCs w:val="20"/>
          <w:color w:val="auto"/>
        </w:rPr>
      </w:pPr>
      <w:r>
        <w:rPr>
          <w:rFonts w:ascii="Arial" w:cs="Arial" w:eastAsia="Arial" w:hAnsi="Arial"/>
          <w:sz w:val="17"/>
          <w:szCs w:val="17"/>
          <w:b w:val="1"/>
          <w:bCs w:val="1"/>
          <w:color w:val="auto"/>
        </w:rPr>
        <w:t>Exhibit 32.1</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120" w:hanging="492"/>
        <w:spacing w:after="0" w:line="287" w:lineRule="auto"/>
        <w:tabs>
          <w:tab w:leader="none" w:pos="49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December 24, 2023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2024</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8144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D. Mowbray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06" w:right="339" w:bottom="1440" w:gutter="0" w:footer="0" w:header="0"/>
        </w:sectPr>
      </w:pPr>
    </w:p>
    <w:bookmarkStart w:id="25" w:name="page26"/>
    <w:bookmarkEnd w:id="25"/>
    <w:p>
      <w:pPr>
        <w:ind w:left="10240"/>
        <w:spacing w:after="0"/>
        <w:rPr>
          <w:sz w:val="20"/>
          <w:szCs w:val="20"/>
          <w:color w:val="auto"/>
        </w:rPr>
      </w:pPr>
      <w:r>
        <w:rPr>
          <w:rFonts w:ascii="Arial" w:cs="Arial" w:eastAsia="Arial" w:hAnsi="Arial"/>
          <w:sz w:val="17"/>
          <w:szCs w:val="17"/>
          <w:b w:val="1"/>
          <w:bCs w:val="1"/>
          <w:color w:val="auto"/>
        </w:rPr>
        <w:t>Exhibit 32.2</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120" w:hanging="492"/>
        <w:spacing w:after="0" w:line="287" w:lineRule="auto"/>
        <w:tabs>
          <w:tab w:leader="none" w:pos="4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December 24, 2023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2024</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8144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and Treasurer</w:t>
      </w:r>
    </w:p>
    <w:p>
      <w:pPr>
        <w:spacing w:after="0" w:line="2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5"/>
      <w:numFmt w:val="bullet"/>
      <w:start w:val="1"/>
    </w:lvl>
  </w:abstractNum>
  <w:abstractNum w:abstractNumId="5">
    <w:nsid w:val="41A7C4C9"/>
    <w:multiLevelType w:val="hybridMultilevel"/>
    <w:lvl w:ilvl="0">
      <w:lvlJc w:val="left"/>
      <w:lvlText w:val="6"/>
      <w:numFmt w:val="bullet"/>
      <w:start w:val="1"/>
    </w:lvl>
  </w:abstractNum>
  <w:abstractNum w:abstractNumId="6">
    <w:nsid w:val="6B68079A"/>
    <w:multiLevelType w:val="hybridMultilevel"/>
    <w:lvl w:ilvl="0">
      <w:lvlJc w:val="left"/>
      <w:lvlText w:val="7"/>
      <w:numFmt w:val="bullet"/>
      <w:start w:val="1"/>
    </w:lvl>
  </w:abstractNum>
  <w:abstractNum w:abstractNumId="7">
    <w:nsid w:val="4E6AFB66"/>
    <w:multiLevelType w:val="hybridMultilevel"/>
    <w:lvl w:ilvl="0">
      <w:lvlJc w:val="left"/>
      <w:lvlText w:val="8"/>
      <w:numFmt w:val="bullet"/>
      <w:start w:val="1"/>
    </w:lvl>
  </w:abstractNum>
  <w:abstractNum w:abstractNumId="8">
    <w:nsid w:val="25E45D32"/>
    <w:multiLevelType w:val="hybridMultilevel"/>
    <w:lvl w:ilvl="0">
      <w:lvlJc w:val="left"/>
      <w:lvlText w:val="9"/>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lvl w:ilvl="1">
      <w:lvlJc w:val="left"/>
      <w:lvlText w:val="%2)"/>
      <w:numFmt w:val="lowerLetter"/>
      <w:start w:val="1"/>
    </w:lvl>
  </w:abstractNum>
  <w:abstractNum w:abstractNumId="17">
    <w:nsid w:val="333AB105"/>
    <w:multiLevelType w:val="hybridMultilevel"/>
    <w:lvl w:ilvl="0">
      <w:lvlJc w:val="left"/>
      <w:lvlText w:val="5"/>
      <w:numFmt w:val="bullet"/>
      <w:start w:val="1"/>
    </w:lvl>
    <w:lvl w:ilvl="1">
      <w:lvlJc w:val="left"/>
      <w:lvlText w:val="%2)"/>
      <w:numFmt w:val="lowerLetter"/>
      <w:start w:val="1"/>
    </w:lvl>
  </w:abstractNum>
  <w:abstractNum w:abstractNumId="18">
    <w:nsid w:val="721DA317"/>
    <w:multiLevelType w:val="hybridMultilevel"/>
    <w:lvl w:ilvl="0">
      <w:lvlJc w:val="left"/>
      <w:lvlText w:val="1"/>
      <w:numFmt w:val="bullet"/>
      <w:start w:val="1"/>
    </w:lvl>
  </w:abstractNum>
  <w:abstractNum w:abstractNumId="19">
    <w:nsid w:val="2443A858"/>
    <w:multiLevelType w:val="hybridMultilevel"/>
    <w:lvl w:ilvl="0">
      <w:lvlJc w:val="left"/>
      <w:lvlText w:val="2"/>
      <w:numFmt w:val="bullet"/>
      <w:start w:val="1"/>
    </w:lvl>
  </w:abstractNum>
  <w:abstractNum w:abstractNumId="20">
    <w:nsid w:val="2D1D5AE9"/>
    <w:multiLevelType w:val="hybridMultilevel"/>
    <w:lvl w:ilvl="0">
      <w:lvlJc w:val="left"/>
      <w:lvlText w:val="3"/>
      <w:numFmt w:val="bullet"/>
      <w:start w:val="1"/>
    </w:lvl>
  </w:abstractNum>
  <w:abstractNum w:abstractNumId="21">
    <w:nsid w:val="6763845E"/>
    <w:multiLevelType w:val="hybridMultilevel"/>
    <w:lvl w:ilvl="0">
      <w:lvlJc w:val="left"/>
      <w:lvlText w:val="4"/>
      <w:numFmt w:val="bullet"/>
      <w:start w:val="1"/>
    </w:lvl>
    <w:lvl w:ilvl="1">
      <w:lvlJc w:val="left"/>
      <w:lvlText w:val="%2)"/>
      <w:numFmt w:val="lowerLetter"/>
      <w:start w:val="1"/>
    </w:lvl>
  </w:abstractNum>
  <w:abstractNum w:abstractNumId="22">
    <w:nsid w:val="75A2A8D4"/>
    <w:multiLevelType w:val="hybridMultilevel"/>
    <w:lvl w:ilvl="0">
      <w:lvlJc w:val="left"/>
      <w:lvlText w:val="5"/>
      <w:numFmt w:val="bullet"/>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2024-02-02T11:57:51Z</dcterms:created>
  <dcterms:modified xsi:type="dcterms:W3CDTF">2024-02-02T11:57:51Z</dcterms:modified>
</cp:coreProperties>
</file>