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326390</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351790</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x </w:t>
      </w:r>
      <w:r>
        <w:rPr>
          <w:rFonts w:ascii="Arial" w:cs="Arial" w:eastAsia="Arial" w:hAnsi="Arial"/>
          <w:sz w:val="18"/>
          <w:szCs w:val="18"/>
          <w:color w:val="auto"/>
        </w:rPr>
        <w:t>ANNUAL REPORT 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September 24, 2023</w:t>
      </w: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Arial" w:cs="Arial" w:eastAsia="Arial" w:hAnsi="Arial"/>
          <w:sz w:val="18"/>
          <w:szCs w:val="18"/>
          <w:color w:val="auto"/>
        </w:rPr>
        <w:t>TRANSITION REPORT 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1-6227</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LEE ENTERPRISES, INCORPORATED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780" w:type="dxa"/>
            <w:vAlign w:val="bottom"/>
          </w:tcPr>
          <w:p>
            <w:pPr>
              <w:jc w:val="center"/>
              <w:ind w:left="1655"/>
              <w:spacing w:after="0"/>
              <w:rPr>
                <w:sz w:val="20"/>
                <w:szCs w:val="20"/>
                <w:color w:val="auto"/>
              </w:rPr>
            </w:pPr>
            <w:r>
              <w:rPr>
                <w:rFonts w:ascii="Arial" w:cs="Arial" w:eastAsia="Arial" w:hAnsi="Arial"/>
                <w:sz w:val="18"/>
                <w:szCs w:val="18"/>
                <w:color w:val="auto"/>
                <w:w w:val="99"/>
              </w:rPr>
              <w:t>Delaware</w:t>
            </w:r>
          </w:p>
        </w:tc>
        <w:tc>
          <w:tcPr>
            <w:tcW w:w="3680" w:type="dxa"/>
            <w:vAlign w:val="bottom"/>
          </w:tcPr>
          <w:p>
            <w:pPr>
              <w:spacing w:after="0"/>
              <w:rPr>
                <w:sz w:val="20"/>
                <w:szCs w:val="20"/>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42-0823980</w:t>
            </w:r>
          </w:p>
        </w:tc>
      </w:tr>
      <w:tr>
        <w:trPr>
          <w:trHeight w:val="270"/>
        </w:trPr>
        <w:tc>
          <w:tcPr>
            <w:tcW w:w="3780" w:type="dxa"/>
            <w:vAlign w:val="bottom"/>
          </w:tcPr>
          <w:p>
            <w:pPr>
              <w:jc w:val="center"/>
              <w:ind w:left="1655"/>
              <w:spacing w:after="0"/>
              <w:rPr>
                <w:sz w:val="20"/>
                <w:szCs w:val="20"/>
                <w:color w:val="auto"/>
              </w:rPr>
            </w:pPr>
            <w:r>
              <w:rPr>
                <w:rFonts w:ascii="Arial" w:cs="Arial" w:eastAsia="Arial" w:hAnsi="Arial"/>
                <w:sz w:val="18"/>
                <w:szCs w:val="18"/>
                <w:color w:val="auto"/>
              </w:rPr>
              <w:t>(State of incorporation)</w:t>
            </w:r>
          </w:p>
        </w:tc>
        <w:tc>
          <w:tcPr>
            <w:tcW w:w="7460" w:type="dxa"/>
            <w:vAlign w:val="bottom"/>
            <w:gridSpan w:val="2"/>
          </w:tcPr>
          <w:p>
            <w:pPr>
              <w:ind w:left="3120"/>
              <w:spacing w:after="0"/>
              <w:rPr>
                <w:sz w:val="20"/>
                <w:szCs w:val="20"/>
                <w:color w:val="auto"/>
              </w:rPr>
            </w:pPr>
            <w:r>
              <w:rPr>
                <w:rFonts w:ascii="Arial" w:cs="Arial" w:eastAsia="Arial" w:hAnsi="Arial"/>
                <w:sz w:val="18"/>
                <w:szCs w:val="18"/>
                <w:color w:val="auto"/>
              </w:rPr>
              <w:t>(I.R.S. Employer Identification No.)</w:t>
            </w:r>
          </w:p>
        </w:tc>
      </w:tr>
      <w:tr>
        <w:trPr>
          <w:trHeight w:val="315"/>
        </w:trPr>
        <w:tc>
          <w:tcPr>
            <w:tcW w:w="378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rPr>
              <w:t>4600 E 53rd Street, Davenport, Iowa 52807</w:t>
            </w:r>
          </w:p>
        </w:tc>
        <w:tc>
          <w:tcPr>
            <w:tcW w:w="378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37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rPr>
              <w:t>(563) 383-2100</w:t>
            </w:r>
          </w:p>
        </w:tc>
        <w:tc>
          <w:tcPr>
            <w:tcW w:w="3780" w:type="dxa"/>
            <w:vAlign w:val="bottom"/>
          </w:tcPr>
          <w:p>
            <w:pPr>
              <w:spacing w:after="0"/>
              <w:rPr>
                <w:sz w:val="18"/>
                <w:szCs w:val="18"/>
                <w:color w:val="auto"/>
              </w:rPr>
            </w:pPr>
          </w:p>
        </w:tc>
      </w:tr>
      <w:tr>
        <w:trPr>
          <w:trHeight w:val="239"/>
        </w:trPr>
        <w:tc>
          <w:tcPr>
            <w:tcW w:w="11240" w:type="dxa"/>
            <w:vAlign w:val="bottom"/>
            <w:gridSpan w:val="3"/>
          </w:tcPr>
          <w:p>
            <w:pPr>
              <w:jc w:val="center"/>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131"/>
        </w:trPr>
        <w:tc>
          <w:tcPr>
            <w:tcW w:w="11240" w:type="dxa"/>
            <w:vAlign w:val="bottom"/>
            <w:tcBorders>
              <w:bottom w:val="single" w:sz="8" w:color="auto"/>
            </w:tcBorders>
            <w:gridSpan w:val="3"/>
          </w:tcPr>
          <w:p>
            <w:pPr>
              <w:spacing w:after="0"/>
              <w:rPr>
                <w:sz w:val="11"/>
                <w:szCs w:val="11"/>
                <w:color w:val="auto"/>
              </w:rPr>
            </w:pPr>
          </w:p>
        </w:tc>
      </w:tr>
      <w:tr>
        <w:trPr>
          <w:trHeight w:val="230"/>
        </w:trPr>
        <w:tc>
          <w:tcPr>
            <w:tcW w:w="1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7"/>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3680" w:type="dxa"/>
            <w:vAlign w:val="bottom"/>
            <w:tcBorders>
              <w:bottom w:val="single" w:sz="8" w:color="auto"/>
            </w:tcBorders>
          </w:tcPr>
          <w:p>
            <w:pPr>
              <w:jc w:val="center"/>
              <w:ind w:right="673"/>
              <w:spacing w:after="0"/>
              <w:rPr>
                <w:sz w:val="20"/>
                <w:szCs w:val="20"/>
                <w:color w:val="auto"/>
              </w:rPr>
            </w:pPr>
            <w:r>
              <w:rPr>
                <w:rFonts w:ascii="Arial" w:cs="Arial" w:eastAsia="Arial" w:hAnsi="Arial"/>
                <w:sz w:val="16"/>
                <w:szCs w:val="16"/>
                <w:color w:val="auto"/>
              </w:rPr>
              <w:t>Trading Symbol(s)</w:t>
            </w:r>
          </w:p>
        </w:tc>
        <w:tc>
          <w:tcPr>
            <w:tcW w:w="37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Name of Exchange On Which Registered</w:t>
            </w:r>
          </w:p>
        </w:tc>
      </w:tr>
      <w:tr>
        <w:trPr>
          <w:trHeight w:val="227"/>
        </w:trPr>
        <w:tc>
          <w:tcPr>
            <w:tcW w:w="3780" w:type="dxa"/>
            <w:vAlign w:val="bottom"/>
          </w:tcPr>
          <w:p>
            <w:pPr>
              <w:jc w:val="center"/>
              <w:ind w:right="15"/>
              <w:spacing w:after="0"/>
              <w:rPr>
                <w:sz w:val="20"/>
                <w:szCs w:val="20"/>
                <w:color w:val="auto"/>
              </w:rPr>
            </w:pPr>
            <w:r>
              <w:rPr>
                <w:rFonts w:ascii="Arial" w:cs="Arial" w:eastAsia="Arial" w:hAnsi="Arial"/>
                <w:sz w:val="16"/>
                <w:szCs w:val="16"/>
                <w:color w:val="auto"/>
              </w:rPr>
              <w:t>Common Stock - $0.01 par value</w:t>
            </w:r>
          </w:p>
        </w:tc>
        <w:tc>
          <w:tcPr>
            <w:tcW w:w="3680" w:type="dxa"/>
            <w:vAlign w:val="bottom"/>
          </w:tcPr>
          <w:p>
            <w:pPr>
              <w:jc w:val="center"/>
              <w:ind w:right="653"/>
              <w:spacing w:after="0"/>
              <w:rPr>
                <w:sz w:val="20"/>
                <w:szCs w:val="20"/>
                <w:color w:val="auto"/>
              </w:rPr>
            </w:pPr>
            <w:r>
              <w:rPr>
                <w:rFonts w:ascii="Arial" w:cs="Arial" w:eastAsia="Arial" w:hAnsi="Arial"/>
                <w:sz w:val="16"/>
                <w:szCs w:val="16"/>
                <w:color w:val="auto"/>
                <w:w w:val="99"/>
              </w:rPr>
              <w:t>LEE</w:t>
            </w:r>
          </w:p>
        </w:tc>
        <w:tc>
          <w:tcPr>
            <w:tcW w:w="3780" w:type="dxa"/>
            <w:vAlign w:val="bottom"/>
          </w:tcPr>
          <w:p>
            <w:pPr>
              <w:ind w:left="360"/>
              <w:spacing w:after="0"/>
              <w:rPr>
                <w:sz w:val="20"/>
                <w:szCs w:val="20"/>
                <w:color w:val="auto"/>
              </w:rPr>
            </w:pPr>
            <w:r>
              <w:rPr>
                <w:rFonts w:ascii="Arial" w:cs="Arial" w:eastAsia="Arial" w:hAnsi="Arial"/>
                <w:sz w:val="16"/>
                <w:szCs w:val="16"/>
                <w:color w:val="auto"/>
              </w:rPr>
              <w:t>The Nasdaq Global Select Market</w:t>
            </w:r>
          </w:p>
        </w:tc>
      </w:tr>
    </w:tbl>
    <w:p>
      <w:pPr>
        <w:spacing w:after="0" w:line="82" w:lineRule="exact"/>
        <w:rPr>
          <w:sz w:val="24"/>
          <w:szCs w:val="24"/>
          <w:color w:val="auto"/>
        </w:rPr>
      </w:pPr>
    </w:p>
    <w:p>
      <w:pPr>
        <w:ind w:right="1740"/>
        <w:spacing w:after="0" w:line="422" w:lineRule="auto"/>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x</w:t>
      </w:r>
    </w:p>
    <w:p>
      <w:pPr>
        <w:spacing w:after="0" w:line="1"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jc w:val="both"/>
        <w:ind w:right="20"/>
        <w:spacing w:after="0" w:line="304"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such shorter period that the Registrant was required to submit).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47"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p>
      <w:pPr>
        <w:spacing w:after="0"/>
        <w:tabs>
          <w:tab w:leader="none" w:pos="5100" w:val="left"/>
        </w:tabs>
        <w:rPr>
          <w:sz w:val="20"/>
          <w:szCs w:val="20"/>
          <w:color w:val="auto"/>
        </w:rPr>
      </w:pPr>
      <w:r>
        <w:rPr>
          <w:rFonts w:ascii="Arial" w:cs="Arial" w:eastAsia="Arial" w:hAnsi="Arial"/>
          <w:sz w:val="16"/>
          <w:szCs w:val="16"/>
          <w:color w:val="auto"/>
        </w:rPr>
        <w:t xml:space="preserve">Large accelerated filer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Accelerated filer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Non-accelerated filer </w:t>
      </w:r>
      <w:r>
        <w:rPr>
          <w:rFonts w:ascii="Wingdings" w:cs="Wingdings" w:eastAsia="Wingdings" w:hAnsi="Wingdings"/>
          <w:sz w:val="16"/>
          <w:szCs w:val="16"/>
          <w:b w:val="1"/>
          <w:bCs w:val="1"/>
          <w:color w:val="auto"/>
        </w:rPr>
        <w:t>o</w:t>
      </w:r>
      <w:r>
        <w:rPr>
          <w:rFonts w:ascii="Arial" w:cs="Arial" w:eastAsia="Arial" w:hAnsi="Arial"/>
          <w:sz w:val="16"/>
          <w:szCs w:val="16"/>
          <w:color w:val="auto"/>
        </w:rPr>
        <w:tab/>
        <w:t xml:space="preserve">Smaller Reporting Company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Emerging growth company </w:t>
      </w:r>
      <w:r>
        <w:rPr>
          <w:rFonts w:ascii="Wingdings" w:cs="Wingdings" w:eastAsia="Wingdings" w:hAnsi="Wingdings"/>
          <w:sz w:val="16"/>
          <w:szCs w:val="16"/>
          <w:b w:val="1"/>
          <w:bCs w:val="1"/>
          <w:color w:val="auto"/>
        </w:rPr>
        <w:t>o</w:t>
      </w:r>
    </w:p>
    <w:p>
      <w:pPr>
        <w:spacing w:after="0" w:line="140" w:lineRule="exact"/>
        <w:rPr>
          <w:sz w:val="24"/>
          <w:szCs w:val="24"/>
          <w:color w:val="auto"/>
        </w:rPr>
      </w:pPr>
    </w:p>
    <w:p>
      <w:pPr>
        <w:jc w:val="both"/>
        <w:spacing w:after="0" w:line="286"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75"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registrant's public accounting firm that prepared or issued its audit report. </w:t>
      </w:r>
      <w:r>
        <w:rPr>
          <w:rFonts w:ascii="Wingdings" w:cs="Wingdings" w:eastAsia="Wingdings" w:hAnsi="Wingdings"/>
          <w:sz w:val="16"/>
          <w:szCs w:val="16"/>
          <w:b w:val="1"/>
          <w:bCs w:val="1"/>
          <w:color w:val="auto"/>
        </w:rPr>
        <w:t>x</w:t>
      </w:r>
    </w:p>
    <w:p>
      <w:pPr>
        <w:spacing w:after="0" w:line="90" w:lineRule="exact"/>
        <w:rPr>
          <w:sz w:val="24"/>
          <w:szCs w:val="24"/>
          <w:color w:val="auto"/>
        </w:rPr>
      </w:pPr>
    </w:p>
    <w:p>
      <w:pPr>
        <w:jc w:val="both"/>
        <w:spacing w:after="0" w:line="304" w:lineRule="auto"/>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47" w:lineRule="exact"/>
        <w:rPr>
          <w:sz w:val="24"/>
          <w:szCs w:val="24"/>
          <w:color w:val="auto"/>
        </w:rPr>
      </w:pPr>
    </w:p>
    <w:p>
      <w:pPr>
        <w:jc w:val="both"/>
        <w:spacing w:after="0" w:line="304" w:lineRule="auto"/>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6"/>
          <w:szCs w:val="16"/>
          <w:b w:val="1"/>
          <w:bCs w:val="1"/>
          <w:color w:val="auto"/>
        </w:rPr>
        <w:t>o</w:t>
      </w:r>
    </w:p>
    <w:p>
      <w:pPr>
        <w:spacing w:after="0" w:line="4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x</w:t>
      </w:r>
    </w:p>
    <w:p>
      <w:pPr>
        <w:spacing w:after="0" w:line="140"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As of March 31, 2023, the aggregate market value of the Registrant's common stock held by non-affiliates of the registrant was $66,983,328 based on the closing sale price as reported on the Nasdaq Global Select Market. As of November 30, 2023 6,062,744 shares of Common Stock $0.01 par value were outstanding on the 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10160</wp:posOffset>
            </wp:positionV>
            <wp:extent cx="70034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36195</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216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37"/>
        </w:trPr>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Part I</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w:t>
            </w:r>
          </w:p>
        </w:tc>
        <w:tc>
          <w:tcPr>
            <w:tcW w:w="740" w:type="dxa"/>
            <w:vAlign w:val="bottom"/>
            <w:gridSpan w:val="2"/>
          </w:tcPr>
          <w:p>
            <w:pPr>
              <w:spacing w:after="0"/>
              <w:rPr>
                <w:sz w:val="20"/>
                <w:szCs w:val="20"/>
                <w:color w:val="auto"/>
              </w:rPr>
            </w:pPr>
            <w:r>
              <w:rPr>
                <w:rFonts w:ascii="Arial" w:cs="Arial" w:eastAsia="Arial" w:hAnsi="Arial"/>
                <w:sz w:val="18"/>
                <w:szCs w:val="18"/>
                <w:color w:val="0000FF"/>
                <w:w w:val="98"/>
              </w:rPr>
              <w:t>Business</w:t>
            </w:r>
          </w:p>
        </w:tc>
        <w:tc>
          <w:tcPr>
            <w:tcW w:w="7540" w:type="dxa"/>
            <w:vAlign w:val="bottom"/>
            <w:gridSpan w:val="16"/>
          </w:tcPr>
          <w:p>
            <w:pPr>
              <w:spacing w:after="0"/>
              <w:rPr>
                <w:sz w:val="24"/>
                <w:szCs w:val="24"/>
                <w:color w:val="auto"/>
              </w:rPr>
            </w:pPr>
          </w:p>
        </w:tc>
        <w:tc>
          <w:tcPr>
            <w:tcW w:w="660" w:type="dxa"/>
            <w:vAlign w:val="bottom"/>
            <w:gridSpan w:val="2"/>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1A</w:t>
            </w:r>
          </w:p>
        </w:tc>
        <w:tc>
          <w:tcPr>
            <w:tcW w:w="828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1B</w:t>
            </w:r>
          </w:p>
        </w:tc>
        <w:tc>
          <w:tcPr>
            <w:tcW w:w="2260" w:type="dxa"/>
            <w:vAlign w:val="bottom"/>
            <w:gridSpan w:val="9"/>
          </w:tcPr>
          <w:p>
            <w:pPr>
              <w:spacing w:after="0"/>
              <w:rPr>
                <w:sz w:val="20"/>
                <w:szCs w:val="20"/>
                <w:color w:val="auto"/>
              </w:rPr>
            </w:pPr>
            <w:r>
              <w:rPr>
                <w:rFonts w:ascii="Arial" w:cs="Arial" w:eastAsia="Arial" w:hAnsi="Arial"/>
                <w:sz w:val="18"/>
                <w:szCs w:val="18"/>
                <w:color w:val="0000FF"/>
                <w:w w:val="99"/>
              </w:rPr>
              <w:t>Unresolved Staff Comments</w:t>
            </w:r>
          </w:p>
        </w:tc>
        <w:tc>
          <w:tcPr>
            <w:tcW w:w="6020" w:type="dxa"/>
            <w:vAlign w:val="bottom"/>
            <w:gridSpan w:val="9"/>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2</w:t>
            </w:r>
          </w:p>
        </w:tc>
        <w:tc>
          <w:tcPr>
            <w:tcW w:w="2260" w:type="dxa"/>
            <w:vAlign w:val="bottom"/>
            <w:gridSpan w:val="9"/>
          </w:tcPr>
          <w:p>
            <w:pPr>
              <w:spacing w:after="0"/>
              <w:rPr>
                <w:sz w:val="20"/>
                <w:szCs w:val="20"/>
                <w:color w:val="auto"/>
              </w:rPr>
            </w:pPr>
            <w:r>
              <w:rPr>
                <w:rFonts w:ascii="Arial" w:cs="Arial" w:eastAsia="Arial" w:hAnsi="Arial"/>
                <w:sz w:val="18"/>
                <w:szCs w:val="18"/>
                <w:color w:val="0000FF"/>
              </w:rPr>
              <w:t>Properties</w:t>
            </w:r>
          </w:p>
        </w:tc>
        <w:tc>
          <w:tcPr>
            <w:tcW w:w="6020" w:type="dxa"/>
            <w:vAlign w:val="bottom"/>
            <w:gridSpan w:val="9"/>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3</w:t>
            </w:r>
          </w:p>
        </w:tc>
        <w:tc>
          <w:tcPr>
            <w:tcW w:w="1500" w:type="dxa"/>
            <w:vAlign w:val="bottom"/>
            <w:gridSpan w:val="7"/>
          </w:tcPr>
          <w:p>
            <w:pPr>
              <w:spacing w:after="0"/>
              <w:rPr>
                <w:sz w:val="20"/>
                <w:szCs w:val="20"/>
                <w:color w:val="auto"/>
              </w:rPr>
            </w:pPr>
            <w:r>
              <w:rPr>
                <w:rFonts w:ascii="Arial" w:cs="Arial" w:eastAsia="Arial" w:hAnsi="Arial"/>
                <w:sz w:val="18"/>
                <w:szCs w:val="18"/>
                <w:color w:val="0000FF"/>
                <w:w w:val="99"/>
              </w:rPr>
              <w:t>Legal Proceedings</w:t>
            </w:r>
          </w:p>
        </w:tc>
        <w:tc>
          <w:tcPr>
            <w:tcW w:w="6780" w:type="dxa"/>
            <w:vAlign w:val="bottom"/>
            <w:gridSpan w:val="11"/>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4</w:t>
            </w:r>
          </w:p>
        </w:tc>
        <w:tc>
          <w:tcPr>
            <w:tcW w:w="8280" w:type="dxa"/>
            <w:vAlign w:val="bottom"/>
            <w:gridSpan w:val="18"/>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5</w:t>
            </w:r>
          </w:p>
        </w:tc>
        <w:tc>
          <w:tcPr>
            <w:tcW w:w="8280" w:type="dxa"/>
            <w:vAlign w:val="bottom"/>
            <w:gridSpan w:val="18"/>
          </w:tcPr>
          <w:p>
            <w:pPr>
              <w:spacing w:after="0"/>
              <w:rPr>
                <w:sz w:val="20"/>
                <w:szCs w:val="20"/>
                <w:color w:val="auto"/>
              </w:rPr>
            </w:pPr>
            <w:r>
              <w:rPr>
                <w:rFonts w:ascii="Arial" w:cs="Arial" w:eastAsia="Arial" w:hAnsi="Arial"/>
                <w:sz w:val="18"/>
                <w:szCs w:val="18"/>
                <w:color w:val="0000FF"/>
              </w:rPr>
              <w:t>Market for the Registrant's Common Equity, Related Stockholder Matters and Issuer Purchases of</w:t>
            </w:r>
          </w:p>
        </w:tc>
        <w:tc>
          <w:tcPr>
            <w:tcW w:w="7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780" w:type="dxa"/>
            <w:vAlign w:val="bottom"/>
            <w:tcBorders>
              <w:top w:val="single" w:sz="8" w:color="0000FF"/>
            </w:tcBorders>
            <w:gridSpan w:val="16"/>
          </w:tcPr>
          <w:p>
            <w:pPr>
              <w:spacing w:after="0" w:line="169" w:lineRule="exact"/>
              <w:rPr>
                <w:sz w:val="20"/>
                <w:szCs w:val="20"/>
                <w:color w:val="auto"/>
              </w:rPr>
            </w:pPr>
            <w:r>
              <w:rPr>
                <w:rFonts w:ascii="Arial" w:cs="Arial" w:eastAsia="Arial" w:hAnsi="Arial"/>
                <w:sz w:val="18"/>
                <w:szCs w:val="18"/>
                <w:color w:val="0000FF"/>
              </w:rPr>
              <w:t>Equity Securities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6</w:t>
            </w:r>
          </w:p>
        </w:tc>
        <w:tc>
          <w:tcPr>
            <w:tcW w:w="820" w:type="dxa"/>
            <w:vAlign w:val="bottom"/>
            <w:gridSpan w:val="3"/>
          </w:tcPr>
          <w:p>
            <w:pPr>
              <w:spacing w:after="0"/>
              <w:rPr>
                <w:sz w:val="20"/>
                <w:szCs w:val="20"/>
                <w:color w:val="auto"/>
              </w:rPr>
            </w:pPr>
            <w:r>
              <w:rPr>
                <w:rFonts w:ascii="Arial" w:cs="Arial" w:eastAsia="Arial" w:hAnsi="Arial"/>
                <w:sz w:val="18"/>
                <w:szCs w:val="18"/>
                <w:color w:val="0000FF"/>
                <w:w w:val="89"/>
              </w:rPr>
              <w:t>[Reserved]</w:t>
            </w:r>
          </w:p>
        </w:tc>
        <w:tc>
          <w:tcPr>
            <w:tcW w:w="520" w:type="dxa"/>
            <w:vAlign w:val="bottom"/>
            <w:gridSpan w:val="2"/>
          </w:tcPr>
          <w:p>
            <w:pPr>
              <w:spacing w:after="0"/>
              <w:rPr>
                <w:sz w:val="24"/>
                <w:szCs w:val="24"/>
                <w:color w:val="auto"/>
              </w:rPr>
            </w:pPr>
          </w:p>
        </w:tc>
        <w:tc>
          <w:tcPr>
            <w:tcW w:w="6940" w:type="dxa"/>
            <w:vAlign w:val="bottom"/>
            <w:gridSpan w:val="13"/>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7</w:t>
            </w:r>
          </w:p>
        </w:tc>
        <w:tc>
          <w:tcPr>
            <w:tcW w:w="828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8</w:t>
            </w:r>
          </w:p>
        </w:tc>
        <w:tc>
          <w:tcPr>
            <w:tcW w:w="7080" w:type="dxa"/>
            <w:vAlign w:val="bottom"/>
            <w:gridSpan w:val="15"/>
          </w:tcPr>
          <w:p>
            <w:pPr>
              <w:spacing w:after="0"/>
              <w:rPr>
                <w:sz w:val="20"/>
                <w:szCs w:val="20"/>
                <w:color w:val="auto"/>
              </w:rPr>
            </w:pPr>
            <w:r>
              <w:rPr>
                <w:rFonts w:ascii="Arial" w:cs="Arial" w:eastAsia="Arial" w:hAnsi="Arial"/>
                <w:sz w:val="18"/>
                <w:szCs w:val="18"/>
                <w:color w:val="0000FF"/>
              </w:rPr>
              <w:t>Financial Statements and Supplementary Data</w:t>
            </w:r>
          </w:p>
        </w:tc>
        <w:tc>
          <w:tcPr>
            <w:tcW w:w="120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9</w:t>
            </w:r>
          </w:p>
        </w:tc>
        <w:tc>
          <w:tcPr>
            <w:tcW w:w="7080" w:type="dxa"/>
            <w:vAlign w:val="bottom"/>
            <w:gridSpan w:val="15"/>
          </w:tcPr>
          <w:p>
            <w:pPr>
              <w:spacing w:after="0"/>
              <w:rPr>
                <w:sz w:val="20"/>
                <w:szCs w:val="20"/>
                <w:color w:val="auto"/>
              </w:rPr>
            </w:pPr>
            <w:r>
              <w:rPr>
                <w:rFonts w:ascii="Arial" w:cs="Arial" w:eastAsia="Arial" w:hAnsi="Arial"/>
                <w:sz w:val="18"/>
                <w:szCs w:val="18"/>
                <w:color w:val="0000FF"/>
                <w:w w:val="98"/>
              </w:rPr>
              <w:t>Changes in and Disagreements with Accountants on Accounting and Financial Disclosure</w:t>
            </w:r>
          </w:p>
        </w:tc>
        <w:tc>
          <w:tcPr>
            <w:tcW w:w="120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9A</w:t>
            </w:r>
          </w:p>
        </w:tc>
        <w:tc>
          <w:tcPr>
            <w:tcW w:w="2000" w:type="dxa"/>
            <w:vAlign w:val="bottom"/>
            <w:gridSpan w:val="8"/>
          </w:tcPr>
          <w:p>
            <w:pPr>
              <w:spacing w:after="0"/>
              <w:rPr>
                <w:sz w:val="20"/>
                <w:szCs w:val="20"/>
                <w:color w:val="auto"/>
              </w:rPr>
            </w:pPr>
            <w:r>
              <w:rPr>
                <w:rFonts w:ascii="Arial" w:cs="Arial" w:eastAsia="Arial" w:hAnsi="Arial"/>
                <w:sz w:val="18"/>
                <w:szCs w:val="18"/>
                <w:color w:val="0000FF"/>
                <w:w w:val="98"/>
              </w:rPr>
              <w:t>Controls and Procedures</w:t>
            </w:r>
          </w:p>
        </w:tc>
        <w:tc>
          <w:tcPr>
            <w:tcW w:w="5080" w:type="dxa"/>
            <w:vAlign w:val="bottom"/>
            <w:gridSpan w:val="7"/>
          </w:tcPr>
          <w:p>
            <w:pPr>
              <w:spacing w:after="0"/>
              <w:rPr>
                <w:sz w:val="24"/>
                <w:szCs w:val="24"/>
                <w:color w:val="auto"/>
              </w:rPr>
            </w:pPr>
          </w:p>
        </w:tc>
        <w:tc>
          <w:tcPr>
            <w:tcW w:w="120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9B</w:t>
            </w:r>
          </w:p>
        </w:tc>
        <w:tc>
          <w:tcPr>
            <w:tcW w:w="200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628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29</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Part III</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10</w:t>
            </w:r>
          </w:p>
        </w:tc>
        <w:tc>
          <w:tcPr>
            <w:tcW w:w="8280" w:type="dxa"/>
            <w:vAlign w:val="bottom"/>
            <w:gridSpan w:val="18"/>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11</w:t>
            </w:r>
          </w:p>
        </w:tc>
        <w:tc>
          <w:tcPr>
            <w:tcW w:w="2000" w:type="dxa"/>
            <w:vAlign w:val="bottom"/>
            <w:gridSpan w:val="8"/>
          </w:tcPr>
          <w:p>
            <w:pPr>
              <w:spacing w:after="0"/>
              <w:rPr>
                <w:sz w:val="20"/>
                <w:szCs w:val="20"/>
                <w:color w:val="auto"/>
              </w:rPr>
            </w:pPr>
            <w:r>
              <w:rPr>
                <w:rFonts w:ascii="Arial" w:cs="Arial" w:eastAsia="Arial" w:hAnsi="Arial"/>
                <w:sz w:val="18"/>
                <w:szCs w:val="18"/>
                <w:color w:val="0000FF"/>
                <w:w w:val="98"/>
              </w:rPr>
              <w:t>Executive Compensation</w:t>
            </w:r>
          </w:p>
        </w:tc>
        <w:tc>
          <w:tcPr>
            <w:tcW w:w="2500" w:type="dxa"/>
            <w:vAlign w:val="bottom"/>
            <w:gridSpan w:val="5"/>
          </w:tcPr>
          <w:p>
            <w:pPr>
              <w:spacing w:after="0"/>
              <w:rPr>
                <w:sz w:val="24"/>
                <w:szCs w:val="24"/>
                <w:color w:val="auto"/>
              </w:rPr>
            </w:pPr>
          </w:p>
        </w:tc>
        <w:tc>
          <w:tcPr>
            <w:tcW w:w="378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12</w:t>
            </w:r>
          </w:p>
        </w:tc>
        <w:tc>
          <w:tcPr>
            <w:tcW w:w="8020" w:type="dxa"/>
            <w:vAlign w:val="bottom"/>
            <w:gridSpan w:val="17"/>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560" w:type="dxa"/>
            <w:vAlign w:val="bottom"/>
            <w:gridSpan w:val="9"/>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13</w:t>
            </w:r>
          </w:p>
        </w:tc>
        <w:tc>
          <w:tcPr>
            <w:tcW w:w="8020" w:type="dxa"/>
            <w:vAlign w:val="bottom"/>
            <w:gridSpan w:val="17"/>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560" w:type="dxa"/>
            <w:vAlign w:val="bottom"/>
            <w:gridSpan w:val="9"/>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14</w:t>
            </w:r>
          </w:p>
        </w:tc>
        <w:tc>
          <w:tcPr>
            <w:tcW w:w="6080" w:type="dxa"/>
            <w:vAlign w:val="bottom"/>
            <w:gridSpan w:val="14"/>
          </w:tcPr>
          <w:p>
            <w:pPr>
              <w:spacing w:after="0"/>
              <w:rPr>
                <w:sz w:val="20"/>
                <w:szCs w:val="20"/>
                <w:color w:val="auto"/>
              </w:rPr>
            </w:pPr>
            <w:r>
              <w:rPr>
                <w:rFonts w:ascii="Arial" w:cs="Arial" w:eastAsia="Arial" w:hAnsi="Arial"/>
                <w:sz w:val="18"/>
                <w:szCs w:val="18"/>
                <w:color w:val="0000FF"/>
              </w:rPr>
              <w:t>Principal Accounting Fees and Services</w:t>
            </w:r>
          </w:p>
        </w:tc>
        <w:tc>
          <w:tcPr>
            <w:tcW w:w="220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30</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Part IV</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15</w:t>
            </w:r>
          </w:p>
        </w:tc>
        <w:tc>
          <w:tcPr>
            <w:tcW w:w="3520" w:type="dxa"/>
            <w:vAlign w:val="bottom"/>
            <w:gridSpan w:val="11"/>
          </w:tcPr>
          <w:p>
            <w:pPr>
              <w:spacing w:after="0"/>
              <w:rPr>
                <w:sz w:val="20"/>
                <w:szCs w:val="20"/>
                <w:color w:val="auto"/>
              </w:rPr>
            </w:pPr>
            <w:r>
              <w:rPr>
                <w:rFonts w:ascii="Arial" w:cs="Arial" w:eastAsia="Arial" w:hAnsi="Arial"/>
                <w:sz w:val="18"/>
                <w:szCs w:val="18"/>
                <w:color w:val="0000FF"/>
                <w:w w:val="99"/>
              </w:rPr>
              <w:t>Exhibits and Financial Statement Schedules</w:t>
            </w:r>
          </w:p>
        </w:tc>
        <w:tc>
          <w:tcPr>
            <w:tcW w:w="476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900" w:type="dxa"/>
            <w:vAlign w:val="bottom"/>
            <w:gridSpan w:val="10"/>
            <w:shd w:val="clear" w:color="auto" w:fill="0000FF"/>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40" w:type="dxa"/>
            <w:vAlign w:val="bottom"/>
            <w:gridSpan w:val="21"/>
          </w:tcPr>
          <w:p>
            <w:pPr>
              <w:spacing w:after="0"/>
              <w:rPr>
                <w:sz w:val="20"/>
                <w:szCs w:val="20"/>
                <w:color w:val="auto"/>
              </w:rPr>
            </w:pPr>
            <w:r>
              <w:rPr>
                <w:rFonts w:ascii="Arial" w:cs="Arial" w:eastAsia="Arial" w:hAnsi="Arial"/>
                <w:sz w:val="18"/>
                <w:szCs w:val="18"/>
                <w:color w:val="0000FF"/>
              </w:rPr>
              <w:t>Consolidated Financial Statements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0000FF"/>
                <w:w w:val="98"/>
              </w:rPr>
              <w:t>Exhibit Index</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75</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860" w:type="dxa"/>
            <w:vAlign w:val="bottom"/>
            <w:tcBorders>
              <w:top w:val="single" w:sz="8" w:color="0000FF"/>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top w:val="single" w:sz="8" w:color="0000FF"/>
              <w:bottom w:val="single" w:sz="8" w:color="auto"/>
            </w:tcBorders>
          </w:tcPr>
          <w:p>
            <w:pPr>
              <w:spacing w:after="0"/>
              <w:rPr>
                <w:sz w:val="12"/>
                <w:szCs w:val="12"/>
                <w:color w:val="auto"/>
              </w:rPr>
            </w:pPr>
          </w:p>
        </w:tc>
        <w:tc>
          <w:tcPr>
            <w:tcW w:w="100" w:type="dxa"/>
            <w:vAlign w:val="bottom"/>
            <w:tcBorders>
              <w:top w:val="single" w:sz="8" w:color="0000FF"/>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and subsidiaries (the "Company"). References to "2023", "2022", "2021" and the like refer to the fiscal years ended the last Sunday in September.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Lee Enterprises, Incorporated, together with its subsidiaries (“Lee”, “the Company”, “we”, “our” or “us”), is a digital-first subscription business providing local markets with valuable, high quality, trusted, intensely local news, information, advertising and marketing services. We inform consumers in 75 mid-sized local communities in 26 states with a rapidly growing digital subscription platform including 721,000 digital subscribers. Our core strategy aims to grow audiences and engagement through creating, collecting, and distributing trusted local news and information, continuous improvements to subscriber experience, and offering a full suite of omni-channel advertising and marketing to more than 30,000 local advertisers.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product portfolio includes digital subscription platforms, daily, weekly and monthly newspapers and niche products, all delivering original local news and information as well as national and international news. Our products offer digital and print editions, and our content and advertising is available in real time through our websites and mobile apps. We operate in predominately mid-sized communities with products ranging from large daily newspapers and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Buffalo News</w:t>
      </w:r>
      <w:r>
        <w:rPr>
          <w:rFonts w:ascii="Arial" w:cs="Arial" w:eastAsia="Arial" w:hAnsi="Arial"/>
          <w:sz w:val="18"/>
          <w:szCs w:val="18"/>
          <w:color w:val="auto"/>
        </w:rPr>
        <w:t>, to non-daily newspapers with news websites and digital platforms serving smaller communities.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made investments in talent and technology to improve user experience, content, data visualization and marketing to align with the shift in spending habits by both consumers and advertisers toward digital products. In 2023, total digital revenues, which include digital advertising and marketing services revenues, digital-only subscription revenues, and digital services revenues, were $273.2 million, or 39.5% of our total revenues.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aim to grow our business through three main categories: subscriptions to our product offerings, advertising and marketing solutions to local advertisers, and digital services to a diverse set of customers. Execution of this strategy is expected to transform Lee into a growing and sustainable local media organization.</w:t>
      </w:r>
    </w:p>
    <w:p>
      <w:pPr>
        <w:spacing w:after="0" w:line="144" w:lineRule="exact"/>
        <w:rPr>
          <w:sz w:val="20"/>
          <w:szCs w:val="20"/>
          <w:color w:val="auto"/>
        </w:rPr>
      </w:pPr>
    </w:p>
    <w:p>
      <w:pPr>
        <w:jc w:val="both"/>
        <w:ind w:left="660" w:hanging="328"/>
        <w:spacing w:after="0" w:line="268"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digital subscription platforms are the fastest growing digital subscription platforms in local media. At the end of 2023, we had 721,000 subscribers to our digital platforms, up 35.6% over 2022. Revenue from digital-only subscribers totaled more than $60 million in 2023, up 51% over 2022.</w:t>
      </w:r>
    </w:p>
    <w:p>
      <w:pPr>
        <w:spacing w:after="0" w:line="127" w:lineRule="exact"/>
        <w:rPr>
          <w:rFonts w:ascii="Arial" w:cs="Arial" w:eastAsia="Arial" w:hAnsi="Arial"/>
          <w:sz w:val="18"/>
          <w:szCs w:val="18"/>
          <w:color w:val="auto"/>
        </w:rPr>
      </w:pPr>
    </w:p>
    <w:p>
      <w:pPr>
        <w:ind w:left="660" w:right="780" w:hanging="328"/>
        <w:spacing w:after="0" w:line="225"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Amplified Digital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("Amplified"), our digital marketing services agency, offers a full suite of digital marketing solutions to local advertisers. Revenue at Amplified totaled more than $91.2 million in 2023 up 20% over 2022.</w:t>
      </w:r>
    </w:p>
    <w:p>
      <w:pPr>
        <w:spacing w:after="0" w:line="154"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BLOX Digital (formerly known as TownNews), our software as a service (SaaS) content platform, is one of the largest web-hosting and content management SaaS providers in North America. BLOX Digital represents a powerful opportunity to drive additional digital revenue by providing state-of-the-art web hosting and content management services to more than 2,000 customers who rely on BLOX Digital for their web, over-the-top display, mobile, video and social media products. Revenue at BLOX Digital, including intercompany revenue, totaled $35 million in 2023, and has achieved a compound annual growth rate of 11.0% over the last ten years.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generate revenue primarily through advertising and marketing services, subscriptions to our digital and print products, and digital services, primarily through our majority-owned subsidiary, BLOX Digital.</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March 16, 2020, we completed the acquisition of BH Media Group, Inc. ("BH Media") and The Buffalo News, Inc. ("Buffalo News"), adding 31 local media operations and nearly doubling our audience size and total operating revenue. See Note 1 — Significant Accounting Policies, in the Consolidated Financial Statements for more information on the acquisition.</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Advertising and Marketing Services - </w:t>
      </w:r>
      <w:r>
        <w:rPr>
          <w:rFonts w:ascii="Arial" w:cs="Arial" w:eastAsia="Arial" w:hAnsi="Arial"/>
          <w:sz w:val="18"/>
          <w:szCs w:val="18"/>
          <w:color w:val="auto"/>
        </w:rPr>
        <w:t>In 2023, advertising and marketing services revenue of $319.0 million comprised 46.2% of total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revenue. Advertising and marketing services are primarily sold to local, regional, and nationwide businesses. There are four categories of advertising revenue:</w:t>
      </w:r>
    </w:p>
    <w:p>
      <w:pPr>
        <w:spacing w:after="0" w:line="13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Advertising on our owned and operated digital products;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marketing services through Amplified, including targeted display, video, OTT, custom content, web development, social media management, search, events, email marketing and other tactics;</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Display advertising in daily and non-daily print publications;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Preprinted advertising inserted in our daily and non-daily print publications.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Digital advertising and marketing services remain a key strategic priority for us in 2024. Our advertising teams deploy an omni-channel sales approach that leverages our owned and operated products with Amplified to offer a full suite of digital advertising and marketing services. Through our nationally scaled sales force, proprietary ad tech, and sophisticated reporting and analytics, we believe we are well positioned to solve advertising solutions for our advertisers. Through our AI-driven media planning process, we present our advertisers with targeted, integrated solutions that help them reach their intended audiences.</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Advertising and marketing services revenues are subject to moderate seasonality primarily due to fluctuations in advertising volumes tied to holidays and seasonal advertising. Our advertising and marketing services revenues are typically highest during the first quarter due to holiday and seasonal advertising and lowest in the second quarter following the holiday season.</w:t>
      </w:r>
    </w:p>
    <w:p>
      <w:pPr>
        <w:spacing w:after="0" w:line="13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 In 2023, subscription revenue of $313.3 million comprised 45.3% of our total operating revenue. Subscription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is earned primarily from selling subscriptions to our content through our full access subscriptions, digital-only subscriptions and single copy sales.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full access subscriptions include access to all of our content on multiple platforms; including our print products delivered or made available to consumers, websites, smartphone and tablet applications, and e-editions with pricing varying significantly by market and by frequency. Consistent with general publishing industry trends, print subscription volumes declined in 2023.</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experienced rapid growth of our digital-only subscriptions. Digital-only subscriptions include access to our content on our digital platforms. At the end of the fiscal year, we had over 721,000 digital-only subscribers, up 35.6% compared to 2022, with revenue totaling $60 million, or up 51% compared to 2022. Growing our digital-only subscribers and digital-only revenue remains a top strategic priority in 2024. Our primary digital-only subscriber acquisition tactics include:</w:t>
      </w:r>
    </w:p>
    <w:p>
      <w:pPr>
        <w:spacing w:after="0" w:line="13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Investing in relevant, trusted, and intensely local news and information that connects and engages our local communities;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Brand marketing campaigns to raise awareness to the desirability of our content;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Continuously improving our subscriber experience;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Converting our significant organic traffic through on-platform promotion, paywalls, and dynamic meters.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variety of pricing strategies are also used, including discounted introductory periods and sales, to encourage trial and habituation before transitioning to the full price rate.</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Digital Services Revenue – </w:t>
      </w:r>
      <w:r>
        <w:rPr>
          <w:rFonts w:ascii="Arial" w:cs="Arial" w:eastAsia="Arial" w:hAnsi="Arial"/>
          <w:sz w:val="18"/>
          <w:szCs w:val="18"/>
          <w:color w:val="auto"/>
        </w:rPr>
        <w:t>In 2023, digital services revenue of $19.4 million comprised 2.8% of our total operating revenue. In 2023, almost</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digital services revenue is from BLOX Digital. BLOX Digital, operated through our 82.5% owned subsidiary INN Partners, L.C., is one of the largest web-hosting and content management SaaS providers in North America and offers state-of-the-art integrated digital publishing and content management solutions for creating, distributing, and monetizing multimedia content.</w:t>
      </w:r>
    </w:p>
    <w:p>
      <w:pPr>
        <w:spacing w:after="0" w:line="136" w:lineRule="exact"/>
        <w:rPr>
          <w:sz w:val="20"/>
          <w:szCs w:val="20"/>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BLOX Digital is the engine that powers our digital products. In addition, BLOX Digital services nearly 2,000 daily customers, including legacy media publications, universities, television stations and niche publications.</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Including intercompany revenue generated from our markets, revenue at BLOX Digital grew 13.2% in 2023 and totaled $35 million.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strong product offerings, investments in video and streaming technology and diversifying the customer base into broadcast, BLOX Digital is positioned to continue to be a key component of our growth strategy.</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 In 2023, Other Revenue of $58.9 million comprised 8.5% of total operating revenue. Excluding digital services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other revenue is comprised mainly of commercial printing and delivery of third-party products. In 2023, other revenue excluding digital services of $19.4 million, comprised 5.7% of our total operating revenue, compared to $18.0 million and 5.5% in 2022.</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compete with other media and digital companies for advertising and marketing spend. Our print and digital products competed with other forms of media including national media providers and amateur content creators, as well as other news and information outlets for subscription spend. The market for local digital marketing solutions is highly competitive and evolving allowing opportunities for new competitors to enter the market.</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Amplified competes with other digital marketing solutions agencies as well as other media companies which have a similar strategy for digital marketing solutions. While some of our competitors enjoy competitive advantages such as greater name recognition, longer histories as well as greater financial resources, we believe we compete favorably and our product capabilities meet customer requirements due to our data-driven, omni-channel sales approach, our experienced digital sales force and our overall customer satisfaction.</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number of competitors in any given market varies; however all of the forms of competition noted above exist to some degree in all of our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INITIATIVES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committed to a strategy that transforms Lee into a sustainable and growing digital business. Aligning with that commitment, our Three Pillar Digital Growth Strategy is focused on the following:</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Expand digital audiences by transforming the presentation of local news and information. </w:t>
      </w:r>
      <w:r>
        <w:rPr>
          <w:rFonts w:ascii="Arial" w:cs="Arial" w:eastAsia="Arial" w:hAnsi="Arial"/>
          <w:sz w:val="18"/>
          <w:szCs w:val="18"/>
          <w:color w:val="auto"/>
        </w:rPr>
        <w:t>We seek to maintain our dominant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as the leading provider of news and information by providing best-in-class digital experiences to improve consumer engagement and grow our audiences. We aim to achieve this by delivering relevant, useful, and engaging content to the consumer using a multi-media approach, including video and audio.</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2024, we plan to continuously improve the user experience with our digital products through targeted investments in top talent aimed at improving the mobile version of our digital products and leveraging the information we have to improve subscriber retention. Providing our local consumers with more and more high quality, trusted, engaging content is important to growing our digital audiences and driving subscription conversions.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that our proprietary local content displayed in best-in-class multimedia platforms combined with new and engaging content and video channels will grow our audiences and increase our audience monetization capabilities.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Expand digital subscription base and revenue. </w:t>
      </w:r>
      <w:r>
        <w:rPr>
          <w:rFonts w:ascii="Arial" w:cs="Arial" w:eastAsia="Arial" w:hAnsi="Arial"/>
          <w:sz w:val="18"/>
          <w:szCs w:val="18"/>
          <w:color w:val="auto"/>
        </w:rPr>
        <w:t>We are the fastest growing local media digital subscription business. Digital-only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 growth continued at a rapid pace in 2023, offsetting the declines in our traditional full access (print and digital) subscribers. Our digital audiences are comprised of full access subscribers, digital-only subscribers and non-subscribers who access our sites subject to our paywalls. More than 53% of our full access subscribers have activated their digital access, and digital-only subscribers increased 35.6% in 2023, reaching over 721,000 digital-only subscribers.</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acquisition and retention tactics are focused on growing our digital subscription base by using data and analytics to direct our huge addressable market of 31 million unique visitors toward obtaining a digital subscription.</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Using these techniques, we expect digital-only subscribers to continue to grow substantially, reaching more than 1.2 million digital-only subscribers by 2028.</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our digital transformation will have a favorable impact on the environment. A key component of our digital growth strategy is to accelerate the pace of digital subscriber growth. Growing our digital revenue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streams as the print revenues mature will have a favorable impact on the environment as our production hubs will consume less energy, we will consume less newsprint, and there will be less environmental impact from our distribution channels that largely operate on fossil-fuel powered transportation.</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Diversify and expand offerings for local advertisers. </w:t>
      </w:r>
      <w:r>
        <w:rPr>
          <w:rFonts w:ascii="Arial" w:cs="Arial" w:eastAsia="Arial" w:hAnsi="Arial"/>
          <w:sz w:val="18"/>
          <w:szCs w:val="18"/>
          <w:color w:val="auto"/>
        </w:rPr>
        <w:t>According to eMarketer, local advertising spending is expected to reach nearly $150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in 2024. Our vast array of rapidly growing digital products, our large, digitally-adept salesforce and Amplified, our full service digital agency, create a powerful opportunity to gain scale both in and outside of our local markets.</w:t>
      </w:r>
    </w:p>
    <w:p>
      <w:pPr>
        <w:spacing w:after="0" w:line="130" w:lineRule="exact"/>
        <w:rPr>
          <w:sz w:val="20"/>
          <w:szCs w:val="20"/>
          <w:color w:val="auto"/>
        </w:rPr>
      </w:pPr>
    </w:p>
    <w:p>
      <w:pPr>
        <w:ind w:left="6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local sales forces are larger than any local competitor, and we believe they are the most highly trained and proficient sales force in our markets.</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strong relationships with businesses in our markets and offer a wide array of products to deliver our advertisers' message.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Amplified we create sophisticated digital campaigns on our owned and operated sites and on third-party sites that give advertisers the ability to target their message to reach their desired audiences. Our sales force deploys an omni-channel sales approach that leverages the auction-based ad buying that is widely adopted by all major digital advertising channels, and tailors advertising and marketing solutions based on the size, scale, and needs of the advertiser. We collaborate with Google and other ad tech companies to provide key metrics and analytics to measure campaign effectiveness.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BLOX Digitals represents a powerful opportunity for us to drive additional digital revenue through their SaaS content platform. In 2023, revenue at BLOX Digital, including intracompany revenue, totaled $ 35 million and since 2013 the compounded annual growth rate of BLOX Digital revenue has been 11.0%. Through continuous investment in product development and gaining essential technology, like world-class video and streaming technology, BLOX Digital is the leading CMS provider in the publishing CMS segment and is growing its market share in the broadcast CMS segment. In 2024, we believe we can grow revenue at BLOX Digital through modest market share gains in our core markets, increasing our average revenue per customer.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DAILY NEWSPAPERS AND MARKETS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including our investments in TNI Partners ("TNI") in Tucson, AZ and Madison Newspapers, Inc. ("MNI") in Madison, WI, publish the following daily newspapers and maintain the following primary digital sites: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2"/>
            <w:vMerge w:val="restart"/>
          </w:tcPr>
          <w:p>
            <w:pPr>
              <w:jc w:val="right"/>
              <w:ind w:right="410"/>
              <w:spacing w:after="0"/>
              <w:rPr>
                <w:sz w:val="20"/>
                <w:szCs w:val="20"/>
                <w:color w:val="auto"/>
              </w:rPr>
            </w:pPr>
            <w:r>
              <w:rPr>
                <w:rFonts w:ascii="Arial" w:cs="Arial" w:eastAsia="Arial" w:hAnsi="Arial"/>
                <w:sz w:val="18"/>
                <w:szCs w:val="18"/>
                <w:color w:val="auto"/>
              </w:rPr>
              <w:t xml:space="preserve">Average Units </w:t>
            </w:r>
            <w:r>
              <w:rPr>
                <w:rFonts w:ascii="Arial" w:cs="Arial" w:eastAsia="Arial" w:hAnsi="Arial"/>
                <w:sz w:val="23"/>
                <w:szCs w:val="23"/>
                <w:color w:val="auto"/>
                <w:vertAlign w:val="superscript"/>
              </w:rPr>
              <w:t>(5)</w:t>
            </w:r>
          </w:p>
        </w:tc>
        <w:tc>
          <w:tcPr>
            <w:tcW w:w="196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8"/>
                <w:szCs w:val="18"/>
                <w:color w:val="auto"/>
              </w:rPr>
              <w:t>2023 Monthly Average</w:t>
            </w:r>
          </w:p>
        </w:tc>
        <w:tc>
          <w:tcPr>
            <w:tcW w:w="0" w:type="dxa"/>
            <w:vAlign w:val="bottom"/>
          </w:tcPr>
          <w:p>
            <w:pPr>
              <w:spacing w:after="0"/>
              <w:rPr>
                <w:sz w:val="1"/>
                <w:szCs w:val="1"/>
                <w:color w:val="auto"/>
              </w:rPr>
            </w:pPr>
          </w:p>
        </w:tc>
      </w:tr>
      <w:tr>
        <w:trPr>
          <w:trHeight w:val="243"/>
        </w:trPr>
        <w:tc>
          <w:tcPr>
            <w:tcW w:w="26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2"/>
            <w:vMerge w:val="continue"/>
          </w:tcPr>
          <w:p>
            <w:pPr>
              <w:spacing w:after="0"/>
              <w:rPr>
                <w:sz w:val="21"/>
                <w:szCs w:val="21"/>
                <w:color w:val="auto"/>
              </w:rPr>
            </w:pPr>
          </w:p>
        </w:tc>
        <w:tc>
          <w:tcPr>
            <w:tcW w:w="1960" w:type="dxa"/>
            <w:vAlign w:val="bottom"/>
            <w:tcBorders>
              <w:bottom w:val="single" w:sz="8" w:color="auto"/>
            </w:tcBorders>
            <w:gridSpan w:val="2"/>
          </w:tcPr>
          <w:p>
            <w:pPr>
              <w:jc w:val="right"/>
              <w:ind w:right="430"/>
              <w:spacing w:after="0" w:line="243" w:lineRule="exact"/>
              <w:rPr>
                <w:sz w:val="20"/>
                <w:szCs w:val="20"/>
                <w:color w:val="auto"/>
              </w:rPr>
            </w:pPr>
            <w:r>
              <w:rPr>
                <w:rFonts w:ascii="Arial" w:cs="Arial" w:eastAsia="Arial" w:hAnsi="Arial"/>
                <w:sz w:val="18"/>
                <w:szCs w:val="18"/>
                <w:color w:val="auto"/>
              </w:rPr>
              <w:t xml:space="preserve">('000s) </w:t>
            </w:r>
            <w:r>
              <w:rPr>
                <w:rFonts w:ascii="Arial" w:cs="Arial" w:eastAsia="Arial" w:hAnsi="Arial"/>
                <w:sz w:val="23"/>
                <w:szCs w:val="23"/>
                <w:color w:val="auto"/>
                <w:vertAlign w:val="superscript"/>
              </w:rPr>
              <w:t>(6)(7)</w:t>
            </w:r>
          </w:p>
        </w:tc>
        <w:tc>
          <w:tcPr>
            <w:tcW w:w="0" w:type="dxa"/>
            <w:vAlign w:val="bottom"/>
          </w:tcPr>
          <w:p>
            <w:pPr>
              <w:spacing w:after="0"/>
              <w:rPr>
                <w:sz w:val="1"/>
                <w:szCs w:val="1"/>
                <w:color w:val="auto"/>
              </w:rPr>
            </w:pPr>
          </w:p>
        </w:tc>
      </w:tr>
      <w:tr>
        <w:trPr>
          <w:trHeight w:val="169"/>
        </w:trPr>
        <w:tc>
          <w:tcPr>
            <w:tcW w:w="2660" w:type="dxa"/>
            <w:vAlign w:val="bottom"/>
            <w:vMerge w:val="restart"/>
          </w:tcPr>
          <w:p>
            <w:pPr>
              <w:ind w:left="20"/>
              <w:spacing w:after="0"/>
              <w:rPr>
                <w:sz w:val="20"/>
                <w:szCs w:val="20"/>
                <w:color w:val="auto"/>
              </w:rPr>
            </w:pPr>
            <w:r>
              <w:rPr>
                <w:rFonts w:ascii="Arial" w:cs="Arial" w:eastAsia="Arial" w:hAnsi="Arial"/>
                <w:sz w:val="18"/>
                <w:szCs w:val="18"/>
                <w:color w:val="auto"/>
              </w:rPr>
              <w:t>Newspaper</w:t>
            </w:r>
          </w:p>
        </w:tc>
        <w:tc>
          <w:tcPr>
            <w:tcW w:w="2380" w:type="dxa"/>
            <w:vAlign w:val="bottom"/>
            <w:vMerge w:val="restart"/>
          </w:tcPr>
          <w:p>
            <w:pPr>
              <w:ind w:left="340"/>
              <w:spacing w:after="0"/>
              <w:rPr>
                <w:sz w:val="20"/>
                <w:szCs w:val="20"/>
                <w:color w:val="auto"/>
              </w:rPr>
            </w:pPr>
            <w:r>
              <w:rPr>
                <w:rFonts w:ascii="Arial" w:cs="Arial" w:eastAsia="Arial" w:hAnsi="Arial"/>
                <w:sz w:val="18"/>
                <w:szCs w:val="18"/>
                <w:color w:val="auto"/>
              </w:rPr>
              <w:t>Primary Website</w:t>
            </w:r>
          </w:p>
        </w:tc>
        <w:tc>
          <w:tcPr>
            <w:tcW w:w="1980" w:type="dxa"/>
            <w:vAlign w:val="bottom"/>
            <w:vMerge w:val="restart"/>
          </w:tcPr>
          <w:p>
            <w:pPr>
              <w:ind w:left="380"/>
              <w:spacing w:after="0"/>
              <w:rPr>
                <w:sz w:val="20"/>
                <w:szCs w:val="20"/>
                <w:color w:val="auto"/>
              </w:rPr>
            </w:pPr>
            <w:r>
              <w:rPr>
                <w:rFonts w:ascii="Arial" w:cs="Arial" w:eastAsia="Arial" w:hAnsi="Arial"/>
                <w:sz w:val="18"/>
                <w:szCs w:val="18"/>
                <w:color w:val="auto"/>
              </w:rPr>
              <w:t>Location</w:t>
            </w: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color w:val="auto"/>
              </w:rPr>
              <w:t xml:space="preserve">Daily </w:t>
            </w:r>
            <w:r>
              <w:rPr>
                <w:rFonts w:ascii="Arial" w:cs="Arial" w:eastAsia="Arial" w:hAnsi="Arial"/>
                <w:sz w:val="23"/>
                <w:szCs w:val="23"/>
                <w:color w:val="auto"/>
                <w:vertAlign w:val="superscript"/>
              </w:rPr>
              <w:t>(3)</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 xml:space="preserve">Sunday </w:t>
            </w:r>
            <w:r>
              <w:rPr>
                <w:rFonts w:ascii="Arial" w:cs="Arial" w:eastAsia="Arial" w:hAnsi="Arial"/>
                <w:sz w:val="23"/>
                <w:szCs w:val="23"/>
                <w:color w:val="auto"/>
                <w:vertAlign w:val="superscript"/>
              </w:rPr>
              <w:t>(3)</w:t>
            </w:r>
          </w:p>
        </w:tc>
        <w:tc>
          <w:tcPr>
            <w:tcW w:w="1120" w:type="dxa"/>
            <w:vAlign w:val="bottom"/>
          </w:tcPr>
          <w:p>
            <w:pPr>
              <w:jc w:val="right"/>
              <w:ind w:right="230"/>
              <w:spacing w:after="0" w:line="169" w:lineRule="exact"/>
              <w:rPr>
                <w:sz w:val="20"/>
                <w:szCs w:val="20"/>
                <w:color w:val="auto"/>
              </w:rPr>
            </w:pPr>
            <w:r>
              <w:rPr>
                <w:rFonts w:ascii="Arial" w:cs="Arial" w:eastAsia="Arial" w:hAnsi="Arial"/>
                <w:sz w:val="18"/>
                <w:szCs w:val="18"/>
                <w:color w:val="auto"/>
              </w:rPr>
              <w:t>Unique</w:t>
            </w:r>
          </w:p>
        </w:tc>
        <w:tc>
          <w:tcPr>
            <w:tcW w:w="840" w:type="dxa"/>
            <w:vAlign w:val="bottom"/>
          </w:tcPr>
          <w:p>
            <w:pPr>
              <w:jc w:val="right"/>
              <w:ind w:right="130"/>
              <w:spacing w:after="0" w:line="169" w:lineRule="exact"/>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43"/>
        </w:trPr>
        <w:tc>
          <w:tcPr>
            <w:tcW w:w="2660" w:type="dxa"/>
            <w:vAlign w:val="bottom"/>
            <w:tcBorders>
              <w:bottom w:val="single" w:sz="8" w:color="auto"/>
            </w:tcBorders>
            <w:vMerge w:val="continue"/>
          </w:tcPr>
          <w:p>
            <w:pPr>
              <w:spacing w:after="0"/>
              <w:rPr>
                <w:sz w:val="21"/>
                <w:szCs w:val="21"/>
                <w:color w:val="auto"/>
              </w:rPr>
            </w:pPr>
          </w:p>
        </w:tc>
        <w:tc>
          <w:tcPr>
            <w:tcW w:w="2380" w:type="dxa"/>
            <w:vAlign w:val="bottom"/>
            <w:tcBorders>
              <w:bottom w:val="single" w:sz="8" w:color="auto"/>
            </w:tcBorders>
            <w:vMerge w:val="continue"/>
          </w:tcPr>
          <w:p>
            <w:pPr>
              <w:spacing w:after="0"/>
              <w:rPr>
                <w:sz w:val="21"/>
                <w:szCs w:val="21"/>
                <w:color w:val="auto"/>
              </w:rPr>
            </w:pPr>
          </w:p>
        </w:tc>
        <w:tc>
          <w:tcPr>
            <w:tcW w:w="198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Visitors</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Views</w:t>
            </w:r>
          </w:p>
        </w:tc>
        <w:tc>
          <w:tcPr>
            <w:tcW w:w="0" w:type="dxa"/>
            <w:vAlign w:val="bottom"/>
          </w:tcPr>
          <w:p>
            <w:pPr>
              <w:spacing w:after="0"/>
              <w:rPr>
                <w:sz w:val="1"/>
                <w:szCs w:val="1"/>
                <w:color w:val="auto"/>
              </w:rPr>
            </w:pPr>
          </w:p>
        </w:tc>
      </w:tr>
      <w:tr>
        <w:trPr>
          <w:trHeight w:val="250"/>
        </w:trPr>
        <w:tc>
          <w:tcPr>
            <w:tcW w:w="266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 Louis Post-Dispatch </w:t>
            </w:r>
            <w:r>
              <w:rPr>
                <w:rFonts w:ascii="Arial" w:cs="Arial" w:eastAsia="Arial" w:hAnsi="Arial"/>
                <w:sz w:val="23"/>
                <w:szCs w:val="23"/>
                <w:color w:val="auto"/>
                <w:vertAlign w:val="superscript"/>
              </w:rPr>
              <w:t>(1)</w:t>
            </w:r>
          </w:p>
        </w:tc>
        <w:tc>
          <w:tcPr>
            <w:tcW w:w="2380" w:type="dxa"/>
            <w:vAlign w:val="bottom"/>
          </w:tcPr>
          <w:p>
            <w:pPr>
              <w:ind w:left="340"/>
              <w:spacing w:after="0"/>
              <w:rPr>
                <w:sz w:val="20"/>
                <w:szCs w:val="20"/>
                <w:color w:val="auto"/>
              </w:rPr>
            </w:pPr>
            <w:r>
              <w:rPr>
                <w:rFonts w:ascii="Arial" w:cs="Arial" w:eastAsia="Arial" w:hAnsi="Arial"/>
                <w:sz w:val="18"/>
                <w:szCs w:val="18"/>
                <w:color w:val="auto"/>
              </w:rPr>
              <w:t>stltoday.com</w:t>
            </w:r>
          </w:p>
        </w:tc>
        <w:tc>
          <w:tcPr>
            <w:tcW w:w="1980" w:type="dxa"/>
            <w:vAlign w:val="bottom"/>
          </w:tcPr>
          <w:p>
            <w:pPr>
              <w:ind w:left="380"/>
              <w:spacing w:after="0"/>
              <w:rPr>
                <w:sz w:val="20"/>
                <w:szCs w:val="20"/>
                <w:color w:val="auto"/>
              </w:rPr>
            </w:pPr>
            <w:r>
              <w:rPr>
                <w:rFonts w:ascii="Arial" w:cs="Arial" w:eastAsia="Arial" w:hAnsi="Arial"/>
                <w:sz w:val="18"/>
                <w:szCs w:val="18"/>
                <w:color w:val="auto"/>
              </w:rPr>
              <w:t>St. Louis, MO</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99,618</w:t>
            </w:r>
          </w:p>
        </w:tc>
        <w:tc>
          <w:tcPr>
            <w:tcW w:w="1100" w:type="dxa"/>
            <w:vAlign w:val="bottom"/>
          </w:tcPr>
          <w:p>
            <w:pPr>
              <w:jc w:val="right"/>
              <w:spacing w:after="0"/>
              <w:rPr>
                <w:sz w:val="20"/>
                <w:szCs w:val="20"/>
                <w:color w:val="auto"/>
              </w:rPr>
            </w:pPr>
            <w:r>
              <w:rPr>
                <w:rFonts w:ascii="Arial" w:cs="Arial" w:eastAsia="Arial" w:hAnsi="Arial"/>
                <w:sz w:val="18"/>
                <w:szCs w:val="18"/>
                <w:color w:val="auto"/>
              </w:rPr>
              <w:t>109,407</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3,614</w:t>
            </w:r>
          </w:p>
        </w:tc>
        <w:tc>
          <w:tcPr>
            <w:tcW w:w="840" w:type="dxa"/>
            <w:vAlign w:val="bottom"/>
          </w:tcPr>
          <w:p>
            <w:pPr>
              <w:jc w:val="right"/>
              <w:spacing w:after="0"/>
              <w:rPr>
                <w:sz w:val="20"/>
                <w:szCs w:val="20"/>
                <w:color w:val="auto"/>
              </w:rPr>
            </w:pPr>
            <w:r>
              <w:rPr>
                <w:rFonts w:ascii="Arial" w:cs="Arial" w:eastAsia="Arial" w:hAnsi="Arial"/>
                <w:sz w:val="18"/>
                <w:szCs w:val="18"/>
                <w:color w:val="auto"/>
              </w:rPr>
              <w:t>30,232</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Buffalo News </w:t>
            </w:r>
            <w:r>
              <w:rPr>
                <w:rFonts w:ascii="Arial" w:cs="Arial" w:eastAsia="Arial" w:hAnsi="Arial"/>
                <w:sz w:val="23"/>
                <w:szCs w:val="23"/>
                <w:color w:val="auto"/>
                <w:vertAlign w:val="superscript"/>
              </w:rPr>
              <w:t>(2)</w:t>
            </w:r>
          </w:p>
        </w:tc>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buffalonews.com</w:t>
            </w:r>
          </w:p>
        </w:tc>
        <w:tc>
          <w:tcPr>
            <w:tcW w:w="1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Buffalo, NY</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69,842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89,694</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2,325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21,830</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Omaha World Herald </w:t>
            </w:r>
            <w:r>
              <w:rPr>
                <w:rFonts w:ascii="Arial" w:cs="Arial" w:eastAsia="Arial" w:hAnsi="Arial"/>
                <w:sz w:val="23"/>
                <w:szCs w:val="23"/>
                <w:color w:val="auto"/>
                <w:vertAlign w:val="superscript"/>
              </w:rPr>
              <w:t>(1)</w:t>
            </w:r>
          </w:p>
        </w:tc>
        <w:tc>
          <w:tcPr>
            <w:tcW w:w="2380" w:type="dxa"/>
            <w:vAlign w:val="bottom"/>
          </w:tcPr>
          <w:p>
            <w:pPr>
              <w:ind w:left="340"/>
              <w:spacing w:after="0"/>
              <w:rPr>
                <w:sz w:val="20"/>
                <w:szCs w:val="20"/>
                <w:color w:val="auto"/>
              </w:rPr>
            </w:pPr>
            <w:r>
              <w:rPr>
                <w:rFonts w:ascii="Arial" w:cs="Arial" w:eastAsia="Arial" w:hAnsi="Arial"/>
                <w:sz w:val="18"/>
                <w:szCs w:val="18"/>
                <w:color w:val="auto"/>
              </w:rPr>
              <w:t>omaha.com</w:t>
            </w:r>
          </w:p>
        </w:tc>
        <w:tc>
          <w:tcPr>
            <w:tcW w:w="1980" w:type="dxa"/>
            <w:vAlign w:val="bottom"/>
          </w:tcPr>
          <w:p>
            <w:pPr>
              <w:ind w:left="380"/>
              <w:spacing w:after="0"/>
              <w:rPr>
                <w:sz w:val="20"/>
                <w:szCs w:val="20"/>
                <w:color w:val="auto"/>
              </w:rPr>
            </w:pPr>
            <w:r>
              <w:rPr>
                <w:rFonts w:ascii="Arial" w:cs="Arial" w:eastAsia="Arial" w:hAnsi="Arial"/>
                <w:sz w:val="18"/>
                <w:szCs w:val="18"/>
                <w:color w:val="auto"/>
              </w:rPr>
              <w:t>Omaha, NE</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58,514</w:t>
            </w:r>
          </w:p>
        </w:tc>
        <w:tc>
          <w:tcPr>
            <w:tcW w:w="1100" w:type="dxa"/>
            <w:vAlign w:val="bottom"/>
          </w:tcPr>
          <w:p>
            <w:pPr>
              <w:jc w:val="right"/>
              <w:spacing w:after="0"/>
              <w:rPr>
                <w:sz w:val="20"/>
                <w:szCs w:val="20"/>
                <w:color w:val="auto"/>
              </w:rPr>
            </w:pPr>
            <w:r>
              <w:rPr>
                <w:rFonts w:ascii="Arial" w:cs="Arial" w:eastAsia="Arial" w:hAnsi="Arial"/>
                <w:sz w:val="18"/>
                <w:szCs w:val="18"/>
                <w:color w:val="auto"/>
              </w:rPr>
              <w:t>63,319</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1,520</w:t>
            </w:r>
          </w:p>
        </w:tc>
        <w:tc>
          <w:tcPr>
            <w:tcW w:w="840" w:type="dxa"/>
            <w:vAlign w:val="bottom"/>
          </w:tcPr>
          <w:p>
            <w:pPr>
              <w:jc w:val="right"/>
              <w:spacing w:after="0"/>
              <w:rPr>
                <w:sz w:val="20"/>
                <w:szCs w:val="20"/>
                <w:color w:val="auto"/>
              </w:rPr>
            </w:pPr>
            <w:r>
              <w:rPr>
                <w:rFonts w:ascii="Arial" w:cs="Arial" w:eastAsia="Arial" w:hAnsi="Arial"/>
                <w:sz w:val="18"/>
                <w:szCs w:val="18"/>
                <w:color w:val="auto"/>
              </w:rPr>
              <w:t>19,512</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Wisconsin State Journal </w:t>
            </w:r>
            <w:r>
              <w:rPr>
                <w:rFonts w:ascii="Arial" w:cs="Arial" w:eastAsia="Arial" w:hAnsi="Arial"/>
                <w:sz w:val="23"/>
                <w:szCs w:val="23"/>
                <w:color w:val="auto"/>
                <w:vertAlign w:val="superscript"/>
              </w:rPr>
              <w:t>(1)(4)</w:t>
            </w:r>
          </w:p>
        </w:tc>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madison.com</w:t>
            </w:r>
          </w:p>
        </w:tc>
        <w:tc>
          <w:tcPr>
            <w:tcW w:w="1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Madison, WI</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49,140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51,450</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19,380</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Richmond Times-Dispatch </w:t>
            </w:r>
            <w:r>
              <w:rPr>
                <w:rFonts w:ascii="Arial" w:cs="Arial" w:eastAsia="Arial" w:hAnsi="Arial"/>
                <w:sz w:val="23"/>
                <w:szCs w:val="23"/>
                <w:color w:val="auto"/>
                <w:vertAlign w:val="superscript"/>
              </w:rPr>
              <w:t>(1)</w:t>
            </w:r>
          </w:p>
        </w:tc>
        <w:tc>
          <w:tcPr>
            <w:tcW w:w="2380" w:type="dxa"/>
            <w:vAlign w:val="bottom"/>
          </w:tcPr>
          <w:p>
            <w:pPr>
              <w:ind w:left="340"/>
              <w:spacing w:after="0"/>
              <w:rPr>
                <w:sz w:val="20"/>
                <w:szCs w:val="20"/>
                <w:color w:val="auto"/>
              </w:rPr>
            </w:pPr>
            <w:r>
              <w:rPr>
                <w:rFonts w:ascii="Arial" w:cs="Arial" w:eastAsia="Arial" w:hAnsi="Arial"/>
                <w:sz w:val="18"/>
                <w:szCs w:val="18"/>
                <w:color w:val="auto"/>
              </w:rPr>
              <w:t>richmond.com</w:t>
            </w:r>
          </w:p>
        </w:tc>
        <w:tc>
          <w:tcPr>
            <w:tcW w:w="1980" w:type="dxa"/>
            <w:vAlign w:val="bottom"/>
          </w:tcPr>
          <w:p>
            <w:pPr>
              <w:ind w:left="380"/>
              <w:spacing w:after="0"/>
              <w:rPr>
                <w:sz w:val="20"/>
                <w:szCs w:val="20"/>
                <w:color w:val="auto"/>
              </w:rPr>
            </w:pPr>
            <w:r>
              <w:rPr>
                <w:rFonts w:ascii="Arial" w:cs="Arial" w:eastAsia="Arial" w:hAnsi="Arial"/>
                <w:sz w:val="18"/>
                <w:szCs w:val="18"/>
                <w:color w:val="auto"/>
              </w:rPr>
              <w:t>Richmond, VA</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48,807</w:t>
            </w:r>
          </w:p>
        </w:tc>
        <w:tc>
          <w:tcPr>
            <w:tcW w:w="1100" w:type="dxa"/>
            <w:vAlign w:val="bottom"/>
          </w:tcPr>
          <w:p>
            <w:pPr>
              <w:jc w:val="right"/>
              <w:spacing w:after="0"/>
              <w:rPr>
                <w:sz w:val="20"/>
                <w:szCs w:val="20"/>
                <w:color w:val="auto"/>
              </w:rPr>
            </w:pPr>
            <w:r>
              <w:rPr>
                <w:rFonts w:ascii="Arial" w:cs="Arial" w:eastAsia="Arial" w:hAnsi="Arial"/>
                <w:sz w:val="18"/>
                <w:szCs w:val="18"/>
                <w:color w:val="auto"/>
              </w:rPr>
              <w:t>52,218</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1,305</w:t>
            </w:r>
          </w:p>
        </w:tc>
        <w:tc>
          <w:tcPr>
            <w:tcW w:w="840" w:type="dxa"/>
            <w:vAlign w:val="bottom"/>
          </w:tcPr>
          <w:p>
            <w:pPr>
              <w:jc w:val="right"/>
              <w:spacing w:after="0"/>
              <w:rPr>
                <w:sz w:val="20"/>
                <w:szCs w:val="20"/>
                <w:color w:val="auto"/>
              </w:rPr>
            </w:pPr>
            <w:r>
              <w:rPr>
                <w:rFonts w:ascii="Arial" w:cs="Arial" w:eastAsia="Arial" w:hAnsi="Arial"/>
                <w:sz w:val="18"/>
                <w:szCs w:val="18"/>
                <w:color w:val="auto"/>
              </w:rPr>
              <w:t>14,151</w:t>
            </w:r>
          </w:p>
        </w:tc>
        <w:tc>
          <w:tcPr>
            <w:tcW w:w="0" w:type="dxa"/>
            <w:vAlign w:val="bottom"/>
          </w:tcPr>
          <w:p>
            <w:pPr>
              <w:spacing w:after="0"/>
              <w:rPr>
                <w:sz w:val="1"/>
                <w:szCs w:val="1"/>
                <w:color w:val="auto"/>
              </w:rPr>
            </w:pPr>
          </w:p>
        </w:tc>
      </w:tr>
      <w:tr>
        <w:trPr>
          <w:trHeight w:val="175"/>
        </w:trPr>
        <w:tc>
          <w:tcPr>
            <w:tcW w:w="266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 xml:space="preserve">The Times </w:t>
            </w:r>
            <w:r>
              <w:rPr>
                <w:rFonts w:ascii="Arial" w:cs="Arial" w:eastAsia="Arial" w:hAnsi="Arial"/>
                <w:sz w:val="20"/>
                <w:szCs w:val="20"/>
                <w:color w:val="auto"/>
                <w:vertAlign w:val="superscript"/>
              </w:rPr>
              <w:t>(1)</w:t>
            </w:r>
          </w:p>
        </w:tc>
        <w:tc>
          <w:tcPr>
            <w:tcW w:w="2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nwitimes.com</w:t>
            </w:r>
          </w:p>
        </w:tc>
        <w:tc>
          <w:tcPr>
            <w:tcW w:w="198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Munster,</w:t>
            </w:r>
          </w:p>
        </w:tc>
        <w:tc>
          <w:tcPr>
            <w:tcW w:w="116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42,413</w:t>
            </w: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43,416</w:t>
            </w:r>
          </w:p>
        </w:tc>
        <w:tc>
          <w:tcPr>
            <w:tcW w:w="11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1,100</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17,262</w:t>
            </w: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980" w:type="dxa"/>
            <w:vAlign w:val="bottom"/>
            <w:shd w:val="clear" w:color="auto" w:fill="CCEEFF"/>
          </w:tcPr>
          <w:p>
            <w:pPr>
              <w:ind w:left="380"/>
              <w:spacing w:after="0" w:line="183" w:lineRule="exact"/>
              <w:rPr>
                <w:sz w:val="20"/>
                <w:szCs w:val="20"/>
                <w:color w:val="auto"/>
              </w:rPr>
            </w:pPr>
            <w:r>
              <w:rPr>
                <w:rFonts w:ascii="Arial" w:cs="Arial" w:eastAsia="Arial" w:hAnsi="Arial"/>
                <w:sz w:val="18"/>
                <w:szCs w:val="18"/>
                <w:color w:val="auto"/>
              </w:rPr>
              <w:t>Valparaiso, and</w:t>
            </w:r>
          </w:p>
        </w:tc>
        <w:tc>
          <w:tcPr>
            <w:tcW w:w="1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6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Crown Point, IN</w:t>
            </w:r>
          </w:p>
        </w:tc>
        <w:tc>
          <w:tcPr>
            <w:tcW w:w="1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Arizona Daily Star </w:t>
            </w:r>
            <w:r>
              <w:rPr>
                <w:rFonts w:ascii="Arial" w:cs="Arial" w:eastAsia="Arial" w:hAnsi="Arial"/>
                <w:sz w:val="23"/>
                <w:szCs w:val="23"/>
                <w:color w:val="auto"/>
                <w:vertAlign w:val="superscript"/>
              </w:rPr>
              <w:t>(5) (1)</w:t>
            </w:r>
          </w:p>
        </w:tc>
        <w:tc>
          <w:tcPr>
            <w:tcW w:w="2380" w:type="dxa"/>
            <w:vAlign w:val="bottom"/>
          </w:tcPr>
          <w:p>
            <w:pPr>
              <w:ind w:left="340"/>
              <w:spacing w:after="0"/>
              <w:rPr>
                <w:sz w:val="20"/>
                <w:szCs w:val="20"/>
                <w:color w:val="auto"/>
              </w:rPr>
            </w:pPr>
            <w:r>
              <w:rPr>
                <w:rFonts w:ascii="Arial" w:cs="Arial" w:eastAsia="Arial" w:hAnsi="Arial"/>
                <w:sz w:val="18"/>
                <w:szCs w:val="18"/>
                <w:color w:val="auto"/>
              </w:rPr>
              <w:t>azstarnet.com</w:t>
            </w:r>
          </w:p>
        </w:tc>
        <w:tc>
          <w:tcPr>
            <w:tcW w:w="1980" w:type="dxa"/>
            <w:vAlign w:val="bottom"/>
          </w:tcPr>
          <w:p>
            <w:pPr>
              <w:ind w:left="380"/>
              <w:spacing w:after="0"/>
              <w:rPr>
                <w:sz w:val="20"/>
                <w:szCs w:val="20"/>
                <w:color w:val="auto"/>
              </w:rPr>
            </w:pPr>
            <w:r>
              <w:rPr>
                <w:rFonts w:ascii="Arial" w:cs="Arial" w:eastAsia="Arial" w:hAnsi="Arial"/>
                <w:sz w:val="18"/>
                <w:szCs w:val="18"/>
                <w:color w:val="auto"/>
              </w:rPr>
              <w:t>Tucson, AZ</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39,500</w:t>
            </w:r>
          </w:p>
        </w:tc>
        <w:tc>
          <w:tcPr>
            <w:tcW w:w="1100" w:type="dxa"/>
            <w:vAlign w:val="bottom"/>
          </w:tcPr>
          <w:p>
            <w:pPr>
              <w:jc w:val="right"/>
              <w:spacing w:after="0"/>
              <w:rPr>
                <w:sz w:val="20"/>
                <w:szCs w:val="20"/>
                <w:color w:val="auto"/>
              </w:rPr>
            </w:pPr>
            <w:r>
              <w:rPr>
                <w:rFonts w:ascii="Arial" w:cs="Arial" w:eastAsia="Arial" w:hAnsi="Arial"/>
                <w:sz w:val="18"/>
                <w:szCs w:val="18"/>
                <w:color w:val="auto"/>
              </w:rPr>
              <w:t>45,848</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1,368</w:t>
            </w:r>
          </w:p>
        </w:tc>
        <w:tc>
          <w:tcPr>
            <w:tcW w:w="840" w:type="dxa"/>
            <w:vAlign w:val="bottom"/>
          </w:tcPr>
          <w:p>
            <w:pPr>
              <w:jc w:val="right"/>
              <w:spacing w:after="0"/>
              <w:rPr>
                <w:sz w:val="20"/>
                <w:szCs w:val="20"/>
                <w:color w:val="auto"/>
              </w:rPr>
            </w:pPr>
            <w:r>
              <w:rPr>
                <w:rFonts w:ascii="Arial" w:cs="Arial" w:eastAsia="Arial" w:hAnsi="Arial"/>
                <w:sz w:val="18"/>
                <w:szCs w:val="18"/>
                <w:color w:val="auto"/>
              </w:rPr>
              <w:t>13,339</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Tulsa World </w:t>
            </w:r>
            <w:r>
              <w:rPr>
                <w:rFonts w:ascii="Arial" w:cs="Arial" w:eastAsia="Arial" w:hAnsi="Arial"/>
                <w:sz w:val="23"/>
                <w:szCs w:val="23"/>
                <w:color w:val="auto"/>
                <w:vertAlign w:val="superscript"/>
              </w:rPr>
              <w:t>(1)</w:t>
            </w:r>
          </w:p>
        </w:tc>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tulsaworld.com</w:t>
            </w:r>
          </w:p>
        </w:tc>
        <w:tc>
          <w:tcPr>
            <w:tcW w:w="1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Tulsa, OK</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33,565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36,484</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Billings Gazette</w:t>
            </w:r>
          </w:p>
        </w:tc>
        <w:tc>
          <w:tcPr>
            <w:tcW w:w="2380" w:type="dxa"/>
            <w:vAlign w:val="bottom"/>
          </w:tcPr>
          <w:p>
            <w:pPr>
              <w:ind w:left="340"/>
              <w:spacing w:after="0"/>
              <w:rPr>
                <w:sz w:val="20"/>
                <w:szCs w:val="20"/>
                <w:color w:val="auto"/>
              </w:rPr>
            </w:pPr>
            <w:r>
              <w:rPr>
                <w:rFonts w:ascii="Arial" w:cs="Arial" w:eastAsia="Arial" w:hAnsi="Arial"/>
                <w:sz w:val="18"/>
                <w:szCs w:val="18"/>
                <w:color w:val="auto"/>
              </w:rPr>
              <w:t>billingsgazette.com</w:t>
            </w:r>
          </w:p>
        </w:tc>
        <w:tc>
          <w:tcPr>
            <w:tcW w:w="1980" w:type="dxa"/>
            <w:vAlign w:val="bottom"/>
          </w:tcPr>
          <w:p>
            <w:pPr>
              <w:ind w:left="380"/>
              <w:spacing w:after="0"/>
              <w:rPr>
                <w:sz w:val="20"/>
                <w:szCs w:val="20"/>
                <w:color w:val="auto"/>
              </w:rPr>
            </w:pPr>
            <w:r>
              <w:rPr>
                <w:rFonts w:ascii="Arial" w:cs="Arial" w:eastAsia="Arial" w:hAnsi="Arial"/>
                <w:sz w:val="18"/>
                <w:szCs w:val="18"/>
                <w:color w:val="auto"/>
              </w:rPr>
              <w:t>Billings, MT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26,418</w:t>
            </w:r>
          </w:p>
        </w:tc>
        <w:tc>
          <w:tcPr>
            <w:tcW w:w="1100" w:type="dxa"/>
            <w:vAlign w:val="bottom"/>
          </w:tcPr>
          <w:p>
            <w:pPr>
              <w:jc w:val="right"/>
              <w:spacing w:after="0"/>
              <w:rPr>
                <w:sz w:val="20"/>
                <w:szCs w:val="20"/>
                <w:color w:val="auto"/>
              </w:rPr>
            </w:pPr>
            <w:r>
              <w:rPr>
                <w:rFonts w:ascii="Arial" w:cs="Arial" w:eastAsia="Arial" w:hAnsi="Arial"/>
                <w:sz w:val="18"/>
                <w:szCs w:val="18"/>
                <w:color w:val="auto"/>
              </w:rPr>
              <w:t>28,541</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862</w:t>
            </w:r>
          </w:p>
        </w:tc>
        <w:tc>
          <w:tcPr>
            <w:tcW w:w="840" w:type="dxa"/>
            <w:vAlign w:val="bottom"/>
          </w:tcPr>
          <w:p>
            <w:pPr>
              <w:jc w:val="right"/>
              <w:spacing w:after="0"/>
              <w:rPr>
                <w:sz w:val="20"/>
                <w:szCs w:val="20"/>
                <w:color w:val="auto"/>
              </w:rPr>
            </w:pPr>
            <w:r>
              <w:rPr>
                <w:rFonts w:ascii="Arial" w:cs="Arial" w:eastAsia="Arial" w:hAnsi="Arial"/>
                <w:sz w:val="18"/>
                <w:szCs w:val="18"/>
                <w:color w:val="auto"/>
              </w:rPr>
              <w:t>8,624</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Lincoln Journal Star </w:t>
            </w:r>
            <w:r>
              <w:rPr>
                <w:rFonts w:ascii="Arial" w:cs="Arial" w:eastAsia="Arial" w:hAnsi="Arial"/>
                <w:sz w:val="23"/>
                <w:szCs w:val="23"/>
                <w:color w:val="auto"/>
                <w:vertAlign w:val="superscript"/>
              </w:rPr>
              <w:t>(1)</w:t>
            </w:r>
          </w:p>
        </w:tc>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journalstar.com</w:t>
            </w:r>
          </w:p>
        </w:tc>
        <w:tc>
          <w:tcPr>
            <w:tcW w:w="1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Lincoln, NE</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24,985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36,977</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12,566</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Quad-City Times</w:t>
            </w:r>
          </w:p>
        </w:tc>
        <w:tc>
          <w:tcPr>
            <w:tcW w:w="2380" w:type="dxa"/>
            <w:vAlign w:val="bottom"/>
          </w:tcPr>
          <w:p>
            <w:pPr>
              <w:ind w:left="340"/>
              <w:spacing w:after="0"/>
              <w:rPr>
                <w:sz w:val="20"/>
                <w:szCs w:val="20"/>
                <w:color w:val="auto"/>
              </w:rPr>
            </w:pPr>
            <w:r>
              <w:rPr>
                <w:rFonts w:ascii="Arial" w:cs="Arial" w:eastAsia="Arial" w:hAnsi="Arial"/>
                <w:sz w:val="18"/>
                <w:szCs w:val="18"/>
                <w:color w:val="auto"/>
              </w:rPr>
              <w:t>qctimes.com</w:t>
            </w:r>
          </w:p>
        </w:tc>
        <w:tc>
          <w:tcPr>
            <w:tcW w:w="1980" w:type="dxa"/>
            <w:vAlign w:val="bottom"/>
          </w:tcPr>
          <w:p>
            <w:pPr>
              <w:ind w:left="380"/>
              <w:spacing w:after="0"/>
              <w:rPr>
                <w:sz w:val="20"/>
                <w:szCs w:val="20"/>
                <w:color w:val="auto"/>
              </w:rPr>
            </w:pPr>
            <w:r>
              <w:rPr>
                <w:rFonts w:ascii="Arial" w:cs="Arial" w:eastAsia="Arial" w:hAnsi="Arial"/>
                <w:sz w:val="18"/>
                <w:szCs w:val="18"/>
                <w:color w:val="auto"/>
              </w:rPr>
              <w:t>Davenport, IA</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22,116</w:t>
            </w:r>
          </w:p>
        </w:tc>
        <w:tc>
          <w:tcPr>
            <w:tcW w:w="1100" w:type="dxa"/>
            <w:vAlign w:val="bottom"/>
          </w:tcPr>
          <w:p>
            <w:pPr>
              <w:jc w:val="right"/>
              <w:spacing w:after="0"/>
              <w:rPr>
                <w:sz w:val="20"/>
                <w:szCs w:val="20"/>
                <w:color w:val="auto"/>
              </w:rPr>
            </w:pPr>
            <w:r>
              <w:rPr>
                <w:rFonts w:ascii="Arial" w:cs="Arial" w:eastAsia="Arial" w:hAnsi="Arial"/>
                <w:sz w:val="18"/>
                <w:szCs w:val="18"/>
                <w:color w:val="auto"/>
              </w:rPr>
              <w:t>23,685</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657</w:t>
            </w:r>
          </w:p>
        </w:tc>
        <w:tc>
          <w:tcPr>
            <w:tcW w:w="840" w:type="dxa"/>
            <w:vAlign w:val="bottom"/>
          </w:tcPr>
          <w:p>
            <w:pPr>
              <w:jc w:val="right"/>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Bismarck Tribune</w:t>
            </w:r>
          </w:p>
        </w:tc>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bismarcktribune.com</w:t>
            </w:r>
          </w:p>
        </w:tc>
        <w:tc>
          <w:tcPr>
            <w:tcW w:w="1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Bismarck, ND</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22,006</w:t>
            </w: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908"/>
        </w:trPr>
        <w:tc>
          <w:tcPr>
            <w:tcW w:w="2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980" w:type="dxa"/>
            <w:vAlign w:val="bottom"/>
          </w:tcPr>
          <w:p>
            <w:pPr>
              <w:ind w:left="540"/>
              <w:spacing w:after="0"/>
              <w:rPr>
                <w:sz w:val="20"/>
                <w:szCs w:val="20"/>
                <w:color w:val="auto"/>
              </w:rPr>
            </w:pPr>
            <w:r>
              <w:rPr>
                <w:rFonts w:ascii="Arial" w:cs="Arial" w:eastAsia="Arial" w:hAnsi="Arial"/>
                <w:sz w:val="18"/>
                <w:szCs w:val="18"/>
                <w:color w:val="auto"/>
              </w:rPr>
              <w:t>4</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66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8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2"/>
            <w:vMerge w:val="restart"/>
          </w:tcPr>
          <w:p>
            <w:pPr>
              <w:jc w:val="right"/>
              <w:ind w:right="410"/>
              <w:spacing w:after="0"/>
              <w:rPr>
                <w:sz w:val="20"/>
                <w:szCs w:val="20"/>
                <w:color w:val="auto"/>
              </w:rPr>
            </w:pPr>
            <w:r>
              <w:rPr>
                <w:rFonts w:ascii="Arial" w:cs="Arial" w:eastAsia="Arial" w:hAnsi="Arial"/>
                <w:sz w:val="18"/>
                <w:szCs w:val="18"/>
                <w:color w:val="auto"/>
              </w:rPr>
              <w:t xml:space="preserve">Average Units </w:t>
            </w:r>
            <w:r>
              <w:rPr>
                <w:rFonts w:ascii="Arial" w:cs="Arial" w:eastAsia="Arial" w:hAnsi="Arial"/>
                <w:sz w:val="23"/>
                <w:szCs w:val="23"/>
                <w:color w:val="auto"/>
                <w:vertAlign w:val="superscript"/>
              </w:rPr>
              <w:t>(5)</w:t>
            </w:r>
          </w:p>
        </w:tc>
        <w:tc>
          <w:tcPr>
            <w:tcW w:w="19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2023 Monthly Average</w:t>
            </w:r>
          </w:p>
        </w:tc>
        <w:tc>
          <w:tcPr>
            <w:tcW w:w="0" w:type="dxa"/>
            <w:vAlign w:val="bottom"/>
          </w:tcPr>
          <w:p>
            <w:pPr>
              <w:spacing w:after="0"/>
              <w:rPr>
                <w:sz w:val="1"/>
                <w:szCs w:val="1"/>
                <w:color w:val="auto"/>
              </w:rPr>
            </w:pPr>
          </w:p>
        </w:tc>
      </w:tr>
      <w:tr>
        <w:trPr>
          <w:trHeight w:val="237"/>
        </w:trPr>
        <w:tc>
          <w:tcPr>
            <w:tcW w:w="26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vMerge w:val="continue"/>
          </w:tcPr>
          <w:p>
            <w:pPr>
              <w:spacing w:after="0"/>
              <w:rPr>
                <w:sz w:val="20"/>
                <w:szCs w:val="20"/>
                <w:color w:val="auto"/>
              </w:rPr>
            </w:pPr>
          </w:p>
        </w:tc>
        <w:tc>
          <w:tcPr>
            <w:tcW w:w="1960" w:type="dxa"/>
            <w:vAlign w:val="bottom"/>
            <w:tcBorders>
              <w:bottom w:val="single" w:sz="8" w:color="auto"/>
            </w:tcBorders>
            <w:gridSpan w:val="2"/>
          </w:tcPr>
          <w:p>
            <w:pPr>
              <w:jc w:val="right"/>
              <w:ind w:right="430"/>
              <w:spacing w:after="0" w:line="237" w:lineRule="exact"/>
              <w:rPr>
                <w:sz w:val="20"/>
                <w:szCs w:val="20"/>
                <w:color w:val="auto"/>
              </w:rPr>
            </w:pPr>
            <w:r>
              <w:rPr>
                <w:rFonts w:ascii="Arial" w:cs="Arial" w:eastAsia="Arial" w:hAnsi="Arial"/>
                <w:sz w:val="18"/>
                <w:szCs w:val="18"/>
                <w:color w:val="auto"/>
              </w:rPr>
              <w:t xml:space="preserve">('000s) </w:t>
            </w:r>
            <w:r>
              <w:rPr>
                <w:rFonts w:ascii="Arial" w:cs="Arial" w:eastAsia="Arial" w:hAnsi="Arial"/>
                <w:sz w:val="23"/>
                <w:szCs w:val="23"/>
                <w:color w:val="auto"/>
                <w:vertAlign w:val="superscript"/>
              </w:rPr>
              <w:t>(6)(7)</w:t>
            </w:r>
          </w:p>
        </w:tc>
        <w:tc>
          <w:tcPr>
            <w:tcW w:w="0" w:type="dxa"/>
            <w:vAlign w:val="bottom"/>
          </w:tcPr>
          <w:p>
            <w:pPr>
              <w:spacing w:after="0"/>
              <w:rPr>
                <w:sz w:val="1"/>
                <w:szCs w:val="1"/>
                <w:color w:val="auto"/>
              </w:rPr>
            </w:pPr>
          </w:p>
        </w:tc>
      </w:tr>
      <w:tr>
        <w:trPr>
          <w:trHeight w:val="177"/>
        </w:trPr>
        <w:tc>
          <w:tcPr>
            <w:tcW w:w="2680" w:type="dxa"/>
            <w:vAlign w:val="bottom"/>
            <w:vMerge w:val="restart"/>
          </w:tcPr>
          <w:p>
            <w:pPr>
              <w:ind w:left="20"/>
              <w:spacing w:after="0"/>
              <w:rPr>
                <w:sz w:val="20"/>
                <w:szCs w:val="20"/>
                <w:color w:val="auto"/>
              </w:rPr>
            </w:pPr>
            <w:r>
              <w:rPr>
                <w:rFonts w:ascii="Arial" w:cs="Arial" w:eastAsia="Arial" w:hAnsi="Arial"/>
                <w:sz w:val="18"/>
                <w:szCs w:val="18"/>
                <w:color w:val="auto"/>
              </w:rPr>
              <w:t>Newspaper</w:t>
            </w:r>
          </w:p>
        </w:tc>
        <w:tc>
          <w:tcPr>
            <w:tcW w:w="2460" w:type="dxa"/>
            <w:vAlign w:val="bottom"/>
            <w:vMerge w:val="restart"/>
          </w:tcPr>
          <w:p>
            <w:pPr>
              <w:ind w:left="320"/>
              <w:spacing w:after="0"/>
              <w:rPr>
                <w:sz w:val="20"/>
                <w:szCs w:val="20"/>
                <w:color w:val="auto"/>
              </w:rPr>
            </w:pPr>
            <w:r>
              <w:rPr>
                <w:rFonts w:ascii="Arial" w:cs="Arial" w:eastAsia="Arial" w:hAnsi="Arial"/>
                <w:sz w:val="18"/>
                <w:szCs w:val="18"/>
                <w:color w:val="auto"/>
              </w:rPr>
              <w:t>Primary Website</w:t>
            </w:r>
          </w:p>
        </w:tc>
        <w:tc>
          <w:tcPr>
            <w:tcW w:w="2060" w:type="dxa"/>
            <w:vAlign w:val="bottom"/>
            <w:vMerge w:val="restart"/>
          </w:tcPr>
          <w:p>
            <w:pPr>
              <w:ind w:left="280"/>
              <w:spacing w:after="0"/>
              <w:rPr>
                <w:sz w:val="20"/>
                <w:szCs w:val="20"/>
                <w:color w:val="auto"/>
              </w:rPr>
            </w:pPr>
            <w:r>
              <w:rPr>
                <w:rFonts w:ascii="Arial" w:cs="Arial" w:eastAsia="Arial" w:hAnsi="Arial"/>
                <w:sz w:val="18"/>
                <w:szCs w:val="18"/>
                <w:color w:val="auto"/>
              </w:rPr>
              <w:t>Location</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 xml:space="preserve">Daily </w:t>
            </w:r>
            <w:r>
              <w:rPr>
                <w:rFonts w:ascii="Arial" w:cs="Arial" w:eastAsia="Arial" w:hAnsi="Arial"/>
                <w:sz w:val="23"/>
                <w:szCs w:val="23"/>
                <w:color w:val="auto"/>
                <w:vertAlign w:val="superscript"/>
              </w:rPr>
              <w:t>(3)</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 xml:space="preserve">Sunday </w:t>
            </w:r>
            <w:r>
              <w:rPr>
                <w:rFonts w:ascii="Arial" w:cs="Arial" w:eastAsia="Arial" w:hAnsi="Arial"/>
                <w:sz w:val="23"/>
                <w:szCs w:val="23"/>
                <w:color w:val="auto"/>
                <w:vertAlign w:val="superscript"/>
              </w:rPr>
              <w:t>(3)</w:t>
            </w:r>
          </w:p>
        </w:tc>
        <w:tc>
          <w:tcPr>
            <w:tcW w:w="1120" w:type="dxa"/>
            <w:vAlign w:val="bottom"/>
          </w:tcPr>
          <w:p>
            <w:pPr>
              <w:jc w:val="right"/>
              <w:ind w:right="230"/>
              <w:spacing w:after="0" w:line="177" w:lineRule="exact"/>
              <w:rPr>
                <w:sz w:val="20"/>
                <w:szCs w:val="20"/>
                <w:color w:val="auto"/>
              </w:rPr>
            </w:pPr>
            <w:r>
              <w:rPr>
                <w:rFonts w:ascii="Arial" w:cs="Arial" w:eastAsia="Arial" w:hAnsi="Arial"/>
                <w:sz w:val="18"/>
                <w:szCs w:val="18"/>
                <w:color w:val="auto"/>
              </w:rPr>
              <w:t>Unique</w:t>
            </w:r>
          </w:p>
        </w:tc>
        <w:tc>
          <w:tcPr>
            <w:tcW w:w="840" w:type="dxa"/>
            <w:vAlign w:val="bottom"/>
          </w:tcPr>
          <w:p>
            <w:pPr>
              <w:jc w:val="right"/>
              <w:ind w:right="130"/>
              <w:spacing w:after="0" w:line="177" w:lineRule="exact"/>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5"/>
        </w:trPr>
        <w:tc>
          <w:tcPr>
            <w:tcW w:w="2680" w:type="dxa"/>
            <w:vAlign w:val="bottom"/>
            <w:tcBorders>
              <w:bottom w:val="single" w:sz="8" w:color="auto"/>
            </w:tcBorders>
            <w:vMerge w:val="continue"/>
          </w:tcPr>
          <w:p>
            <w:pPr>
              <w:spacing w:after="0"/>
              <w:rPr>
                <w:sz w:val="20"/>
                <w:szCs w:val="20"/>
                <w:color w:val="auto"/>
              </w:rPr>
            </w:pPr>
          </w:p>
        </w:tc>
        <w:tc>
          <w:tcPr>
            <w:tcW w:w="2460" w:type="dxa"/>
            <w:vAlign w:val="bottom"/>
            <w:tcBorders>
              <w:bottom w:val="single" w:sz="8" w:color="auto"/>
            </w:tcBorders>
            <w:vMerge w:val="continue"/>
          </w:tcPr>
          <w:p>
            <w:pPr>
              <w:spacing w:after="0"/>
              <w:rPr>
                <w:sz w:val="20"/>
                <w:szCs w:val="20"/>
                <w:color w:val="auto"/>
              </w:rPr>
            </w:pPr>
          </w:p>
        </w:tc>
        <w:tc>
          <w:tcPr>
            <w:tcW w:w="20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Visitors</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Views</w:t>
            </w:r>
          </w:p>
        </w:tc>
        <w:tc>
          <w:tcPr>
            <w:tcW w:w="0" w:type="dxa"/>
            <w:vAlign w:val="bottom"/>
          </w:tcPr>
          <w:p>
            <w:pPr>
              <w:spacing w:after="0"/>
              <w:rPr>
                <w:sz w:val="1"/>
                <w:szCs w:val="1"/>
                <w:color w:val="auto"/>
              </w:rPr>
            </w:pPr>
          </w:p>
        </w:tc>
      </w:tr>
      <w:tr>
        <w:trPr>
          <w:trHeight w:val="223"/>
        </w:trPr>
        <w:tc>
          <w:tcPr>
            <w:tcW w:w="268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Winston Salem Journal </w:t>
            </w:r>
            <w:r>
              <w:rPr>
                <w:rFonts w:ascii="Arial" w:cs="Arial" w:eastAsia="Arial" w:hAnsi="Arial"/>
                <w:sz w:val="23"/>
                <w:szCs w:val="23"/>
                <w:color w:val="auto"/>
                <w:vertAlign w:val="superscript"/>
              </w:rPr>
              <w:t>(1)</w:t>
            </w:r>
          </w:p>
        </w:tc>
        <w:tc>
          <w:tcPr>
            <w:tcW w:w="2460" w:type="dxa"/>
            <w:vAlign w:val="bottom"/>
          </w:tcPr>
          <w:p>
            <w:pPr>
              <w:ind w:left="320"/>
              <w:spacing w:after="0"/>
              <w:rPr>
                <w:sz w:val="20"/>
                <w:szCs w:val="20"/>
                <w:color w:val="auto"/>
              </w:rPr>
            </w:pPr>
            <w:r>
              <w:rPr>
                <w:rFonts w:ascii="Arial" w:cs="Arial" w:eastAsia="Arial" w:hAnsi="Arial"/>
                <w:sz w:val="18"/>
                <w:szCs w:val="18"/>
                <w:color w:val="auto"/>
              </w:rPr>
              <w:t>journalnow.com</w:t>
            </w:r>
          </w:p>
        </w:tc>
        <w:tc>
          <w:tcPr>
            <w:tcW w:w="2060" w:type="dxa"/>
            <w:vAlign w:val="bottom"/>
          </w:tcPr>
          <w:p>
            <w:pPr>
              <w:ind w:left="280"/>
              <w:spacing w:after="0"/>
              <w:rPr>
                <w:sz w:val="20"/>
                <w:szCs w:val="20"/>
                <w:color w:val="auto"/>
              </w:rPr>
            </w:pPr>
            <w:r>
              <w:rPr>
                <w:rFonts w:ascii="Arial" w:cs="Arial" w:eastAsia="Arial" w:hAnsi="Arial"/>
                <w:sz w:val="18"/>
                <w:szCs w:val="18"/>
                <w:color w:val="auto"/>
              </w:rPr>
              <w:t>Winston-Salem, NC</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19,674</w:t>
            </w:r>
          </w:p>
        </w:tc>
        <w:tc>
          <w:tcPr>
            <w:tcW w:w="1100" w:type="dxa"/>
            <w:vAlign w:val="bottom"/>
          </w:tcPr>
          <w:p>
            <w:pPr>
              <w:jc w:val="right"/>
              <w:spacing w:after="0"/>
              <w:rPr>
                <w:sz w:val="20"/>
                <w:szCs w:val="20"/>
                <w:color w:val="auto"/>
              </w:rPr>
            </w:pPr>
            <w:r>
              <w:rPr>
                <w:rFonts w:ascii="Arial" w:cs="Arial" w:eastAsia="Arial" w:hAnsi="Arial"/>
                <w:sz w:val="18"/>
                <w:szCs w:val="18"/>
                <w:color w:val="auto"/>
              </w:rPr>
              <w:t>20,548</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693</w:t>
            </w:r>
          </w:p>
        </w:tc>
        <w:tc>
          <w:tcPr>
            <w:tcW w:w="840" w:type="dxa"/>
            <w:vAlign w:val="bottom"/>
          </w:tcPr>
          <w:p>
            <w:pPr>
              <w:jc w:val="right"/>
              <w:spacing w:after="0"/>
              <w:rPr>
                <w:sz w:val="20"/>
                <w:szCs w:val="20"/>
                <w:color w:val="auto"/>
              </w:rPr>
            </w:pPr>
            <w:r>
              <w:rPr>
                <w:rFonts w:ascii="Arial" w:cs="Arial" w:eastAsia="Arial" w:hAnsi="Arial"/>
                <w:sz w:val="18"/>
                <w:szCs w:val="18"/>
                <w:color w:val="auto"/>
              </w:rPr>
              <w:t>6,081</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Roanoke Times</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roanoke.com</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Roanoke, VA</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19,657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22,103</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La Crosse Tribune</w:t>
            </w:r>
          </w:p>
        </w:tc>
        <w:tc>
          <w:tcPr>
            <w:tcW w:w="2460" w:type="dxa"/>
            <w:vAlign w:val="bottom"/>
          </w:tcPr>
          <w:p>
            <w:pPr>
              <w:ind w:left="320"/>
              <w:spacing w:after="0"/>
              <w:rPr>
                <w:sz w:val="20"/>
                <w:szCs w:val="20"/>
                <w:color w:val="auto"/>
              </w:rPr>
            </w:pPr>
            <w:r>
              <w:rPr>
                <w:rFonts w:ascii="Arial" w:cs="Arial" w:eastAsia="Arial" w:hAnsi="Arial"/>
                <w:sz w:val="18"/>
                <w:szCs w:val="18"/>
                <w:color w:val="auto"/>
              </w:rPr>
              <w:t>lacrossetribune.com</w:t>
            </w:r>
          </w:p>
        </w:tc>
        <w:tc>
          <w:tcPr>
            <w:tcW w:w="2060" w:type="dxa"/>
            <w:vAlign w:val="bottom"/>
          </w:tcPr>
          <w:p>
            <w:pPr>
              <w:ind w:left="280"/>
              <w:spacing w:after="0"/>
              <w:rPr>
                <w:sz w:val="20"/>
                <w:szCs w:val="20"/>
                <w:color w:val="auto"/>
              </w:rPr>
            </w:pPr>
            <w:r>
              <w:rPr>
                <w:rFonts w:ascii="Arial" w:cs="Arial" w:eastAsia="Arial" w:hAnsi="Arial"/>
                <w:sz w:val="18"/>
                <w:szCs w:val="18"/>
                <w:color w:val="auto"/>
              </w:rPr>
              <w:t>La Crosse, WI</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18,837</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443</w:t>
            </w:r>
          </w:p>
        </w:tc>
        <w:tc>
          <w:tcPr>
            <w:tcW w:w="840" w:type="dxa"/>
            <w:vAlign w:val="bottom"/>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Press of Atlantic City</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pressofatlanticcity.com</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Atlantic City, NJ</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18,294</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The Pantagraph</w:t>
            </w:r>
          </w:p>
        </w:tc>
        <w:tc>
          <w:tcPr>
            <w:tcW w:w="2460" w:type="dxa"/>
            <w:vAlign w:val="bottom"/>
          </w:tcPr>
          <w:p>
            <w:pPr>
              <w:ind w:left="320"/>
              <w:spacing w:after="0"/>
              <w:rPr>
                <w:sz w:val="20"/>
                <w:szCs w:val="20"/>
                <w:color w:val="auto"/>
              </w:rPr>
            </w:pPr>
            <w:r>
              <w:rPr>
                <w:rFonts w:ascii="Arial" w:cs="Arial" w:eastAsia="Arial" w:hAnsi="Arial"/>
                <w:sz w:val="18"/>
                <w:szCs w:val="18"/>
                <w:color w:val="auto"/>
              </w:rPr>
              <w:t>pantagraph.com</w:t>
            </w:r>
          </w:p>
        </w:tc>
        <w:tc>
          <w:tcPr>
            <w:tcW w:w="2060" w:type="dxa"/>
            <w:vAlign w:val="bottom"/>
          </w:tcPr>
          <w:p>
            <w:pPr>
              <w:ind w:left="280"/>
              <w:spacing w:after="0"/>
              <w:rPr>
                <w:sz w:val="20"/>
                <w:szCs w:val="20"/>
                <w:color w:val="auto"/>
              </w:rPr>
            </w:pPr>
            <w:r>
              <w:rPr>
                <w:rFonts w:ascii="Arial" w:cs="Arial" w:eastAsia="Arial" w:hAnsi="Arial"/>
                <w:sz w:val="18"/>
                <w:szCs w:val="18"/>
                <w:color w:val="auto"/>
              </w:rPr>
              <w:t>Bloomington, IL</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16,930</w:t>
            </w:r>
          </w:p>
        </w:tc>
        <w:tc>
          <w:tcPr>
            <w:tcW w:w="1100" w:type="dxa"/>
            <w:vAlign w:val="bottom"/>
          </w:tcPr>
          <w:p>
            <w:pPr>
              <w:jc w:val="right"/>
              <w:spacing w:after="0"/>
              <w:rPr>
                <w:sz w:val="20"/>
                <w:szCs w:val="20"/>
                <w:color w:val="auto"/>
              </w:rPr>
            </w:pPr>
            <w:r>
              <w:rPr>
                <w:rFonts w:ascii="Arial" w:cs="Arial" w:eastAsia="Arial" w:hAnsi="Arial"/>
                <w:sz w:val="18"/>
                <w:szCs w:val="18"/>
                <w:color w:val="auto"/>
              </w:rPr>
              <w:t>17,870</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526</w:t>
            </w:r>
          </w:p>
        </w:tc>
        <w:tc>
          <w:tcPr>
            <w:tcW w:w="840" w:type="dxa"/>
            <w:vAlign w:val="bottom"/>
          </w:tcPr>
          <w:p>
            <w:pPr>
              <w:jc w:val="right"/>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Missoulian</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missoulian.com</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Missoula, MT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16,652</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The Post-Star</w:t>
            </w:r>
          </w:p>
        </w:tc>
        <w:tc>
          <w:tcPr>
            <w:tcW w:w="2460" w:type="dxa"/>
            <w:vAlign w:val="bottom"/>
          </w:tcPr>
          <w:p>
            <w:pPr>
              <w:ind w:left="320"/>
              <w:spacing w:after="0"/>
              <w:rPr>
                <w:sz w:val="20"/>
                <w:szCs w:val="20"/>
                <w:color w:val="auto"/>
              </w:rPr>
            </w:pPr>
            <w:r>
              <w:rPr>
                <w:rFonts w:ascii="Arial" w:cs="Arial" w:eastAsia="Arial" w:hAnsi="Arial"/>
                <w:sz w:val="18"/>
                <w:szCs w:val="18"/>
                <w:color w:val="auto"/>
              </w:rPr>
              <w:t>poststar.com</w:t>
            </w:r>
          </w:p>
        </w:tc>
        <w:tc>
          <w:tcPr>
            <w:tcW w:w="2060" w:type="dxa"/>
            <w:vAlign w:val="bottom"/>
          </w:tcPr>
          <w:p>
            <w:pPr>
              <w:ind w:left="280"/>
              <w:spacing w:after="0"/>
              <w:rPr>
                <w:sz w:val="20"/>
                <w:szCs w:val="20"/>
                <w:color w:val="auto"/>
              </w:rPr>
            </w:pPr>
            <w:r>
              <w:rPr>
                <w:rFonts w:ascii="Arial" w:cs="Arial" w:eastAsia="Arial" w:hAnsi="Arial"/>
                <w:sz w:val="18"/>
                <w:szCs w:val="18"/>
                <w:color w:val="auto"/>
              </w:rPr>
              <w:t>Glens Falls, NY</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15,866</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434</w:t>
            </w:r>
          </w:p>
        </w:tc>
        <w:tc>
          <w:tcPr>
            <w:tcW w:w="840" w:type="dxa"/>
            <w:vAlign w:val="bottom"/>
          </w:tcPr>
          <w:p>
            <w:pPr>
              <w:jc w:val="right"/>
              <w:spacing w:after="0"/>
              <w:rPr>
                <w:sz w:val="20"/>
                <w:szCs w:val="20"/>
                <w:color w:val="auto"/>
              </w:rPr>
            </w:pPr>
            <w:r>
              <w:rPr>
                <w:rFonts w:ascii="Arial" w:cs="Arial" w:eastAsia="Arial" w:hAnsi="Arial"/>
                <w:sz w:val="18"/>
                <w:szCs w:val="18"/>
                <w:color w:val="auto"/>
              </w:rPr>
              <w:t>4,606</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Rapid City Journal</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rapidcityjournal.com</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Rapid City, SD</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15,557</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Greensboro News-Record</w:t>
            </w:r>
          </w:p>
        </w:tc>
        <w:tc>
          <w:tcPr>
            <w:tcW w:w="2460" w:type="dxa"/>
            <w:vAlign w:val="bottom"/>
          </w:tcPr>
          <w:p>
            <w:pPr>
              <w:ind w:left="320"/>
              <w:spacing w:after="0"/>
              <w:rPr>
                <w:sz w:val="20"/>
                <w:szCs w:val="20"/>
                <w:color w:val="auto"/>
              </w:rPr>
            </w:pPr>
            <w:r>
              <w:rPr>
                <w:rFonts w:ascii="Arial" w:cs="Arial" w:eastAsia="Arial" w:hAnsi="Arial"/>
                <w:sz w:val="18"/>
                <w:szCs w:val="18"/>
                <w:color w:val="auto"/>
              </w:rPr>
              <w:t>greensboro.com</w:t>
            </w:r>
          </w:p>
        </w:tc>
        <w:tc>
          <w:tcPr>
            <w:tcW w:w="2060" w:type="dxa"/>
            <w:vAlign w:val="bottom"/>
          </w:tcPr>
          <w:p>
            <w:pPr>
              <w:ind w:left="280"/>
              <w:spacing w:after="0"/>
              <w:rPr>
                <w:sz w:val="20"/>
                <w:szCs w:val="20"/>
                <w:color w:val="auto"/>
              </w:rPr>
            </w:pPr>
            <w:r>
              <w:rPr>
                <w:rFonts w:ascii="Arial" w:cs="Arial" w:eastAsia="Arial" w:hAnsi="Arial"/>
                <w:sz w:val="18"/>
                <w:szCs w:val="18"/>
                <w:color w:val="auto"/>
              </w:rPr>
              <w:t>Greensboro, NC</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15,151</w:t>
            </w:r>
          </w:p>
        </w:tc>
        <w:tc>
          <w:tcPr>
            <w:tcW w:w="1100" w:type="dxa"/>
            <w:vAlign w:val="bottom"/>
          </w:tcPr>
          <w:p>
            <w:pPr>
              <w:jc w:val="right"/>
              <w:spacing w:after="0"/>
              <w:rPr>
                <w:sz w:val="20"/>
                <w:szCs w:val="20"/>
                <w:color w:val="auto"/>
              </w:rPr>
            </w:pPr>
            <w:r>
              <w:rPr>
                <w:rFonts w:ascii="Arial" w:cs="Arial" w:eastAsia="Arial" w:hAnsi="Arial"/>
                <w:sz w:val="18"/>
                <w:szCs w:val="18"/>
                <w:color w:val="auto"/>
              </w:rPr>
              <w:t>16,725</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578</w:t>
            </w:r>
          </w:p>
        </w:tc>
        <w:tc>
          <w:tcPr>
            <w:tcW w:w="840" w:type="dxa"/>
            <w:vAlign w:val="bottom"/>
          </w:tcPr>
          <w:p>
            <w:pPr>
              <w:jc w:val="right"/>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Journal Times</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journaltimes.com</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Racine, WI</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14,749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15,915</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Freelance-Star</w:t>
            </w:r>
          </w:p>
        </w:tc>
        <w:tc>
          <w:tcPr>
            <w:tcW w:w="2460" w:type="dxa"/>
            <w:vAlign w:val="bottom"/>
          </w:tcPr>
          <w:p>
            <w:pPr>
              <w:ind w:left="320"/>
              <w:spacing w:after="0"/>
              <w:rPr>
                <w:sz w:val="20"/>
                <w:szCs w:val="20"/>
                <w:color w:val="auto"/>
              </w:rPr>
            </w:pPr>
            <w:r>
              <w:rPr>
                <w:rFonts w:ascii="Arial" w:cs="Arial" w:eastAsia="Arial" w:hAnsi="Arial"/>
                <w:sz w:val="18"/>
                <w:szCs w:val="18"/>
                <w:color w:val="auto"/>
              </w:rPr>
              <w:t>fredericksburg.com</w:t>
            </w:r>
          </w:p>
        </w:tc>
        <w:tc>
          <w:tcPr>
            <w:tcW w:w="2060" w:type="dxa"/>
            <w:vAlign w:val="bottom"/>
          </w:tcPr>
          <w:p>
            <w:pPr>
              <w:ind w:left="280"/>
              <w:spacing w:after="0"/>
              <w:rPr>
                <w:sz w:val="20"/>
                <w:szCs w:val="20"/>
                <w:color w:val="auto"/>
              </w:rPr>
            </w:pPr>
            <w:r>
              <w:rPr>
                <w:rFonts w:ascii="Arial" w:cs="Arial" w:eastAsia="Arial" w:hAnsi="Arial"/>
                <w:sz w:val="18"/>
                <w:szCs w:val="18"/>
                <w:color w:val="auto"/>
              </w:rPr>
              <w:t>Fredericksburg, VA</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14,362</w:t>
            </w:r>
          </w:p>
        </w:tc>
        <w:tc>
          <w:tcPr>
            <w:tcW w:w="1100" w:type="dxa"/>
            <w:vAlign w:val="bottom"/>
          </w:tcPr>
          <w:p>
            <w:pPr>
              <w:jc w:val="right"/>
              <w:spacing w:after="0"/>
              <w:rPr>
                <w:sz w:val="20"/>
                <w:szCs w:val="20"/>
                <w:color w:val="auto"/>
              </w:rPr>
            </w:pPr>
            <w:r>
              <w:rPr>
                <w:rFonts w:ascii="Arial" w:cs="Arial" w:eastAsia="Arial" w:hAnsi="Arial"/>
                <w:sz w:val="18"/>
                <w:szCs w:val="18"/>
                <w:color w:val="auto"/>
              </w:rPr>
              <w:t>15,376</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398</w:t>
            </w:r>
          </w:p>
        </w:tc>
        <w:tc>
          <w:tcPr>
            <w:tcW w:w="840" w:type="dxa"/>
            <w:vAlign w:val="bottom"/>
          </w:tcPr>
          <w:p>
            <w:pPr>
              <w:jc w:val="right"/>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Record</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helenair.com</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Helena, MT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14,083</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Napa Valley Register</w:t>
            </w:r>
          </w:p>
        </w:tc>
        <w:tc>
          <w:tcPr>
            <w:tcW w:w="2460" w:type="dxa"/>
            <w:vAlign w:val="bottom"/>
          </w:tcPr>
          <w:p>
            <w:pPr>
              <w:ind w:left="320"/>
              <w:spacing w:after="0"/>
              <w:rPr>
                <w:sz w:val="20"/>
                <w:szCs w:val="20"/>
                <w:color w:val="auto"/>
              </w:rPr>
            </w:pPr>
            <w:r>
              <w:rPr>
                <w:rFonts w:ascii="Arial" w:cs="Arial" w:eastAsia="Arial" w:hAnsi="Arial"/>
                <w:sz w:val="18"/>
                <w:szCs w:val="18"/>
                <w:color w:val="auto"/>
              </w:rPr>
              <w:t>napavalleyregister.com</w:t>
            </w:r>
          </w:p>
        </w:tc>
        <w:tc>
          <w:tcPr>
            <w:tcW w:w="2060" w:type="dxa"/>
            <w:vAlign w:val="bottom"/>
          </w:tcPr>
          <w:p>
            <w:pPr>
              <w:ind w:left="280"/>
              <w:spacing w:after="0"/>
              <w:rPr>
                <w:sz w:val="20"/>
                <w:szCs w:val="20"/>
                <w:color w:val="auto"/>
              </w:rPr>
            </w:pPr>
            <w:r>
              <w:rPr>
                <w:rFonts w:ascii="Arial" w:cs="Arial" w:eastAsia="Arial" w:hAnsi="Arial"/>
                <w:sz w:val="18"/>
                <w:szCs w:val="18"/>
                <w:color w:val="auto"/>
              </w:rPr>
              <w:t>Napa, CA</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13,561</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343</w:t>
            </w:r>
          </w:p>
        </w:tc>
        <w:tc>
          <w:tcPr>
            <w:tcW w:w="840" w:type="dxa"/>
            <w:vAlign w:val="bottom"/>
          </w:tcPr>
          <w:p>
            <w:pPr>
              <w:jc w:val="right"/>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Dispatch-Argus</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qconline.com</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Moline, IL</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13,039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Kenosha News</w:t>
            </w:r>
          </w:p>
        </w:tc>
        <w:tc>
          <w:tcPr>
            <w:tcW w:w="2460" w:type="dxa"/>
            <w:vAlign w:val="bottom"/>
          </w:tcPr>
          <w:p>
            <w:pPr>
              <w:ind w:left="320"/>
              <w:spacing w:after="0"/>
              <w:rPr>
                <w:sz w:val="20"/>
                <w:szCs w:val="20"/>
                <w:color w:val="auto"/>
              </w:rPr>
            </w:pPr>
            <w:r>
              <w:rPr>
                <w:rFonts w:ascii="Arial" w:cs="Arial" w:eastAsia="Arial" w:hAnsi="Arial"/>
                <w:sz w:val="18"/>
                <w:szCs w:val="18"/>
                <w:color w:val="auto"/>
              </w:rPr>
              <w:t>kenoshanews.com</w:t>
            </w:r>
          </w:p>
        </w:tc>
        <w:tc>
          <w:tcPr>
            <w:tcW w:w="2060" w:type="dxa"/>
            <w:vAlign w:val="bottom"/>
          </w:tcPr>
          <w:p>
            <w:pPr>
              <w:ind w:left="280"/>
              <w:spacing w:after="0"/>
              <w:rPr>
                <w:sz w:val="20"/>
                <w:szCs w:val="20"/>
                <w:color w:val="auto"/>
              </w:rPr>
            </w:pPr>
            <w:r>
              <w:rPr>
                <w:rFonts w:ascii="Arial" w:cs="Arial" w:eastAsia="Arial" w:hAnsi="Arial"/>
                <w:sz w:val="18"/>
                <w:szCs w:val="18"/>
                <w:color w:val="auto"/>
              </w:rPr>
              <w:t>Kenosha, WI</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12,907</w:t>
            </w:r>
          </w:p>
        </w:tc>
        <w:tc>
          <w:tcPr>
            <w:tcW w:w="1100" w:type="dxa"/>
            <w:vAlign w:val="bottom"/>
          </w:tcPr>
          <w:p>
            <w:pPr>
              <w:jc w:val="right"/>
              <w:spacing w:after="0"/>
              <w:rPr>
                <w:sz w:val="20"/>
                <w:szCs w:val="20"/>
                <w:color w:val="auto"/>
              </w:rPr>
            </w:pPr>
            <w:r>
              <w:rPr>
                <w:rFonts w:ascii="Arial" w:cs="Arial" w:eastAsia="Arial" w:hAnsi="Arial"/>
                <w:sz w:val="18"/>
                <w:szCs w:val="18"/>
                <w:color w:val="auto"/>
              </w:rPr>
              <w:t>13,684</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656</w:t>
            </w:r>
          </w:p>
        </w:tc>
        <w:tc>
          <w:tcPr>
            <w:tcW w:w="840" w:type="dxa"/>
            <w:vAlign w:val="bottom"/>
          </w:tcPr>
          <w:p>
            <w:pPr>
              <w:jc w:val="right"/>
              <w:spacing w:after="0"/>
              <w:rPr>
                <w:sz w:val="20"/>
                <w:szCs w:val="20"/>
                <w:color w:val="auto"/>
              </w:rPr>
            </w:pP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Waco Tribune-Herald</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wacotrib.com</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Waco, TX</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11,566</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The Citizen</w:t>
            </w:r>
          </w:p>
        </w:tc>
        <w:tc>
          <w:tcPr>
            <w:tcW w:w="2460" w:type="dxa"/>
            <w:vAlign w:val="bottom"/>
          </w:tcPr>
          <w:p>
            <w:pPr>
              <w:ind w:left="320"/>
              <w:spacing w:after="0"/>
              <w:rPr>
                <w:sz w:val="20"/>
                <w:szCs w:val="20"/>
                <w:color w:val="auto"/>
              </w:rPr>
            </w:pPr>
            <w:r>
              <w:rPr>
                <w:rFonts w:ascii="Arial" w:cs="Arial" w:eastAsia="Arial" w:hAnsi="Arial"/>
                <w:sz w:val="18"/>
                <w:szCs w:val="18"/>
                <w:color w:val="auto"/>
              </w:rPr>
              <w:t>auburnpub.com</w:t>
            </w:r>
          </w:p>
        </w:tc>
        <w:tc>
          <w:tcPr>
            <w:tcW w:w="2060" w:type="dxa"/>
            <w:vAlign w:val="bottom"/>
          </w:tcPr>
          <w:p>
            <w:pPr>
              <w:ind w:left="280"/>
              <w:spacing w:after="0"/>
              <w:rPr>
                <w:sz w:val="20"/>
                <w:szCs w:val="20"/>
                <w:color w:val="auto"/>
              </w:rPr>
            </w:pPr>
            <w:r>
              <w:rPr>
                <w:rFonts w:ascii="Arial" w:cs="Arial" w:eastAsia="Arial" w:hAnsi="Arial"/>
                <w:sz w:val="18"/>
                <w:szCs w:val="18"/>
                <w:color w:val="auto"/>
              </w:rPr>
              <w:t>Auburn, NY</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10,498</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389</w:t>
            </w:r>
          </w:p>
        </w:tc>
        <w:tc>
          <w:tcPr>
            <w:tcW w:w="840" w:type="dxa"/>
            <w:vAlign w:val="bottom"/>
          </w:tcPr>
          <w:p>
            <w:pPr>
              <w:jc w:val="right"/>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184"/>
        </w:trPr>
        <w:tc>
          <w:tcPr>
            <w:tcW w:w="26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The Courier</w:t>
            </w:r>
          </w:p>
        </w:tc>
        <w:tc>
          <w:tcPr>
            <w:tcW w:w="2460" w:type="dxa"/>
            <w:vAlign w:val="bottom"/>
            <w:shd w:val="clear" w:color="auto" w:fill="CCEEFF"/>
          </w:tcPr>
          <w:p>
            <w:pPr>
              <w:ind w:left="320"/>
              <w:spacing w:after="0" w:line="183" w:lineRule="exact"/>
              <w:rPr>
                <w:sz w:val="20"/>
                <w:szCs w:val="20"/>
                <w:color w:val="auto"/>
              </w:rPr>
            </w:pPr>
            <w:r>
              <w:rPr>
                <w:rFonts w:ascii="Arial" w:cs="Arial" w:eastAsia="Arial" w:hAnsi="Arial"/>
                <w:sz w:val="18"/>
                <w:szCs w:val="18"/>
                <w:color w:val="auto"/>
              </w:rPr>
              <w:t>wcfcourier.com</w:t>
            </w:r>
          </w:p>
        </w:tc>
        <w:tc>
          <w:tcPr>
            <w:tcW w:w="2060" w:type="dxa"/>
            <w:vAlign w:val="bottom"/>
            <w:shd w:val="clear" w:color="auto" w:fill="CCEEFF"/>
          </w:tcPr>
          <w:p>
            <w:pPr>
              <w:ind w:left="280"/>
              <w:spacing w:after="0" w:line="183" w:lineRule="exact"/>
              <w:rPr>
                <w:sz w:val="20"/>
                <w:szCs w:val="20"/>
                <w:color w:val="auto"/>
              </w:rPr>
            </w:pPr>
            <w:r>
              <w:rPr>
                <w:rFonts w:ascii="Arial" w:cs="Arial" w:eastAsia="Arial" w:hAnsi="Arial"/>
                <w:sz w:val="18"/>
                <w:szCs w:val="18"/>
                <w:color w:val="auto"/>
              </w:rPr>
              <w:t>Waterloo and</w:t>
            </w:r>
          </w:p>
        </w:tc>
        <w:tc>
          <w:tcPr>
            <w:tcW w:w="980" w:type="dxa"/>
            <w:vAlign w:val="bottom"/>
            <w:shd w:val="clear" w:color="auto" w:fill="CCEEFF"/>
          </w:tcPr>
          <w:p>
            <w:pPr>
              <w:jc w:val="right"/>
              <w:ind w:right="130"/>
              <w:spacing w:after="0" w:line="183" w:lineRule="exact"/>
              <w:rPr>
                <w:sz w:val="20"/>
                <w:szCs w:val="20"/>
                <w:color w:val="auto"/>
              </w:rPr>
            </w:pPr>
            <w:r>
              <w:rPr>
                <w:rFonts w:ascii="Arial" w:cs="Arial" w:eastAsia="Arial" w:hAnsi="Arial"/>
                <w:sz w:val="18"/>
                <w:szCs w:val="18"/>
                <w:color w:val="auto"/>
              </w:rPr>
              <w:t>10,342</w:t>
            </w:r>
          </w:p>
        </w:tc>
        <w:tc>
          <w:tcPr>
            <w:tcW w:w="1100" w:type="dxa"/>
            <w:vAlign w:val="bottom"/>
            <w:shd w:val="clear" w:color="auto" w:fill="CCEEFF"/>
          </w:tcPr>
          <w:p>
            <w:pPr>
              <w:jc w:val="right"/>
              <w:ind w:right="50"/>
              <w:spacing w:after="0" w:line="183"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line="183" w:lineRule="exact"/>
              <w:rPr>
                <w:sz w:val="20"/>
                <w:szCs w:val="20"/>
                <w:color w:val="auto"/>
              </w:rPr>
            </w:pPr>
            <w:r>
              <w:rPr>
                <w:rFonts w:ascii="Arial" w:cs="Arial" w:eastAsia="Arial" w:hAnsi="Arial"/>
                <w:sz w:val="18"/>
                <w:szCs w:val="18"/>
                <w:color w:val="auto"/>
              </w:rPr>
              <w:t>386</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35"/>
        </w:trPr>
        <w:tc>
          <w:tcPr>
            <w:tcW w:w="268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Cedar Falls, IA</w:t>
            </w:r>
          </w:p>
        </w:tc>
        <w:tc>
          <w:tcPr>
            <w:tcW w:w="9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Charlottesville Daily Progress</w:t>
            </w:r>
          </w:p>
        </w:tc>
        <w:tc>
          <w:tcPr>
            <w:tcW w:w="2460" w:type="dxa"/>
            <w:vAlign w:val="bottom"/>
          </w:tcPr>
          <w:p>
            <w:pPr>
              <w:ind w:left="320"/>
              <w:spacing w:after="0"/>
              <w:rPr>
                <w:sz w:val="20"/>
                <w:szCs w:val="20"/>
                <w:color w:val="auto"/>
              </w:rPr>
            </w:pPr>
            <w:r>
              <w:rPr>
                <w:rFonts w:ascii="Arial" w:cs="Arial" w:eastAsia="Arial" w:hAnsi="Arial"/>
                <w:sz w:val="18"/>
                <w:szCs w:val="18"/>
                <w:color w:val="auto"/>
              </w:rPr>
              <w:t>dailyprogress.com</w:t>
            </w:r>
          </w:p>
        </w:tc>
        <w:tc>
          <w:tcPr>
            <w:tcW w:w="2060" w:type="dxa"/>
            <w:vAlign w:val="bottom"/>
          </w:tcPr>
          <w:p>
            <w:pPr>
              <w:ind w:left="280"/>
              <w:spacing w:after="0"/>
              <w:rPr>
                <w:sz w:val="20"/>
                <w:szCs w:val="20"/>
                <w:color w:val="auto"/>
              </w:rPr>
            </w:pPr>
            <w:r>
              <w:rPr>
                <w:rFonts w:ascii="Arial" w:cs="Arial" w:eastAsia="Arial" w:hAnsi="Arial"/>
                <w:sz w:val="18"/>
                <w:szCs w:val="18"/>
                <w:color w:val="auto"/>
              </w:rPr>
              <w:t>Charlottesville, VA</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10,326</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435</w:t>
            </w:r>
          </w:p>
        </w:tc>
        <w:tc>
          <w:tcPr>
            <w:tcW w:w="840" w:type="dxa"/>
            <w:vAlign w:val="bottom"/>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Sioux City Journal</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siouxcityjournal.com</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Sioux City, IA</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10,208</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Montana Standard</w:t>
            </w:r>
          </w:p>
        </w:tc>
        <w:tc>
          <w:tcPr>
            <w:tcW w:w="2460" w:type="dxa"/>
            <w:vAlign w:val="bottom"/>
          </w:tcPr>
          <w:p>
            <w:pPr>
              <w:ind w:left="320"/>
              <w:spacing w:after="0"/>
              <w:rPr>
                <w:sz w:val="20"/>
                <w:szCs w:val="20"/>
                <w:color w:val="auto"/>
              </w:rPr>
            </w:pPr>
            <w:r>
              <w:rPr>
                <w:rFonts w:ascii="Arial" w:cs="Arial" w:eastAsia="Arial" w:hAnsi="Arial"/>
                <w:sz w:val="18"/>
                <w:szCs w:val="18"/>
                <w:color w:val="auto"/>
              </w:rPr>
              <w:t>mtstandard.com</w:t>
            </w:r>
          </w:p>
        </w:tc>
        <w:tc>
          <w:tcPr>
            <w:tcW w:w="2060" w:type="dxa"/>
            <w:vAlign w:val="bottom"/>
          </w:tcPr>
          <w:p>
            <w:pPr>
              <w:ind w:left="280"/>
              <w:spacing w:after="0"/>
              <w:rPr>
                <w:sz w:val="20"/>
                <w:szCs w:val="20"/>
                <w:color w:val="auto"/>
              </w:rPr>
            </w:pPr>
            <w:r>
              <w:rPr>
                <w:rFonts w:ascii="Arial" w:cs="Arial" w:eastAsia="Arial" w:hAnsi="Arial"/>
                <w:sz w:val="18"/>
                <w:szCs w:val="18"/>
                <w:color w:val="auto"/>
              </w:rPr>
              <w:t>Butte, MT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9,837</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216</w:t>
            </w:r>
          </w:p>
        </w:tc>
        <w:tc>
          <w:tcPr>
            <w:tcW w:w="840" w:type="dxa"/>
            <w:vAlign w:val="bottom"/>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Times-News</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magicvalley.com</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Twin Falls, ID</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9,270</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The Daily News</w:t>
            </w:r>
          </w:p>
        </w:tc>
        <w:tc>
          <w:tcPr>
            <w:tcW w:w="2460" w:type="dxa"/>
            <w:vAlign w:val="bottom"/>
          </w:tcPr>
          <w:p>
            <w:pPr>
              <w:ind w:left="320"/>
              <w:spacing w:after="0"/>
              <w:rPr>
                <w:sz w:val="20"/>
                <w:szCs w:val="20"/>
                <w:color w:val="auto"/>
              </w:rPr>
            </w:pPr>
            <w:r>
              <w:rPr>
                <w:rFonts w:ascii="Arial" w:cs="Arial" w:eastAsia="Arial" w:hAnsi="Arial"/>
                <w:sz w:val="18"/>
                <w:szCs w:val="18"/>
                <w:color w:val="auto"/>
              </w:rPr>
              <w:t>tdn.com</w:t>
            </w:r>
          </w:p>
        </w:tc>
        <w:tc>
          <w:tcPr>
            <w:tcW w:w="2060" w:type="dxa"/>
            <w:vAlign w:val="bottom"/>
          </w:tcPr>
          <w:p>
            <w:pPr>
              <w:ind w:left="280"/>
              <w:spacing w:after="0"/>
              <w:rPr>
                <w:sz w:val="20"/>
                <w:szCs w:val="20"/>
                <w:color w:val="auto"/>
              </w:rPr>
            </w:pPr>
            <w:r>
              <w:rPr>
                <w:rFonts w:ascii="Arial" w:cs="Arial" w:eastAsia="Arial" w:hAnsi="Arial"/>
                <w:sz w:val="18"/>
                <w:szCs w:val="18"/>
                <w:color w:val="auto"/>
              </w:rPr>
              <w:t>Longview, WA</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9,141</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206</w:t>
            </w:r>
          </w:p>
        </w:tc>
        <w:tc>
          <w:tcPr>
            <w:tcW w:w="840" w:type="dxa"/>
            <w:vAlign w:val="bottom"/>
          </w:tcPr>
          <w:p>
            <w:pPr>
              <w:jc w:val="right"/>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Herald &amp; Review</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herald-review.com</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Decatur, IL</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9,128</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Lynchburg News &amp; Advance</w:t>
            </w:r>
          </w:p>
        </w:tc>
        <w:tc>
          <w:tcPr>
            <w:tcW w:w="2460" w:type="dxa"/>
            <w:vAlign w:val="bottom"/>
          </w:tcPr>
          <w:p>
            <w:pPr>
              <w:ind w:left="320"/>
              <w:spacing w:after="0"/>
              <w:rPr>
                <w:sz w:val="20"/>
                <w:szCs w:val="20"/>
                <w:color w:val="auto"/>
              </w:rPr>
            </w:pPr>
            <w:r>
              <w:rPr>
                <w:rFonts w:ascii="Arial" w:cs="Arial" w:eastAsia="Arial" w:hAnsi="Arial"/>
                <w:sz w:val="18"/>
                <w:szCs w:val="18"/>
                <w:color w:val="auto"/>
              </w:rPr>
              <w:t>newsadvance.com</w:t>
            </w:r>
          </w:p>
        </w:tc>
        <w:tc>
          <w:tcPr>
            <w:tcW w:w="2060" w:type="dxa"/>
            <w:vAlign w:val="bottom"/>
          </w:tcPr>
          <w:p>
            <w:pPr>
              <w:ind w:left="280"/>
              <w:spacing w:after="0"/>
              <w:rPr>
                <w:sz w:val="20"/>
                <w:szCs w:val="20"/>
                <w:color w:val="auto"/>
              </w:rPr>
            </w:pPr>
            <w:r>
              <w:rPr>
                <w:rFonts w:ascii="Arial" w:cs="Arial" w:eastAsia="Arial" w:hAnsi="Arial"/>
                <w:sz w:val="18"/>
                <w:szCs w:val="18"/>
                <w:color w:val="auto"/>
              </w:rPr>
              <w:t>Lynchburg, VA</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9,085</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299</w:t>
            </w:r>
          </w:p>
        </w:tc>
        <w:tc>
          <w:tcPr>
            <w:tcW w:w="840" w:type="dxa"/>
            <w:vAlign w:val="bottom"/>
          </w:tcPr>
          <w:p>
            <w:pPr>
              <w:jc w:val="right"/>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Times and Democrat</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thetandd.com</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Orangeburg, SC</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8,551</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Hickory Daily Record</w:t>
            </w:r>
          </w:p>
        </w:tc>
        <w:tc>
          <w:tcPr>
            <w:tcW w:w="2460" w:type="dxa"/>
            <w:vAlign w:val="bottom"/>
          </w:tcPr>
          <w:p>
            <w:pPr>
              <w:ind w:left="320"/>
              <w:spacing w:after="0"/>
              <w:rPr>
                <w:sz w:val="20"/>
                <w:szCs w:val="20"/>
                <w:color w:val="auto"/>
              </w:rPr>
            </w:pPr>
            <w:r>
              <w:rPr>
                <w:rFonts w:ascii="Arial" w:cs="Arial" w:eastAsia="Arial" w:hAnsi="Arial"/>
                <w:sz w:val="18"/>
                <w:szCs w:val="18"/>
                <w:color w:val="auto"/>
              </w:rPr>
              <w:t>hickoryrecord.com</w:t>
            </w:r>
          </w:p>
        </w:tc>
        <w:tc>
          <w:tcPr>
            <w:tcW w:w="2060" w:type="dxa"/>
            <w:vAlign w:val="bottom"/>
          </w:tcPr>
          <w:p>
            <w:pPr>
              <w:ind w:left="280"/>
              <w:spacing w:after="0"/>
              <w:rPr>
                <w:sz w:val="20"/>
                <w:szCs w:val="20"/>
                <w:color w:val="auto"/>
              </w:rPr>
            </w:pPr>
            <w:r>
              <w:rPr>
                <w:rFonts w:ascii="Arial" w:cs="Arial" w:eastAsia="Arial" w:hAnsi="Arial"/>
                <w:sz w:val="18"/>
                <w:szCs w:val="18"/>
                <w:color w:val="auto"/>
              </w:rPr>
              <w:t>Hickory, NC</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8,237</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285</w:t>
            </w:r>
          </w:p>
        </w:tc>
        <w:tc>
          <w:tcPr>
            <w:tcW w:w="840" w:type="dxa"/>
            <w:vAlign w:val="bottom"/>
          </w:tcPr>
          <w:p>
            <w:pPr>
              <w:jc w:val="right"/>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Grand Island Independent</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theindependent.com</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Grand Island, NE</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8,063</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Dothan Eagle</w:t>
            </w:r>
          </w:p>
        </w:tc>
        <w:tc>
          <w:tcPr>
            <w:tcW w:w="2460" w:type="dxa"/>
            <w:vAlign w:val="bottom"/>
          </w:tcPr>
          <w:p>
            <w:pPr>
              <w:ind w:left="320"/>
              <w:spacing w:after="0"/>
              <w:rPr>
                <w:sz w:val="20"/>
                <w:szCs w:val="20"/>
                <w:color w:val="auto"/>
              </w:rPr>
            </w:pPr>
            <w:r>
              <w:rPr>
                <w:rFonts w:ascii="Arial" w:cs="Arial" w:eastAsia="Arial" w:hAnsi="Arial"/>
                <w:sz w:val="18"/>
                <w:szCs w:val="18"/>
                <w:color w:val="auto"/>
              </w:rPr>
              <w:t>dothaneagle.com</w:t>
            </w:r>
          </w:p>
        </w:tc>
        <w:tc>
          <w:tcPr>
            <w:tcW w:w="2060" w:type="dxa"/>
            <w:vAlign w:val="bottom"/>
          </w:tcPr>
          <w:p>
            <w:pPr>
              <w:ind w:left="280"/>
              <w:spacing w:after="0"/>
              <w:rPr>
                <w:sz w:val="20"/>
                <w:szCs w:val="20"/>
                <w:color w:val="auto"/>
              </w:rPr>
            </w:pPr>
            <w:r>
              <w:rPr>
                <w:rFonts w:ascii="Arial" w:cs="Arial" w:eastAsia="Arial" w:hAnsi="Arial"/>
                <w:sz w:val="18"/>
                <w:szCs w:val="18"/>
                <w:color w:val="auto"/>
              </w:rPr>
              <w:t>Dothan, AL</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7,667</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198</w:t>
            </w:r>
          </w:p>
        </w:tc>
        <w:tc>
          <w:tcPr>
            <w:tcW w:w="840" w:type="dxa"/>
            <w:vAlign w:val="bottom"/>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Bristol Herald Courier</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heraldcourier.com</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Bristol,VA</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7,385</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Casper Star-Tribune</w:t>
            </w:r>
          </w:p>
        </w:tc>
        <w:tc>
          <w:tcPr>
            <w:tcW w:w="2460" w:type="dxa"/>
            <w:vAlign w:val="bottom"/>
          </w:tcPr>
          <w:p>
            <w:pPr>
              <w:ind w:left="320"/>
              <w:spacing w:after="0"/>
              <w:rPr>
                <w:sz w:val="20"/>
                <w:szCs w:val="20"/>
                <w:color w:val="auto"/>
              </w:rPr>
            </w:pPr>
            <w:r>
              <w:rPr>
                <w:rFonts w:ascii="Arial" w:cs="Arial" w:eastAsia="Arial" w:hAnsi="Arial"/>
                <w:sz w:val="18"/>
                <w:szCs w:val="18"/>
                <w:color w:val="auto"/>
              </w:rPr>
              <w:t>trib.com</w:t>
            </w:r>
          </w:p>
        </w:tc>
        <w:tc>
          <w:tcPr>
            <w:tcW w:w="2060" w:type="dxa"/>
            <w:vAlign w:val="bottom"/>
          </w:tcPr>
          <w:p>
            <w:pPr>
              <w:ind w:left="280"/>
              <w:spacing w:after="0"/>
              <w:rPr>
                <w:sz w:val="20"/>
                <w:szCs w:val="20"/>
                <w:color w:val="auto"/>
              </w:rPr>
            </w:pPr>
            <w:r>
              <w:rPr>
                <w:rFonts w:ascii="Arial" w:cs="Arial" w:eastAsia="Arial" w:hAnsi="Arial"/>
                <w:sz w:val="18"/>
                <w:szCs w:val="18"/>
                <w:color w:val="auto"/>
              </w:rPr>
              <w:t>Casper, WY</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7,213</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9,149</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299</w:t>
            </w:r>
          </w:p>
        </w:tc>
        <w:tc>
          <w:tcPr>
            <w:tcW w:w="840" w:type="dxa"/>
            <w:vAlign w:val="bottom"/>
          </w:tcPr>
          <w:p>
            <w:pPr>
              <w:jc w:val="right"/>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Corvallis Gazette-Times</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gazettetimes.com</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Corvallis, OR</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7,020</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Elko Daily Free Press</w:t>
            </w:r>
          </w:p>
        </w:tc>
        <w:tc>
          <w:tcPr>
            <w:tcW w:w="2460" w:type="dxa"/>
            <w:vAlign w:val="bottom"/>
          </w:tcPr>
          <w:p>
            <w:pPr>
              <w:ind w:left="320"/>
              <w:spacing w:after="0"/>
              <w:rPr>
                <w:sz w:val="20"/>
                <w:szCs w:val="20"/>
                <w:color w:val="auto"/>
              </w:rPr>
            </w:pPr>
            <w:r>
              <w:rPr>
                <w:rFonts w:ascii="Arial" w:cs="Arial" w:eastAsia="Arial" w:hAnsi="Arial"/>
                <w:sz w:val="18"/>
                <w:szCs w:val="18"/>
                <w:color w:val="auto"/>
              </w:rPr>
              <w:t>elkodaily.com</w:t>
            </w:r>
          </w:p>
        </w:tc>
        <w:tc>
          <w:tcPr>
            <w:tcW w:w="2060" w:type="dxa"/>
            <w:vAlign w:val="bottom"/>
          </w:tcPr>
          <w:p>
            <w:pPr>
              <w:ind w:left="280"/>
              <w:spacing w:after="0"/>
              <w:rPr>
                <w:sz w:val="20"/>
                <w:szCs w:val="20"/>
                <w:color w:val="auto"/>
              </w:rPr>
            </w:pPr>
            <w:r>
              <w:rPr>
                <w:rFonts w:ascii="Arial" w:cs="Arial" w:eastAsia="Arial" w:hAnsi="Arial"/>
                <w:sz w:val="18"/>
                <w:szCs w:val="18"/>
                <w:color w:val="auto"/>
              </w:rPr>
              <w:t>Elko, NV</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6,776</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171</w:t>
            </w:r>
          </w:p>
        </w:tc>
        <w:tc>
          <w:tcPr>
            <w:tcW w:w="840" w:type="dxa"/>
            <w:vAlign w:val="bottom"/>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Bryan-College Station Eagle</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theeagle.com</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Bryan, TX</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6,682</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922"/>
        </w:trPr>
        <w:tc>
          <w:tcPr>
            <w:tcW w:w="2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60" w:type="dxa"/>
            <w:vAlign w:val="bottom"/>
          </w:tcPr>
          <w:p>
            <w:pPr>
              <w:ind w:left="440"/>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680" w:type="dxa"/>
            <w:vAlign w:val="bottom"/>
            <w:tcBorders>
              <w:bottom w:val="single" w:sz="8" w:color="9A9A9A"/>
            </w:tcBorders>
          </w:tcPr>
          <w:p>
            <w:pPr>
              <w:spacing w:after="0"/>
              <w:rPr>
                <w:sz w:val="8"/>
                <w:szCs w:val="8"/>
                <w:color w:val="auto"/>
              </w:rPr>
            </w:pPr>
          </w:p>
        </w:tc>
        <w:tc>
          <w:tcPr>
            <w:tcW w:w="246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8"/>
                <w:szCs w:val="18"/>
                <w:color w:val="auto"/>
              </w:rPr>
              <w:t xml:space="preserve">Average Units </w:t>
            </w:r>
            <w:r>
              <w:rPr>
                <w:rFonts w:ascii="Arial" w:cs="Arial" w:eastAsia="Arial" w:hAnsi="Arial"/>
                <w:sz w:val="23"/>
                <w:szCs w:val="23"/>
                <w:color w:val="auto"/>
                <w:vertAlign w:val="superscript"/>
              </w:rPr>
              <w:t>(5)</w:t>
            </w:r>
          </w:p>
        </w:tc>
        <w:tc>
          <w:tcPr>
            <w:tcW w:w="19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2023 Monthly Average</w:t>
            </w:r>
          </w:p>
        </w:tc>
        <w:tc>
          <w:tcPr>
            <w:tcW w:w="0" w:type="dxa"/>
            <w:vAlign w:val="bottom"/>
          </w:tcPr>
          <w:p>
            <w:pPr>
              <w:spacing w:after="0"/>
              <w:rPr>
                <w:sz w:val="1"/>
                <w:szCs w:val="1"/>
                <w:color w:val="auto"/>
              </w:rPr>
            </w:pPr>
          </w:p>
        </w:tc>
      </w:tr>
      <w:tr>
        <w:trPr>
          <w:trHeight w:val="237"/>
        </w:trPr>
        <w:tc>
          <w:tcPr>
            <w:tcW w:w="28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vMerge w:val="continue"/>
          </w:tcPr>
          <w:p>
            <w:pPr>
              <w:spacing w:after="0"/>
              <w:rPr>
                <w:sz w:val="20"/>
                <w:szCs w:val="20"/>
                <w:color w:val="auto"/>
              </w:rPr>
            </w:pPr>
          </w:p>
        </w:tc>
        <w:tc>
          <w:tcPr>
            <w:tcW w:w="1960" w:type="dxa"/>
            <w:vAlign w:val="bottom"/>
            <w:tcBorders>
              <w:bottom w:val="single" w:sz="8" w:color="auto"/>
            </w:tcBorders>
            <w:gridSpan w:val="2"/>
          </w:tcPr>
          <w:p>
            <w:pPr>
              <w:jc w:val="right"/>
              <w:ind w:right="430"/>
              <w:spacing w:after="0" w:line="237" w:lineRule="exact"/>
              <w:rPr>
                <w:sz w:val="20"/>
                <w:szCs w:val="20"/>
                <w:color w:val="auto"/>
              </w:rPr>
            </w:pPr>
            <w:r>
              <w:rPr>
                <w:rFonts w:ascii="Arial" w:cs="Arial" w:eastAsia="Arial" w:hAnsi="Arial"/>
                <w:sz w:val="18"/>
                <w:szCs w:val="18"/>
                <w:color w:val="auto"/>
              </w:rPr>
              <w:t xml:space="preserve">('000s) </w:t>
            </w:r>
            <w:r>
              <w:rPr>
                <w:rFonts w:ascii="Arial" w:cs="Arial" w:eastAsia="Arial" w:hAnsi="Arial"/>
                <w:sz w:val="23"/>
                <w:szCs w:val="23"/>
                <w:color w:val="auto"/>
                <w:vertAlign w:val="superscript"/>
              </w:rPr>
              <w:t>(6)(7)</w:t>
            </w:r>
          </w:p>
        </w:tc>
        <w:tc>
          <w:tcPr>
            <w:tcW w:w="0" w:type="dxa"/>
            <w:vAlign w:val="bottom"/>
          </w:tcPr>
          <w:p>
            <w:pPr>
              <w:spacing w:after="0"/>
              <w:rPr>
                <w:sz w:val="1"/>
                <w:szCs w:val="1"/>
                <w:color w:val="auto"/>
              </w:rPr>
            </w:pPr>
          </w:p>
        </w:tc>
      </w:tr>
      <w:tr>
        <w:trPr>
          <w:trHeight w:val="177"/>
        </w:trPr>
        <w:tc>
          <w:tcPr>
            <w:tcW w:w="2800" w:type="dxa"/>
            <w:vAlign w:val="bottom"/>
            <w:vMerge w:val="restart"/>
          </w:tcPr>
          <w:p>
            <w:pPr>
              <w:ind w:left="20"/>
              <w:spacing w:after="0"/>
              <w:rPr>
                <w:sz w:val="20"/>
                <w:szCs w:val="20"/>
                <w:color w:val="auto"/>
              </w:rPr>
            </w:pPr>
            <w:r>
              <w:rPr>
                <w:rFonts w:ascii="Arial" w:cs="Arial" w:eastAsia="Arial" w:hAnsi="Arial"/>
                <w:sz w:val="18"/>
                <w:szCs w:val="18"/>
                <w:color w:val="auto"/>
              </w:rPr>
              <w:t>Newspaper</w:t>
            </w:r>
          </w:p>
        </w:tc>
        <w:tc>
          <w:tcPr>
            <w:tcW w:w="2320" w:type="dxa"/>
            <w:vAlign w:val="bottom"/>
            <w:vMerge w:val="restart"/>
          </w:tcPr>
          <w:p>
            <w:pPr>
              <w:ind w:left="160"/>
              <w:spacing w:after="0"/>
              <w:rPr>
                <w:sz w:val="20"/>
                <w:szCs w:val="20"/>
                <w:color w:val="auto"/>
              </w:rPr>
            </w:pPr>
            <w:r>
              <w:rPr>
                <w:rFonts w:ascii="Arial" w:cs="Arial" w:eastAsia="Arial" w:hAnsi="Arial"/>
                <w:sz w:val="18"/>
                <w:szCs w:val="18"/>
                <w:color w:val="auto"/>
              </w:rPr>
              <w:t>Primary Website</w:t>
            </w:r>
          </w:p>
        </w:tc>
        <w:tc>
          <w:tcPr>
            <w:tcW w:w="2080" w:type="dxa"/>
            <w:vAlign w:val="bottom"/>
            <w:vMerge w:val="restart"/>
          </w:tcPr>
          <w:p>
            <w:pPr>
              <w:ind w:left="280"/>
              <w:spacing w:after="0"/>
              <w:rPr>
                <w:sz w:val="20"/>
                <w:szCs w:val="20"/>
                <w:color w:val="auto"/>
              </w:rPr>
            </w:pPr>
            <w:r>
              <w:rPr>
                <w:rFonts w:ascii="Arial" w:cs="Arial" w:eastAsia="Arial" w:hAnsi="Arial"/>
                <w:sz w:val="18"/>
                <w:szCs w:val="18"/>
                <w:color w:val="auto"/>
              </w:rPr>
              <w:t>Location</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 xml:space="preserve">Daily </w:t>
            </w:r>
            <w:r>
              <w:rPr>
                <w:rFonts w:ascii="Arial" w:cs="Arial" w:eastAsia="Arial" w:hAnsi="Arial"/>
                <w:sz w:val="23"/>
                <w:szCs w:val="23"/>
                <w:color w:val="auto"/>
                <w:vertAlign w:val="superscript"/>
              </w:rPr>
              <w:t>(3)</w:t>
            </w:r>
          </w:p>
        </w:tc>
        <w:tc>
          <w:tcPr>
            <w:tcW w:w="1100" w:type="dxa"/>
            <w:vAlign w:val="bottom"/>
            <w:vMerge w:val="restart"/>
          </w:tcPr>
          <w:p>
            <w:pPr>
              <w:ind w:left="220"/>
              <w:spacing w:after="0"/>
              <w:rPr>
                <w:sz w:val="20"/>
                <w:szCs w:val="20"/>
                <w:color w:val="auto"/>
              </w:rPr>
            </w:pPr>
            <w:r>
              <w:rPr>
                <w:rFonts w:ascii="Arial" w:cs="Arial" w:eastAsia="Arial" w:hAnsi="Arial"/>
                <w:sz w:val="18"/>
                <w:szCs w:val="18"/>
                <w:color w:val="auto"/>
              </w:rPr>
              <w:t xml:space="preserve">Sunday </w:t>
            </w:r>
            <w:r>
              <w:rPr>
                <w:rFonts w:ascii="Arial" w:cs="Arial" w:eastAsia="Arial" w:hAnsi="Arial"/>
                <w:sz w:val="23"/>
                <w:szCs w:val="23"/>
                <w:color w:val="auto"/>
                <w:vertAlign w:val="superscript"/>
              </w:rPr>
              <w:t>(3)</w:t>
            </w:r>
          </w:p>
        </w:tc>
        <w:tc>
          <w:tcPr>
            <w:tcW w:w="1120" w:type="dxa"/>
            <w:vAlign w:val="bottom"/>
          </w:tcPr>
          <w:p>
            <w:pPr>
              <w:jc w:val="right"/>
              <w:ind w:right="230"/>
              <w:spacing w:after="0" w:line="177" w:lineRule="exact"/>
              <w:rPr>
                <w:sz w:val="20"/>
                <w:szCs w:val="20"/>
                <w:color w:val="auto"/>
              </w:rPr>
            </w:pPr>
            <w:r>
              <w:rPr>
                <w:rFonts w:ascii="Arial" w:cs="Arial" w:eastAsia="Arial" w:hAnsi="Arial"/>
                <w:sz w:val="18"/>
                <w:szCs w:val="18"/>
                <w:color w:val="auto"/>
              </w:rPr>
              <w:t>Unique</w:t>
            </w:r>
          </w:p>
        </w:tc>
        <w:tc>
          <w:tcPr>
            <w:tcW w:w="840" w:type="dxa"/>
            <w:vAlign w:val="bottom"/>
          </w:tcPr>
          <w:p>
            <w:pPr>
              <w:jc w:val="right"/>
              <w:ind w:right="130"/>
              <w:spacing w:after="0" w:line="177" w:lineRule="exact"/>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5"/>
        </w:trPr>
        <w:tc>
          <w:tcPr>
            <w:tcW w:w="2800" w:type="dxa"/>
            <w:vAlign w:val="bottom"/>
            <w:tcBorders>
              <w:bottom w:val="single" w:sz="8" w:color="auto"/>
            </w:tcBorders>
            <w:vMerge w:val="continue"/>
          </w:tcPr>
          <w:p>
            <w:pPr>
              <w:spacing w:after="0"/>
              <w:rPr>
                <w:sz w:val="20"/>
                <w:szCs w:val="20"/>
                <w:color w:val="auto"/>
              </w:rPr>
            </w:pPr>
          </w:p>
        </w:tc>
        <w:tc>
          <w:tcPr>
            <w:tcW w:w="2320" w:type="dxa"/>
            <w:vAlign w:val="bottom"/>
            <w:tcBorders>
              <w:bottom w:val="single" w:sz="8" w:color="auto"/>
            </w:tcBorders>
            <w:vMerge w:val="continue"/>
          </w:tcPr>
          <w:p>
            <w:pPr>
              <w:spacing w:after="0"/>
              <w:rPr>
                <w:sz w:val="20"/>
                <w:szCs w:val="20"/>
                <w:color w:val="auto"/>
              </w:rPr>
            </w:pPr>
          </w:p>
        </w:tc>
        <w:tc>
          <w:tcPr>
            <w:tcW w:w="20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Visitors</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Views</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The Sentinel</w:t>
            </w:r>
          </w:p>
        </w:tc>
        <w:tc>
          <w:tcPr>
            <w:tcW w:w="2320" w:type="dxa"/>
            <w:vAlign w:val="bottom"/>
          </w:tcPr>
          <w:p>
            <w:pPr>
              <w:ind w:left="160"/>
              <w:spacing w:after="0"/>
              <w:rPr>
                <w:sz w:val="20"/>
                <w:szCs w:val="20"/>
                <w:color w:val="auto"/>
              </w:rPr>
            </w:pPr>
            <w:r>
              <w:rPr>
                <w:rFonts w:ascii="Arial" w:cs="Arial" w:eastAsia="Arial" w:hAnsi="Arial"/>
                <w:sz w:val="18"/>
                <w:szCs w:val="18"/>
                <w:color w:val="auto"/>
              </w:rPr>
              <w:t>cumberlink.com</w:t>
            </w:r>
          </w:p>
        </w:tc>
        <w:tc>
          <w:tcPr>
            <w:tcW w:w="2080" w:type="dxa"/>
            <w:vAlign w:val="bottom"/>
          </w:tcPr>
          <w:p>
            <w:pPr>
              <w:ind w:left="280"/>
              <w:spacing w:after="0"/>
              <w:rPr>
                <w:sz w:val="20"/>
                <w:szCs w:val="20"/>
                <w:color w:val="auto"/>
              </w:rPr>
            </w:pPr>
            <w:r>
              <w:rPr>
                <w:rFonts w:ascii="Arial" w:cs="Arial" w:eastAsia="Arial" w:hAnsi="Arial"/>
                <w:sz w:val="18"/>
                <w:szCs w:val="18"/>
                <w:color w:val="auto"/>
              </w:rPr>
              <w:t>Carlisle, PA</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6,477</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189</w:t>
            </w:r>
          </w:p>
        </w:tc>
        <w:tc>
          <w:tcPr>
            <w:tcW w:w="840" w:type="dxa"/>
            <w:vAlign w:val="bottom"/>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Globe Gazette</w:t>
            </w: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globegazette.com</w:t>
            </w:r>
          </w:p>
        </w:tc>
        <w:tc>
          <w:tcPr>
            <w:tcW w:w="2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Mason City, IA</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6,382</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The Southern Illinoisan</w:t>
            </w:r>
          </w:p>
        </w:tc>
        <w:tc>
          <w:tcPr>
            <w:tcW w:w="2320" w:type="dxa"/>
            <w:vAlign w:val="bottom"/>
          </w:tcPr>
          <w:p>
            <w:pPr>
              <w:ind w:left="160"/>
              <w:spacing w:after="0"/>
              <w:rPr>
                <w:sz w:val="20"/>
                <w:szCs w:val="20"/>
                <w:color w:val="auto"/>
              </w:rPr>
            </w:pPr>
            <w:r>
              <w:rPr>
                <w:rFonts w:ascii="Arial" w:cs="Arial" w:eastAsia="Arial" w:hAnsi="Arial"/>
                <w:sz w:val="18"/>
                <w:szCs w:val="18"/>
                <w:color w:val="auto"/>
              </w:rPr>
              <w:t>thesouthern.com</w:t>
            </w:r>
          </w:p>
        </w:tc>
        <w:tc>
          <w:tcPr>
            <w:tcW w:w="2080" w:type="dxa"/>
            <w:vAlign w:val="bottom"/>
          </w:tcPr>
          <w:p>
            <w:pPr>
              <w:ind w:left="280"/>
              <w:spacing w:after="0"/>
              <w:rPr>
                <w:sz w:val="20"/>
                <w:szCs w:val="20"/>
                <w:color w:val="auto"/>
              </w:rPr>
            </w:pPr>
            <w:r>
              <w:rPr>
                <w:rFonts w:ascii="Arial" w:cs="Arial" w:eastAsia="Arial" w:hAnsi="Arial"/>
                <w:sz w:val="18"/>
                <w:szCs w:val="18"/>
                <w:color w:val="auto"/>
              </w:rPr>
              <w:t>Carbondale, IL</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6,289</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190</w:t>
            </w:r>
          </w:p>
        </w:tc>
        <w:tc>
          <w:tcPr>
            <w:tcW w:w="840" w:type="dxa"/>
            <w:vAlign w:val="bottom"/>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Albany Democrat-Herald</w:t>
            </w: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democratherald.com</w:t>
            </w:r>
          </w:p>
        </w:tc>
        <w:tc>
          <w:tcPr>
            <w:tcW w:w="2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Albany, OR</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6,243</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Scottsbluff Star-Herald</w:t>
            </w:r>
          </w:p>
        </w:tc>
        <w:tc>
          <w:tcPr>
            <w:tcW w:w="2320" w:type="dxa"/>
            <w:vAlign w:val="bottom"/>
          </w:tcPr>
          <w:p>
            <w:pPr>
              <w:ind w:left="160"/>
              <w:spacing w:after="0"/>
              <w:rPr>
                <w:sz w:val="20"/>
                <w:szCs w:val="20"/>
                <w:color w:val="auto"/>
              </w:rPr>
            </w:pPr>
            <w:r>
              <w:rPr>
                <w:rFonts w:ascii="Arial" w:cs="Arial" w:eastAsia="Arial" w:hAnsi="Arial"/>
                <w:sz w:val="18"/>
                <w:szCs w:val="18"/>
                <w:color w:val="auto"/>
              </w:rPr>
              <w:t>starherald.com</w:t>
            </w:r>
          </w:p>
        </w:tc>
        <w:tc>
          <w:tcPr>
            <w:tcW w:w="2080" w:type="dxa"/>
            <w:vAlign w:val="bottom"/>
          </w:tcPr>
          <w:p>
            <w:pPr>
              <w:ind w:left="280"/>
              <w:spacing w:after="0"/>
              <w:rPr>
                <w:sz w:val="20"/>
                <w:szCs w:val="20"/>
                <w:color w:val="auto"/>
              </w:rPr>
            </w:pPr>
            <w:r>
              <w:rPr>
                <w:rFonts w:ascii="Arial" w:cs="Arial" w:eastAsia="Arial" w:hAnsi="Arial"/>
                <w:sz w:val="18"/>
                <w:szCs w:val="18"/>
                <w:color w:val="auto"/>
              </w:rPr>
              <w:t>Scottsbluff, NE</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5,690</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134</w:t>
            </w:r>
          </w:p>
        </w:tc>
        <w:tc>
          <w:tcPr>
            <w:tcW w:w="840" w:type="dxa"/>
            <w:vAlign w:val="bottom"/>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Daily Citizen</w:t>
            </w: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wiscnews.com/bdc</w:t>
            </w:r>
          </w:p>
        </w:tc>
        <w:tc>
          <w:tcPr>
            <w:tcW w:w="2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Beaver Dam, WI</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5,372</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Opelika Auburn News</w:t>
            </w:r>
          </w:p>
        </w:tc>
        <w:tc>
          <w:tcPr>
            <w:tcW w:w="2320" w:type="dxa"/>
            <w:vAlign w:val="bottom"/>
          </w:tcPr>
          <w:p>
            <w:pPr>
              <w:ind w:left="160"/>
              <w:spacing w:after="0"/>
              <w:rPr>
                <w:sz w:val="20"/>
                <w:szCs w:val="20"/>
                <w:color w:val="auto"/>
              </w:rPr>
            </w:pPr>
            <w:r>
              <w:rPr>
                <w:rFonts w:ascii="Arial" w:cs="Arial" w:eastAsia="Arial" w:hAnsi="Arial"/>
                <w:sz w:val="18"/>
                <w:szCs w:val="18"/>
                <w:color w:val="auto"/>
              </w:rPr>
              <w:t>oanow.com</w:t>
            </w:r>
          </w:p>
        </w:tc>
        <w:tc>
          <w:tcPr>
            <w:tcW w:w="2080" w:type="dxa"/>
            <w:vAlign w:val="bottom"/>
          </w:tcPr>
          <w:p>
            <w:pPr>
              <w:ind w:left="280"/>
              <w:spacing w:after="0"/>
              <w:rPr>
                <w:sz w:val="20"/>
                <w:szCs w:val="20"/>
                <w:color w:val="auto"/>
              </w:rPr>
            </w:pPr>
            <w:r>
              <w:rPr>
                <w:rFonts w:ascii="Arial" w:cs="Arial" w:eastAsia="Arial" w:hAnsi="Arial"/>
                <w:sz w:val="18"/>
                <w:szCs w:val="18"/>
                <w:color w:val="auto"/>
              </w:rPr>
              <w:t>Opelika, AL</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5,202</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217</w:t>
            </w:r>
          </w:p>
        </w:tc>
        <w:tc>
          <w:tcPr>
            <w:tcW w:w="840" w:type="dxa"/>
            <w:vAlign w:val="bottom"/>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News Herald</w:t>
            </w: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morganton.com</w:t>
            </w:r>
          </w:p>
        </w:tc>
        <w:tc>
          <w:tcPr>
            <w:tcW w:w="2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Morganton, NC</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4,800</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Florence Morning News</w:t>
            </w:r>
          </w:p>
        </w:tc>
        <w:tc>
          <w:tcPr>
            <w:tcW w:w="2320" w:type="dxa"/>
            <w:vAlign w:val="bottom"/>
          </w:tcPr>
          <w:p>
            <w:pPr>
              <w:ind w:left="160"/>
              <w:spacing w:after="0"/>
              <w:rPr>
                <w:sz w:val="20"/>
                <w:szCs w:val="20"/>
                <w:color w:val="auto"/>
              </w:rPr>
            </w:pPr>
            <w:r>
              <w:rPr>
                <w:rFonts w:ascii="Arial" w:cs="Arial" w:eastAsia="Arial" w:hAnsi="Arial"/>
                <w:sz w:val="18"/>
                <w:szCs w:val="18"/>
                <w:color w:val="auto"/>
              </w:rPr>
              <w:t>scnow.com</w:t>
            </w:r>
          </w:p>
        </w:tc>
        <w:tc>
          <w:tcPr>
            <w:tcW w:w="2080" w:type="dxa"/>
            <w:vAlign w:val="bottom"/>
          </w:tcPr>
          <w:p>
            <w:pPr>
              <w:ind w:left="280"/>
              <w:spacing w:after="0"/>
              <w:rPr>
                <w:sz w:val="20"/>
                <w:szCs w:val="20"/>
                <w:color w:val="auto"/>
              </w:rPr>
            </w:pPr>
            <w:r>
              <w:rPr>
                <w:rFonts w:ascii="Arial" w:cs="Arial" w:eastAsia="Arial" w:hAnsi="Arial"/>
                <w:sz w:val="18"/>
                <w:szCs w:val="18"/>
                <w:color w:val="auto"/>
              </w:rPr>
              <w:t>Florence, SC</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4,787</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195</w:t>
            </w:r>
          </w:p>
        </w:tc>
        <w:tc>
          <w:tcPr>
            <w:tcW w:w="840" w:type="dxa"/>
            <w:vAlign w:val="bottom"/>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Kearney Hub</w:t>
            </w: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kearneyhub.com</w:t>
            </w:r>
          </w:p>
        </w:tc>
        <w:tc>
          <w:tcPr>
            <w:tcW w:w="2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Kearney, NE</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4,718</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Martinsville Bulletin</w:t>
            </w:r>
          </w:p>
        </w:tc>
        <w:tc>
          <w:tcPr>
            <w:tcW w:w="2320" w:type="dxa"/>
            <w:vAlign w:val="bottom"/>
          </w:tcPr>
          <w:p>
            <w:pPr>
              <w:ind w:left="160"/>
              <w:spacing w:after="0"/>
              <w:rPr>
                <w:sz w:val="20"/>
                <w:szCs w:val="20"/>
                <w:color w:val="auto"/>
              </w:rPr>
            </w:pPr>
            <w:r>
              <w:rPr>
                <w:rFonts w:ascii="Arial" w:cs="Arial" w:eastAsia="Arial" w:hAnsi="Arial"/>
                <w:sz w:val="18"/>
                <w:szCs w:val="18"/>
                <w:color w:val="auto"/>
              </w:rPr>
              <w:t>martinsvillebulletin.com</w:t>
            </w:r>
          </w:p>
        </w:tc>
        <w:tc>
          <w:tcPr>
            <w:tcW w:w="2080" w:type="dxa"/>
            <w:vAlign w:val="bottom"/>
          </w:tcPr>
          <w:p>
            <w:pPr>
              <w:ind w:left="280"/>
              <w:spacing w:after="0"/>
              <w:rPr>
                <w:sz w:val="20"/>
                <w:szCs w:val="20"/>
                <w:color w:val="auto"/>
              </w:rPr>
            </w:pPr>
            <w:r>
              <w:rPr>
                <w:rFonts w:ascii="Arial" w:cs="Arial" w:eastAsia="Arial" w:hAnsi="Arial"/>
                <w:sz w:val="18"/>
                <w:szCs w:val="18"/>
                <w:color w:val="auto"/>
              </w:rPr>
              <w:t>Martinsville, VA</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4,704</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130</w:t>
            </w:r>
          </w:p>
        </w:tc>
        <w:tc>
          <w:tcPr>
            <w:tcW w:w="840" w:type="dxa"/>
            <w:vAlign w:val="bottom"/>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Portage Daily Register</w:t>
            </w: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wiscnews.com/pdr</w:t>
            </w:r>
          </w:p>
        </w:tc>
        <w:tc>
          <w:tcPr>
            <w:tcW w:w="2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Portage, WI</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4,437</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Baraboo News Republic</w:t>
            </w:r>
          </w:p>
        </w:tc>
        <w:tc>
          <w:tcPr>
            <w:tcW w:w="2320" w:type="dxa"/>
            <w:vAlign w:val="bottom"/>
          </w:tcPr>
          <w:p>
            <w:pPr>
              <w:ind w:left="160"/>
              <w:spacing w:after="0"/>
              <w:rPr>
                <w:sz w:val="20"/>
                <w:szCs w:val="20"/>
                <w:color w:val="auto"/>
              </w:rPr>
            </w:pPr>
            <w:r>
              <w:rPr>
                <w:rFonts w:ascii="Arial" w:cs="Arial" w:eastAsia="Arial" w:hAnsi="Arial"/>
                <w:sz w:val="18"/>
                <w:szCs w:val="18"/>
                <w:color w:val="auto"/>
              </w:rPr>
              <w:t>wiscnews.com/bnr</w:t>
            </w:r>
          </w:p>
        </w:tc>
        <w:tc>
          <w:tcPr>
            <w:tcW w:w="2080" w:type="dxa"/>
            <w:vAlign w:val="bottom"/>
          </w:tcPr>
          <w:p>
            <w:pPr>
              <w:ind w:left="280"/>
              <w:spacing w:after="0"/>
              <w:rPr>
                <w:sz w:val="20"/>
                <w:szCs w:val="20"/>
                <w:color w:val="auto"/>
              </w:rPr>
            </w:pPr>
            <w:r>
              <w:rPr>
                <w:rFonts w:ascii="Arial" w:cs="Arial" w:eastAsia="Arial" w:hAnsi="Arial"/>
                <w:sz w:val="18"/>
                <w:szCs w:val="18"/>
                <w:color w:val="auto"/>
              </w:rPr>
              <w:t>Baraboo, WI</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4,435</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Statesville Record &amp; Landmark</w:t>
            </w: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statesville.com</w:t>
            </w:r>
          </w:p>
        </w:tc>
        <w:tc>
          <w:tcPr>
            <w:tcW w:w="2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Statesville, NC</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3,999</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The Daily Nonpareil</w:t>
            </w:r>
          </w:p>
        </w:tc>
        <w:tc>
          <w:tcPr>
            <w:tcW w:w="2320" w:type="dxa"/>
            <w:vAlign w:val="bottom"/>
          </w:tcPr>
          <w:p>
            <w:pPr>
              <w:ind w:left="160"/>
              <w:spacing w:after="0"/>
              <w:rPr>
                <w:sz w:val="20"/>
                <w:szCs w:val="20"/>
                <w:color w:val="auto"/>
              </w:rPr>
            </w:pPr>
            <w:r>
              <w:rPr>
                <w:rFonts w:ascii="Arial" w:cs="Arial" w:eastAsia="Arial" w:hAnsi="Arial"/>
                <w:sz w:val="18"/>
                <w:szCs w:val="18"/>
                <w:color w:val="auto"/>
              </w:rPr>
              <w:t>nonpareilonline.com</w:t>
            </w:r>
          </w:p>
        </w:tc>
        <w:tc>
          <w:tcPr>
            <w:tcW w:w="2080" w:type="dxa"/>
            <w:vAlign w:val="bottom"/>
          </w:tcPr>
          <w:p>
            <w:pPr>
              <w:ind w:left="280"/>
              <w:spacing w:after="0"/>
              <w:rPr>
                <w:sz w:val="20"/>
                <w:szCs w:val="20"/>
                <w:color w:val="auto"/>
              </w:rPr>
            </w:pPr>
            <w:r>
              <w:rPr>
                <w:rFonts w:ascii="Arial" w:cs="Arial" w:eastAsia="Arial" w:hAnsi="Arial"/>
                <w:sz w:val="18"/>
                <w:szCs w:val="18"/>
                <w:color w:val="auto"/>
              </w:rPr>
              <w:t>Council Bluffs, IA</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3,944</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126</w:t>
            </w:r>
          </w:p>
        </w:tc>
        <w:tc>
          <w:tcPr>
            <w:tcW w:w="84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184"/>
        </w:trPr>
        <w:tc>
          <w:tcPr>
            <w:tcW w:w="28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Journal Gazette &amp; Times-Courier</w:t>
            </w:r>
          </w:p>
        </w:tc>
        <w:tc>
          <w:tcPr>
            <w:tcW w:w="2320" w:type="dxa"/>
            <w:vAlign w:val="bottom"/>
            <w:shd w:val="clear" w:color="auto" w:fill="CCEEFF"/>
          </w:tcPr>
          <w:p>
            <w:pPr>
              <w:ind w:left="160"/>
              <w:spacing w:after="0" w:line="183" w:lineRule="exact"/>
              <w:rPr>
                <w:sz w:val="20"/>
                <w:szCs w:val="20"/>
                <w:color w:val="auto"/>
              </w:rPr>
            </w:pPr>
            <w:r>
              <w:rPr>
                <w:rFonts w:ascii="Arial" w:cs="Arial" w:eastAsia="Arial" w:hAnsi="Arial"/>
                <w:sz w:val="18"/>
                <w:szCs w:val="18"/>
                <w:color w:val="auto"/>
              </w:rPr>
              <w:t>jg-tc.com</w:t>
            </w:r>
          </w:p>
        </w:tc>
        <w:tc>
          <w:tcPr>
            <w:tcW w:w="2080" w:type="dxa"/>
            <w:vAlign w:val="bottom"/>
            <w:shd w:val="clear" w:color="auto" w:fill="CCEEFF"/>
          </w:tcPr>
          <w:p>
            <w:pPr>
              <w:ind w:left="280"/>
              <w:spacing w:after="0" w:line="183" w:lineRule="exact"/>
              <w:rPr>
                <w:sz w:val="20"/>
                <w:szCs w:val="20"/>
                <w:color w:val="auto"/>
              </w:rPr>
            </w:pPr>
            <w:r>
              <w:rPr>
                <w:rFonts w:ascii="Arial" w:cs="Arial" w:eastAsia="Arial" w:hAnsi="Arial"/>
                <w:sz w:val="18"/>
                <w:szCs w:val="18"/>
                <w:color w:val="auto"/>
              </w:rPr>
              <w:t>Mattoon/Charleston,</w:t>
            </w:r>
          </w:p>
        </w:tc>
        <w:tc>
          <w:tcPr>
            <w:tcW w:w="980" w:type="dxa"/>
            <w:vAlign w:val="bottom"/>
            <w:shd w:val="clear" w:color="auto" w:fill="CCEEFF"/>
          </w:tcPr>
          <w:p>
            <w:pPr>
              <w:jc w:val="right"/>
              <w:ind w:right="130"/>
              <w:spacing w:after="0" w:line="183" w:lineRule="exact"/>
              <w:rPr>
                <w:sz w:val="20"/>
                <w:szCs w:val="20"/>
                <w:color w:val="auto"/>
              </w:rPr>
            </w:pPr>
            <w:r>
              <w:rPr>
                <w:rFonts w:ascii="Arial" w:cs="Arial" w:eastAsia="Arial" w:hAnsi="Arial"/>
                <w:sz w:val="18"/>
                <w:szCs w:val="18"/>
                <w:color w:val="auto"/>
              </w:rPr>
              <w:t>3,849</w:t>
            </w:r>
          </w:p>
        </w:tc>
        <w:tc>
          <w:tcPr>
            <w:tcW w:w="1100" w:type="dxa"/>
            <w:vAlign w:val="bottom"/>
            <w:shd w:val="clear" w:color="auto" w:fill="CCEEFF"/>
          </w:tcPr>
          <w:p>
            <w:pPr>
              <w:ind w:left="780"/>
              <w:spacing w:after="0" w:line="183"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line="183" w:lineRule="exact"/>
              <w:rPr>
                <w:sz w:val="20"/>
                <w:szCs w:val="20"/>
                <w:color w:val="auto"/>
              </w:rPr>
            </w:pPr>
            <w:r>
              <w:rPr>
                <w:rFonts w:ascii="Arial" w:cs="Arial" w:eastAsia="Arial" w:hAnsi="Arial"/>
                <w:sz w:val="18"/>
                <w:szCs w:val="18"/>
                <w:color w:val="auto"/>
              </w:rPr>
              <w:t>302</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35"/>
        </w:trPr>
        <w:tc>
          <w:tcPr>
            <w:tcW w:w="280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2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IL</w:t>
            </w:r>
          </w:p>
        </w:tc>
        <w:tc>
          <w:tcPr>
            <w:tcW w:w="9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Danville Register &amp; Bee</w:t>
            </w:r>
          </w:p>
        </w:tc>
        <w:tc>
          <w:tcPr>
            <w:tcW w:w="2320" w:type="dxa"/>
            <w:vAlign w:val="bottom"/>
          </w:tcPr>
          <w:p>
            <w:pPr>
              <w:ind w:left="160"/>
              <w:spacing w:after="0"/>
              <w:rPr>
                <w:sz w:val="20"/>
                <w:szCs w:val="20"/>
                <w:color w:val="auto"/>
              </w:rPr>
            </w:pPr>
            <w:r>
              <w:rPr>
                <w:rFonts w:ascii="Arial" w:cs="Arial" w:eastAsia="Arial" w:hAnsi="Arial"/>
                <w:sz w:val="18"/>
                <w:szCs w:val="18"/>
                <w:color w:val="auto"/>
              </w:rPr>
              <w:t>godanriver.com</w:t>
            </w:r>
          </w:p>
        </w:tc>
        <w:tc>
          <w:tcPr>
            <w:tcW w:w="2080" w:type="dxa"/>
            <w:vAlign w:val="bottom"/>
          </w:tcPr>
          <w:p>
            <w:pPr>
              <w:ind w:left="280"/>
              <w:spacing w:after="0"/>
              <w:rPr>
                <w:sz w:val="20"/>
                <w:szCs w:val="20"/>
                <w:color w:val="auto"/>
              </w:rPr>
            </w:pPr>
            <w:r>
              <w:rPr>
                <w:rFonts w:ascii="Arial" w:cs="Arial" w:eastAsia="Arial" w:hAnsi="Arial"/>
                <w:sz w:val="18"/>
                <w:szCs w:val="18"/>
                <w:color w:val="auto"/>
              </w:rPr>
              <w:t>Danville, VA</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3,659</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125</w:t>
            </w:r>
          </w:p>
        </w:tc>
        <w:tc>
          <w:tcPr>
            <w:tcW w:w="840" w:type="dxa"/>
            <w:vAlign w:val="bottom"/>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Platte Telegraph</w:t>
            </w: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nptelegraph.com</w:t>
            </w:r>
          </w:p>
        </w:tc>
        <w:tc>
          <w:tcPr>
            <w:tcW w:w="2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North Platte, NE</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3,355</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Columbus Telegram</w:t>
            </w:r>
          </w:p>
        </w:tc>
        <w:tc>
          <w:tcPr>
            <w:tcW w:w="2320" w:type="dxa"/>
            <w:vAlign w:val="bottom"/>
          </w:tcPr>
          <w:p>
            <w:pPr>
              <w:ind w:left="160"/>
              <w:spacing w:after="0"/>
              <w:rPr>
                <w:sz w:val="20"/>
                <w:szCs w:val="20"/>
                <w:color w:val="auto"/>
              </w:rPr>
            </w:pPr>
            <w:r>
              <w:rPr>
                <w:rFonts w:ascii="Arial" w:cs="Arial" w:eastAsia="Arial" w:hAnsi="Arial"/>
                <w:sz w:val="18"/>
                <w:szCs w:val="18"/>
                <w:color w:val="auto"/>
              </w:rPr>
              <w:t>columbustelegram.com</w:t>
            </w:r>
          </w:p>
        </w:tc>
        <w:tc>
          <w:tcPr>
            <w:tcW w:w="2080" w:type="dxa"/>
            <w:vAlign w:val="bottom"/>
          </w:tcPr>
          <w:p>
            <w:pPr>
              <w:ind w:left="280"/>
              <w:spacing w:after="0"/>
              <w:rPr>
                <w:sz w:val="20"/>
                <w:szCs w:val="20"/>
                <w:color w:val="auto"/>
              </w:rPr>
            </w:pPr>
            <w:r>
              <w:rPr>
                <w:rFonts w:ascii="Arial" w:cs="Arial" w:eastAsia="Arial" w:hAnsi="Arial"/>
                <w:sz w:val="18"/>
                <w:szCs w:val="18"/>
                <w:color w:val="auto"/>
              </w:rPr>
              <w:t>Columbus, NE</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3,068</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126</w:t>
            </w:r>
          </w:p>
        </w:tc>
        <w:tc>
          <w:tcPr>
            <w:tcW w:w="840" w:type="dxa"/>
            <w:vAlign w:val="bottom"/>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Fremont Tribune</w:t>
            </w: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fremonttribune.com</w:t>
            </w:r>
          </w:p>
        </w:tc>
        <w:tc>
          <w:tcPr>
            <w:tcW w:w="2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Fremont, NE</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2,984</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The News Virginian</w:t>
            </w:r>
          </w:p>
        </w:tc>
        <w:tc>
          <w:tcPr>
            <w:tcW w:w="2320" w:type="dxa"/>
            <w:vAlign w:val="bottom"/>
          </w:tcPr>
          <w:p>
            <w:pPr>
              <w:ind w:left="160"/>
              <w:spacing w:after="0"/>
              <w:rPr>
                <w:sz w:val="20"/>
                <w:szCs w:val="20"/>
                <w:color w:val="auto"/>
              </w:rPr>
            </w:pPr>
            <w:r>
              <w:rPr>
                <w:rFonts w:ascii="Arial" w:cs="Arial" w:eastAsia="Arial" w:hAnsi="Arial"/>
                <w:sz w:val="18"/>
                <w:szCs w:val="18"/>
                <w:color w:val="auto"/>
              </w:rPr>
              <w:t>newsvirginian.com</w:t>
            </w:r>
          </w:p>
        </w:tc>
        <w:tc>
          <w:tcPr>
            <w:tcW w:w="2080" w:type="dxa"/>
            <w:vAlign w:val="bottom"/>
          </w:tcPr>
          <w:p>
            <w:pPr>
              <w:ind w:left="280"/>
              <w:spacing w:after="0"/>
              <w:rPr>
                <w:sz w:val="20"/>
                <w:szCs w:val="20"/>
                <w:color w:val="auto"/>
              </w:rPr>
            </w:pPr>
            <w:r>
              <w:rPr>
                <w:rFonts w:ascii="Arial" w:cs="Arial" w:eastAsia="Arial" w:hAnsi="Arial"/>
                <w:sz w:val="18"/>
                <w:szCs w:val="18"/>
                <w:color w:val="auto"/>
              </w:rPr>
              <w:t>Waynesboro, VA</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2,875</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90</w:t>
            </w:r>
          </w:p>
        </w:tc>
        <w:tc>
          <w:tcPr>
            <w:tcW w:w="84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Culpeper Star-Exponent</w:t>
            </w: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starexponent.com</w:t>
            </w:r>
          </w:p>
        </w:tc>
        <w:tc>
          <w:tcPr>
            <w:tcW w:w="2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Culpeper, VA</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2,738</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York News-Times</w:t>
            </w:r>
          </w:p>
        </w:tc>
        <w:tc>
          <w:tcPr>
            <w:tcW w:w="2320" w:type="dxa"/>
            <w:vAlign w:val="bottom"/>
          </w:tcPr>
          <w:p>
            <w:pPr>
              <w:ind w:left="160"/>
              <w:spacing w:after="0"/>
              <w:rPr>
                <w:sz w:val="20"/>
                <w:szCs w:val="20"/>
                <w:color w:val="auto"/>
              </w:rPr>
            </w:pPr>
            <w:r>
              <w:rPr>
                <w:rFonts w:ascii="Arial" w:cs="Arial" w:eastAsia="Arial" w:hAnsi="Arial"/>
                <w:sz w:val="18"/>
                <w:szCs w:val="18"/>
                <w:color w:val="auto"/>
              </w:rPr>
              <w:t>yorknewstimes.com</w:t>
            </w:r>
          </w:p>
        </w:tc>
        <w:tc>
          <w:tcPr>
            <w:tcW w:w="2080" w:type="dxa"/>
            <w:vAlign w:val="bottom"/>
          </w:tcPr>
          <w:p>
            <w:pPr>
              <w:ind w:left="280"/>
              <w:spacing w:after="0"/>
              <w:rPr>
                <w:sz w:val="20"/>
                <w:szCs w:val="20"/>
                <w:color w:val="auto"/>
              </w:rPr>
            </w:pPr>
            <w:r>
              <w:rPr>
                <w:rFonts w:ascii="Arial" w:cs="Arial" w:eastAsia="Arial" w:hAnsi="Arial"/>
                <w:sz w:val="18"/>
                <w:szCs w:val="18"/>
                <w:color w:val="auto"/>
              </w:rPr>
              <w:t>York, NE</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2,700</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84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Beatrice Daily Sun</w:t>
            </w: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beatricedailysun.com</w:t>
            </w:r>
          </w:p>
        </w:tc>
        <w:tc>
          <w:tcPr>
            <w:tcW w:w="2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Beatrice, NE</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2,455</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The McDowell News</w:t>
            </w:r>
          </w:p>
        </w:tc>
        <w:tc>
          <w:tcPr>
            <w:tcW w:w="2320" w:type="dxa"/>
            <w:vAlign w:val="bottom"/>
          </w:tcPr>
          <w:p>
            <w:pPr>
              <w:ind w:left="160"/>
              <w:spacing w:after="0"/>
              <w:rPr>
                <w:sz w:val="20"/>
                <w:szCs w:val="20"/>
                <w:color w:val="auto"/>
              </w:rPr>
            </w:pPr>
            <w:r>
              <w:rPr>
                <w:rFonts w:ascii="Arial" w:cs="Arial" w:eastAsia="Arial" w:hAnsi="Arial"/>
                <w:sz w:val="18"/>
                <w:szCs w:val="18"/>
                <w:color w:val="auto"/>
              </w:rPr>
              <w:t>mcdowellnews.com</w:t>
            </w:r>
          </w:p>
        </w:tc>
        <w:tc>
          <w:tcPr>
            <w:tcW w:w="2080" w:type="dxa"/>
            <w:vAlign w:val="bottom"/>
          </w:tcPr>
          <w:p>
            <w:pPr>
              <w:ind w:left="280"/>
              <w:spacing w:after="0"/>
              <w:rPr>
                <w:sz w:val="20"/>
                <w:szCs w:val="20"/>
                <w:color w:val="auto"/>
              </w:rPr>
            </w:pPr>
            <w:r>
              <w:rPr>
                <w:rFonts w:ascii="Arial" w:cs="Arial" w:eastAsia="Arial" w:hAnsi="Arial"/>
                <w:sz w:val="18"/>
                <w:szCs w:val="18"/>
                <w:color w:val="auto"/>
              </w:rPr>
              <w:t>Marion, NC</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2,214</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840" w:type="dxa"/>
            <w:vAlign w:val="bottom"/>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Chippewa Herald</w:t>
            </w: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chippewa.com</w:t>
            </w:r>
          </w:p>
        </w:tc>
        <w:tc>
          <w:tcPr>
            <w:tcW w:w="2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Chippewa Falls, WI</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2,009</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4"/>
        </w:trPr>
        <w:tc>
          <w:tcPr>
            <w:tcW w:w="2800" w:type="dxa"/>
            <w:vAlign w:val="bottom"/>
          </w:tcPr>
          <w:p>
            <w:pPr>
              <w:ind w:left="20"/>
              <w:spacing w:after="0"/>
              <w:rPr>
                <w:sz w:val="20"/>
                <w:szCs w:val="20"/>
                <w:color w:val="auto"/>
              </w:rPr>
            </w:pPr>
            <w:r>
              <w:rPr>
                <w:rFonts w:ascii="Arial" w:cs="Arial" w:eastAsia="Arial" w:hAnsi="Arial"/>
                <w:sz w:val="18"/>
                <w:szCs w:val="18"/>
                <w:color w:val="auto"/>
              </w:rPr>
              <w:t>Winona Daily News</w:t>
            </w:r>
          </w:p>
        </w:tc>
        <w:tc>
          <w:tcPr>
            <w:tcW w:w="2320" w:type="dxa"/>
            <w:vAlign w:val="bottom"/>
          </w:tcPr>
          <w:p>
            <w:pPr>
              <w:ind w:left="160"/>
              <w:spacing w:after="0"/>
              <w:rPr>
                <w:sz w:val="20"/>
                <w:szCs w:val="20"/>
                <w:color w:val="auto"/>
              </w:rPr>
            </w:pPr>
            <w:r>
              <w:rPr>
                <w:rFonts w:ascii="Arial" w:cs="Arial" w:eastAsia="Arial" w:hAnsi="Arial"/>
                <w:sz w:val="18"/>
                <w:szCs w:val="18"/>
                <w:color w:val="auto"/>
              </w:rPr>
              <w:t>winonadailynews.com</w:t>
            </w:r>
          </w:p>
        </w:tc>
        <w:tc>
          <w:tcPr>
            <w:tcW w:w="2080" w:type="dxa"/>
            <w:vAlign w:val="bottom"/>
          </w:tcPr>
          <w:p>
            <w:pPr>
              <w:ind w:left="280"/>
              <w:spacing w:after="0"/>
              <w:rPr>
                <w:sz w:val="20"/>
                <w:szCs w:val="20"/>
                <w:color w:val="auto"/>
              </w:rPr>
            </w:pPr>
            <w:r>
              <w:rPr>
                <w:rFonts w:ascii="Arial" w:cs="Arial" w:eastAsia="Arial" w:hAnsi="Arial"/>
                <w:sz w:val="18"/>
                <w:szCs w:val="18"/>
                <w:color w:val="auto"/>
              </w:rPr>
              <w:t>Winona, MN</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1,927</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84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5"/>
        </w:trPr>
        <w:tc>
          <w:tcPr>
            <w:tcW w:w="2800" w:type="dxa"/>
            <w:vAlign w:val="bottom"/>
          </w:tcPr>
          <w:p>
            <w:pPr>
              <w:ind w:left="20"/>
              <w:spacing w:after="0"/>
              <w:rPr>
                <w:sz w:val="20"/>
                <w:szCs w:val="20"/>
                <w:color w:val="auto"/>
              </w:rPr>
            </w:pPr>
            <w:r>
              <w:rPr>
                <w:rFonts w:ascii="Arial" w:cs="Arial" w:eastAsia="Arial" w:hAnsi="Arial"/>
                <w:sz w:val="18"/>
                <w:szCs w:val="18"/>
                <w:color w:val="auto"/>
              </w:rPr>
              <w:t>Muscatine Journal</w:t>
            </w:r>
          </w:p>
        </w:tc>
        <w:tc>
          <w:tcPr>
            <w:tcW w:w="2320" w:type="dxa"/>
            <w:vAlign w:val="bottom"/>
          </w:tcPr>
          <w:p>
            <w:pPr>
              <w:ind w:left="160"/>
              <w:spacing w:after="0"/>
              <w:rPr>
                <w:sz w:val="20"/>
                <w:szCs w:val="20"/>
                <w:color w:val="auto"/>
              </w:rPr>
            </w:pPr>
            <w:r>
              <w:rPr>
                <w:rFonts w:ascii="Arial" w:cs="Arial" w:eastAsia="Arial" w:hAnsi="Arial"/>
                <w:sz w:val="18"/>
                <w:szCs w:val="18"/>
                <w:color w:val="auto"/>
              </w:rPr>
              <w:t>muscatinejournal.com</w:t>
            </w:r>
          </w:p>
        </w:tc>
        <w:tc>
          <w:tcPr>
            <w:tcW w:w="2080" w:type="dxa"/>
            <w:vAlign w:val="bottom"/>
          </w:tcPr>
          <w:p>
            <w:pPr>
              <w:ind w:left="280"/>
              <w:spacing w:after="0"/>
              <w:rPr>
                <w:sz w:val="20"/>
                <w:szCs w:val="20"/>
                <w:color w:val="auto"/>
              </w:rPr>
            </w:pPr>
            <w:r>
              <w:rPr>
                <w:rFonts w:ascii="Arial" w:cs="Arial" w:eastAsia="Arial" w:hAnsi="Arial"/>
                <w:sz w:val="18"/>
                <w:szCs w:val="18"/>
                <w:color w:val="auto"/>
              </w:rPr>
              <w:t>Muscatine, IA</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1833</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228</w:t>
            </w:r>
          </w:p>
        </w:tc>
        <w:tc>
          <w:tcPr>
            <w:tcW w:w="840" w:type="dxa"/>
            <w:vAlign w:val="bottom"/>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Ravalli Republic</w:t>
            </w: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ravallinews.com</w:t>
            </w:r>
          </w:p>
        </w:tc>
        <w:tc>
          <w:tcPr>
            <w:tcW w:w="2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Hamilton, MT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707</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Source: AAM: September 2023 Quarterly Executive Summary Data Report, unaudited</w:t>
      </w:r>
    </w:p>
    <w:p>
      <w:pPr>
        <w:spacing w:after="0" w:line="30"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Source: AAM: March 2023 Quarterly Executive Summary Data Report, unaudited More recent data is not available</w:t>
      </w:r>
    </w:p>
    <w:p>
      <w:pPr>
        <w:spacing w:after="0" w:line="8"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all newspapers are published Monday through Saturday or have a Sunday edition</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Owned by MNI</w:t>
      </w:r>
    </w:p>
    <w:p>
      <w:pPr>
        <w:spacing w:after="0" w:line="14"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Owned by Star Publishing and published through TNI</w:t>
      </w:r>
    </w:p>
    <w:p>
      <w:pPr>
        <w:spacing w:after="0" w:line="8"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Source: Company statistics.</w:t>
      </w:r>
    </w:p>
    <w:p>
      <w:pPr>
        <w:spacing w:after="0" w:line="14"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Agri-Media sites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NEWSPRINT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raw material of newspapers, and our other print publications, is newsprint. We purchase newsprint from U.S. and Canadian producers. We believe we will continue to receive a supply of newsprint adequate for our needs and consider our relationships with newsprint producers to be good. Newsprint purchase prices can be volatile and fluctuate based upon factors that include foreign currency exchange rates, tariffs and both foreign and domestic production capacity and consumption. Price fluctuations can affect our results of operations. We have not entered into derivative contracts for newsprint. For the quantitative impacts of these fluctuations, see Item 7A, “Quantitative and Qualitative Disclosures about Market Risk”, included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the foundation of our business is the people and employees who support our business strategy. A major focus in 2023 was investing in top digital talent to carry out our Three Pillar Digital Growth Strategy and position us to achieve our long-term growth targets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September 24, 2023, we had 3,342 employees, including 510 part-time employees, exclusive of TNI and MNI. Full-time equivalent employees in 2023 totaled approximately 3,171 of which 527 are represented by unions. We consider our relationships with our employees to be good. We are committed to creating an equitable and inclusive workplace that also reflects the diversity of our local readers and communities in which we serve.</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continue to demonstrate our commitment to diversity, equity and inclusion by assessing our hiring practices, extending our hiring reach, providing skill-building opportunities on diverse storytelling, and developing business strategies that include historically marginalized communities. These efforts and initiatives will help us reach our goal of a more diverse workforce at all levels of our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PUBLIC INFORMATION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 long history of sound corporate governance practices. Currently, our Board of Directors has affirmatively determined that eight of its nine members are independent, including all members of the Board's Audit, Executive Compensation, and Nominating and Corporate Governance committees. The Audit Committee approves all services to be provided by our independent registered public accounting firm and its affiliates.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www.lee.net, one may access a wide variety of information, including news releases, SEC filings, financial statistics, annual reports, investor presentations, governance documents, newspaper profiles and digital links. We make available via our website all filings made by the Company under the Securities Exchange Act of 1934 ("Exchange Act"), including Forms 10-K, 10-Q and 8-K, and related amendments, as soon as reasonably practicable after they are filed with, or furnished to, the SEC. All such filings are available free of charge. The content of any website referred to in this Annual Report on Form 10-K ("Annual Report") is not incorporated by reference unless expressly noted.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Annual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36" w:lineRule="exact"/>
        <w:rPr>
          <w:sz w:val="20"/>
          <w:szCs w:val="20"/>
          <w:color w:val="auto"/>
        </w:rPr>
      </w:pPr>
    </w:p>
    <w:p>
      <w:pPr>
        <w:ind w:left="820" w:hanging="326"/>
        <w:spacing w:after="0" w:line="287"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Newspaper Business or Buffalo News for unknown legal and other matters that may arise;</w:t>
      </w:r>
    </w:p>
    <w:p>
      <w:pPr>
        <w:spacing w:after="0" w:line="112"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declining print revenue;</w:t>
      </w:r>
    </w:p>
    <w:p>
      <w:pPr>
        <w:spacing w:after="0" w:line="198"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in advertising and subscription demand;</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198"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cyber-security breaches or failure of our information technology systems;</w:t>
      </w:r>
    </w:p>
    <w:p>
      <w:pPr>
        <w:spacing w:after="0" w:line="198"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198"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listing status on the Nasdaq Global Select Market ("NASDAQ");</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84" w:lineRule="exact"/>
        <w:rPr>
          <w:rFonts w:ascii="Arial" w:cs="Arial" w:eastAsia="Arial" w:hAnsi="Arial"/>
          <w:sz w:val="18"/>
          <w:szCs w:val="18"/>
          <w:color w:val="auto"/>
        </w:rPr>
      </w:pPr>
    </w:p>
    <w:p>
      <w:pPr>
        <w:ind w:left="820" w:hanging="326"/>
        <w:spacing w:after="0" w:line="28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 including this Annual Report and particularly in "Risk Factors", Part I, Item 1A herein.</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Readers are cautioned not to place undue reliance on such forward-looking statements, which are made as of the date of this Annual Report. We do not undertake to publicly update or revise our forward-looking statements, except as required by law.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risks described below could materially and adversely affect our business, financial condition and results of operations. We could also be affected by additional risks that apply to all companies operating in the U.S., as well as other risks that are not presently known to us or that we currently consider to be immaterial. These Risk Factors should be carefully reviewed in conjunction with Management's Discussion and Analysis of Financial Condition and Results of Operations in Item 7 and our Financial Statements and Supplementary Data in Item 8 of this Report. For ease of review, the risk factors generally have been grouped into categories, but many of the risks described in a given category relate to multiple categories.</w:t>
      </w:r>
    </w:p>
    <w:p>
      <w:pPr>
        <w:spacing w:after="0" w:line="142" w:lineRule="exact"/>
        <w:rPr>
          <w:sz w:val="20"/>
          <w:szCs w:val="20"/>
          <w:color w:val="auto"/>
        </w:rPr>
      </w:pPr>
    </w:p>
    <w:p>
      <w:pPr>
        <w:ind w:right="3640" w:firstLine="3636"/>
        <w:spacing w:after="0" w:line="461" w:lineRule="auto"/>
        <w:rPr>
          <w:sz w:val="20"/>
          <w:szCs w:val="20"/>
          <w:color w:val="auto"/>
        </w:rPr>
      </w:pPr>
      <w:r>
        <w:rPr>
          <w:rFonts w:ascii="Arial" w:cs="Arial" w:eastAsia="Arial" w:hAnsi="Arial"/>
          <w:sz w:val="18"/>
          <w:szCs w:val="18"/>
          <w:b w:val="1"/>
          <w:bCs w:val="1"/>
          <w:u w:val="single" w:color="auto"/>
          <w:color w:val="auto"/>
        </w:rPr>
        <w:t xml:space="preserve">Risks Related to our Business and Operations </w:t>
      </w:r>
      <w:r>
        <w:rPr>
          <w:rFonts w:ascii="Arial" w:cs="Arial" w:eastAsia="Arial" w:hAnsi="Arial"/>
          <w:sz w:val="18"/>
          <w:szCs w:val="18"/>
          <w:b w:val="1"/>
          <w:bCs w:val="1"/>
          <w:i w:val="1"/>
          <w:iCs w:val="1"/>
          <w:color w:val="auto"/>
        </w:rPr>
        <w:t>Our advertising revenues may decline due to weakness in the retail sector.</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revenue is derived from advertising and a decline in the financial or economic conditions of our advertisers could alter discretionary spending by those advertisers. Our publications' and websites' advertisers are primarily retail businesses, which have been challenged in recent years by increased competition from online retailers. This trend has reduced and may continue to reduce advertising revenue from the brick-and-mortar retail sector. Specifically, advertising revenues may worsen if advertisers reduce their budgets, shift their spending priorities, are forced to consolidate, or cease operations.</w:t>
      </w:r>
    </w:p>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ability to generate revenue is highly sensitive to the strength of the economies in which we operate and the demographics of the local communities that we serve.</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advertising and marketing services revenues and subscription revenues depend upon a number of factors, including the size and demographic characteristics of the local population; the general local economic conditions; and the economic condition of the retail segments in the communities that our publications serve. In the case of an economic downturn in a market, our publications, revenues, and profitability in that market could be adversely affected. Our advertising and marketing services revenues could also be affected by negative trends in the general economy that affect consumer spending. The advertisers in our newspapers, other publications, and related websites are primarily retail businesses that can be significantly affected by regional or national economic downturns and other developments. Declines in the U.S. economy could also significantly affect key advertising revenue categories, such as help wanted, real estate, and automotive.</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Uncertainty and adverse changes in the general economic conditions of markets in which we participate and increases in costs of raw materials, energy, labor and other factors may negatively affect our business.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and the companies with which we do business are subject risks and uncertainties caused by factors beyond our control. Such factors include economic pressures related to high inflation, rising interest rates, economic weakness or recession, as well as geopolitical and public health events such as the wars in Ukraine and Israel, pandemics, and workforce expectations.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past, these and other similar conditions and events have resulted in, and could lead to a tightening of credit and capital markets, lower levels of liquidity, lower consumer and business spending, unemployment, declines in real estate values, increases in employee-related costs, and other adverse economic conditions. These changes may negatively affect the sales of our products, increase exposure to losses from bad debts, increase the cost and decrease the availability of financing, or increase costs associated with publishing and distributing our publications. In addition, printing and distribution costs, including the costs of paper and ink, are a significant expense for the Company. We expect increases in these costs in the near-term from various factors, including increases in the cost of raw materials, energy, labor, transportation, and distribution, due to inflation and other adverse factors on the economy.</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or timely report our financial results. As a result, current and potential stockholders could lose confidence in our financial reporting, which would harm the business and trading price of our common stock.</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public company, we are required to maintain effective internal controls for financial reporting and disclosure controls and procedures. In particular, Section 404 of the Sarbanes-Oxley Act requires us to perform system</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process evaluations and testing of our internal controls over financial reporting to allow management to report on the effectiveness of our internal controls over financial reporting. Compliance with Section 404 may require us to incur substantial accounting expenses and expend significant management efforts. Our testing has revealed and in the future may reveal deficiencies in our internal controls over financial reporting that are deemed to be material weaknesses. In the event we identify significant deficiencies or material weaknesses in our internal controls that we cannot remediate in a timely manner, the market price of our stock could decline if investors and others lose confidence in the reliability of our financial statements and we could be subject to sanctions or investigations by the SEC, NASDAQ, or other applicable regulatory authorities.</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which could result in loss of investor confidence in the Company and a negative impact on the value of our common stock.</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Management assessed the effectiveness of our internal control over financial reporting as of September 24, 2023, and concluded we did not maintain effective internal control over financial reporting. Management did not design and implement controls to assess the reliability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certain internally generated information, or evaluate information received from certain third-party service providers, that are relevant to certain revenue recognized in the Company’s consolidated financial statements. For additional information, see Item 9A, "Controls and Procedures,"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Until remediated, the material weakness could adversely affect our ability to report our financial condition and results of operations in a timely and accurate manner, which could negatively affect investor confidence in the Company and, in turn, the value of our common stock. While certain actions have been taken and planned to remediate and address the material weaknesses and enhance our internal control over financial reporting, we cannot be certain such remedial measures will be successful or otherwise sufficient to address the material weakness. In addition, if we are unable to remediate the material weakness, are otherwise unable to maintain effective internal control over financial reporting, or additional material weaknesses or significant deficiencies in our internal control over financial reporting are discovered or occur in the future, our ability to record, process and report financial information accurately, and to prepare financial statements within required time periods could be adversely affected, which, in addition to loss of investor confidence and a negative affect on the value of our common stock, could subject the Company to sanctions or investigations by the SEC, NASDAQ, or other regulatory authorities requiring additional financial and management resources to address.</w:t>
      </w:r>
    </w:p>
    <w:p>
      <w:pPr>
        <w:spacing w:after="0" w:line="14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collectability of accounts receivable under adverse economic conditions could deteriorate to a greater extent than provided for in our financial statements and in our projections of future results.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Adverse economic conditions in the U.S. may increase our exposure to losses resulting from financial distress, insolvency, and the potential bankruptcy of our advertising and marketing services customers. Our accounts receivable is stated at net estimated realizable value, and our allowance for credit losses has been determined based on several factors, including receivable agings, significant individual credit risk accounts, and historical experience. If such collectability estimates prove inaccurate, adjustments to future operating results could occur.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our intangible assets may become further impaired, depending upon future operating results.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24, 2023, the carrying value of our goodwill was $329.5 million, the carrying value of mastheads was $18.7 million, and the carrying value of our amortizable intangible assets was $ 76.3 million. The indefinite-lived assets (goodwill and mastheads) are subject to annual impairment testing and more frequent testing upon the occurrence of certain events or significant changes in our circumstances that indicate all or a portion of their carrying values may no longer be recoverable, in which case a non-cash charge to earnings may be necessary in the relevant period. We may subsequently experience market pressures which could cause future cash flows to decline below our current expectations, or volatile equity markets could negatively impact market factors used in the impairment analysis, including earnings multiples, discount rates, and long-term growth rates. Any future evaluations requiring an asset impairment charge for goodwill or other intangible assets would adversely affect future reported results of operations and stockholders’ equity.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goodwill and intangible assets, see Note 4 —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Attracting and retaining highly qualified personnel is difficult and costly, but the failure to do so Could negatively affect our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depend on the efforts, abilities, and talents of our executive team and other highly qualified employees who possess</w:t>
      </w:r>
    </w:p>
    <w:p>
      <w:pPr>
        <w:spacing w:after="0" w:line="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substantial business, information technology, and operational knowledge. The market for such personnel, including technology-related, product and software development, data science, and digital marketing and sales roles is very competitive, and we cannot ensure success in retaining these employees or hiring and training replacement employees in a timely and cost-effective manner, particularly as we continue to</w:t>
      </w:r>
    </w:p>
    <w:p>
      <w:pPr>
        <w:jc w:val="both"/>
        <w:ind w:right="20"/>
        <w:spacing w:after="0" w:line="287" w:lineRule="auto"/>
        <w:rPr>
          <w:sz w:val="20"/>
          <w:szCs w:val="20"/>
          <w:color w:val="auto"/>
        </w:rPr>
      </w:pPr>
      <w:r>
        <w:rPr>
          <w:rFonts w:ascii="Arial" w:cs="Arial" w:eastAsia="Arial" w:hAnsi="Arial"/>
          <w:sz w:val="18"/>
          <w:szCs w:val="18"/>
          <w:color w:val="auto"/>
        </w:rPr>
        <w:t>focus on our digital products and services. These risks have been exacerbated by recent labor constraints, a trend of increasing employee turnover, and inflationary pressures on employee wages and benefits.</w:t>
      </w:r>
    </w:p>
    <w:p>
      <w:pPr>
        <w:spacing w:after="0" w:line="1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Natural disasters, extreme weather conditions, public health emergencies or other catastrophic events could negatively affect our business, financial condition, and results of operations.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Natural disasters and extreme weather conditions, such as hurricanes, derecho windstorms, floods, earthquakes, wildfires; acts of terrorism or violence, including active-shooter situations; and public health issues, including pandemics and quarantines, could negatively affect our operations and financial performance. Such events could result in physical damage to our properties, disruptions to our IT systems, temporary or long-term disruption in the supply of products from our suppliers, and delays in the delivery of goods to our printing facilities. Public health issues, whether occurring in the U.S. or Canada, could disrupt our operations, the operations of suppliers, or have an adverse impact on consumer spending and confidence levels.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 Related to Competition from Digital Media</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operating revenue may be materially adversely affected if we do not successfully respond to the shift in newspaper readership and advertising expenditures away from traditional print media and towards digital media. Significant capital investments may be needed to respond to this shift.</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Currently, a primary source of revenue is from advertising and marketing services, which accounts for 46% of our revenue. Subscription revenue accounts for 45% of our revenue. The media publishing industry has experienced rapid evolution in consumer demands and expectations due to advances in technology, which have led to a proliferation of delivery methods for news and information. The number of consumers who access online services through devices other than personal computers, such as tablets and mobile devices, has increased dramatically in recent years and likely will continue to increase. The media publishing industry also continues to be affected by demographic shifts, with older generations preferring more traditional print newspaper delivery and younger generations consuming news through digital media. Also, the revenues generated by media publishing companies have been affected significantly by the shift in advertising expenditures towards digital media.</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future revenue performance of our digital business depends to a significant degree upon the growth, development, and management of our subscriber and advertising audiences. The growth of our digital business over the long term depends on various factors, including, among other things, the ability to:</w:t>
      </w:r>
    </w:p>
    <w:p>
      <w:pPr>
        <w:spacing w:after="0" w:line="13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increase digital audiences;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Attract advertisers to our digital platforms;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Tailor our products to efficiently and effectively deliver content and advertising on mobile devices;</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Maintain or increase the advertising rates on our digital platforms;</w:t>
      </w:r>
    </w:p>
    <w:p>
      <w:pPr>
        <w:spacing w:after="0" w:line="193"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Exploit new and existing technologies to distinguish our products and services from those of competitors and develop new content, products and services;</w:t>
      </w:r>
    </w:p>
    <w:p>
      <w:pPr>
        <w:spacing w:after="0" w:line="19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Invest funds and resources in digital opportunities;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Partner with, or use services from, providers that can assist us in effectively growing our digital business; and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Create digital content and platforms that attract and engage audiences in our markets.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unable to grow our digital audience, distinguish our products and services from those of our competitors or develop compelling new products and services that engage users across multiple platforms, then our business, financial condition, and results of operations may be adversely affected. Responding to the changes described above may require us to make significant capital investments and incur significant research and development costs related to building, maintaining, and evolving our technology infrastructure, and our ability to make the level of investments required may be limited.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“Audiences” in Item 1, included herein, for additional information on about our print and digital audiences.</w:t>
      </w:r>
    </w:p>
    <w:p>
      <w:pPr>
        <w:spacing w:after="0" w:line="20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compete with a large number of companies in the local media industry, including digital media businesses and, if we are unable to compete effectively, our advertising and subscription revenues may decline.</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compete for audiences and advertising revenue with newspapers and other media such as web-based digital platforms (e.g., Alphabet, Amazon, Meta, TikTok etc.), magazines, broadcast, cable and satellite television, radio, direct mail, and billboards. As the use of the internet and mobile devices has increased, we have lost some classified advertising and subscribers to online advertising businesses and free Internet sites that contain abbreviated versions of our publications. Some of our current and potential competitors have greater financial and other resources than we do. If we fail to compete effectively with competing newspapers and other media, our results of operations may be materially adversely affected.</w:t>
      </w:r>
    </w:p>
    <w:p>
      <w:pPr>
        <w:spacing w:after="0" w:line="142" w:lineRule="exact"/>
        <w:rPr>
          <w:sz w:val="20"/>
          <w:szCs w:val="20"/>
          <w:color w:val="auto"/>
        </w:rPr>
      </w:pPr>
    </w:p>
    <w:p>
      <w:pPr>
        <w:ind w:left="4140"/>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materially and adversely affect our business or financial condition.</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current indebtedness, and any future debt incurred, could have significant consequences on our future operations, including making it more difficult to satisfy our debt obligations and meet our operational goals. Our entire outstanding indebtedness is encompassed in a 25-year term loan ("Term Loan") with BH Finance LLC, a Nebraska limited liability company affiliated with Berkshire Hathaway, Inc. ("BH Finance"), which was part of a broader comprehensive refinancing of all of our then-outstanding debt, including a Credit Agreement, dated January 29, 2020 (collectively, the "2020 Refinancing").</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its inception, the aggregate principal amount and applicable interest rate of the Term Loan was $576.0 million and 9% annual rate, respectively, the proceeds of which were used to refinance our then-outstanding debt and fund the acquisition of BH Media and Buffalo News. The Term Loan is collateralized by all Company assets. Currently, the Term Note has an aggregate principal outstanding amount of $455.7 million. Our ability to make scheduled payments depends on our financial condition and operating performance, which are subject to prevailing economic and competitive conditions and to certain financial, business, competitive, legislative, regulatory, and other factors beyond our control. We may be unable to maintain a level of cash flow sufficient to permit us to pay the principal and interest on our debt.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our cash flow and capital resources are insufficient to fund our debt obligations, we could face liquidity issues and be forced to reduce or delay investments, acquisitions, and capital expenditures or sell assets or operations, seek additional capital or restructure or refinance our indebtedness. We cannot assure investors we would be able to take any of these alternative actions, such actions would be permitted under the terms of the Credit Agreement, and, even if successful,, that such actions would permit us to meet our scheduled debt service obligations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2020 Refinancing terms impose operating and financial restrictions, including restrictions on incurring additional indebtedness, creating certain liens, making certain investments or acquisitions, issuing dividends, repurchasing shares of Company stock, and engaging in other capital transactions. A failure to satisfy out debt service obligations on the Term Loan could give rise to default. Moreover, these restrictions limit our flexibility in planning for or reacting to changes in our business, the economy, in general, and the economies in which we operate, which, in turn increases our vulnerability to adverse financial consequences related to such changes.</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failure to satisfy our debt service obligations on the Term Loan could give rise to default and, in turn, the right of our lender to accelerate our indebtedness, making all principal and interest becoming due and payable.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Certain actions, including our ability to incur additional indebtedness, require the consent of our lenders and note holders which, if not provided, would limit our ability to take advantage of future opportunities.</w:t>
      </w:r>
    </w:p>
    <w:p>
      <w:pPr>
        <w:spacing w:after="0" w:line="166"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terms of the 2020 Refinancing, limit our ability to take certain actions without requisite lender approval and modification of the loan agreements. These limitations include restrictions on incurring additional indebtedness, creating certain liens, making certain investments or acquisitions, issuing dividends, repurchasing shares of Company stock, and engaging in other capital transactions. While we have an established relationship with BH Finance, whose priorities and interests are familiar to us, there is no assurance BH Finance will approve or consent to our activities, even if the activities are in the best interests of our stockholders. If we are unable to secure the required consent of BH Finance, our ability to take advantage of future opportunities, including acquisition or financing opportunities, could be restricted.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Cybersecurity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business, operating results, and reputation may be negatively impacted, and we may be subject to legal and regulatory claims if there is a loss, destruction, disclosure, misappropriation, or alteration of or unauthorized access to data owned or maintained by us, or if we are the subject of a significant data breach or cyberattack.</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on our information technology and communications systems to manage our business data, including communications, news and advertising content, digital products, order entry, fulfillment and other business processes. These technologies and systems also help us manage many of our internal controls over financial reporting, disclosure controls and procedures and financial systems. Attempts to compromise information technology and communications systems occur regularly across many industries and sectors, and we may be vulnerable to security breaches resulting from accidental events (such as human error) or deliberate attacks. Moreover, the techniques used to attempt attacks and the perpetrators of such attacks are constantly expanding. We face threats both from use of malicious code (such as malware, viruses and ransomware), employee theft or misuse, advanced persistent threats, and phishing and denial-of-service attacks. The Company has complied with all applicable legal requirements relating to this activity. As cyberattacks become increasingly sophisticated, and as tools and resources become more readily available to malicious third parties, the Company will incur increased costs to secure its technology environment and there can be no guarantee that the Company’s and our third-party vendors’ actions, security measures and controls designed to prevent, detect or respond to security breaches, to limit access to data, to prevent destruction, alteration, or exfiltration of data, or to limit the negative impact from such attacks, can provide absolute security against compromise. As a result, our business data, communications, news and advertising content, digital products, order entry, fulfillment and other business processes may be lost, destroyed, disclosed, misappropriated, altered or accessed without consent and various controls, automated procedures and financial systems could be compromised.</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security breach or other successful attack could result in significant remediation costs, including repairing system damage, engaging third-party experts, deploying additional personnel or vendor support, training employees, and compensation or incentives offered to third parties whose data has been compromised. These incidents may also lead to lost revenues resulting from a loss in competitive advantage due to the unauthorized disclosure, alteration, destruction or use of business data, the failure to retain or attract customers, the disruption of critical business processes or systems, and the diversion of management’s attention and resources. Moreover, such incidents may result in adverse media coverage, which may harm our reputation. These incidents may also lead to legal claims or proceedings, including regulatory investigations and actions and private lawsuits, and related legal fees, as well as potential settlements, judgments and fines. We maintain insurance, but the coverage and limits of our insurance policies may not be adequate to reimburse us for losses caused by security breaches.</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possession and use of personal information and the use of payment cards by our customers present risks and expenses that could harm our business. Unauthorized access to or disclosure or manipulation of such data, whether through breach of our network security or otherwise, could expose us to liabilities and costly litigation and damage our reputation.</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online systems store and process confidential subscriber and other sensitive data, such as names, email addresses, addresses, and other personal information. Therefore, maintaining our network security is critical. Additionally, we depend on the security of our third-party service providers. Unauthorized use of or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inappropriate access to our, or our third-party service providers’ networks, computer systems and services could potentially jeopardize the security of confidential information, including payment card (credit or debit) information, of our customers. Because the techniques used to obtain unauthorized access, disable or degrade service, or sabotage systems change frequently and often are not recognized until launched against a target, we or our third-party service providers may be unable to anticipate these techniques or to implement adequate preventative measures. A party that is able to circumvent our security measures could misappropriate our proprietary information or the information of our customers or users, cause interruption in our operations, or damage our computers or those of our customers or users. As a result of any such breaches, customers or users may assert claims of liability against us and these activities may subject us to legal claims, adversely impact our reputation, and interfere with our ability to provide our products and services, all of which may have an adverse effect on our business, financial condition and results of operations. The coverage and limits of our insurance policies may not be adequate to reimburse us for losses caused by security breaches.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significant number of our customers authorize us to bill their payment card accounts directly for all amounts charged by us. These customers provide payment card information and other personally identifiable information which, depending on the particular payment plan, may be maintained to facilitate future payment card transactions. Under payment card rules and our contracts with our card processors, if there is a breach of payment card information that we store, we could be liable to the banks that issue the payment cards for their related expenses and penalties. In addition, if we fail to follow payment card industry data security standards, even if there is no compromise of customer information, we could incur significant fines or lose our ability to give our customers the option of using payment cards. If we were unable to accept payment cards, our business would be seriously harmed.</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any security measures we, or our third-party service providers, take will be effective in preventing a data breach. We may need to expend significant resources to protect against security breaches or to address problems caused by breaches. If an actual or perceived breach of our security occurs, the perception of the effectiveness of our security measures could be harmed and we could lose customers or users. Failure to protect confidential customer data or to provide customers with adequate notice of our privacy policies could also subject us to liabilities imposed by United States federal and state regulatory agencies or courts. We could also be subject to evolving state laws that impose data breach notification requirements, specific data security obligations, or other consumer privacy-related requirements. Our failure to comply with any of these laws or regulations may have an adverse effect on our business, financial condition and results of operations.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Pension Liabilities</w:t>
      </w:r>
    </w:p>
    <w:p>
      <w:pPr>
        <w:spacing w:after="0" w:line="20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Sustained increases in funding requirements of our pension and postretirement obligations may reduce the cash available for our business.</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Pension plans were in a net overfunded position of $10.3 million at September 24, 2023 compared to an underfunded position of $0.4 million at September 25, 2022.</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pension and postretirement plans invest in a variety of equity and debt securities. Future volatility and disruption in the securities markets could cause declines in the asset values of our pension and postretirement plans. In addition, a decrease in the discount rates or changes to mortality estimates and other assumptions used to determine the liability could increase the benefit obligation of the plans. Unfavorable changes to the plan assets and/or the benefit obligations could increase the level of required contributions above what is currently estimated, which could reduce the cash available for our business and debt service.</w:t>
      </w:r>
    </w:p>
    <w:p>
      <w:pPr>
        <w:spacing w:after="0" w:line="15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expect to be subject to additional withdrawal liabilities in connection with multiemployer pension plans, which may reduce the cash available for our business.</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contributed to various multiemployer defined benefit pension plans during 2023 under the terms of collective-bargaining agreements (“CBAs”). For plans that are in critical status, benefit reductions may apply or we could be required to make additional contributions.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1B. UNRESOLVED STAFF COMMENTS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ITEM 2. PROPERTIES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offices are located in leased facilities at 4600 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Street, Davenport, Iowa. The initial lease term expires August 1, 2029.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have 19 print sites which print most of our dailies with the exception of 10 that are printed at third-party printers.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newspapers and other publications have formal or informal backup arrangements for printing in the event of a disruption in production capability.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LEGAL PROCEEDINGS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MARKET FOR THE REGISTRANT'S COMMON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NASDAQ.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At November 30, 2023, we had 4,116 registered holders of record of our Common Stock.</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Credit Agreement restricts us from paying dividends on our Common Stock. This restriction does not apply to dividends issued with the Company's Equity Interests or from the proceeds of a sale of the Company's Equity Interest. See Note 5 — Debt, of the Notes to Consolidated Financial Statements, included 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PRESENTATION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compares the percentage change in the cumulative total return of the Company, the Standard &amp; Poor's 500 Stock Index, and a peer group index, in each case for the five years ended September 24, 2023 (with September 24, 2018, as the measurement point). Total return is measured by dividing (a) the sum of (i) the cumulative amount of dividends declared for the measurement period, assuming dividend reinvestment and (ii) the difference between the issuer's share price at the end and the beginning of the measurement period, by (b) the share price at the beginning of the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108585</wp:posOffset>
            </wp:positionV>
            <wp:extent cx="5254625" cy="3257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Copyright© 2023 Standard &amp; Poor's, a division of S&amp;P Global. All rights reserved.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ITEM 6. RESERVED</w:t>
      </w:r>
    </w:p>
    <w:p>
      <w:pPr>
        <w:spacing w:after="0" w:line="19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ITEM 7. 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year ended September 24, 2023, and for fiscal years 2022 and 2021. This discussion should be read in conjunction with the Consolidated Financial Statements and related Notes thereto, included 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We believe the following discussion addresses our most critical accounting policies, which are those that are important to the presentation of our financial condition and results of operations and require management's most subjective and complex judgments.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Local mastheads (e.g., publishing periodical titles, web site domain names, and trade names) are not subject to amortization. Non-amortized intangible assets are tested for impairment annually on the first day of the fourth fiscal quarter or more frequently if events or changes in circumstances suggest the asset might be impaired.</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quantitative impairment test consists of comparing the fair value of each masthead or domain name with its carrying amount. We use a relief from royalty approach which utilizes a discounted cash flow model to determine the fair value of each masthead, domain name, or trade name. Management's judgments and estimates of future operating results in determining the intangibles fair values are consistently applied to each underlying business in determining the fair value of each intangible asset. In 2023, 2022, and 2021, we recognized impairment charges of $7.7 million, $14.2 million, and $0.8 million, respectively. Only one of our mastheads has a fair value that is 20% over its carrying value, therefore our mastheads could experience impairment in the future if we do not achieve our revenue projections. As of September 24, 2023 the masthead carrying value is $18.7 million.</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amortizable intangible assets consist mainly of customer relationships including subscriber lists and advertiser relationships. These asset values are amortized systematically over their estimated useful lives. Intangible assets subject to amortization are tested for recoverability whenever events or changes in circumstances indicate that their carrying amounts may not be recoverable. The carrying amount of each asset group is not recoverable if it exceeds the sum of the undiscounted cash flows expected to result from the use of such asset group. In 2021, we recognized $0.2 million of impairment on intangible assets subject to amortization. There were no indicators of impairment on intangible assets subject to amortization in 2023 or 2022.</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quantitative impairment analysis includes several inputs that are considered estimates, these include royalty rates, discount rates, five-year revenue forecast, and long term growth rates. All of these estimates are subject to uncertainty as future results may or may not be achieved. In 2023, the royalty rates utilized range from 0% to 1.0%; a 50-basis point decrease in royalty rates would result in an additional $9.3 million of impairment. The Company’s discount rate utilized in the analysis has ranged from 10.5% in 2021 to 13.0% 2023, depending on market conditions. Increasing the discount rate by 100 basis points would result in an additional $1.2 million of impairment. The Company has had various revenue forecasts utilized in the analysis over different years.</w:t>
      </w:r>
    </w:p>
    <w:p>
      <w:pPr>
        <w:spacing w:after="0" w:line="15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Future decreases in our market value, or significant differences in revenue, expenses or cash flows from estimates used to determine fair value, could result in additional masthead impairment charges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related to the Company's Goodwill impairment analysis, refer to Note 4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Postretirement and Postemployment Benefit Plans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along with our subsidiaries, have various defined benefit retirement plans, postretirement plans and postemployment plans, under which substantially all of the benefits have been frozen in previous years.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our pension, postretirement and postemployment plans in accordance with the applicable accounting guidance, which requires us to include the funded status of our pension plans in our balance sheets and to recognize, as a component of other comprehensive income (loss), the gains or losses that arise during the period but are not recognized in pension expense. The service cost component of net period benefit cost is reported on the Consolidated Statements of Income and Comprehensive Income and included in Compensation while all other components are included in other non-operating income/expense.</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determination of pension and postretirement plan obligations and expense is based on a number of actuarial assumptions. Two critical assumptions are the discount rates applied to pension and postretirement plan obligations and the expected long-term rate of return on plan assets.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discount rate assumption is based on investment yields available at year-end on corporate bonds rated AA and above with a maturity to match the expected benefit payment stream. To determine the expected long-term rate of return of assets, we consider the current and expected asset allocations, as well as historical and expected returns on various categories of plan assets, input from the actuaries and investment consultants and long- term inflation assumptions. In 2023, we used an expected return of assets assumption of 5.0% for both our pension plan assets and our postretirement and postemployment benefit plan assets.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50-basis point decrease in discount rates would result in an increase to pension and postretirement and postemployment benefits liabilities of $10.6 million. A 50-basis point decrease in expected rate of return of assets results would result in an increase to pension and postretirement and postemployment benefits expense of $1.1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subject to income taxes in the U.S. and record our tax provision for the anticipated tax consequences in our reported results of operations. Tax laws are complex and subject to different interpretations by the taxpayer and respective government taxing authorities. Significant management judgment is required in determining our provision for income taxes, deferred tax assets and liabilities, and the valuation allowance recorded against our net deferred tax assets, if any.</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current and deferred income tax provisions are calculated based on estimates and assumptions that could differ from the actual results reflected in income tax returns filed during the subsequent year. These estimates are reviewed and adjusted, if needed, throughout the year. Adjustments between our estimates and the actual results of filed returns are recorded when identified.</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basis of assets and liabilities using currently enacted tax rates. Deferred income tax assets are recognized for deductible temporary differences and loss carryforwards and deferred income tax liabilities are recognized for taxable temporary differences. Temporary differences are the difference between the reported amounts of assets and liabilities and their tax basis. Deferred income tax assets are reduced by a valuation allowance when, in our opinion, it is more likely than not that some portion or all of the deferred income tax assets will not be realized. Deferred income tax assets and liabilities are adjusted for the effects of changes in tax laws and rates on the date of enactment.</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as a component of income tax expense.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Note 1 to the Consolidated Financial Statements for a description of new accounting standards issued and/or adopted in the year ended September 24, 2023.</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20" w:type="dxa"/>
            <w:vAlign w:val="bottom"/>
            <w:tcBorders>
              <w:top w:val="single" w:sz="8" w:color="auto"/>
            </w:tcBorders>
          </w:tcPr>
          <w:p>
            <w:pPr>
              <w:ind w:left="20"/>
              <w:spacing w:after="0" w:line="177" w:lineRule="exact"/>
              <w:rPr>
                <w:sz w:val="20"/>
                <w:szCs w:val="20"/>
                <w:color w:val="auto"/>
              </w:rPr>
            </w:pPr>
            <w:r>
              <w:rPr>
                <w:rFonts w:ascii="Arial" w:cs="Arial" w:eastAsia="Arial" w:hAnsi="Arial"/>
                <w:sz w:val="16"/>
                <w:szCs w:val="16"/>
                <w:i w:val="1"/>
                <w:iCs w:val="1"/>
                <w:color w:val="auto"/>
              </w:rPr>
              <w:t>(Thousands of Dollars, Except Per Common</w:t>
            </w:r>
          </w:p>
        </w:tc>
        <w:tc>
          <w:tcPr>
            <w:tcW w:w="154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2023</w:t>
            </w:r>
          </w:p>
        </w:tc>
        <w:tc>
          <w:tcPr>
            <w:tcW w:w="12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2022</w:t>
            </w:r>
          </w:p>
        </w:tc>
        <w:tc>
          <w:tcPr>
            <w:tcW w:w="186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color w:val="auto"/>
              </w:rPr>
              <w:t>Percent Change</w:t>
            </w:r>
          </w:p>
        </w:tc>
        <w:tc>
          <w:tcPr>
            <w:tcW w:w="1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2021</w:t>
            </w: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Percent Change</w:t>
            </w:r>
          </w:p>
        </w:tc>
        <w:tc>
          <w:tcPr>
            <w:tcW w:w="0" w:type="dxa"/>
            <w:vAlign w:val="bottom"/>
          </w:tcPr>
          <w:p>
            <w:pPr>
              <w:spacing w:after="0"/>
              <w:rPr>
                <w:sz w:val="1"/>
                <w:szCs w:val="1"/>
                <w:color w:val="auto"/>
              </w:rPr>
            </w:pPr>
          </w:p>
        </w:tc>
      </w:tr>
      <w:tr>
        <w:trPr>
          <w:trHeight w:val="215"/>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Share Data)</w:t>
            </w:r>
          </w:p>
        </w:tc>
        <w:tc>
          <w:tcPr>
            <w:tcW w:w="15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125,804</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184,963</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(32.0)%</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227,892</w:t>
            </w:r>
          </w:p>
        </w:tc>
        <w:tc>
          <w:tcPr>
            <w:tcW w:w="142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193,173</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181,465</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6.5 %</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141,391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318,977</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366,428</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(12.9)%</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369,283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252,591</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313,504</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(19.4)%</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329,484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60,700</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40,120</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51.3 %</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28,229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42.1 %</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313,291</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353,624</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(11.4)%</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357,713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92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39,508</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42,962</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(8.0)%</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48,656</w:t>
            </w:r>
          </w:p>
        </w:tc>
        <w:tc>
          <w:tcPr>
            <w:tcW w:w="142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19,362</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17,955</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7.8 %</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18,997</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58,870</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60,917</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(3.4)%</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67,653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691,138</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780,969</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(11.5)%</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794,649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266,907</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317,789</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(16.0)%</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330,896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25,346</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30,101</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(15.8)%</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29,775</w:t>
            </w:r>
          </w:p>
        </w:tc>
        <w:tc>
          <w:tcPr>
            <w:tcW w:w="142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323,067</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344,905</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(6.3)%</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325,597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30,621</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36,544</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(16.2)%</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42,841</w:t>
            </w:r>
          </w:p>
        </w:tc>
        <w:tc>
          <w:tcPr>
            <w:tcW w:w="142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75"/>
        </w:trPr>
        <w:tc>
          <w:tcPr>
            <w:tcW w:w="39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Assets loss (gain) on sales, impairments</w:t>
            </w:r>
          </w:p>
        </w:tc>
        <w:tc>
          <w:tcPr>
            <w:tcW w:w="154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1,882</w:t>
            </w:r>
          </w:p>
        </w:tc>
        <w:tc>
          <w:tcPr>
            <w:tcW w:w="12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9,716</w:t>
            </w:r>
          </w:p>
        </w:tc>
        <w:tc>
          <w:tcPr>
            <w:tcW w:w="186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(80.6)%</w:t>
            </w:r>
          </w:p>
        </w:tc>
        <w:tc>
          <w:tcPr>
            <w:tcW w:w="12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8,214</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other</w:t>
            </w:r>
          </w:p>
        </w:tc>
        <w:tc>
          <w:tcPr>
            <w:tcW w:w="154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12,673</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22,720</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(44.2)%</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7,182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216.3 %</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660,496</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761,775</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(13.3)%</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744,505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6,527</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5,657</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15.4 %</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6,412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37,169</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24,851</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49.6 %</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56,556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(41,471)</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(41,770)</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(0.7)%</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(44,773)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Curtailment gain</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1,027</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(100.0)%</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23,830</w:t>
            </w: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withdrawal cost</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(1,200)</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(2,335)</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(48.6)%</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(12,862)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5"/>
        </w:trPr>
        <w:tc>
          <w:tcPr>
            <w:tcW w:w="3920" w:type="dxa"/>
            <w:vAlign w:val="bottom"/>
          </w:tcPr>
          <w:p>
            <w:pPr>
              <w:ind w:left="140"/>
              <w:spacing w:after="0" w:line="176" w:lineRule="exact"/>
              <w:rPr>
                <w:sz w:val="20"/>
                <w:szCs w:val="20"/>
                <w:color w:val="auto"/>
              </w:rPr>
            </w:pPr>
            <w:r>
              <w:rPr>
                <w:rFonts w:ascii="Arial" w:cs="Arial" w:eastAsia="Arial" w:hAnsi="Arial"/>
                <w:sz w:val="18"/>
                <w:szCs w:val="18"/>
                <w:color w:val="auto"/>
              </w:rPr>
              <w:t>Pension and OPEB related benefit (cost)</w:t>
            </w:r>
          </w:p>
        </w:tc>
        <w:tc>
          <w:tcPr>
            <w:tcW w:w="1540" w:type="dxa"/>
            <w:vAlign w:val="bottom"/>
            <w:vMerge w:val="restart"/>
          </w:tcPr>
          <w:p>
            <w:pPr>
              <w:jc w:val="right"/>
              <w:ind w:right="370"/>
              <w:spacing w:after="0"/>
              <w:rPr>
                <w:sz w:val="20"/>
                <w:szCs w:val="20"/>
                <w:color w:val="auto"/>
              </w:rPr>
            </w:pPr>
            <w:r>
              <w:rPr>
                <w:rFonts w:ascii="Arial" w:cs="Arial" w:eastAsia="Arial" w:hAnsi="Arial"/>
                <w:sz w:val="18"/>
                <w:szCs w:val="18"/>
                <w:color w:val="auto"/>
              </w:rPr>
              <w:t>2,420</w:t>
            </w:r>
          </w:p>
        </w:tc>
        <w:tc>
          <w:tcPr>
            <w:tcW w:w="1280" w:type="dxa"/>
            <w:vAlign w:val="bottom"/>
            <w:vMerge w:val="restart"/>
          </w:tcPr>
          <w:p>
            <w:pPr>
              <w:jc w:val="right"/>
              <w:ind w:right="110"/>
              <w:spacing w:after="0"/>
              <w:rPr>
                <w:sz w:val="20"/>
                <w:szCs w:val="20"/>
                <w:color w:val="auto"/>
              </w:rPr>
            </w:pPr>
            <w:r>
              <w:rPr>
                <w:rFonts w:ascii="Arial" w:cs="Arial" w:eastAsia="Arial" w:hAnsi="Arial"/>
                <w:sz w:val="18"/>
                <w:szCs w:val="18"/>
                <w:color w:val="auto"/>
              </w:rPr>
              <w:t>19,022</w:t>
            </w:r>
          </w:p>
        </w:tc>
        <w:tc>
          <w:tcPr>
            <w:tcW w:w="1860" w:type="dxa"/>
            <w:vAlign w:val="bottom"/>
            <w:vMerge w:val="restart"/>
          </w:tcPr>
          <w:p>
            <w:pPr>
              <w:jc w:val="right"/>
              <w:ind w:right="330"/>
              <w:spacing w:after="0"/>
              <w:rPr>
                <w:sz w:val="20"/>
                <w:szCs w:val="20"/>
                <w:color w:val="auto"/>
              </w:rPr>
            </w:pPr>
            <w:r>
              <w:rPr>
                <w:rFonts w:ascii="Arial" w:cs="Arial" w:eastAsia="Arial" w:hAnsi="Arial"/>
                <w:sz w:val="18"/>
                <w:szCs w:val="18"/>
                <w:color w:val="auto"/>
              </w:rPr>
              <w:t>(87.3)%</w:t>
            </w:r>
          </w:p>
        </w:tc>
        <w:tc>
          <w:tcPr>
            <w:tcW w:w="1220" w:type="dxa"/>
            <w:vAlign w:val="bottom"/>
            <w:vMerge w:val="restart"/>
          </w:tcPr>
          <w:p>
            <w:pPr>
              <w:jc w:val="right"/>
              <w:ind w:right="70"/>
              <w:spacing w:after="0"/>
              <w:rPr>
                <w:sz w:val="20"/>
                <w:szCs w:val="20"/>
                <w:color w:val="auto"/>
              </w:rPr>
            </w:pPr>
            <w:r>
              <w:rPr>
                <w:rFonts w:ascii="Arial" w:cs="Arial" w:eastAsia="Arial" w:hAnsi="Arial"/>
                <w:sz w:val="18"/>
                <w:szCs w:val="18"/>
                <w:color w:val="auto"/>
              </w:rPr>
              <w:t>9,296</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104.6 %</w:t>
            </w:r>
          </w:p>
        </w:tc>
        <w:tc>
          <w:tcPr>
            <w:tcW w:w="0" w:type="dxa"/>
            <w:vAlign w:val="bottom"/>
          </w:tcPr>
          <w:p>
            <w:pPr>
              <w:spacing w:after="0"/>
              <w:rPr>
                <w:sz w:val="1"/>
                <w:szCs w:val="1"/>
                <w:color w:val="auto"/>
              </w:rPr>
            </w:pPr>
          </w:p>
        </w:tc>
      </w:tr>
      <w:tr>
        <w:trPr>
          <w:trHeight w:val="243"/>
        </w:trPr>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and other, net</w:t>
            </w:r>
          </w:p>
        </w:tc>
        <w:tc>
          <w:tcPr>
            <w:tcW w:w="154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86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non-operating expense, net</w:t>
            </w:r>
          </w:p>
        </w:tc>
        <w:tc>
          <w:tcPr>
            <w:tcW w:w="1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(40,251)</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(24,056)</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67.3 %</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(24,509)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(3,082)</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795</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(487.7)%</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32,047</w:t>
            </w: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(349)</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698</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(150.0)%</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7,255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income</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(2,733)</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97</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(2917.4)%</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24,792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39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Earnings (loss) per common share:</w:t>
            </w: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(0.90)</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(0.35)</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156.5 %</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(0.90)</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(0.35)</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156.5 %</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acquired or disposed of certain properties in each of 2023, 2022 and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w:t>
      </w:r>
    </w:p>
    <w:p>
      <w:pPr>
        <w:spacing w:after="0" w:line="19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 xml:space="preserve">Revenue Comparison </w:t>
      </w:r>
      <w:r>
        <w:rPr>
          <w:rFonts w:ascii="Arial" w:cs="Arial" w:eastAsia="Arial" w:hAnsi="Arial"/>
          <w:sz w:val="18"/>
          <w:szCs w:val="18"/>
          <w:color w:val="auto"/>
        </w:rPr>
        <w:t>2023</w:t>
      </w:r>
      <w:r>
        <w:rPr>
          <w:rFonts w:ascii="Arial" w:cs="Arial" w:eastAsia="Arial" w:hAnsi="Arial"/>
          <w:sz w:val="18"/>
          <w:szCs w:val="18"/>
          <w:b w:val="1"/>
          <w:bCs w:val="1"/>
          <w:color w:val="auto"/>
        </w:rPr>
        <w:t>-</w:t>
      </w:r>
      <w:r>
        <w:rPr>
          <w:rFonts w:ascii="Arial" w:cs="Arial" w:eastAsia="Arial" w:hAnsi="Arial"/>
          <w:sz w:val="18"/>
          <w:szCs w:val="18"/>
          <w:color w:val="auto"/>
        </w:rPr>
        <w:t>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totaled $691.1 million in 2023, down $89.8 million, or 11.5%, compared to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Advertising and marketing services revenue totaled $319.0 million in 2023, down $47.5 million, or 12.9% compared to 2022.</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Print advertising revenues were $125.8 million in 2023, down $59.2 million, or 32.0% compared to 2022. The decline is due to the secular downward trend in print advertising.</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Digital advertising and marketing services revenue totaled $193.2 million in 2023, up 6.5% compared to 2022. Digital advertising and marketing services revenue represented 60.6% of 2023 total advertising and marketing services revenue compared to 49.5% in 2022. The increase in digital advertising is due to growth at Amplified, our full service digital marketing service. Revenue at Amplified increased 20.3% in 2023 totaling $91.2 million.</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Subscription revenue totaled $313.3 million in 2023, or down 11.4%, compared to 2022. The change in subscription revenue is due to decline in full access volume, consistent with historical and industry trends. The decrease was partially offset by growth in selective price increases on our full access subscriptions and in digital-only subscribers and digital-only revenue which were up 35.6% and 51.0%, respectively. As of September 2023, we had over 721,000 digital-only subscribers compared to 532,000 in 2022.</w:t>
      </w:r>
    </w:p>
    <w:p>
      <w:pPr>
        <w:spacing w:after="0" w:line="14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Other revenue, which primarily consist of digital services revenue from BLOX Digital and commercial printing revenue totaled $58.9 million, a 3.4% decrease compared to 2022. Digital services revenue totaled $19.4 million in 2023, a 7.8% increase compared to 2022. Commercial printing revenue totaled $20.1 million in 2023, a 6.2% decline from 2022.</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 at BLOX Digital, including intercompany revenue, totaled $ 35.0 million, an increase of 13.2%, due to increased market share and increases in average revenue per user due to additional value-added service offerings.</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digital revenue including digital advertising revenue, digital-only subscription revenue and digital services revenue totaled $273.2 million in 2023, a 14.1% increase over 2022, and represented 39.5% of our total operating revenue in 2023, compared to 30.7% in 2022.</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Comparison 2022-2021</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operating revenue totaled $ 781.0 million in 2022, down $13.7 million, or 1.7%, compared to 2021. Advertising and marketing services revenue totaled $366.4 million in 2022, down 0.8% compared to 2021. Print advertising revenues were $185.0 million in 2022, down $42.9 million, or 18.8% compared to 2021. The decline is due to the secular downward trend in print advertising.</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Digital advertising and marketing services revenue totaled $181.5 million in 2022, up 28.3% compared to 2021. Digital advertising and marketing services revenue represented 49.5% of 2022 total advertising and marketing services revenue compared to 38.3% in 2021. The increase in digital advertising is due to growth at Amplified, our full service digital marketing service. Revenue at Amplified increased 82.9% in 2022 totaling $75.8 million.</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Subscription revenue totaled $353.6 million in 2022, or down 1.1%, compared to 2021. The change in subscription revenue is due to decline in full access volume, consistent with historical and industry trends. The decrease was partially offset by growth in selective price increases on our full access subscriptions and in digital-only subscribers and digital-only revenue which were up 65% and 26%, respectively. As of September 2022, we had 532,000 digital-only subscribers compared to 402,000 in 2021.</w:t>
      </w:r>
    </w:p>
    <w:p>
      <w:pPr>
        <w:spacing w:after="0" w:line="13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Other revenue, which primarily consist of digital services revenue from BLOX Digital and commercial printing revenue totaled $60.9 million, a 10.0% decrease compared to 2021. Digital services revenue totaled $17.9 million in 2022, a 5.4% decrease compared to 2021. Commercial printing revenue totaled $21.5 million in 2022, a 14.4% decline from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 at BLOX Digital, including intercompany revenue, totaled $30,906,000, an increase of 13.6%, due to increased market share and increases in average revenue per user due to additional value-added service offerings.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digital revenue including digital advertising revenue, digital-only subscription revenue and digital services revenue totaled $239.5 million in 2022, a 27.0% increase over 2021, and represented 30.7% of our total operating revenue in 2022, compared to 23.7% in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 Comparison 2023-2022</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Total operating expenses were $660.5 million, a 13.3% decrease compared to 2022. Cash Costs (a non-GAAP financial measure discussed below) were $615.3 million, a 11.2% decrease compared to 2022.</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Compensation expense decreased $50.9 million in 2023, or a 16.0% decrease compared to 2022. The decrease is attributable to reductions in full time employees ("FTEs") due to continued business transformation efforts, partially offset by investments in digital talent.</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Newsprint and ink costs decreased $ 4.8 million in 2023, or a 15.8% decrease compared to 2022. This decrease was attributable to declines in newsprint volumes partially offset by higher newsprint prices. See Item 7A, “Commodities”, included herein, for further discussion and analysis of the impact of newsprint on our business.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operating expenses decreased $21.8 million in 2023, or a 6.3% decrease compared to 2022. Other operating expenses include all operating costs not considered to be compensation, newsprint and ink, depreciation and amortization, or restructuring costs and other. The largest components are costs associated with printing and distribution of our printed products, digital investments, digital cost of goods sold and facility expenses. The decrease is attributable to other print-related costs due to lower volumes of our print products partially offset by increases in investments to fund our digital growth strategy.</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costs and other totaled $12.7 million and $22.7 million in 2023 and 2022, respectively. Restructuring costs and other in 2023 are predominately severance. Restructuring costs and other in 2022 include severance costs, litigation expenses, restructuring expenses, and advisor expenses associated with the unsolicited offer in November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decreased $2.8 million, or 19.2%, in 2023. Amortization expense decreased $3.2 million, or 14.3%, in 2023.</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Assets loss (gain) on sales, impairments and other was a net loss of $1.9 million in 2023 compared to a net loss of $9.7 million in 2022. Impairment losses in 2023 totaled $7.7 million for mastheads. Impairment losses in 2022 totaled $ 13.5 million for mastheads, $7.8 million for leases, and $0.7 million for the disposal of a non-core business, respectively. Assets loss (gain) on sales are part the Company's ongoing real estate and non-core asset monetization. They totaled a net gain of $6.0 million in 2023 and a net gain of $12.3 million in 2022.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 Comparison 2022-2021</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operating expenses were $761.8 million, a 2.3% increase compared to 2021. Cash Costs were $692.8 million, a 1.0% increase compared to 2021.</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Compensation expense decreased $13.1 million in 2022, or a 4.0% decrease compared to 2021. The decrease is attributable to reductions in FTEs due to continued business transformation efforts, partially offset by investments in digital talent.</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Newsprint and ink costs increased $ 0.3 million in 2022, or a 1.1% increase compared to 2021. This increase was attributable to higher newsprint prices offset by a decline in newsprint volumes. See Item 7A, “Commodities”, included herein, for further discussion and analysis of the impact of newsprint on our business.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operating expenses increased $19.3 million in 2022, or a 5.9% increase compared to 2021. Other operating expenses include all operating costs not considered to be compensation, newsprint and ink, depreciation and amortization, or restructuring costs and other. The largest components are costs associated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printing and distribution of our printed products, digital investments, digital cost of goods sold and facility expenses. The increase is attributable to increases in investments to fund our digital growth strategy partially offset by lower delivery and other print-related costs due to lower volumes of our print products.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costs and other totaled $22.7 million and $ 7.2 million in 2022 and 2021, respectively. Restructuring costs and other in 2022 include severance costs, litigation expenses, restructuring expenses, and advisor expenses associated with the unsolicited offer in November 2021. Restructuring costs and other in 2021 are predominately severance.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decreased $3.6 million, or 20.1%, in 2022. Amortization expense decreased $2.7 million, or 10.8%, in 2022.</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Assets loss (gain) on sales, impairments and other was a net loss of $9.7 million in 2022 compared to a net loss of $8.2 million in 2021. Impairment losses in 2022 totaled $13.5 million for mastheads, $7.8 million for leases, and $0.7 million for the disposal of a non-core business, respectively. Impairment losses in 2021 totaled $1.0 million for mastheads. Assets loss (gain) on sales are part the Company's ongoing real estate and non-core asset monetization. They totaled a net gain of $12.3 million in 2022 and a net loss of $7.2 million in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Equity In Equity Investments</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Equity in earnings of TNI and MNI increased $0.9 million in 2023, or 15.4%, compared to 2022. Equity in earnings of TNI and MNI decreased $0.8 million in 2022 compared to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9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Non-operating Income and Expense Comparison 2023-2022</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decreased $ 0.3 million, or 0.7%, to $41.5 million in 2023 due to lower debt balances. Our weighted average cost of debt, excluding amortization of debt financing cost, was 9.0% in 2023 and 2022.</w:t>
      </w:r>
    </w:p>
    <w:p>
      <w:pPr>
        <w:spacing w:after="0" w:line="11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Included in other non-operating income and expense is income related to our defined benefit pension plans and other postemployment benefit plans, which totaled $1.2 million and $20.5 million in 2023 and 2022, respectively. We recognized pension withdrawal costs in 2023 and 2021 of $ 1.2 million and $12.9 million, respectively, in connection with the withdrawal from pension plans that covered certain employees. No withdrawal costs were recognized in 2022. The withdrawal liabilities will be paid over the next 20 years.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more fully discussed in Note 5 of the Notes to the Consolidated Financial Statements, included herein, we recorded a liability for the Warrants, issued in connection with the Warrant Agreement in previous years. We re-measured the liability to fair value each reporting period, with changes reported in other non-operating income (expenses). Due to the fluctuation in the price of our Common Stock and changes in interest rates, the estimated fair value of the warrant liability can change each period. We recorded non-operating income of $0.1 million and $0.3 million in 2022 and 2021 respectively, due to the change in fair value of the Warrants.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 Comparison 2022-2021</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decreased $ 3.0 million, or 6.7%, to $41.8 million in 2022 due to lower debt balances. Our weighted average cost of debt, excluding amortization of debt financing cost, was 9.0% in 2022 and 2021.</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other non-operating income and expense is income related to our defined benefit pension plans and other postemployment benefit plans, which totaled $20.5 million and $33.3 million in 2022 and 2021, respectively. We recognized a non-cash curtailment gain of $23.8 million and a reduction in our benefit obligation in 2021 by eliminating postretirement medical coverage for certain employees. We recognized pension withdrawal costs in 2021 of $12.9 million in connection with the withdrawal from pension plans that covered certain employees. The withdrawal liabilities will be paid over the next 20 years.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2022 we notified certain participants in our defined benefit plans of changes to be made to the plans. The Company froze future benefits for four of the defined benefit plans. The freeze of future benefits resulted in a non-cash curtailment gain of $1.0 million related to the four plans. In connection with the freeze, the Company provided certain plan enhancements that resulted in an increase to our net pension liability and a decrease to Accumulated Other Comprehensive income of $6.1 million. Additionally, the Company merged the six frozen plans into one defined benefit plan effective in the second quarter of fiscal 2022.</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September of 2022, the Company, as sponsor of the Lee Enterprises Incorporated Pension Plan (the "Plan") executed an agreement pursuant to which the Plan used a portion of its assets to purchase annuities from an insurance company (the "Insurer") and thereby assumed $85.6 million of the Plan's liabilities in exchange for $81.4 million of Plan assets. The non-cash settlement gain of $4.2 million is recorded in Pension and OPEB related benefit (cost) and other, net.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more fully discussed in Note 5 of the Notes to the Consolidated Financial Statements, included herein, we recorded a liability for the Warrants, issued in connection with the Warrant Agreement in previous years. We re-measured the liability to fair value each reporting period, with changes reported in other non-operating income (expenses). Due to the fluctuation in the price of our Common Stock and changes in interest rates, the estimated fair value of the warrant liability can change each period. We recorded non-operating income of $0.1 million and $0.3 million in 2022 and 2021 respectively, due to the change in fair value of the Warrants.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2023, we recorded income tax benefit of $0.3 million, or 11.3% of pretax loss and in 2022, we recorded an income tax expense of $0.7 million, or 87.8% of pretax income. In 2021, we recorded an income tax expense of $7.3 million, or 22.6% of pre-tax income. See Note 12 of the Notes to the Consolidated Financial Statements, included herein, for a discussion of the difference between the expected federal income tax rate and the actual tax rates.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Net loss was $2.7 million in 2023 compared to net income of $0.1 million in 2022. In 2021, net income was $24.8 million.</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Losses per share was $0.90 per share in 2023 compared to losses per share of $0.35 per share in 2022. In 2021, diluted earnings per share were $3.90 per share.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8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and other, restructuring costs and other, stock compensation and our 50% share of EBITDA from TNI and MNI, minus equity in earnings of TNI and MNI.</w:t>
      </w:r>
    </w:p>
    <w:p>
      <w:pPr>
        <w:spacing w:after="0" w:line="12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w:t>
      </w:r>
      <w:r>
        <w:rPr>
          <w:rFonts w:ascii="Arial" w:cs="Arial" w:eastAsia="Arial" w:hAnsi="Arial"/>
          <w:sz w:val="18"/>
          <w:szCs w:val="18"/>
          <w:i w:val="1"/>
          <w:iCs w:val="1"/>
          <w:color w:val="auto"/>
        </w:rPr>
        <w:t xml:space="preserve"> </w:t>
      </w:r>
      <w:r>
        <w:rPr>
          <w:rFonts w:ascii="Arial" w:cs="Arial" w:eastAsia="Arial" w:hAnsi="Arial"/>
          <w:sz w:val="18"/>
          <w:szCs w:val="18"/>
          <w:color w:val="auto"/>
        </w:rPr>
        <w:t>and settled in cash. This measure is useful to investors in understanding the components of the Company’s cash-settled operating costs. Cash Costs can be used by financial statement users to assess the Company's ability to manage and control its operating structure. Cash Costs are defined as compensation, newsprint and ink and other operating expenses. Depreciation and amortization, assets loss (gain) on sales, impairments and other, restructuring costs and other non-cash operating expenses and other non-operating expenses are excluded.</w:t>
      </w:r>
    </w:p>
    <w:p>
      <w:pPr>
        <w:spacing w:after="0" w:line="14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Tables reconciling Adjusted EBITDA to net income and Cash Costs to operating expenses, the most directly comparable measure under GAAP, are set forth below under the caption "Reconciliation of Non-GAAP Financial Measures".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4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7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0"/>
        </w:trPr>
        <w:tc>
          <w:tcPr>
            <w:tcW w:w="57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4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(2,733)</w:t>
            </w:r>
          </w:p>
        </w:tc>
        <w:tc>
          <w:tcPr>
            <w:tcW w:w="1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97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24,792</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Adjusted to exclude</w:t>
            </w:r>
          </w:p>
        </w:tc>
        <w:tc>
          <w:tcPr>
            <w:tcW w:w="2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 expense</w:t>
            </w:r>
          </w:p>
        </w:tc>
        <w:tc>
          <w:tcPr>
            <w:tcW w:w="24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(349)</w:t>
            </w:r>
          </w:p>
        </w:tc>
        <w:tc>
          <w:tcPr>
            <w:tcW w:w="1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698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w:t>
            </w:r>
          </w:p>
        </w:tc>
      </w:tr>
      <w:tr>
        <w:trPr>
          <w:trHeight w:val="230"/>
        </w:trPr>
        <w:tc>
          <w:tcPr>
            <w:tcW w:w="5760" w:type="dxa"/>
            <w:vAlign w:val="bottom"/>
          </w:tcPr>
          <w:p>
            <w:pPr>
              <w:ind w:left="140"/>
              <w:spacing w:after="0"/>
              <w:rPr>
                <w:sz w:val="20"/>
                <w:szCs w:val="20"/>
                <w:color w:val="auto"/>
              </w:rPr>
            </w:pPr>
            <w:r>
              <w:rPr>
                <w:rFonts w:ascii="Arial" w:cs="Arial" w:eastAsia="Arial" w:hAnsi="Arial"/>
                <w:sz w:val="18"/>
                <w:szCs w:val="18"/>
                <w:color w:val="auto"/>
              </w:rPr>
              <w:t>Non-operating expenses, net</w:t>
            </w:r>
          </w:p>
        </w:tc>
        <w:tc>
          <w:tcPr>
            <w:tcW w:w="2460" w:type="dxa"/>
            <w:vAlign w:val="bottom"/>
          </w:tcPr>
          <w:p>
            <w:pPr>
              <w:jc w:val="right"/>
              <w:ind w:right="550"/>
              <w:spacing w:after="0"/>
              <w:rPr>
                <w:sz w:val="20"/>
                <w:szCs w:val="20"/>
                <w:color w:val="auto"/>
              </w:rPr>
            </w:pPr>
            <w:r>
              <w:rPr>
                <w:rFonts w:ascii="Arial" w:cs="Arial" w:eastAsia="Arial" w:hAnsi="Arial"/>
                <w:sz w:val="18"/>
                <w:szCs w:val="18"/>
                <w:color w:val="auto"/>
              </w:rPr>
              <w:t>40,251</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24,056</w:t>
            </w:r>
          </w:p>
        </w:tc>
        <w:tc>
          <w:tcPr>
            <w:tcW w:w="1260" w:type="dxa"/>
            <w:vAlign w:val="bottom"/>
          </w:tcPr>
          <w:p>
            <w:pPr>
              <w:jc w:val="right"/>
              <w:spacing w:after="0"/>
              <w:rPr>
                <w:sz w:val="20"/>
                <w:szCs w:val="20"/>
                <w:color w:val="auto"/>
              </w:rPr>
            </w:pPr>
            <w:r>
              <w:rPr>
                <w:rFonts w:ascii="Arial" w:cs="Arial" w:eastAsia="Arial" w:hAnsi="Arial"/>
                <w:sz w:val="18"/>
                <w:szCs w:val="18"/>
                <w:color w:val="auto"/>
              </w:rPr>
              <w:t>24,509</w:t>
            </w:r>
          </w:p>
        </w:tc>
      </w:tr>
      <w:tr>
        <w:trPr>
          <w:trHeight w:val="229"/>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TNI and MNI</w:t>
            </w:r>
          </w:p>
        </w:tc>
        <w:tc>
          <w:tcPr>
            <w:tcW w:w="24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(6,527)</w:t>
            </w:r>
          </w:p>
        </w:tc>
        <w:tc>
          <w:tcPr>
            <w:tcW w:w="1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(5,657)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r>
      <w:tr>
        <w:trPr>
          <w:trHeight w:val="230"/>
        </w:trPr>
        <w:tc>
          <w:tcPr>
            <w:tcW w:w="5760" w:type="dxa"/>
            <w:vAlign w:val="bottom"/>
          </w:tcPr>
          <w:p>
            <w:pPr>
              <w:ind w:left="140"/>
              <w:spacing w:after="0"/>
              <w:rPr>
                <w:sz w:val="20"/>
                <w:szCs w:val="20"/>
                <w:color w:val="auto"/>
              </w:rPr>
            </w:pPr>
            <w:r>
              <w:rPr>
                <w:rFonts w:ascii="Arial" w:cs="Arial" w:eastAsia="Arial" w:hAnsi="Arial"/>
                <w:sz w:val="18"/>
                <w:szCs w:val="18"/>
                <w:color w:val="auto"/>
              </w:rPr>
              <w:t>Assets loss (gain) on sales, impairments and other, net</w:t>
            </w:r>
          </w:p>
        </w:tc>
        <w:tc>
          <w:tcPr>
            <w:tcW w:w="2460" w:type="dxa"/>
            <w:vAlign w:val="bottom"/>
          </w:tcPr>
          <w:p>
            <w:pPr>
              <w:jc w:val="right"/>
              <w:ind w:right="550"/>
              <w:spacing w:after="0"/>
              <w:rPr>
                <w:sz w:val="20"/>
                <w:szCs w:val="20"/>
                <w:color w:val="auto"/>
              </w:rPr>
            </w:pPr>
            <w:r>
              <w:rPr>
                <w:rFonts w:ascii="Arial" w:cs="Arial" w:eastAsia="Arial" w:hAnsi="Arial"/>
                <w:sz w:val="18"/>
                <w:szCs w:val="18"/>
                <w:color w:val="auto"/>
              </w:rPr>
              <w:t>1,882</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9,716</w:t>
            </w:r>
          </w:p>
        </w:tc>
        <w:tc>
          <w:tcPr>
            <w:tcW w:w="1260" w:type="dxa"/>
            <w:vAlign w:val="bottom"/>
          </w:tcPr>
          <w:p>
            <w:pPr>
              <w:jc w:val="right"/>
              <w:spacing w:after="0"/>
              <w:rPr>
                <w:sz w:val="20"/>
                <w:szCs w:val="20"/>
                <w:color w:val="auto"/>
              </w:rPr>
            </w:pPr>
            <w:r>
              <w:rPr>
                <w:rFonts w:ascii="Arial" w:cs="Arial" w:eastAsia="Arial" w:hAnsi="Arial"/>
                <w:sz w:val="18"/>
                <w:szCs w:val="18"/>
                <w:color w:val="auto"/>
              </w:rPr>
              <w:t>8,214</w:t>
            </w:r>
          </w:p>
        </w:tc>
      </w:tr>
      <w:tr>
        <w:trPr>
          <w:trHeight w:val="230"/>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30,621</w:t>
            </w:r>
          </w:p>
        </w:tc>
        <w:tc>
          <w:tcPr>
            <w:tcW w:w="1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36,544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42,841</w:t>
            </w:r>
          </w:p>
        </w:tc>
      </w:tr>
      <w:tr>
        <w:trPr>
          <w:trHeight w:val="229"/>
        </w:trPr>
        <w:tc>
          <w:tcPr>
            <w:tcW w:w="5760" w:type="dxa"/>
            <w:vAlign w:val="bottom"/>
          </w:tcPr>
          <w:p>
            <w:pPr>
              <w:ind w:left="140"/>
              <w:spacing w:after="0"/>
              <w:rPr>
                <w:sz w:val="20"/>
                <w:szCs w:val="20"/>
                <w:color w:val="auto"/>
              </w:rPr>
            </w:pPr>
            <w:r>
              <w:rPr>
                <w:rFonts w:ascii="Arial" w:cs="Arial" w:eastAsia="Arial" w:hAnsi="Arial"/>
                <w:sz w:val="18"/>
                <w:szCs w:val="18"/>
                <w:color w:val="auto"/>
              </w:rPr>
              <w:t>Restructuring costs and other</w:t>
            </w:r>
          </w:p>
        </w:tc>
        <w:tc>
          <w:tcPr>
            <w:tcW w:w="2460" w:type="dxa"/>
            <w:vAlign w:val="bottom"/>
          </w:tcPr>
          <w:p>
            <w:pPr>
              <w:jc w:val="right"/>
              <w:ind w:right="550"/>
              <w:spacing w:after="0"/>
              <w:rPr>
                <w:sz w:val="20"/>
                <w:szCs w:val="20"/>
                <w:color w:val="auto"/>
              </w:rPr>
            </w:pPr>
            <w:r>
              <w:rPr>
                <w:rFonts w:ascii="Arial" w:cs="Arial" w:eastAsia="Arial" w:hAnsi="Arial"/>
                <w:sz w:val="18"/>
                <w:szCs w:val="18"/>
                <w:color w:val="auto"/>
              </w:rPr>
              <w:t>12,673</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22,720</w:t>
            </w:r>
          </w:p>
        </w:tc>
        <w:tc>
          <w:tcPr>
            <w:tcW w:w="1260" w:type="dxa"/>
            <w:vAlign w:val="bottom"/>
          </w:tcPr>
          <w:p>
            <w:pPr>
              <w:jc w:val="right"/>
              <w:spacing w:after="0"/>
              <w:rPr>
                <w:sz w:val="20"/>
                <w:szCs w:val="20"/>
                <w:color w:val="auto"/>
              </w:rPr>
            </w:pPr>
            <w:r>
              <w:rPr>
                <w:rFonts w:ascii="Arial" w:cs="Arial" w:eastAsia="Arial" w:hAnsi="Arial"/>
                <w:sz w:val="18"/>
                <w:szCs w:val="18"/>
                <w:color w:val="auto"/>
              </w:rPr>
              <w:t>7,182</w:t>
            </w:r>
          </w:p>
        </w:tc>
      </w:tr>
      <w:tr>
        <w:trPr>
          <w:trHeight w:val="230"/>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2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1,806</w:t>
            </w:r>
          </w:p>
        </w:tc>
        <w:tc>
          <w:tcPr>
            <w:tcW w:w="1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1,337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Add:</w:t>
            </w:r>
          </w:p>
        </w:tc>
        <w:tc>
          <w:tcPr>
            <w:tcW w:w="2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Ownership share of TNI and MNI EBITDA (50%)</w:t>
            </w:r>
          </w:p>
        </w:tc>
        <w:tc>
          <w:tcPr>
            <w:tcW w:w="24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7,604</w:t>
            </w:r>
          </w:p>
        </w:tc>
        <w:tc>
          <w:tcPr>
            <w:tcW w:w="17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6,541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7,317</w:t>
            </w: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w:t>
            </w:r>
          </w:p>
        </w:tc>
        <w:tc>
          <w:tcPr>
            <w:tcW w:w="2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85,228</w:t>
            </w:r>
          </w:p>
        </w:tc>
        <w:tc>
          <w:tcPr>
            <w:tcW w:w="17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96,052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116,552</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reconciles the non-GAAP financial performance measure of Cash Costs to Operating expenses, the most directly comparable GAAP measure: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7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0"/>
        </w:trPr>
        <w:tc>
          <w:tcPr>
            <w:tcW w:w="57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660,496</w:t>
            </w:r>
          </w:p>
        </w:tc>
        <w:tc>
          <w:tcPr>
            <w:tcW w:w="1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761,775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744,505</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30,621</w:t>
            </w:r>
          </w:p>
        </w:tc>
        <w:tc>
          <w:tcPr>
            <w:tcW w:w="1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36,544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42,841</w:t>
            </w: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Assets (gain) loss on sales, impairments and other, net</w:t>
            </w:r>
          </w:p>
        </w:tc>
        <w:tc>
          <w:tcPr>
            <w:tcW w:w="2460" w:type="dxa"/>
            <w:vAlign w:val="bottom"/>
          </w:tcPr>
          <w:p>
            <w:pPr>
              <w:jc w:val="right"/>
              <w:ind w:right="510"/>
              <w:spacing w:after="0"/>
              <w:rPr>
                <w:sz w:val="20"/>
                <w:szCs w:val="20"/>
                <w:color w:val="auto"/>
              </w:rPr>
            </w:pPr>
            <w:r>
              <w:rPr>
                <w:rFonts w:ascii="Arial" w:cs="Arial" w:eastAsia="Arial" w:hAnsi="Arial"/>
                <w:sz w:val="18"/>
                <w:szCs w:val="18"/>
                <w:color w:val="auto"/>
              </w:rPr>
              <w:t>1,882</w:t>
            </w:r>
          </w:p>
        </w:tc>
        <w:tc>
          <w:tcPr>
            <w:tcW w:w="1780" w:type="dxa"/>
            <w:vAlign w:val="bottom"/>
          </w:tcPr>
          <w:p>
            <w:pPr>
              <w:jc w:val="right"/>
              <w:ind w:right="510"/>
              <w:spacing w:after="0"/>
              <w:rPr>
                <w:sz w:val="20"/>
                <w:szCs w:val="20"/>
                <w:color w:val="auto"/>
              </w:rPr>
            </w:pPr>
            <w:r>
              <w:rPr>
                <w:rFonts w:ascii="Arial" w:cs="Arial" w:eastAsia="Arial" w:hAnsi="Arial"/>
                <w:sz w:val="18"/>
                <w:szCs w:val="18"/>
                <w:color w:val="auto"/>
              </w:rPr>
              <w:t>9,716</w:t>
            </w:r>
          </w:p>
        </w:tc>
        <w:tc>
          <w:tcPr>
            <w:tcW w:w="1280" w:type="dxa"/>
            <w:vAlign w:val="bottom"/>
          </w:tcPr>
          <w:p>
            <w:pPr>
              <w:jc w:val="right"/>
              <w:spacing w:after="0"/>
              <w:rPr>
                <w:sz w:val="20"/>
                <w:szCs w:val="20"/>
                <w:color w:val="auto"/>
              </w:rPr>
            </w:pPr>
            <w:r>
              <w:rPr>
                <w:rFonts w:ascii="Arial" w:cs="Arial" w:eastAsia="Arial" w:hAnsi="Arial"/>
                <w:sz w:val="18"/>
                <w:szCs w:val="18"/>
                <w:color w:val="auto"/>
              </w:rPr>
              <w:t>8,214</w:t>
            </w:r>
          </w:p>
        </w:tc>
      </w:tr>
      <w:tr>
        <w:trPr>
          <w:trHeight w:val="230"/>
        </w:trPr>
        <w:tc>
          <w:tcPr>
            <w:tcW w:w="5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24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12,673</w:t>
            </w:r>
          </w:p>
        </w:tc>
        <w:tc>
          <w:tcPr>
            <w:tcW w:w="17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22,720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7,182</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Costs</w:t>
            </w:r>
          </w:p>
        </w:tc>
        <w:tc>
          <w:tcPr>
            <w:tcW w:w="2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615,320</w:t>
            </w:r>
          </w:p>
        </w:tc>
        <w:tc>
          <w:tcPr>
            <w:tcW w:w="17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692,795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686,268</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operations have historically generated positive cash flow, and are expected to continue providing sufficient liquidity, together with cash on hand, to meet our future cash requirements, which primarily relate to operating expenses, interest expense and capital expenditures. A summary of our cash flows is included in the narrative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required for operating activities totaled $2.5 million in 2023 compared to cash provided by operating activities of $ 3.4 million in 2022, a decrease of $6.0 million. The decrease was primarily driven by a decrease in operating results of $18.2 million (defined as net income (loss) adjusted for non-working capital items) and partially offset by an increase in cash from working capital of $12.3 million, primarily related to favorable changes in accounts receivable and inventories, offset by unfavorable changes in unearned revenue, accrued interest, and pension and postretirement obligations.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provided by operating activities totaled $3.4 million in 2022 compared to $50.1 million in 2021, a decrease of $46.6 million. The decrease was primarily driven by a decrease in operating results of $25.4 million (defined as net income (loss) adjusted for non-working capital items) and a decrease in cash from working capital of $ 21.2 million, primarily related to unfavorable changes in accounts receivable and income taxes payable, partially offset by favorable changes in accounts payable and pension and postretirement obligations.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Cash provided by investing activities totaled $8.0 million in 2023 and $6.3 million in 2022. Capital spending totaled $5.1 million and $7.5 million in 2023 and 2022, respectively. Proceeds from sales of assets totaled $12.0 million and $14.8 million in 2023 and 2022, respectively.</w:t>
      </w:r>
    </w:p>
    <w:p>
      <w:pPr>
        <w:spacing w:after="0" w:line="35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Cash provided by investing activities totaled $6.3 million in 2022 and cash required for investing activities totaled $2.3 million in 2021. Capital spending totaled $7.5 million in 2022 and 2021, respectively. Proceeds from sales of assets totaled $14.8 million and $4.6 million in 2022 and 2021, respectively.</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anticipate that funds necessary for capital expenditures, which are expected to be $10.0 million in 2024, and other requirements, will be available from internally generated funds.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required for financing activities totaled $7.1 million in 2023 and $19.7 million in 2022 and $55.4 million in 2021. Debt reduction accounted for the majority of the usage of funds in 2023, 2022 and 2021, respectively.</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Excluding payments required from the Company's future excess cash flow (as defined in Note 5), the only required principal payments include payments from net cash proceeds from asset sales (as defined in the Credit Agreement) and payments upon certain instances of change in control. Current maturities of long-term debt are from excess cash flows. There are no other scheduled mandatory principal payments required under the Credit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liquidity, consisting of cash on the balance sheet, totaled $ 14.5 million at September 24, 2023. This liquidity amount excludes any future cash flows from operations. We expect all interest and principal payments due in the next twelve months will be satisfied by existing cash and our cash flows, which will allow us to maintain an adequate level of liquidity.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At September 24, 2023, the principal amount of our outstanding debt totals $455.7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2020 Refinancing as defined in Note 5, significantly extended our debt maturity profile with final maturity of our debt in 2045.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largest source of advertising and marketing services revenue, retail advertising, is seasonal and tends to fluctuate with retail sales in markets served. Historically, retail advertising is higher in the December and June quarters. Advertising and marketing services revenue is lowest in the March quarter.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Price increases (or decreases) for our products are implemented when deemed appropriate by us. We continuously evaluate price increases, productivity improvements, sourcing efficiencies and other cost reductions to mitigate the impact of inflation.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contractual obligations at September 24,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02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spacing w:after="0"/>
              <w:rPr>
                <w:sz w:val="21"/>
                <w:szCs w:val="21"/>
                <w:color w:val="auto"/>
              </w:rPr>
            </w:pPr>
          </w:p>
        </w:tc>
        <w:tc>
          <w:tcPr>
            <w:tcW w:w="4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i w:val="1"/>
                <w:iCs w:val="1"/>
                <w:color w:val="auto"/>
              </w:rPr>
              <w:t>Payments (or Commitments) Due (Years)</w:t>
            </w:r>
          </w:p>
        </w:tc>
        <w:tc>
          <w:tcPr>
            <w:tcW w:w="0" w:type="dxa"/>
            <w:vAlign w:val="bottom"/>
          </w:tcPr>
          <w:p>
            <w:pPr>
              <w:spacing w:after="0"/>
              <w:rPr>
                <w:sz w:val="1"/>
                <w:szCs w:val="1"/>
                <w:color w:val="auto"/>
              </w:rPr>
            </w:pPr>
          </w:p>
        </w:tc>
      </w:tr>
      <w:tr>
        <w:trPr>
          <w:trHeight w:val="177"/>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Nature of Obligation</w:t>
            </w:r>
          </w:p>
        </w:tc>
        <w:tc>
          <w:tcPr>
            <w:tcW w:w="2020" w:type="dxa"/>
            <w:vAlign w:val="bottom"/>
            <w:vMerge w:val="restart"/>
          </w:tcPr>
          <w:p>
            <w:pPr>
              <w:jc w:val="right"/>
              <w:ind w:right="390"/>
              <w:spacing w:after="0"/>
              <w:rPr>
                <w:sz w:val="20"/>
                <w:szCs w:val="20"/>
                <w:color w:val="auto"/>
              </w:rPr>
            </w:pPr>
            <w:r>
              <w:rPr>
                <w:rFonts w:ascii="Arial" w:cs="Arial" w:eastAsia="Arial" w:hAnsi="Arial"/>
                <w:sz w:val="18"/>
                <w:szCs w:val="18"/>
                <w:color w:val="auto"/>
              </w:rPr>
              <w:t>Total</w:t>
            </w:r>
          </w:p>
        </w:tc>
        <w:tc>
          <w:tcPr>
            <w:tcW w:w="1520" w:type="dxa"/>
            <w:vAlign w:val="bottom"/>
          </w:tcPr>
          <w:p>
            <w:pPr>
              <w:jc w:val="right"/>
              <w:ind w:right="330"/>
              <w:spacing w:after="0" w:line="177" w:lineRule="exact"/>
              <w:rPr>
                <w:sz w:val="20"/>
                <w:szCs w:val="20"/>
                <w:color w:val="auto"/>
              </w:rPr>
            </w:pPr>
            <w:r>
              <w:rPr>
                <w:rFonts w:ascii="Arial" w:cs="Arial" w:eastAsia="Arial" w:hAnsi="Arial"/>
                <w:sz w:val="18"/>
                <w:szCs w:val="18"/>
                <w:color w:val="auto"/>
              </w:rPr>
              <w:t>Less</w:t>
            </w:r>
          </w:p>
        </w:tc>
        <w:tc>
          <w:tcPr>
            <w:tcW w:w="1560" w:type="dxa"/>
            <w:vAlign w:val="bottom"/>
            <w:vMerge w:val="restart"/>
          </w:tcPr>
          <w:p>
            <w:pPr>
              <w:jc w:val="right"/>
              <w:ind w:right="330"/>
              <w:spacing w:after="0"/>
              <w:rPr>
                <w:sz w:val="20"/>
                <w:szCs w:val="20"/>
                <w:color w:val="auto"/>
              </w:rPr>
            </w:pPr>
            <w:r>
              <w:rPr>
                <w:rFonts w:ascii="Arial" w:cs="Arial" w:eastAsia="Arial" w:hAnsi="Arial"/>
                <w:sz w:val="18"/>
                <w:szCs w:val="18"/>
                <w:color w:val="auto"/>
              </w:rPr>
              <w:t>1-3</w:t>
            </w:r>
          </w:p>
        </w:tc>
        <w:tc>
          <w:tcPr>
            <w:tcW w:w="1500" w:type="dxa"/>
            <w:vAlign w:val="bottom"/>
            <w:vMerge w:val="restart"/>
          </w:tcPr>
          <w:p>
            <w:pPr>
              <w:jc w:val="right"/>
              <w:ind w:right="270"/>
              <w:spacing w:after="0"/>
              <w:rPr>
                <w:sz w:val="20"/>
                <w:szCs w:val="20"/>
                <w:color w:val="auto"/>
              </w:rPr>
            </w:pPr>
            <w:r>
              <w:rPr>
                <w:rFonts w:ascii="Arial" w:cs="Arial" w:eastAsia="Arial" w:hAnsi="Arial"/>
                <w:sz w:val="18"/>
                <w:szCs w:val="18"/>
                <w:color w:val="auto"/>
              </w:rPr>
              <w:t>3-5</w:t>
            </w:r>
          </w:p>
        </w:tc>
        <w:tc>
          <w:tcPr>
            <w:tcW w:w="1240" w:type="dxa"/>
            <w:vAlign w:val="bottom"/>
          </w:tcPr>
          <w:p>
            <w:pPr>
              <w:jc w:val="right"/>
              <w:spacing w:after="0" w:line="177" w:lineRule="exact"/>
              <w:rPr>
                <w:sz w:val="20"/>
                <w:szCs w:val="20"/>
                <w:color w:val="auto"/>
              </w:rPr>
            </w:pPr>
            <w:r>
              <w:rPr>
                <w:rFonts w:ascii="Arial" w:cs="Arial" w:eastAsia="Arial" w:hAnsi="Arial"/>
                <w:sz w:val="18"/>
                <w:szCs w:val="18"/>
                <w:color w:val="auto"/>
              </w:rPr>
              <w:t>More</w:t>
            </w:r>
          </w:p>
        </w:tc>
        <w:tc>
          <w:tcPr>
            <w:tcW w:w="0" w:type="dxa"/>
            <w:vAlign w:val="bottom"/>
          </w:tcPr>
          <w:p>
            <w:pPr>
              <w:spacing w:after="0"/>
              <w:rPr>
                <w:sz w:val="1"/>
                <w:szCs w:val="1"/>
                <w:color w:val="auto"/>
              </w:rPr>
            </w:pPr>
          </w:p>
        </w:tc>
      </w:tr>
      <w:tr>
        <w:trPr>
          <w:trHeight w:val="235"/>
        </w:trPr>
        <w:tc>
          <w:tcPr>
            <w:tcW w:w="3400" w:type="dxa"/>
            <w:vAlign w:val="bottom"/>
            <w:tcBorders>
              <w:bottom w:val="single" w:sz="8" w:color="auto"/>
            </w:tcBorders>
            <w:vMerge w:val="continue"/>
          </w:tcPr>
          <w:p>
            <w:pPr>
              <w:spacing w:after="0"/>
              <w:rPr>
                <w:sz w:val="20"/>
                <w:szCs w:val="20"/>
                <w:color w:val="auto"/>
              </w:rPr>
            </w:pPr>
          </w:p>
        </w:tc>
        <w:tc>
          <w:tcPr>
            <w:tcW w:w="2020" w:type="dxa"/>
            <w:vAlign w:val="bottom"/>
            <w:tcBorders>
              <w:bottom w:val="single" w:sz="8" w:color="auto"/>
            </w:tcBorders>
            <w:vMerge w:val="continue"/>
          </w:tcPr>
          <w:p>
            <w:pPr>
              <w:spacing w:after="0"/>
              <w:rPr>
                <w:sz w:val="20"/>
                <w:szCs w:val="20"/>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Than 1</w:t>
            </w:r>
          </w:p>
        </w:tc>
        <w:tc>
          <w:tcPr>
            <w:tcW w:w="1560" w:type="dxa"/>
            <w:vAlign w:val="bottom"/>
            <w:tcBorders>
              <w:bottom w:val="single" w:sz="8" w:color="auto"/>
            </w:tcBorders>
            <w:vMerge w:val="continue"/>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Than 5</w:t>
            </w: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i w:val="1"/>
                <w:iCs w:val="1"/>
                <w:color w:val="auto"/>
              </w:rPr>
              <w:t xml:space="preserve">Debt (Principal Amount) </w:t>
            </w:r>
            <w:r>
              <w:rPr>
                <w:rFonts w:ascii="Arial" w:cs="Arial" w:eastAsia="Arial" w:hAnsi="Arial"/>
                <w:sz w:val="23"/>
                <w:szCs w:val="23"/>
                <w:i w:val="1"/>
                <w:iCs w:val="1"/>
                <w:color w:val="auto"/>
                <w:vertAlign w:val="superscript"/>
              </w:rPr>
              <w:t>(1)</w:t>
            </w:r>
          </w:p>
        </w:tc>
        <w:tc>
          <w:tcPr>
            <w:tcW w:w="20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455,741</w:t>
            </w:r>
          </w:p>
        </w:tc>
        <w:tc>
          <w:tcPr>
            <w:tcW w:w="15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455,741</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(2)</w:t>
            </w:r>
          </w:p>
        </w:tc>
        <w:tc>
          <w:tcPr>
            <w:tcW w:w="2020" w:type="dxa"/>
            <w:vAlign w:val="bottom"/>
          </w:tcPr>
          <w:p>
            <w:pPr>
              <w:jc w:val="right"/>
              <w:ind w:right="450"/>
              <w:spacing w:after="0"/>
              <w:rPr>
                <w:sz w:val="20"/>
                <w:szCs w:val="20"/>
                <w:color w:val="auto"/>
              </w:rPr>
            </w:pPr>
            <w:r>
              <w:rPr>
                <w:rFonts w:ascii="Arial" w:cs="Arial" w:eastAsia="Arial" w:hAnsi="Arial"/>
                <w:sz w:val="18"/>
                <w:szCs w:val="18"/>
                <w:color w:val="auto"/>
              </w:rPr>
              <w:t>881,859</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41,017</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123,050</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123,050</w:t>
            </w:r>
          </w:p>
        </w:tc>
        <w:tc>
          <w:tcPr>
            <w:tcW w:w="1240" w:type="dxa"/>
            <w:vAlign w:val="bottom"/>
          </w:tcPr>
          <w:p>
            <w:pPr>
              <w:jc w:val="right"/>
              <w:spacing w:after="0"/>
              <w:rPr>
                <w:sz w:val="20"/>
                <w:szCs w:val="20"/>
                <w:color w:val="auto"/>
              </w:rPr>
            </w:pPr>
            <w:r>
              <w:rPr>
                <w:rFonts w:ascii="Arial" w:cs="Arial" w:eastAsia="Arial" w:hAnsi="Arial"/>
                <w:sz w:val="18"/>
                <w:szCs w:val="18"/>
                <w:color w:val="auto"/>
              </w:rPr>
              <w:t>594,742</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0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57,142</w:t>
            </w:r>
          </w:p>
        </w:tc>
        <w:tc>
          <w:tcPr>
            <w:tcW w:w="15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12,179</w:t>
            </w:r>
          </w:p>
        </w:tc>
        <w:tc>
          <w:tcPr>
            <w:tcW w:w="15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20,329</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14,025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10,609</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Withdrawal liabilities</w:t>
            </w:r>
          </w:p>
        </w:tc>
        <w:tc>
          <w:tcPr>
            <w:tcW w:w="2020" w:type="dxa"/>
            <w:vAlign w:val="bottom"/>
          </w:tcPr>
          <w:p>
            <w:pPr>
              <w:jc w:val="right"/>
              <w:ind w:right="450"/>
              <w:spacing w:after="0"/>
              <w:rPr>
                <w:sz w:val="20"/>
                <w:szCs w:val="20"/>
                <w:color w:val="auto"/>
              </w:rPr>
            </w:pPr>
            <w:r>
              <w:rPr>
                <w:rFonts w:ascii="Arial" w:cs="Arial" w:eastAsia="Arial" w:hAnsi="Arial"/>
                <w:sz w:val="18"/>
                <w:szCs w:val="18"/>
                <w:color w:val="auto"/>
              </w:rPr>
              <w:t>27,305</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1,564</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3,127</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3,127</w:t>
            </w:r>
          </w:p>
        </w:tc>
        <w:tc>
          <w:tcPr>
            <w:tcW w:w="1240" w:type="dxa"/>
            <w:vAlign w:val="bottom"/>
          </w:tcPr>
          <w:p>
            <w:pPr>
              <w:jc w:val="right"/>
              <w:spacing w:after="0"/>
              <w:rPr>
                <w:sz w:val="20"/>
                <w:szCs w:val="20"/>
                <w:color w:val="auto"/>
              </w:rPr>
            </w:pPr>
            <w:r>
              <w:rPr>
                <w:rFonts w:ascii="Arial" w:cs="Arial" w:eastAsia="Arial" w:hAnsi="Arial"/>
                <w:sz w:val="18"/>
                <w:szCs w:val="18"/>
                <w:color w:val="auto"/>
              </w:rPr>
              <w:t>19,487</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expenditure commitments</w:t>
            </w:r>
          </w:p>
        </w:tc>
        <w:tc>
          <w:tcPr>
            <w:tcW w:w="20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3,707</w:t>
            </w:r>
          </w:p>
        </w:tc>
        <w:tc>
          <w:tcPr>
            <w:tcW w:w="15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3,707</w:t>
            </w:r>
          </w:p>
        </w:tc>
        <w:tc>
          <w:tcPr>
            <w:tcW w:w="15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1,425,754</w:t>
            </w: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58,467</w:t>
            </w:r>
          </w:p>
        </w:tc>
        <w:tc>
          <w:tcPr>
            <w:tcW w:w="1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146,506</w:t>
            </w: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140,202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1,080,579</w:t>
            </w: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00" w:right="600" w:hanging="330"/>
        <w:spacing w:after="0" w:line="256" w:lineRule="auto"/>
        <w:tabs>
          <w:tab w:leader="none" w:pos="490" w:val="left"/>
        </w:tabs>
        <w:numPr>
          <w:ilvl w:val="0"/>
          <w:numId w:val="13"/>
        </w:numPr>
        <w:rPr>
          <w:rFonts w:ascii="Arial" w:cs="Arial" w:eastAsia="Arial" w:hAnsi="Arial"/>
          <w:sz w:val="18"/>
          <w:szCs w:val="18"/>
          <w:color w:val="auto"/>
        </w:rPr>
      </w:pPr>
      <w:r>
        <w:rPr>
          <w:rFonts w:ascii="Arial" w:cs="Arial" w:eastAsia="Arial" w:hAnsi="Arial"/>
          <w:sz w:val="16"/>
          <w:szCs w:val="16"/>
          <w:color w:val="auto"/>
        </w:rPr>
        <w:t>Maturities of long-term debt are presented based on mandatory payments. See Note 5 of the Notes to the Consolidated Financial Statements, included herein.</w:t>
      </w:r>
    </w:p>
    <w:p>
      <w:pPr>
        <w:spacing w:after="0" w:line="1" w:lineRule="exact"/>
        <w:rPr>
          <w:rFonts w:ascii="Arial" w:cs="Arial" w:eastAsia="Arial" w:hAnsi="Arial"/>
          <w:sz w:val="18"/>
          <w:szCs w:val="18"/>
          <w:color w:val="auto"/>
        </w:rPr>
      </w:pPr>
    </w:p>
    <w:p>
      <w:pPr>
        <w:ind w:left="500" w:right="60" w:hanging="330"/>
        <w:spacing w:after="0" w:line="259" w:lineRule="auto"/>
        <w:tabs>
          <w:tab w:leader="none" w:pos="490" w:val="left"/>
        </w:tabs>
        <w:numPr>
          <w:ilvl w:val="0"/>
          <w:numId w:val="13"/>
        </w:numPr>
        <w:rPr>
          <w:rFonts w:ascii="Arial" w:cs="Arial" w:eastAsia="Arial" w:hAnsi="Arial"/>
          <w:sz w:val="18"/>
          <w:szCs w:val="18"/>
          <w:color w:val="auto"/>
        </w:rPr>
      </w:pPr>
      <w:r>
        <w:rPr>
          <w:rFonts w:ascii="Arial" w:cs="Arial" w:eastAsia="Arial" w:hAnsi="Arial"/>
          <w:sz w:val="16"/>
          <w:szCs w:val="16"/>
          <w:color w:val="auto"/>
        </w:rPr>
        <w:t>Interest expense includes an estimate of interest expense for the Term Note, until its maturity in March 2045. Interest expense under the Term Note is estimated using the 9.0% contractual rate applied to the outstanding balance as reduced by future contractual maturities of such debt. See Note 5 of the Notes to Consolidated Financial Statements, included herein.</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above excludes future cash requirements for pension, postretirement and postemployment obligations. The periods in which these obligations will be settled in cash are not readily determinable and are subject to numerous future events and assumptions. See Notes 7 and 8 of the Notes to the Consolidated Financial Statements, included herein.</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contractual obligations above exclude unrecognized tax benefits to be recorded in accordance with Financial Accounting Standards Board ("FASB") Accounting Standards Codification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are unable to reasonably estimate the ultimate amount or timing of cash settlements with the respective taxing authorities for such matters. A substantial amount of our deferred income tax liabilities will not result in future cash payments. See Note 12 of the Notes to the Consolidated Financial Statements, included herein.</w:t>
      </w:r>
    </w:p>
    <w:p>
      <w:pPr>
        <w:spacing w:after="0" w:line="136"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this Item is included herein under the caption “Consolidated Financial Statements”.</w:t>
      </w:r>
    </w:p>
    <w:p>
      <w:pPr>
        <w:spacing w:after="0" w:line="18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ITEM 9. CHANGES IN AND DISAGREEMENTS WITH ACCOUNTANTS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ACCOUNTING AND FINANCIAL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concluded an evaluation of our disclosure controls and procedures, as such term is defined under Rule 13a-15(e) promulgated under the Securities Exchange Act of 1934, as amended (the "Exchange Act").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Company’s reports filed under the Exchange Act is accumulated and communicated to management, including our Chief Executive Officer and Chief Financial Officer, to allow timely decisions regarding required disclosure. Based on this evaluation the Company identified a material weakness in its internal control over financial reporting. Due to the material weakness, our principal executive officer and our principal financial officer concluded that, as of the end of the period covered by this report, our disclosure controls and procedures were not effective.</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light of the material weakness described below, management performed additional analysis and monitoring procedures around third-party data to ensure that our interim and annual consolidated financial statements were prepared in accordance with U.S. GAAP. Accordingly, management believes that the consolidated financial statements included in this Annual Report on Form 10-K fairly present, in all material respects, our financial position, results of operations, and cash flows as of and for the periods presented, in accordance with U.S. GAAP.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Rule 13a-15(f) of the Exchange Act. Any internal control system, no matter how well designed, has inherent limitations and may not prevent or detect misstatements. Accordingly, even those systems determined to be effective can provide only reasonable assurance with respect to financial statement preparation and presentation.</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assessed the effectiveness of our internal control over financial reporting as of the September 24, 2023 (the "Evaluation Date"), using the criteria set forth in the Internal Control-Integrated Framework (2013) issued by the Committee of Sponsoring Organizations of the Treadway Commission. Based on this assessment, management has concluded that our internal control over financial reporting was not effective as of the Evaluation Date due to a material weakness in the Company's internal control over financial reporting described below.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material weakness identified by the Company is as follows:</w:t>
      </w:r>
    </w:p>
    <w:p>
      <w:pPr>
        <w:spacing w:after="0" w:line="185" w:lineRule="exact"/>
        <w:rPr>
          <w:sz w:val="20"/>
          <w:szCs w:val="20"/>
          <w:color w:val="auto"/>
        </w:rPr>
      </w:pPr>
    </w:p>
    <w:p>
      <w:pPr>
        <w:jc w:val="both"/>
        <w:ind w:left="66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did not design and implement controls to assess the reliability of certain internally generated information, or evaluate information received from certain third-party service providers, that are relevant to certain revenue recognized in the Company's Consolidated Financial Statements.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previously reported this material weakness in Item 9A of our Annual Report on Form 10-K for the fiscal year ended September 25, 2022. The description of the material weakness has been updated to reflect information learned during the remediation process executed in fiscal 2023.</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BDO USA, P.C., our independent registered public accounting firm, has issued a report on our internal control over financial reporting as of September 24, 2023, which is included herein. As a result of the material weakness described above, such report includes an adverse audit report on the effectiveness of internal control over financial reporting as of September 24,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Remediation Plans and Actions</w:t>
      </w:r>
    </w:p>
    <w:p>
      <w:pPr>
        <w:spacing w:after="0" w:line="19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Management is committed to remediating the material weakness that has been identified and maintaining an effective system of disclosure controls and procedures. During fiscal 2023, management executed certain actions steps to remediate the material weakness, including:</w:t>
      </w:r>
    </w:p>
    <w:p>
      <w:pPr>
        <w:spacing w:after="0" w:line="112" w:lineRule="exact"/>
        <w:rPr>
          <w:sz w:val="20"/>
          <w:szCs w:val="20"/>
          <w:color w:val="auto"/>
        </w:rPr>
      </w:pPr>
    </w:p>
    <w:p>
      <w:pPr>
        <w:jc w:val="both"/>
        <w:ind w:left="66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a project team to review, evaluate and remediate the material weakness in internal controls over financial reporting. The Company's recently expanded Corporate Compliance function is leading management's efforts related to effective control design, documentation and implementation, as well as remediate ineffective controls.</w:t>
      </w:r>
    </w:p>
    <w:p>
      <w:pPr>
        <w:spacing w:after="0" w:line="13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Enhanced the design of internal controls around evaluating data provided by third-parties, which included the initial implementation of a new revenue IT system.</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 will continue to execute the remediation steps outlined above until the material weakness is remediated. The material weakness will not be considered remediated until the remediated and/or newly implemented internal controls operate for a sufficient period of time and management has concluded, through testing, that these internal controls are operating effectively. We are working to have the material weakness remediated as soon as possible.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Remediation of Previously Reported Material Weaknesses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previously reported in Item 9A of our Annual Report on Form 10-K for the fiscal year ended September 25, 2022, management had concluded we had material weaknesses in internal control over financial reporting, specific to a) the Company's information technology general controls and b) controls to validate the accuracy of the tax basis associated with certain deferred tax assets and liabilities. To address the material weaknesses, during the fiscal year ended September 24, 2023 we (a) established a project team to review, evaluate, and remediate material weaknesses in internal controls over financial reporting including expanding our Corporate Compliance function, (b) underwent a complete user access review related to our information technology systems, (c) conducted additional training to relevant personnel, (d) enhanced existing internal control design, and (e) enhanced our record retention policy specifically around complex tax items.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than as described above, there have been no changes in our internal control over financial reporting that occurred during the 13 weeks ended September 24, 2023 that have materially affected or are reasonably likely to materially affect our internal control over financial reporting.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Lee Enterprises,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Davenport, Iowa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We have audited Lee Enterprises, Incorporated’s (the “Company”) internal control over financial reporting as of September 24,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w:t>
      </w:r>
    </w:p>
    <w:p>
      <w:pPr>
        <w:spacing w:after="0" w:line="1"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Treadway Commission (the “COSO criteria”). In our opinion, the Company did not maintain, in all material respects, effective internal control over financial reporting as of September 24, 2023, based on the COSO criteria.</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do not express an opinion or any other form of assurance on management’s statements referring to any corrective actions taken by the Company after the date of management’s assessment.</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September 24, 2023 and September 25, 2022, the related consolidated statements of income (loss) and comprehensive income (loss), stockholders’ equity (deficit), and cash flows for the fiscal years ended September 24, 2023 and September 25, 2022, and the related notes (collectively referred to as the “consolidated financial statements”) and our report dated December 8, 2023, expressed an unqualified opinion thereon.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was identified regarding the following:</w:t>
      </w:r>
    </w:p>
    <w:p>
      <w:pPr>
        <w:spacing w:after="0" w:line="196" w:lineRule="exact"/>
        <w:rPr>
          <w:sz w:val="20"/>
          <w:szCs w:val="20"/>
          <w:color w:val="auto"/>
        </w:rPr>
      </w:pPr>
    </w:p>
    <w:p>
      <w:pPr>
        <w:jc w:val="both"/>
        <w:ind w:left="660" w:hanging="328"/>
        <w:spacing w:after="0" w:line="253"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did not design and implement controls to assess the reliability of certain internally generated information, or evaluate information received from certain third-party service providers, that are relevant to certain revenue recognized in the Company’s consolidated financial statements.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material weakness was considered in determining the nature, timing, and extent of audit tests applied in our audit of the consolidated financial statements, and this report does not affect our report dated December 8, 2023, on those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8, 2023</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9B.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with respect to this Item, except for certain information related to our executive officers included under the caption “Executive Team” in Part I of this Annual Report, is included in our Proxy Statement to be filed in January 2024, which is incorporated herein by reference, under the captions “Proposal 1 - Election of Directors” and “Section 16(a) Beneficial Ownership Reporting Compliance”. Our executive officers are those elected officers whose names and certain information are set forth under the caption “Executive Team” in Part 1 of this Annual Report.</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Code of Business Conduct and Ethics ("Code") that applies to all of our employees, including our principal executive officer, and principal financial and accounting officer. The Code is monitored by the Audit Committee of our Board of Directors and is annually affirmed by our directors and executive officers. We maintain a corporate governance page on our website which includes the Code. The corporate governance page can be found at www.lee.net by clicking on “Governance” under the "About" tab. A copy of the Code will also be provided without charge to any stockholder who requests it. Any future amendment to, or waiver granted by us from, a provision of the Code will be posted on our website.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2024, which is incorporated herein by reference, under the captions, “Compensation of Non-Employee Directors”, “Executive Compensation” and “Compensation Discussion and Analysis”; provided, however, that the subsection entitled “Executive Compensation - Executive Compensation Committee Report” shall not be deemed to be incorporated by reference.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STOCKHOLDER MATTERS</w:t>
      </w:r>
    </w:p>
    <w:p>
      <w:pPr>
        <w:spacing w:after="0" w:line="23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2024, which is incorporated herein by reference, under the captions “Voting Securities and Principal Holders Thereof” and “Equity Compensation Plan Information”.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DIRECTOR INDEPENDENCE</w:t>
      </w:r>
    </w:p>
    <w:p>
      <w:pPr>
        <w:spacing w:after="0" w:line="16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2024, which is incorporated herein by reference, under the caption “Directors' Meetings and Committees of the Board of Directors”.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2024, which is incorporated herein by reference, under the caption “Relationship with Independent Registered Public Accounting Firm”.</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right="2940" w:firstLine="2940"/>
        <w:spacing w:after="0" w:line="453" w:lineRule="auto"/>
        <w:rPr>
          <w:sz w:val="20"/>
          <w:szCs w:val="20"/>
          <w:color w:val="auto"/>
        </w:rPr>
      </w:pPr>
      <w:r>
        <w:rPr>
          <w:rFonts w:ascii="Arial" w:cs="Arial" w:eastAsia="Arial" w:hAnsi="Arial"/>
          <w:sz w:val="18"/>
          <w:szCs w:val="18"/>
          <w:b w:val="1"/>
          <w:bCs w:val="1"/>
          <w:color w:val="auto"/>
        </w:rPr>
        <w:t xml:space="preserve">ITEM 15. EXHIBITS AND FINANCIAL STATEMENT SCHEDULES </w:t>
      </w:r>
      <w:r>
        <w:rPr>
          <w:rFonts w:ascii="Arial" w:cs="Arial" w:eastAsia="Arial" w:hAnsi="Arial"/>
          <w:sz w:val="18"/>
          <w:szCs w:val="18"/>
          <w:color w:val="auto"/>
        </w:rPr>
        <w:t>The following documents are filed as part of this Annual Report: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98"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Consolidated Statements of Income (Loss) and Comprehensive Income (Loss) - 52 weeks ended September 24, 2023, 52 weeks ended September 25, 2022 and 52 weeks ended September 26,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 September 24, 2023 and September 25, 2022</w:t>
      </w:r>
    </w:p>
    <w:p>
      <w:pPr>
        <w:spacing w:after="0" w:line="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Consolidated Statements of Stockholders' Equity (Deficit) - 52 weeks ended September 24, 2023, 52 weeks ended September 25, 2022 and 52 weeks ended September 26, 2021</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Consolidated Statements of Cash Flows - 52 weeks ended September 24, 2023, 52 weeks ended September 25, 2022 and 52 weeks ended September 26,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Reports of Independent Registered Public Accounting Firms*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*BDO USA, P.C. Chicago, IL; PCAOB Firm ID#243</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*KPMG LLP, Chicago, IL; PCAOB Firm ID#185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All schedules have been omitted as they are not required, not applicable, not deemed material or because the information is included in the Notes to Consolidated Financial Statements, included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included herein.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8500" w:type="dxa"/>
            <w:vAlign w:val="bottom"/>
            <w:gridSpan w:val="9"/>
          </w:tcPr>
          <w:p>
            <w:pPr>
              <w:spacing w:after="0"/>
              <w:rPr>
                <w:sz w:val="20"/>
                <w:szCs w:val="20"/>
                <w:color w:val="auto"/>
              </w:rPr>
            </w:pPr>
            <w:r>
              <w:rPr>
                <w:rFonts w:ascii="Arial" w:cs="Arial" w:eastAsia="Arial" w:hAnsi="Arial"/>
                <w:sz w:val="18"/>
                <w:szCs w:val="18"/>
                <w:color w:val="0000FF"/>
              </w:rPr>
              <w:t>Table of Contents</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58"/>
        </w:trPr>
        <w:tc>
          <w:tcPr>
            <w:tcW w:w="20" w:type="dxa"/>
            <w:vAlign w:val="bottom"/>
          </w:tcPr>
          <w:p>
            <w:pPr>
              <w:spacing w:after="0"/>
              <w:rPr>
                <w:sz w:val="24"/>
                <w:szCs w:val="24"/>
                <w:color w:val="auto"/>
              </w:rPr>
            </w:pPr>
          </w:p>
        </w:tc>
        <w:tc>
          <w:tcPr>
            <w:tcW w:w="8480" w:type="dxa"/>
            <w:vAlign w:val="bottom"/>
            <w:gridSpan w:val="8"/>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r>
      <w:tr>
        <w:trPr>
          <w:trHeight w:val="258"/>
        </w:trPr>
        <w:tc>
          <w:tcPr>
            <w:tcW w:w="2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2"/>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439"/>
        </w:trPr>
        <w:tc>
          <w:tcPr>
            <w:tcW w:w="20" w:type="dxa"/>
            <w:vAlign w:val="bottom"/>
          </w:tcPr>
          <w:p>
            <w:pPr>
              <w:spacing w:after="0"/>
              <w:rPr>
                <w:sz w:val="24"/>
                <w:szCs w:val="24"/>
                <w:color w:val="auto"/>
              </w:rPr>
            </w:pPr>
          </w:p>
        </w:tc>
        <w:tc>
          <w:tcPr>
            <w:tcW w:w="6260" w:type="dxa"/>
            <w:vAlign w:val="bottom"/>
            <w:gridSpan w:val="7"/>
          </w:tcPr>
          <w:p>
            <w:pPr>
              <w:spacing w:after="0"/>
              <w:rPr>
                <w:sz w:val="20"/>
                <w:szCs w:val="20"/>
                <w:color w:val="auto"/>
              </w:rPr>
            </w:pPr>
            <w:r>
              <w:rPr>
                <w:rFonts w:ascii="Arial" w:cs="Arial" w:eastAsia="Arial" w:hAnsi="Arial"/>
                <w:sz w:val="18"/>
                <w:szCs w:val="18"/>
                <w:color w:val="0000FF"/>
                <w:w w:val="99"/>
              </w:rPr>
              <w:t>Consolidated Statements of Income (Loss) and Comprehensive Income (Loss)</w:t>
            </w:r>
          </w:p>
        </w:tc>
        <w:tc>
          <w:tcPr>
            <w:tcW w:w="2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33</w:t>
            </w: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260" w:type="dxa"/>
            <w:vAlign w:val="bottom"/>
            <w:gridSpan w:val="7"/>
          </w:tcPr>
          <w:p>
            <w:pPr>
              <w:spacing w:after="0"/>
              <w:rPr>
                <w:sz w:val="20"/>
                <w:szCs w:val="20"/>
                <w:color w:val="auto"/>
              </w:rPr>
            </w:pPr>
            <w:r>
              <w:rPr>
                <w:rFonts w:ascii="Arial" w:cs="Arial" w:eastAsia="Arial" w:hAnsi="Arial"/>
                <w:sz w:val="18"/>
                <w:szCs w:val="18"/>
                <w:color w:val="0000FF"/>
              </w:rPr>
              <w:t>Consolidated Balance Sheets</w:t>
            </w:r>
          </w:p>
        </w:tc>
        <w:tc>
          <w:tcPr>
            <w:tcW w:w="2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54</w:t>
            </w:r>
          </w:p>
        </w:tc>
      </w:tr>
      <w:tr>
        <w:trPr>
          <w:trHeight w:val="20"/>
        </w:trPr>
        <w:tc>
          <w:tcPr>
            <w:tcW w:w="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8480" w:type="dxa"/>
            <w:vAlign w:val="bottom"/>
            <w:gridSpan w:val="8"/>
          </w:tcPr>
          <w:p>
            <w:pPr>
              <w:spacing w:after="0"/>
              <w:rPr>
                <w:sz w:val="20"/>
                <w:szCs w:val="20"/>
                <w:color w:val="auto"/>
              </w:rPr>
            </w:pPr>
            <w:r>
              <w:rPr>
                <w:rFonts w:ascii="Arial" w:cs="Arial" w:eastAsia="Arial" w:hAnsi="Arial"/>
                <w:sz w:val="18"/>
                <w:szCs w:val="18"/>
                <w:color w:val="0000FF"/>
              </w:rPr>
              <w:t>Consolidated Statements of Stockholders' Equity (Deficit)</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0000FF"/>
              </w:rPr>
              <w:t>56</w:t>
            </w: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4560" w:type="dxa"/>
            <w:vAlign w:val="bottom"/>
            <w:gridSpan w:val="5"/>
          </w:tcPr>
          <w:p>
            <w:pPr>
              <w:spacing w:after="0"/>
              <w:rPr>
                <w:sz w:val="20"/>
                <w:szCs w:val="20"/>
                <w:color w:val="auto"/>
              </w:rPr>
            </w:pPr>
            <w:r>
              <w:rPr>
                <w:rFonts w:ascii="Arial" w:cs="Arial" w:eastAsia="Arial" w:hAnsi="Arial"/>
                <w:sz w:val="18"/>
                <w:szCs w:val="18"/>
                <w:color w:val="0000FF"/>
              </w:rPr>
              <w:t>Consolidated Statements of Cash Flows</w:t>
            </w:r>
          </w:p>
        </w:tc>
        <w:tc>
          <w:tcPr>
            <w:tcW w:w="3920" w:type="dxa"/>
            <w:vAlign w:val="bottom"/>
            <w:gridSpan w:val="3"/>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57</w:t>
            </w:r>
          </w:p>
        </w:tc>
      </w:tr>
      <w:tr>
        <w:trPr>
          <w:trHeight w:val="20"/>
        </w:trPr>
        <w:tc>
          <w:tcPr>
            <w:tcW w:w="2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848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0000FF"/>
              </w:rPr>
              <w:t>58</w:t>
            </w:r>
          </w:p>
        </w:tc>
      </w:tr>
      <w:tr>
        <w:trPr>
          <w:trHeight w:val="20"/>
        </w:trPr>
        <w:tc>
          <w:tcPr>
            <w:tcW w:w="20" w:type="dxa"/>
            <w:vAlign w:val="bottom"/>
          </w:tcPr>
          <w:p>
            <w:pPr>
              <w:spacing w:after="0" w:line="20" w:lineRule="exact"/>
              <w:rPr>
                <w:sz w:val="1"/>
                <w:szCs w:val="1"/>
                <w:color w:val="auto"/>
              </w:rPr>
            </w:pPr>
          </w:p>
        </w:tc>
        <w:tc>
          <w:tcPr>
            <w:tcW w:w="3500" w:type="dxa"/>
            <w:vAlign w:val="bottom"/>
            <w:gridSpan w:val="4"/>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8480" w:type="dxa"/>
            <w:vAlign w:val="bottom"/>
            <w:gridSpan w:val="8"/>
          </w:tcPr>
          <w:p>
            <w:pPr>
              <w:spacing w:after="0"/>
              <w:rPr>
                <w:sz w:val="20"/>
                <w:szCs w:val="20"/>
                <w:color w:val="auto"/>
              </w:rPr>
            </w:pPr>
            <w:r>
              <w:rPr>
                <w:rFonts w:ascii="Arial" w:cs="Arial" w:eastAsia="Arial" w:hAnsi="Arial"/>
                <w:sz w:val="18"/>
                <w:szCs w:val="18"/>
                <w:color w:val="0000FF"/>
              </w:rPr>
              <w:t>Reports of Independent Registered Public Accounting Firm's</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0000FF"/>
              </w:rPr>
              <w:t>94</w:t>
            </w:r>
          </w:p>
        </w:tc>
      </w:tr>
      <w:tr>
        <w:trPr>
          <w:trHeight w:val="943"/>
        </w:trPr>
        <w:tc>
          <w:tcPr>
            <w:tcW w:w="20" w:type="dxa"/>
            <w:vAlign w:val="bottom"/>
          </w:tcPr>
          <w:p>
            <w:pPr>
              <w:spacing w:after="0"/>
              <w:rPr>
                <w:sz w:val="24"/>
                <w:szCs w:val="24"/>
                <w:color w:val="auto"/>
              </w:rPr>
            </w:pPr>
          </w:p>
        </w:tc>
        <w:tc>
          <w:tcPr>
            <w:tcW w:w="4820" w:type="dxa"/>
            <w:vAlign w:val="bottom"/>
            <w:tcBorders>
              <w:top w:val="single" w:sz="8" w:color="0000FF"/>
            </w:tcBorders>
            <w:gridSpan w:val="6"/>
          </w:tcPr>
          <w:p>
            <w:pPr>
              <w:spacing w:after="0"/>
              <w:rPr>
                <w:sz w:val="24"/>
                <w:szCs w:val="24"/>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32</w:t>
            </w:r>
          </w:p>
        </w:tc>
        <w:tc>
          <w:tcPr>
            <w:tcW w:w="2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(LOSS) AND COMPREHENSIVE INCOME (LOSS)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1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5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0"/>
        </w:trPr>
        <w:tc>
          <w:tcPr>
            <w:tcW w:w="6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6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Operating revenue:</w:t>
            </w:r>
          </w:p>
        </w:tc>
        <w:tc>
          <w:tcPr>
            <w:tcW w:w="1840" w:type="dxa"/>
            <w:vAlign w:val="bottom"/>
            <w:shd w:val="clear" w:color="auto" w:fill="CCEDFF"/>
          </w:tcPr>
          <w:p>
            <w:pPr>
              <w:spacing w:after="0"/>
              <w:rPr>
                <w:sz w:val="19"/>
                <w:szCs w:val="19"/>
                <w:color w:val="auto"/>
              </w:rPr>
            </w:pPr>
          </w:p>
        </w:tc>
        <w:tc>
          <w:tcPr>
            <w:tcW w:w="1580" w:type="dxa"/>
            <w:vAlign w:val="bottom"/>
            <w:shd w:val="clear" w:color="auto" w:fill="CCEDFF"/>
          </w:tcPr>
          <w:p>
            <w:pPr>
              <w:spacing w:after="0"/>
              <w:rPr>
                <w:sz w:val="19"/>
                <w:szCs w:val="19"/>
                <w:color w:val="auto"/>
              </w:rPr>
            </w:pPr>
          </w:p>
        </w:tc>
        <w:tc>
          <w:tcPr>
            <w:tcW w:w="1160" w:type="dxa"/>
            <w:vAlign w:val="bottom"/>
            <w:shd w:val="clear" w:color="auto" w:fill="CCEDFF"/>
          </w:tcPr>
          <w:p>
            <w:pPr>
              <w:spacing w:after="0"/>
              <w:rPr>
                <w:sz w:val="19"/>
                <w:szCs w:val="19"/>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Advertising and marketing services</w:t>
            </w:r>
          </w:p>
        </w:tc>
        <w:tc>
          <w:tcPr>
            <w:tcW w:w="1840" w:type="dxa"/>
            <w:vAlign w:val="bottom"/>
          </w:tcPr>
          <w:p>
            <w:pPr>
              <w:jc w:val="right"/>
              <w:ind w:right="410"/>
              <w:spacing w:after="0"/>
              <w:rPr>
                <w:sz w:val="20"/>
                <w:szCs w:val="20"/>
                <w:color w:val="auto"/>
              </w:rPr>
            </w:pPr>
            <w:r>
              <w:rPr>
                <w:rFonts w:ascii="Arial" w:cs="Arial" w:eastAsia="Arial" w:hAnsi="Arial"/>
                <w:sz w:val="18"/>
                <w:szCs w:val="18"/>
                <w:color w:val="auto"/>
              </w:rPr>
              <w:t>318,977</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366,428</w:t>
            </w:r>
          </w:p>
        </w:tc>
        <w:tc>
          <w:tcPr>
            <w:tcW w:w="1160" w:type="dxa"/>
            <w:vAlign w:val="bottom"/>
          </w:tcPr>
          <w:p>
            <w:pPr>
              <w:jc w:val="right"/>
              <w:spacing w:after="0"/>
              <w:rPr>
                <w:sz w:val="20"/>
                <w:szCs w:val="20"/>
                <w:color w:val="auto"/>
              </w:rPr>
            </w:pPr>
            <w:r>
              <w:rPr>
                <w:rFonts w:ascii="Arial" w:cs="Arial" w:eastAsia="Arial" w:hAnsi="Arial"/>
                <w:sz w:val="18"/>
                <w:szCs w:val="18"/>
                <w:color w:val="auto"/>
              </w:rPr>
              <w:t>369,283</w:t>
            </w:r>
          </w:p>
        </w:tc>
      </w:tr>
      <w:tr>
        <w:trPr>
          <w:trHeight w:val="230"/>
        </w:trPr>
        <w:tc>
          <w:tcPr>
            <w:tcW w:w="6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Subscription</w:t>
            </w:r>
          </w:p>
        </w:tc>
        <w:tc>
          <w:tcPr>
            <w:tcW w:w="1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313,291</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353,624</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357,713</w:t>
            </w:r>
          </w:p>
        </w:tc>
      </w:tr>
      <w:tr>
        <w:trPr>
          <w:trHeight w:val="229"/>
        </w:trPr>
        <w:tc>
          <w:tcPr>
            <w:tcW w:w="6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58,870</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60,917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67,653</w:t>
            </w:r>
          </w:p>
        </w:tc>
      </w:tr>
      <w:tr>
        <w:trPr>
          <w:trHeight w:val="223"/>
        </w:trPr>
        <w:tc>
          <w:tcPr>
            <w:tcW w:w="6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operating revenue</w:t>
            </w:r>
          </w:p>
        </w:tc>
        <w:tc>
          <w:tcPr>
            <w:tcW w:w="184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691,138</w:t>
            </w:r>
          </w:p>
        </w:tc>
        <w:tc>
          <w:tcPr>
            <w:tcW w:w="15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780,969</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794,649</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Compensation</w:t>
            </w:r>
          </w:p>
        </w:tc>
        <w:tc>
          <w:tcPr>
            <w:tcW w:w="1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266,907</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317,789</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330,896</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1840" w:type="dxa"/>
            <w:vAlign w:val="bottom"/>
          </w:tcPr>
          <w:p>
            <w:pPr>
              <w:jc w:val="right"/>
              <w:ind w:right="410"/>
              <w:spacing w:after="0"/>
              <w:rPr>
                <w:sz w:val="20"/>
                <w:szCs w:val="20"/>
                <w:color w:val="auto"/>
              </w:rPr>
            </w:pPr>
            <w:r>
              <w:rPr>
                <w:rFonts w:ascii="Arial" w:cs="Arial" w:eastAsia="Arial" w:hAnsi="Arial"/>
                <w:sz w:val="18"/>
                <w:szCs w:val="18"/>
                <w:color w:val="auto"/>
              </w:rPr>
              <w:t>25,346</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30,101</w:t>
            </w:r>
          </w:p>
        </w:tc>
        <w:tc>
          <w:tcPr>
            <w:tcW w:w="1160" w:type="dxa"/>
            <w:vAlign w:val="bottom"/>
          </w:tcPr>
          <w:p>
            <w:pPr>
              <w:jc w:val="right"/>
              <w:spacing w:after="0"/>
              <w:rPr>
                <w:sz w:val="20"/>
                <w:szCs w:val="20"/>
                <w:color w:val="auto"/>
              </w:rPr>
            </w:pPr>
            <w:r>
              <w:rPr>
                <w:rFonts w:ascii="Arial" w:cs="Arial" w:eastAsia="Arial" w:hAnsi="Arial"/>
                <w:sz w:val="18"/>
                <w:szCs w:val="18"/>
                <w:color w:val="auto"/>
              </w:rPr>
              <w:t>29,775</w:t>
            </w:r>
          </w:p>
        </w:tc>
      </w:tr>
      <w:tr>
        <w:trPr>
          <w:trHeight w:val="229"/>
        </w:trPr>
        <w:tc>
          <w:tcPr>
            <w:tcW w:w="6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Other operating expenses</w:t>
            </w:r>
          </w:p>
        </w:tc>
        <w:tc>
          <w:tcPr>
            <w:tcW w:w="1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323,067</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344,905</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325,597</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jc w:val="right"/>
              <w:ind w:right="410"/>
              <w:spacing w:after="0"/>
              <w:rPr>
                <w:sz w:val="20"/>
                <w:szCs w:val="20"/>
                <w:color w:val="auto"/>
              </w:rPr>
            </w:pPr>
            <w:r>
              <w:rPr>
                <w:rFonts w:ascii="Arial" w:cs="Arial" w:eastAsia="Arial" w:hAnsi="Arial"/>
                <w:sz w:val="18"/>
                <w:szCs w:val="18"/>
                <w:color w:val="auto"/>
              </w:rPr>
              <w:t>30,621</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36,544</w:t>
            </w:r>
          </w:p>
        </w:tc>
        <w:tc>
          <w:tcPr>
            <w:tcW w:w="1160" w:type="dxa"/>
            <w:vAlign w:val="bottom"/>
          </w:tcPr>
          <w:p>
            <w:pPr>
              <w:jc w:val="right"/>
              <w:spacing w:after="0"/>
              <w:rPr>
                <w:sz w:val="20"/>
                <w:szCs w:val="20"/>
                <w:color w:val="auto"/>
              </w:rPr>
            </w:pPr>
            <w:r>
              <w:rPr>
                <w:rFonts w:ascii="Arial" w:cs="Arial" w:eastAsia="Arial" w:hAnsi="Arial"/>
                <w:sz w:val="18"/>
                <w:szCs w:val="18"/>
                <w:color w:val="auto"/>
              </w:rPr>
              <w:t>42,841</w:t>
            </w:r>
          </w:p>
        </w:tc>
      </w:tr>
      <w:tr>
        <w:trPr>
          <w:trHeight w:val="229"/>
        </w:trPr>
        <w:tc>
          <w:tcPr>
            <w:tcW w:w="6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Assets loss (gain) on sales, impairments and other, net</w:t>
            </w:r>
          </w:p>
        </w:tc>
        <w:tc>
          <w:tcPr>
            <w:tcW w:w="1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1,882</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9,716</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8,214</w:t>
            </w:r>
          </w:p>
        </w:tc>
      </w:tr>
      <w:tr>
        <w:trPr>
          <w:trHeight w:val="230"/>
        </w:trPr>
        <w:tc>
          <w:tcPr>
            <w:tcW w:w="6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12,673</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22,720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7,182</w:t>
            </w:r>
          </w:p>
        </w:tc>
      </w:tr>
      <w:tr>
        <w:trPr>
          <w:trHeight w:val="223"/>
        </w:trPr>
        <w:tc>
          <w:tcPr>
            <w:tcW w:w="6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Total operating expenses</w:t>
            </w:r>
          </w:p>
        </w:tc>
        <w:tc>
          <w:tcPr>
            <w:tcW w:w="1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660,496</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761,775</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744,505</w:t>
            </w:r>
          </w:p>
        </w:tc>
      </w:tr>
      <w:tr>
        <w:trPr>
          <w:trHeight w:val="230"/>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6,527</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5,657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6,412</w:t>
            </w:r>
          </w:p>
        </w:tc>
      </w:tr>
      <w:tr>
        <w:trPr>
          <w:trHeight w:val="223"/>
        </w:trPr>
        <w:tc>
          <w:tcPr>
            <w:tcW w:w="6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Operating income</w:t>
            </w:r>
          </w:p>
        </w:tc>
        <w:tc>
          <w:tcPr>
            <w:tcW w:w="184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37,169</w:t>
            </w:r>
          </w:p>
        </w:tc>
        <w:tc>
          <w:tcPr>
            <w:tcW w:w="15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24,851</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56,556</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1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CEDFF"/>
          </w:tcPr>
          <w:p>
            <w:pPr>
              <w:jc w:val="right"/>
              <w:ind w:right="350"/>
              <w:spacing w:after="0"/>
              <w:rPr>
                <w:sz w:val="20"/>
                <w:szCs w:val="20"/>
                <w:color w:val="auto"/>
              </w:rPr>
            </w:pPr>
            <w:r>
              <w:rPr>
                <w:rFonts w:ascii="Arial" w:cs="Arial" w:eastAsia="Arial" w:hAnsi="Arial"/>
                <w:sz w:val="18"/>
                <w:szCs w:val="18"/>
                <w:color w:val="auto"/>
              </w:rPr>
              <w:t>(41,471)</w:t>
            </w:r>
          </w:p>
        </w:tc>
        <w:tc>
          <w:tcPr>
            <w:tcW w:w="1580" w:type="dxa"/>
            <w:vAlign w:val="bottom"/>
            <w:shd w:val="clear" w:color="auto" w:fill="CCEDFF"/>
          </w:tcPr>
          <w:p>
            <w:pPr>
              <w:jc w:val="right"/>
              <w:ind w:right="350"/>
              <w:spacing w:after="0"/>
              <w:rPr>
                <w:sz w:val="20"/>
                <w:szCs w:val="20"/>
                <w:color w:val="auto"/>
              </w:rPr>
            </w:pPr>
            <w:r>
              <w:rPr>
                <w:rFonts w:ascii="Arial" w:cs="Arial" w:eastAsia="Arial" w:hAnsi="Arial"/>
                <w:sz w:val="18"/>
                <w:szCs w:val="18"/>
                <w:color w:val="auto"/>
              </w:rPr>
              <w:t>(41,770)</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(44,773)</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Curtailment gain</w:t>
            </w:r>
          </w:p>
        </w:tc>
        <w:tc>
          <w:tcPr>
            <w:tcW w:w="18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1,027</w:t>
            </w:r>
          </w:p>
        </w:tc>
        <w:tc>
          <w:tcPr>
            <w:tcW w:w="1160" w:type="dxa"/>
            <w:vAlign w:val="bottom"/>
          </w:tcPr>
          <w:p>
            <w:pPr>
              <w:jc w:val="right"/>
              <w:spacing w:after="0"/>
              <w:rPr>
                <w:sz w:val="20"/>
                <w:szCs w:val="20"/>
                <w:color w:val="auto"/>
              </w:rPr>
            </w:pPr>
            <w:r>
              <w:rPr>
                <w:rFonts w:ascii="Arial" w:cs="Arial" w:eastAsia="Arial" w:hAnsi="Arial"/>
                <w:sz w:val="18"/>
                <w:szCs w:val="18"/>
                <w:color w:val="auto"/>
              </w:rPr>
              <w:t>23,830</w:t>
            </w:r>
          </w:p>
        </w:tc>
      </w:tr>
      <w:tr>
        <w:trPr>
          <w:trHeight w:val="230"/>
        </w:trPr>
        <w:tc>
          <w:tcPr>
            <w:tcW w:w="6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Pension withdrawal cost</w:t>
            </w:r>
          </w:p>
        </w:tc>
        <w:tc>
          <w:tcPr>
            <w:tcW w:w="1840" w:type="dxa"/>
            <w:vAlign w:val="bottom"/>
            <w:shd w:val="clear" w:color="auto" w:fill="CCEDFF"/>
          </w:tcPr>
          <w:p>
            <w:pPr>
              <w:jc w:val="right"/>
              <w:ind w:right="350"/>
              <w:spacing w:after="0"/>
              <w:rPr>
                <w:sz w:val="20"/>
                <w:szCs w:val="20"/>
                <w:color w:val="auto"/>
              </w:rPr>
            </w:pPr>
            <w:r>
              <w:rPr>
                <w:rFonts w:ascii="Arial" w:cs="Arial" w:eastAsia="Arial" w:hAnsi="Arial"/>
                <w:sz w:val="18"/>
                <w:szCs w:val="18"/>
                <w:color w:val="auto"/>
              </w:rPr>
              <w:t>(1,200)</w:t>
            </w:r>
          </w:p>
        </w:tc>
        <w:tc>
          <w:tcPr>
            <w:tcW w:w="1580" w:type="dxa"/>
            <w:vAlign w:val="bottom"/>
            <w:shd w:val="clear" w:color="auto" w:fill="CCEDFF"/>
          </w:tcPr>
          <w:p>
            <w:pPr>
              <w:jc w:val="right"/>
              <w:ind w:right="350"/>
              <w:spacing w:after="0"/>
              <w:rPr>
                <w:sz w:val="20"/>
                <w:szCs w:val="20"/>
                <w:color w:val="auto"/>
              </w:rPr>
            </w:pPr>
            <w:r>
              <w:rPr>
                <w:rFonts w:ascii="Arial" w:cs="Arial" w:eastAsia="Arial" w:hAnsi="Arial"/>
                <w:sz w:val="18"/>
                <w:szCs w:val="18"/>
                <w:color w:val="auto"/>
              </w:rPr>
              <w:t>(2,335)</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(12,862)</w:t>
            </w:r>
          </w:p>
        </w:tc>
      </w:tr>
      <w:tr>
        <w:trPr>
          <w:trHeight w:val="229"/>
        </w:trPr>
        <w:tc>
          <w:tcPr>
            <w:tcW w:w="6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Pension and OPEB related benefit and other, net</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2,420</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19,022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9,296</w:t>
            </w:r>
          </w:p>
        </w:tc>
      </w:tr>
      <w:tr>
        <w:trPr>
          <w:trHeight w:val="223"/>
        </w:trPr>
        <w:tc>
          <w:tcPr>
            <w:tcW w:w="6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non-operating expense, net</w:t>
            </w:r>
          </w:p>
        </w:tc>
        <w:tc>
          <w:tcPr>
            <w:tcW w:w="184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(40,251)</w:t>
            </w:r>
          </w:p>
        </w:tc>
        <w:tc>
          <w:tcPr>
            <w:tcW w:w="158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(24,056)</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(24,509)</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1840" w:type="dxa"/>
            <w:vAlign w:val="bottom"/>
          </w:tcPr>
          <w:p>
            <w:pPr>
              <w:jc w:val="right"/>
              <w:ind w:right="350"/>
              <w:spacing w:after="0"/>
              <w:rPr>
                <w:sz w:val="20"/>
                <w:szCs w:val="20"/>
                <w:color w:val="auto"/>
              </w:rPr>
            </w:pPr>
            <w:r>
              <w:rPr>
                <w:rFonts w:ascii="Arial" w:cs="Arial" w:eastAsia="Arial" w:hAnsi="Arial"/>
                <w:sz w:val="18"/>
                <w:szCs w:val="18"/>
                <w:color w:val="auto"/>
              </w:rPr>
              <w:t>(3,082)</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795</w:t>
            </w:r>
          </w:p>
        </w:tc>
        <w:tc>
          <w:tcPr>
            <w:tcW w:w="1160" w:type="dxa"/>
            <w:vAlign w:val="bottom"/>
          </w:tcPr>
          <w:p>
            <w:pPr>
              <w:jc w:val="right"/>
              <w:spacing w:after="0"/>
              <w:rPr>
                <w:sz w:val="20"/>
                <w:szCs w:val="20"/>
                <w:color w:val="auto"/>
              </w:rPr>
            </w:pPr>
            <w:r>
              <w:rPr>
                <w:rFonts w:ascii="Arial" w:cs="Arial" w:eastAsia="Arial" w:hAnsi="Arial"/>
                <w:sz w:val="18"/>
                <w:szCs w:val="18"/>
                <w:color w:val="auto"/>
              </w:rPr>
              <w:t>32,047</w:t>
            </w:r>
          </w:p>
        </w:tc>
      </w:tr>
      <w:tr>
        <w:trPr>
          <w:trHeight w:val="229"/>
        </w:trPr>
        <w:tc>
          <w:tcPr>
            <w:tcW w:w="6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Income tax (benefit) expense</w:t>
            </w:r>
          </w:p>
        </w:tc>
        <w:tc>
          <w:tcPr>
            <w:tcW w:w="184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(349)</w:t>
            </w:r>
          </w:p>
        </w:tc>
        <w:tc>
          <w:tcPr>
            <w:tcW w:w="15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698</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7,255</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840" w:type="dxa"/>
            <w:vAlign w:val="bottom"/>
          </w:tcPr>
          <w:p>
            <w:pPr>
              <w:jc w:val="right"/>
              <w:ind w:right="350"/>
              <w:spacing w:after="0"/>
              <w:rPr>
                <w:sz w:val="20"/>
                <w:szCs w:val="20"/>
                <w:color w:val="auto"/>
              </w:rPr>
            </w:pPr>
            <w:r>
              <w:rPr>
                <w:rFonts w:ascii="Arial" w:cs="Arial" w:eastAsia="Arial" w:hAnsi="Arial"/>
                <w:sz w:val="18"/>
                <w:szCs w:val="18"/>
                <w:color w:val="auto"/>
              </w:rPr>
              <w:t>(2,733)</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97</w:t>
            </w:r>
          </w:p>
        </w:tc>
        <w:tc>
          <w:tcPr>
            <w:tcW w:w="1160" w:type="dxa"/>
            <w:vAlign w:val="bottom"/>
          </w:tcPr>
          <w:p>
            <w:pPr>
              <w:jc w:val="right"/>
              <w:spacing w:after="0"/>
              <w:rPr>
                <w:sz w:val="20"/>
                <w:szCs w:val="20"/>
                <w:color w:val="auto"/>
              </w:rPr>
            </w:pPr>
            <w:r>
              <w:rPr>
                <w:rFonts w:ascii="Arial" w:cs="Arial" w:eastAsia="Arial" w:hAnsi="Arial"/>
                <w:sz w:val="18"/>
                <w:szCs w:val="18"/>
                <w:color w:val="auto"/>
              </w:rPr>
              <w:t>24,792</w:t>
            </w:r>
          </w:p>
        </w:tc>
      </w:tr>
      <w:tr>
        <w:trPr>
          <w:trHeight w:val="229"/>
        </w:trPr>
        <w:tc>
          <w:tcPr>
            <w:tcW w:w="6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4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(2,534)</w:t>
            </w:r>
          </w:p>
        </w:tc>
        <w:tc>
          <w:tcPr>
            <w:tcW w:w="158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(2,114)</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(2,047)</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Loss attributable to Lee Enterprises, Incorporated</w:t>
            </w:r>
          </w:p>
        </w:tc>
        <w:tc>
          <w:tcPr>
            <w:tcW w:w="1840" w:type="dxa"/>
            <w:vAlign w:val="bottom"/>
          </w:tcPr>
          <w:p>
            <w:pPr>
              <w:jc w:val="right"/>
              <w:ind w:right="350"/>
              <w:spacing w:after="0"/>
              <w:rPr>
                <w:sz w:val="20"/>
                <w:szCs w:val="20"/>
                <w:color w:val="auto"/>
              </w:rPr>
            </w:pPr>
            <w:r>
              <w:rPr>
                <w:rFonts w:ascii="Arial" w:cs="Arial" w:eastAsia="Arial" w:hAnsi="Arial"/>
                <w:sz w:val="18"/>
                <w:szCs w:val="18"/>
                <w:color w:val="auto"/>
              </w:rPr>
              <w:t>(5,267)</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160" w:type="dxa"/>
            <w:vAlign w:val="bottom"/>
          </w:tcPr>
          <w:p>
            <w:pPr>
              <w:jc w:val="right"/>
              <w:spacing w:after="0"/>
              <w:rPr>
                <w:sz w:val="20"/>
                <w:szCs w:val="20"/>
                <w:color w:val="auto"/>
              </w:rPr>
            </w:pPr>
            <w:r>
              <w:rPr>
                <w:rFonts w:ascii="Arial" w:cs="Arial" w:eastAsia="Arial" w:hAnsi="Arial"/>
                <w:sz w:val="18"/>
                <w:szCs w:val="18"/>
                <w:color w:val="auto"/>
              </w:rPr>
              <w:t>22,745</w:t>
            </w:r>
          </w:p>
        </w:tc>
      </w:tr>
      <w:tr>
        <w:trPr>
          <w:trHeight w:val="230"/>
        </w:trPr>
        <w:tc>
          <w:tcPr>
            <w:tcW w:w="6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Other comprehensive income (loss), net of income taxes</w:t>
            </w:r>
          </w:p>
        </w:tc>
        <w:tc>
          <w:tcPr>
            <w:tcW w:w="184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10,190</w:t>
            </w:r>
          </w:p>
        </w:tc>
        <w:tc>
          <w:tcPr>
            <w:tcW w:w="158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(25,534)</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62,237</w:t>
            </w:r>
          </w:p>
        </w:tc>
      </w:tr>
      <w:tr>
        <w:trPr>
          <w:trHeight w:val="22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income (loss) attributable to Lee Enterprises, Incorporated</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4,923</w:t>
            </w:r>
          </w:p>
        </w:tc>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(27,551)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84,982</w:t>
            </w: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660" w:type="dxa"/>
            <w:vAlign w:val="bottom"/>
            <w:shd w:val="clear" w:color="auto" w:fill="CCEDFF"/>
          </w:tcPr>
          <w:p>
            <w:pPr>
              <w:spacing w:after="0"/>
              <w:rPr>
                <w:sz w:val="20"/>
                <w:szCs w:val="20"/>
                <w:color w:val="auto"/>
              </w:rPr>
            </w:pPr>
          </w:p>
        </w:tc>
        <w:tc>
          <w:tcPr>
            <w:tcW w:w="1840" w:type="dxa"/>
            <w:vAlign w:val="bottom"/>
            <w:shd w:val="clear" w:color="auto" w:fill="CCEDFF"/>
          </w:tcPr>
          <w:p>
            <w:pPr>
              <w:spacing w:after="0"/>
              <w:rPr>
                <w:sz w:val="20"/>
                <w:szCs w:val="20"/>
                <w:color w:val="auto"/>
              </w:rPr>
            </w:pPr>
          </w:p>
        </w:tc>
        <w:tc>
          <w:tcPr>
            <w:tcW w:w="1580" w:type="dxa"/>
            <w:vAlign w:val="bottom"/>
            <w:shd w:val="clear" w:color="auto" w:fill="CCEDFF"/>
          </w:tcPr>
          <w:p>
            <w:pPr>
              <w:spacing w:after="0"/>
              <w:rPr>
                <w:sz w:val="20"/>
                <w:szCs w:val="20"/>
                <w:color w:val="auto"/>
              </w:rPr>
            </w:pPr>
          </w:p>
        </w:tc>
        <w:tc>
          <w:tcPr>
            <w:tcW w:w="1160" w:type="dxa"/>
            <w:vAlign w:val="bottom"/>
            <w:shd w:val="clear" w:color="auto" w:fill="CCEDFF"/>
          </w:tcPr>
          <w:p>
            <w:pPr>
              <w:spacing w:after="0"/>
              <w:rPr>
                <w:sz w:val="20"/>
                <w:szCs w:val="20"/>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Earnings (loss) per common share:</w:t>
            </w:r>
          </w:p>
        </w:tc>
        <w:tc>
          <w:tcPr>
            <w:tcW w:w="1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Basic:</w:t>
            </w:r>
          </w:p>
        </w:tc>
        <w:tc>
          <w:tcPr>
            <w:tcW w:w="1840" w:type="dxa"/>
            <w:vAlign w:val="bottom"/>
            <w:shd w:val="clear" w:color="auto" w:fill="CCEDFF"/>
          </w:tcPr>
          <w:p>
            <w:pPr>
              <w:jc w:val="right"/>
              <w:ind w:right="350"/>
              <w:spacing w:after="0"/>
              <w:rPr>
                <w:sz w:val="20"/>
                <w:szCs w:val="20"/>
                <w:color w:val="auto"/>
              </w:rPr>
            </w:pPr>
            <w:r>
              <w:rPr>
                <w:rFonts w:ascii="Arial" w:cs="Arial" w:eastAsia="Arial" w:hAnsi="Arial"/>
                <w:sz w:val="18"/>
                <w:szCs w:val="18"/>
                <w:color w:val="auto"/>
              </w:rPr>
              <w:t>(0.90)</w:t>
            </w:r>
          </w:p>
        </w:tc>
        <w:tc>
          <w:tcPr>
            <w:tcW w:w="1580" w:type="dxa"/>
            <w:vAlign w:val="bottom"/>
            <w:shd w:val="clear" w:color="auto" w:fill="CCEDFF"/>
          </w:tcPr>
          <w:p>
            <w:pPr>
              <w:jc w:val="right"/>
              <w:ind w:right="350"/>
              <w:spacing w:after="0"/>
              <w:rPr>
                <w:sz w:val="20"/>
                <w:szCs w:val="20"/>
                <w:color w:val="auto"/>
              </w:rPr>
            </w:pPr>
            <w:r>
              <w:rPr>
                <w:rFonts w:ascii="Arial" w:cs="Arial" w:eastAsia="Arial" w:hAnsi="Arial"/>
                <w:sz w:val="18"/>
                <w:szCs w:val="18"/>
                <w:color w:val="auto"/>
              </w:rPr>
              <w:t>(0.35)</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3.98</w:t>
            </w:r>
          </w:p>
        </w:tc>
      </w:tr>
      <w:tr>
        <w:trPr>
          <w:trHeight w:val="229"/>
        </w:trPr>
        <w:tc>
          <w:tcPr>
            <w:tcW w:w="6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1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(0.90)</w:t>
            </w:r>
          </w:p>
        </w:tc>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(0.35)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tcPr>
          <w:p>
            <w:pPr>
              <w:jc w:val="right"/>
              <w:ind w:right="250"/>
              <w:spacing w:after="0" w:line="189" w:lineRule="exact"/>
              <w:rPr>
                <w:sz w:val="20"/>
                <w:szCs w:val="20"/>
                <w:color w:val="auto"/>
              </w:rPr>
            </w:pPr>
            <w:r>
              <w:rPr>
                <w:rFonts w:ascii="Arial" w:cs="Arial" w:eastAsia="Arial" w:hAnsi="Arial"/>
                <w:sz w:val="18"/>
                <w:szCs w:val="18"/>
                <w:color w:val="auto"/>
              </w:rPr>
              <w:t>September 24</w:t>
            </w:r>
          </w:p>
        </w:tc>
        <w:tc>
          <w:tcPr>
            <w:tcW w:w="14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25</w:t>
            </w:r>
          </w:p>
        </w:tc>
      </w:tr>
      <w:tr>
        <w:trPr>
          <w:trHeight w:val="242"/>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485"/>
        </w:trPr>
        <w:tc>
          <w:tcPr>
            <w:tcW w:w="4840" w:type="dxa"/>
            <w:vAlign w:val="bottom"/>
          </w:tcPr>
          <w:p>
            <w:pPr>
              <w:ind w:left="20"/>
              <w:spacing w:after="0"/>
              <w:rPr>
                <w:sz w:val="20"/>
                <w:szCs w:val="20"/>
                <w:color w:val="auto"/>
              </w:rPr>
            </w:pPr>
            <w:r>
              <w:rPr>
                <w:rFonts w:ascii="Arial" w:cs="Arial" w:eastAsia="Arial" w:hAnsi="Arial"/>
                <w:sz w:val="18"/>
                <w:szCs w:val="18"/>
                <w:color w:val="auto"/>
              </w:rPr>
              <w:t>ASSETS</w:t>
            </w: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5"/>
        </w:trPr>
        <w:tc>
          <w:tcPr>
            <w:tcW w:w="4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14,548</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16,185</w:t>
            </w: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w w:val="99"/>
              </w:rPr>
              <w:t>Accounts receivable, less allowance for credit losses: 2023</w:t>
            </w:r>
          </w:p>
        </w:tc>
        <w:tc>
          <w:tcPr>
            <w:tcW w:w="1120" w:type="dxa"/>
            <w:vAlign w:val="bottom"/>
          </w:tcPr>
          <w:p>
            <w:pPr>
              <w:jc w:val="right"/>
              <w:spacing w:after="0"/>
              <w:rPr>
                <w:sz w:val="20"/>
                <w:szCs w:val="20"/>
                <w:color w:val="auto"/>
              </w:rPr>
            </w:pPr>
            <w:r>
              <w:rPr>
                <w:rFonts w:ascii="Arial" w:cs="Arial" w:eastAsia="Arial" w:hAnsi="Arial"/>
                <w:sz w:val="18"/>
                <w:szCs w:val="18"/>
                <w:color w:val="auto"/>
              </w:rPr>
              <w:t>$5,260; 2022</w:t>
            </w:r>
          </w:p>
        </w:tc>
        <w:tc>
          <w:tcPr>
            <w:tcW w:w="1460" w:type="dxa"/>
            <w:vAlign w:val="bottom"/>
          </w:tcPr>
          <w:p>
            <w:pPr>
              <w:jc w:val="right"/>
              <w:ind w:right="810"/>
              <w:spacing w:after="0"/>
              <w:rPr>
                <w:sz w:val="20"/>
                <w:szCs w:val="20"/>
                <w:color w:val="auto"/>
              </w:rPr>
            </w:pPr>
            <w:r>
              <w:rPr>
                <w:rFonts w:ascii="Arial" w:cs="Arial" w:eastAsia="Arial" w:hAnsi="Arial"/>
                <w:sz w:val="18"/>
                <w:szCs w:val="18"/>
                <w:color w:val="auto"/>
                <w:w w:val="98"/>
              </w:rPr>
              <w:t>$5,237</w:t>
            </w: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69,104</w:t>
            </w:r>
          </w:p>
        </w:tc>
        <w:tc>
          <w:tcPr>
            <w:tcW w:w="1480" w:type="dxa"/>
            <w:vAlign w:val="bottom"/>
          </w:tcPr>
          <w:p>
            <w:pPr>
              <w:jc w:val="right"/>
              <w:spacing w:after="0"/>
              <w:rPr>
                <w:sz w:val="20"/>
                <w:szCs w:val="20"/>
                <w:color w:val="auto"/>
              </w:rPr>
            </w:pPr>
            <w:r>
              <w:rPr>
                <w:rFonts w:ascii="Arial" w:cs="Arial" w:eastAsia="Arial" w:hAnsi="Arial"/>
                <w:sz w:val="18"/>
                <w:szCs w:val="18"/>
                <w:color w:val="auto"/>
              </w:rPr>
              <w:t>69,522</w:t>
            </w:r>
          </w:p>
        </w:tc>
      </w:tr>
      <w:tr>
        <w:trPr>
          <w:trHeight w:val="229"/>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Inventories</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7,504</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8,265</w:t>
            </w:r>
          </w:p>
        </w:tc>
      </w:tr>
      <w:tr>
        <w:trPr>
          <w:trHeight w:val="230"/>
        </w:trPr>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Prepaids and other</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15,373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15,151</w:t>
            </w:r>
          </w:p>
        </w:tc>
      </w:tr>
      <w:tr>
        <w:trPr>
          <w:trHeight w:val="223"/>
        </w:trPr>
        <w:tc>
          <w:tcPr>
            <w:tcW w:w="48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current assets</w:t>
            </w:r>
          </w:p>
        </w:tc>
        <w:tc>
          <w:tcPr>
            <w:tcW w:w="112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spacing w:after="0"/>
              <w:rPr>
                <w:sz w:val="19"/>
                <w:szCs w:val="19"/>
                <w:color w:val="auto"/>
              </w:rPr>
            </w:pPr>
          </w:p>
        </w:tc>
        <w:tc>
          <w:tcPr>
            <w:tcW w:w="23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106,529</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109,123</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Associated companies</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27,819</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27,378</w:t>
            </w:r>
          </w:p>
        </w:tc>
      </w:tr>
      <w:tr>
        <w:trPr>
          <w:trHeight w:val="230"/>
        </w:trPr>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5,572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w:t>
            </w:r>
          </w:p>
        </w:tc>
      </w:tr>
      <w:tr>
        <w:trPr>
          <w:trHeight w:val="223"/>
        </w:trPr>
        <w:tc>
          <w:tcPr>
            <w:tcW w:w="48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investments</w:t>
            </w:r>
          </w:p>
        </w:tc>
        <w:tc>
          <w:tcPr>
            <w:tcW w:w="112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spacing w:after="0"/>
              <w:rPr>
                <w:sz w:val="19"/>
                <w:szCs w:val="19"/>
                <w:color w:val="auto"/>
              </w:rPr>
            </w:pPr>
          </w:p>
        </w:tc>
        <w:tc>
          <w:tcPr>
            <w:tcW w:w="23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33,391</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33,349</w:t>
            </w:r>
          </w:p>
        </w:tc>
      </w:tr>
      <w:tr>
        <w:trPr>
          <w:trHeight w:val="223"/>
        </w:trPr>
        <w:tc>
          <w:tcPr>
            <w:tcW w:w="484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Land and improvements</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12,366</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14,505</w:t>
            </w: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Buildings and improvements</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83,140</w:t>
            </w:r>
          </w:p>
        </w:tc>
        <w:tc>
          <w:tcPr>
            <w:tcW w:w="1480" w:type="dxa"/>
            <w:vAlign w:val="bottom"/>
          </w:tcPr>
          <w:p>
            <w:pPr>
              <w:jc w:val="right"/>
              <w:spacing w:after="0"/>
              <w:rPr>
                <w:sz w:val="20"/>
                <w:szCs w:val="20"/>
                <w:color w:val="auto"/>
              </w:rPr>
            </w:pPr>
            <w:r>
              <w:rPr>
                <w:rFonts w:ascii="Arial" w:cs="Arial" w:eastAsia="Arial" w:hAnsi="Arial"/>
                <w:sz w:val="18"/>
                <w:szCs w:val="18"/>
                <w:color w:val="auto"/>
              </w:rPr>
              <w:t>95,111</w:t>
            </w:r>
          </w:p>
        </w:tc>
      </w:tr>
      <w:tr>
        <w:trPr>
          <w:trHeight w:val="230"/>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Equipment</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213,714</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215,731</w:t>
            </w:r>
          </w:p>
        </w:tc>
      </w:tr>
      <w:tr>
        <w:trPr>
          <w:trHeight w:val="229"/>
        </w:trPr>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Construction in process</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2,453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r>
      <w:tr>
        <w:trPr>
          <w:trHeight w:val="223"/>
        </w:trPr>
        <w:tc>
          <w:tcPr>
            <w:tcW w:w="4840" w:type="dxa"/>
            <w:vAlign w:val="bottom"/>
            <w:shd w:val="clear" w:color="auto" w:fill="CCEDFF"/>
          </w:tcPr>
          <w:p>
            <w:pPr>
              <w:spacing w:after="0"/>
              <w:rPr>
                <w:sz w:val="19"/>
                <w:szCs w:val="19"/>
                <w:color w:val="auto"/>
              </w:rPr>
            </w:pP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311,673</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326,796</w:t>
            </w:r>
          </w:p>
        </w:tc>
      </w:tr>
      <w:tr>
        <w:trPr>
          <w:trHeight w:val="229"/>
        </w:trPr>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250,439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253,083</w:t>
            </w:r>
          </w:p>
        </w:tc>
      </w:tr>
      <w:tr>
        <w:trPr>
          <w:trHeight w:val="223"/>
        </w:trPr>
        <w:tc>
          <w:tcPr>
            <w:tcW w:w="48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Property and equipment, net</w:t>
            </w:r>
          </w:p>
        </w:tc>
        <w:tc>
          <w:tcPr>
            <w:tcW w:w="112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spacing w:after="0"/>
              <w:rPr>
                <w:sz w:val="19"/>
                <w:szCs w:val="19"/>
                <w:color w:val="auto"/>
              </w:rPr>
            </w:pPr>
          </w:p>
        </w:tc>
        <w:tc>
          <w:tcPr>
            <w:tcW w:w="23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61,234</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73,713</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40,822</w:t>
            </w:r>
          </w:p>
        </w:tc>
        <w:tc>
          <w:tcPr>
            <w:tcW w:w="1480" w:type="dxa"/>
            <w:vAlign w:val="bottom"/>
          </w:tcPr>
          <w:p>
            <w:pPr>
              <w:jc w:val="right"/>
              <w:spacing w:after="0"/>
              <w:rPr>
                <w:sz w:val="20"/>
                <w:szCs w:val="20"/>
                <w:color w:val="auto"/>
              </w:rPr>
            </w:pPr>
            <w:r>
              <w:rPr>
                <w:rFonts w:ascii="Arial" w:cs="Arial" w:eastAsia="Arial" w:hAnsi="Arial"/>
                <w:sz w:val="18"/>
                <w:szCs w:val="18"/>
                <w:color w:val="auto"/>
              </w:rPr>
              <w:t>47,490</w:t>
            </w:r>
          </w:p>
        </w:tc>
      </w:tr>
      <w:tr>
        <w:trPr>
          <w:trHeight w:val="229"/>
        </w:trPr>
        <w:tc>
          <w:tcPr>
            <w:tcW w:w="4840" w:type="dxa"/>
            <w:vAlign w:val="bottom"/>
            <w:shd w:val="clear" w:color="auto" w:fill="CCEDFF"/>
          </w:tcPr>
          <w:p>
            <w:pPr>
              <w:ind w:left="20"/>
              <w:spacing w:after="0"/>
              <w:rPr>
                <w:sz w:val="20"/>
                <w:szCs w:val="20"/>
                <w:color w:val="auto"/>
              </w:rPr>
            </w:pPr>
            <w:r>
              <w:rPr>
                <w:rFonts w:ascii="Arial" w:cs="Arial" w:eastAsia="Arial" w:hAnsi="Arial"/>
                <w:sz w:val="18"/>
                <w:szCs w:val="18"/>
                <w:color w:val="auto"/>
              </w:rPr>
              <w:t>Goodwill</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329,504</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329,504</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94,988</w:t>
            </w:r>
          </w:p>
        </w:tc>
        <w:tc>
          <w:tcPr>
            <w:tcW w:w="1480" w:type="dxa"/>
            <w:vAlign w:val="bottom"/>
          </w:tcPr>
          <w:p>
            <w:pPr>
              <w:jc w:val="right"/>
              <w:spacing w:after="0"/>
              <w:rPr>
                <w:sz w:val="20"/>
                <w:szCs w:val="20"/>
                <w:color w:val="auto"/>
              </w:rPr>
            </w:pPr>
            <w:r>
              <w:rPr>
                <w:rFonts w:ascii="Arial" w:cs="Arial" w:eastAsia="Arial" w:hAnsi="Arial"/>
                <w:sz w:val="18"/>
                <w:szCs w:val="18"/>
                <w:color w:val="auto"/>
              </w:rPr>
              <w:t>121,373</w:t>
            </w:r>
          </w:p>
        </w:tc>
      </w:tr>
      <w:tr>
        <w:trPr>
          <w:trHeight w:val="230"/>
        </w:trPr>
        <w:tc>
          <w:tcPr>
            <w:tcW w:w="4840" w:type="dxa"/>
            <w:vAlign w:val="bottom"/>
            <w:shd w:val="clear" w:color="auto" w:fill="CCEDFF"/>
          </w:tcPr>
          <w:p>
            <w:pPr>
              <w:ind w:left="20"/>
              <w:spacing w:after="0"/>
              <w:rPr>
                <w:sz w:val="20"/>
                <w:szCs w:val="20"/>
                <w:color w:val="auto"/>
              </w:rPr>
            </w:pPr>
            <w:r>
              <w:rPr>
                <w:rFonts w:ascii="Arial" w:cs="Arial" w:eastAsia="Arial" w:hAnsi="Arial"/>
                <w:sz w:val="18"/>
                <w:szCs w:val="18"/>
                <w:color w:val="auto"/>
              </w:rPr>
              <w:t>Pension plan assets, net</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10,843</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528</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Medical plan assets, net</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21,565</w:t>
            </w:r>
          </w:p>
        </w:tc>
        <w:tc>
          <w:tcPr>
            <w:tcW w:w="1480" w:type="dxa"/>
            <w:vAlign w:val="bottom"/>
          </w:tcPr>
          <w:p>
            <w:pPr>
              <w:jc w:val="right"/>
              <w:spacing w:after="0"/>
              <w:rPr>
                <w:sz w:val="20"/>
                <w:szCs w:val="20"/>
                <w:color w:val="auto"/>
              </w:rPr>
            </w:pPr>
            <w:r>
              <w:rPr>
                <w:rFonts w:ascii="Arial" w:cs="Arial" w:eastAsia="Arial" w:hAnsi="Arial"/>
                <w:sz w:val="18"/>
                <w:szCs w:val="18"/>
                <w:color w:val="auto"/>
              </w:rPr>
              <w:t>19,066</w:t>
            </w:r>
          </w:p>
        </w:tc>
      </w:tr>
      <w:tr>
        <w:trPr>
          <w:trHeight w:val="230"/>
        </w:trPr>
        <w:tc>
          <w:tcPr>
            <w:tcW w:w="48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spacing w:after="0"/>
              <w:rPr>
                <w:sz w:val="19"/>
                <w:szCs w:val="19"/>
                <w:color w:val="auto"/>
              </w:rPr>
            </w:pPr>
          </w:p>
        </w:tc>
        <w:tc>
          <w:tcPr>
            <w:tcW w:w="23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12,741</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9,896</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711,617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744,042</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6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jc w:val="right"/>
              <w:ind w:right="250"/>
              <w:spacing w:after="0" w:line="197" w:lineRule="exact"/>
              <w:rPr>
                <w:sz w:val="20"/>
                <w:szCs w:val="20"/>
                <w:color w:val="auto"/>
              </w:rPr>
            </w:pPr>
            <w:r>
              <w:rPr>
                <w:rFonts w:ascii="Arial" w:cs="Arial" w:eastAsia="Arial" w:hAnsi="Arial"/>
                <w:sz w:val="18"/>
                <w:szCs w:val="18"/>
                <w:color w:val="auto"/>
              </w:rPr>
              <w:t>September 24</w:t>
            </w:r>
          </w:p>
        </w:tc>
        <w:tc>
          <w:tcPr>
            <w:tcW w:w="148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September 25</w:t>
            </w:r>
          </w:p>
        </w:tc>
      </w:tr>
      <w:tr>
        <w:trPr>
          <w:trHeight w:val="235"/>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2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483"/>
        </w:trPr>
        <w:tc>
          <w:tcPr>
            <w:tcW w:w="766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5"/>
        </w:trPr>
        <w:tc>
          <w:tcPr>
            <w:tcW w:w="76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7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Current portion of lease liabilities</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7,755</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7,859</w:t>
            </w:r>
          </w:p>
        </w:tc>
      </w:tr>
      <w:tr>
        <w:trPr>
          <w:trHeight w:val="229"/>
        </w:trPr>
        <w:tc>
          <w:tcPr>
            <w:tcW w:w="76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36,290</w:t>
            </w:r>
          </w:p>
        </w:tc>
        <w:tc>
          <w:tcPr>
            <w:tcW w:w="1480" w:type="dxa"/>
            <w:vAlign w:val="bottom"/>
          </w:tcPr>
          <w:p>
            <w:pPr>
              <w:jc w:val="right"/>
              <w:spacing w:after="0"/>
              <w:rPr>
                <w:sz w:val="20"/>
                <w:szCs w:val="20"/>
                <w:color w:val="auto"/>
              </w:rPr>
            </w:pPr>
            <w:r>
              <w:rPr>
                <w:rFonts w:ascii="Arial" w:cs="Arial" w:eastAsia="Arial" w:hAnsi="Arial"/>
                <w:sz w:val="18"/>
                <w:szCs w:val="18"/>
                <w:color w:val="auto"/>
              </w:rPr>
              <w:t>28,608</w:t>
            </w:r>
          </w:p>
        </w:tc>
      </w:tr>
      <w:tr>
        <w:trPr>
          <w:trHeight w:val="229"/>
        </w:trPr>
        <w:tc>
          <w:tcPr>
            <w:tcW w:w="7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Compensation and other accrued liabilities</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29,448</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44,740</w:t>
            </w:r>
          </w:p>
        </w:tc>
      </w:tr>
      <w:tr>
        <w:trPr>
          <w:trHeight w:val="230"/>
        </w:trPr>
        <w:tc>
          <w:tcPr>
            <w:tcW w:w="7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Unearned revenue</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40,843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49,929</w:t>
            </w:r>
          </w:p>
        </w:tc>
      </w:tr>
      <w:tr>
        <w:trPr>
          <w:trHeight w:val="223"/>
        </w:trPr>
        <w:tc>
          <w:tcPr>
            <w:tcW w:w="7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current liabilities</w:t>
            </w:r>
          </w:p>
        </w:tc>
        <w:tc>
          <w:tcPr>
            <w:tcW w:w="21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114,336</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131,136</w:t>
            </w: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455,741</w:t>
            </w:r>
          </w:p>
        </w:tc>
        <w:tc>
          <w:tcPr>
            <w:tcW w:w="1480" w:type="dxa"/>
            <w:vAlign w:val="bottom"/>
          </w:tcPr>
          <w:p>
            <w:pPr>
              <w:jc w:val="right"/>
              <w:spacing w:after="0"/>
              <w:rPr>
                <w:sz w:val="20"/>
                <w:szCs w:val="20"/>
                <w:color w:val="auto"/>
              </w:rPr>
            </w:pPr>
            <w:r>
              <w:rPr>
                <w:rFonts w:ascii="Arial" w:cs="Arial" w:eastAsia="Arial" w:hAnsi="Arial"/>
                <w:sz w:val="18"/>
                <w:szCs w:val="18"/>
                <w:color w:val="auto"/>
              </w:rPr>
              <w:t>462,554</w:t>
            </w:r>
          </w:p>
        </w:tc>
      </w:tr>
      <w:tr>
        <w:trPr>
          <w:trHeight w:val="229"/>
        </w:trPr>
        <w:tc>
          <w:tcPr>
            <w:tcW w:w="7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Operating lease liabilities</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36,580</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46,003</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Pension obligations</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586</w:t>
            </w:r>
          </w:p>
        </w:tc>
        <w:tc>
          <w:tcPr>
            <w:tcW w:w="148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29"/>
        </w:trPr>
        <w:tc>
          <w:tcPr>
            <w:tcW w:w="7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Postretirement and postemployment benefit obligations</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8,618</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9,221</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41,351</w:t>
            </w:r>
          </w:p>
        </w:tc>
        <w:tc>
          <w:tcPr>
            <w:tcW w:w="1480" w:type="dxa"/>
            <w:vAlign w:val="bottom"/>
          </w:tcPr>
          <w:p>
            <w:pPr>
              <w:jc w:val="right"/>
              <w:spacing w:after="0"/>
              <w:rPr>
                <w:sz w:val="20"/>
                <w:szCs w:val="20"/>
                <w:color w:val="auto"/>
              </w:rPr>
            </w:pPr>
            <w:r>
              <w:rPr>
                <w:rFonts w:ascii="Arial" w:cs="Arial" w:eastAsia="Arial" w:hAnsi="Arial"/>
                <w:sz w:val="18"/>
                <w:szCs w:val="18"/>
                <w:color w:val="auto"/>
              </w:rPr>
              <w:t>42,719</w:t>
            </w:r>
          </w:p>
        </w:tc>
      </w:tr>
      <w:tr>
        <w:trPr>
          <w:trHeight w:val="230"/>
        </w:trPr>
        <w:tc>
          <w:tcPr>
            <w:tcW w:w="7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Income taxes payable</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5,809</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8,292</w:t>
            </w:r>
          </w:p>
        </w:tc>
      </w:tr>
      <w:tr>
        <w:trPr>
          <w:trHeight w:val="229"/>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Withdrawal liabilities and other</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24,890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25,914</w:t>
            </w:r>
          </w:p>
        </w:tc>
      </w:tr>
      <w:tr>
        <w:trPr>
          <w:trHeight w:val="223"/>
        </w:trPr>
        <w:tc>
          <w:tcPr>
            <w:tcW w:w="7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liabilities</w:t>
            </w:r>
          </w:p>
        </w:tc>
        <w:tc>
          <w:tcPr>
            <w:tcW w:w="21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687,911</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726,805</w:t>
            </w: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Equity:</w:t>
            </w:r>
          </w:p>
        </w:tc>
        <w:tc>
          <w:tcPr>
            <w:tcW w:w="2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Stockholders' equity:</w:t>
            </w:r>
          </w:p>
        </w:tc>
        <w:tc>
          <w:tcPr>
            <w:tcW w:w="2100" w:type="dxa"/>
            <w:vAlign w:val="bottom"/>
            <w:shd w:val="clear" w:color="auto" w:fill="CCEDFF"/>
          </w:tcPr>
          <w:p>
            <w:pPr>
              <w:spacing w:after="0"/>
              <w:rPr>
                <w:sz w:val="19"/>
                <w:szCs w:val="19"/>
                <w:color w:val="auto"/>
              </w:rPr>
            </w:pPr>
          </w:p>
        </w:tc>
        <w:tc>
          <w:tcPr>
            <w:tcW w:w="1480" w:type="dxa"/>
            <w:vAlign w:val="bottom"/>
            <w:shd w:val="clear" w:color="auto" w:fill="CCEDFF"/>
          </w:tcPr>
          <w:p>
            <w:pPr>
              <w:spacing w:after="0"/>
              <w:rPr>
                <w:sz w:val="19"/>
                <w:szCs w:val="19"/>
                <w:color w:val="auto"/>
              </w:rPr>
            </w:pPr>
          </w:p>
        </w:tc>
      </w:tr>
      <w:tr>
        <w:trPr>
          <w:trHeight w:val="229"/>
        </w:trPr>
        <w:tc>
          <w:tcPr>
            <w:tcW w:w="7660" w:type="dxa"/>
            <w:vAlign w:val="bottom"/>
          </w:tcPr>
          <w:p>
            <w:pPr>
              <w:ind w:left="360"/>
              <w:spacing w:after="0"/>
              <w:rPr>
                <w:sz w:val="20"/>
                <w:szCs w:val="20"/>
                <w:color w:val="auto"/>
              </w:rPr>
            </w:pPr>
            <w:r>
              <w:rPr>
                <w:rFonts w:ascii="Arial" w:cs="Arial" w:eastAsia="Arial" w:hAnsi="Arial"/>
                <w:sz w:val="18"/>
                <w:szCs w:val="18"/>
                <w:color w:val="auto"/>
              </w:rPr>
              <w:t>Serial convertible preferred stock, no par value; authorized 500 shares; none issued</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shd w:val="clear" w:color="auto" w:fill="CCEDFF"/>
          </w:tcPr>
          <w:p>
            <w:pPr>
              <w:ind w:left="360"/>
              <w:spacing w:after="0"/>
              <w:rPr>
                <w:sz w:val="20"/>
                <w:szCs w:val="20"/>
                <w:color w:val="auto"/>
              </w:rPr>
            </w:pPr>
            <w:r>
              <w:rPr>
                <w:rFonts w:ascii="Arial" w:cs="Arial" w:eastAsia="Arial" w:hAnsi="Arial"/>
                <w:sz w:val="18"/>
                <w:szCs w:val="18"/>
                <w:color w:val="auto"/>
              </w:rPr>
              <w:t>Common Stock, authorized 12,000 shares; issued and outstanding:</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61</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660" w:type="dxa"/>
            <w:vAlign w:val="bottom"/>
          </w:tcPr>
          <w:p>
            <w:pPr>
              <w:ind w:left="460"/>
              <w:spacing w:after="0"/>
              <w:rPr>
                <w:sz w:val="20"/>
                <w:szCs w:val="20"/>
                <w:color w:val="auto"/>
              </w:rPr>
            </w:pPr>
            <w:r>
              <w:rPr>
                <w:rFonts w:ascii="Arial" w:cs="Arial" w:eastAsia="Arial" w:hAnsi="Arial"/>
                <w:sz w:val="18"/>
                <w:szCs w:val="18"/>
                <w:color w:val="auto"/>
              </w:rPr>
              <w:t>September 24, 2023; 6,064 shares; $0.01 par value</w:t>
            </w:r>
          </w:p>
        </w:tc>
        <w:tc>
          <w:tcPr>
            <w:tcW w:w="2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660" w:type="dxa"/>
            <w:vAlign w:val="bottom"/>
            <w:shd w:val="clear" w:color="auto" w:fill="CCEDFF"/>
          </w:tcPr>
          <w:p>
            <w:pPr>
              <w:ind w:left="460"/>
              <w:spacing w:after="0"/>
              <w:rPr>
                <w:sz w:val="20"/>
                <w:szCs w:val="20"/>
                <w:color w:val="auto"/>
              </w:rPr>
            </w:pPr>
            <w:r>
              <w:rPr>
                <w:rFonts w:ascii="Arial" w:cs="Arial" w:eastAsia="Arial" w:hAnsi="Arial"/>
                <w:sz w:val="18"/>
                <w:szCs w:val="18"/>
                <w:color w:val="auto"/>
              </w:rPr>
              <w:t>September 25, 2022; 5,979 shares; $0.01 par value</w:t>
            </w:r>
          </w:p>
        </w:tc>
        <w:tc>
          <w:tcPr>
            <w:tcW w:w="2100" w:type="dxa"/>
            <w:vAlign w:val="bottom"/>
            <w:shd w:val="clear" w:color="auto" w:fill="CCEDFF"/>
          </w:tcPr>
          <w:p>
            <w:pPr>
              <w:spacing w:after="0"/>
              <w:rPr>
                <w:sz w:val="19"/>
                <w:szCs w:val="19"/>
                <w:color w:val="auto"/>
              </w:rPr>
            </w:pPr>
          </w:p>
        </w:tc>
        <w:tc>
          <w:tcPr>
            <w:tcW w:w="1480" w:type="dxa"/>
            <w:vAlign w:val="bottom"/>
            <w:shd w:val="clear" w:color="auto" w:fill="CCEDFF"/>
          </w:tcPr>
          <w:p>
            <w:pPr>
              <w:spacing w:after="0"/>
              <w:rPr>
                <w:sz w:val="19"/>
                <w:szCs w:val="19"/>
                <w:color w:val="auto"/>
              </w:rPr>
            </w:pPr>
          </w:p>
        </w:tc>
      </w:tr>
      <w:tr>
        <w:trPr>
          <w:trHeight w:val="230"/>
        </w:trPr>
        <w:tc>
          <w:tcPr>
            <w:tcW w:w="7660" w:type="dxa"/>
            <w:vAlign w:val="bottom"/>
          </w:tcPr>
          <w:p>
            <w:pPr>
              <w:ind w:left="360"/>
              <w:spacing w:after="0"/>
              <w:rPr>
                <w:sz w:val="20"/>
                <w:szCs w:val="20"/>
                <w:color w:val="auto"/>
              </w:rPr>
            </w:pPr>
            <w:r>
              <w:rPr>
                <w:rFonts w:ascii="Arial" w:cs="Arial" w:eastAsia="Arial" w:hAnsi="Arial"/>
                <w:sz w:val="18"/>
                <w:szCs w:val="18"/>
                <w:color w:val="auto"/>
              </w:rPr>
              <w:t>Class B Common Stock, $2 par value; authorized 3,000 shares; none issued</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Additional paid-in capital</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260,832</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259,521</w:t>
            </w:r>
          </w:p>
        </w:tc>
      </w:tr>
      <w:tr>
        <w:trPr>
          <w:trHeight w:val="230"/>
        </w:trPr>
        <w:tc>
          <w:tcPr>
            <w:tcW w:w="766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100" w:type="dxa"/>
            <w:vAlign w:val="bottom"/>
          </w:tcPr>
          <w:p>
            <w:pPr>
              <w:jc w:val="right"/>
              <w:ind w:right="250"/>
              <w:spacing w:after="0"/>
              <w:rPr>
                <w:sz w:val="20"/>
                <w:szCs w:val="20"/>
                <w:color w:val="auto"/>
              </w:rPr>
            </w:pPr>
            <w:r>
              <w:rPr>
                <w:rFonts w:ascii="Arial" w:cs="Arial" w:eastAsia="Arial" w:hAnsi="Arial"/>
                <w:sz w:val="18"/>
                <w:szCs w:val="18"/>
                <w:color w:val="auto"/>
              </w:rPr>
              <w:t>(266,496)</w:t>
            </w:r>
          </w:p>
        </w:tc>
        <w:tc>
          <w:tcPr>
            <w:tcW w:w="1480" w:type="dxa"/>
            <w:vAlign w:val="bottom"/>
          </w:tcPr>
          <w:p>
            <w:pPr>
              <w:jc w:val="right"/>
              <w:spacing w:after="0"/>
              <w:rPr>
                <w:sz w:val="20"/>
                <w:szCs w:val="20"/>
                <w:color w:val="auto"/>
              </w:rPr>
            </w:pPr>
            <w:r>
              <w:rPr>
                <w:rFonts w:ascii="Arial" w:cs="Arial" w:eastAsia="Arial" w:hAnsi="Arial"/>
                <w:sz w:val="18"/>
                <w:szCs w:val="18"/>
                <w:color w:val="auto"/>
              </w:rPr>
              <w:t>(261,229)</w:t>
            </w:r>
          </w:p>
        </w:tc>
      </w:tr>
      <w:tr>
        <w:trPr>
          <w:trHeight w:val="229"/>
        </w:trPr>
        <w:tc>
          <w:tcPr>
            <w:tcW w:w="7660" w:type="dxa"/>
            <w:vAlign w:val="bottom"/>
            <w:tcBorders>
              <w:bottom w:val="single" w:sz="8" w:color="auto"/>
            </w:tcBorders>
            <w:shd w:val="clear" w:color="auto" w:fill="CCED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1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26,843</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16,653</w:t>
            </w:r>
          </w:p>
        </w:tc>
      </w:tr>
      <w:tr>
        <w:trPr>
          <w:trHeight w:val="223"/>
        </w:trPr>
        <w:tc>
          <w:tcPr>
            <w:tcW w:w="7660" w:type="dxa"/>
            <w:vAlign w:val="bottom"/>
          </w:tcPr>
          <w:p>
            <w:pPr>
              <w:ind w:left="140"/>
              <w:spacing w:after="0"/>
              <w:rPr>
                <w:sz w:val="20"/>
                <w:szCs w:val="20"/>
                <w:color w:val="auto"/>
              </w:rPr>
            </w:pPr>
            <w:r>
              <w:rPr>
                <w:rFonts w:ascii="Arial" w:cs="Arial" w:eastAsia="Arial" w:hAnsi="Arial"/>
                <w:sz w:val="18"/>
                <w:szCs w:val="18"/>
                <w:color w:val="auto"/>
              </w:rPr>
              <w:t>Total stockholders' equity</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21,240</w:t>
            </w:r>
          </w:p>
        </w:tc>
        <w:tc>
          <w:tcPr>
            <w:tcW w:w="1480" w:type="dxa"/>
            <w:vAlign w:val="bottom"/>
          </w:tcPr>
          <w:p>
            <w:pPr>
              <w:jc w:val="right"/>
              <w:spacing w:after="0"/>
              <w:rPr>
                <w:sz w:val="20"/>
                <w:szCs w:val="20"/>
                <w:color w:val="auto"/>
              </w:rPr>
            </w:pPr>
            <w:r>
              <w:rPr>
                <w:rFonts w:ascii="Arial" w:cs="Arial" w:eastAsia="Arial" w:hAnsi="Arial"/>
                <w:sz w:val="18"/>
                <w:szCs w:val="18"/>
                <w:color w:val="auto"/>
              </w:rPr>
              <w:t>15,005</w:t>
            </w:r>
          </w:p>
        </w:tc>
      </w:tr>
      <w:tr>
        <w:trPr>
          <w:trHeight w:val="229"/>
        </w:trPr>
        <w:tc>
          <w:tcPr>
            <w:tcW w:w="7660" w:type="dxa"/>
            <w:vAlign w:val="bottom"/>
            <w:tcBorders>
              <w:bottom w:val="single" w:sz="8" w:color="auto"/>
            </w:tcBorders>
            <w:shd w:val="clear" w:color="auto" w:fill="CCEDFF"/>
          </w:tcPr>
          <w:p>
            <w:pPr>
              <w:ind w:left="140"/>
              <w:spacing w:after="0"/>
              <w:rPr>
                <w:sz w:val="20"/>
                <w:szCs w:val="20"/>
                <w:color w:val="auto"/>
              </w:rPr>
            </w:pPr>
            <w:r>
              <w:rPr>
                <w:rFonts w:ascii="Arial" w:cs="Arial" w:eastAsia="Arial" w:hAnsi="Arial"/>
                <w:sz w:val="18"/>
                <w:szCs w:val="18"/>
                <w:color w:val="auto"/>
              </w:rPr>
              <w:t>Non-controlling interests</w:t>
            </w:r>
          </w:p>
        </w:tc>
        <w:tc>
          <w:tcPr>
            <w:tcW w:w="21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2,466</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2,232</w:t>
            </w:r>
          </w:p>
        </w:tc>
      </w:tr>
      <w:tr>
        <w:trPr>
          <w:trHeight w:val="223"/>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equity</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23,706</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17,237</w:t>
            </w:r>
          </w:p>
        </w:tc>
      </w:tr>
      <w:tr>
        <w:trPr>
          <w:trHeight w:val="248"/>
        </w:trPr>
        <w:tc>
          <w:tcPr>
            <w:tcW w:w="7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liabilities and equity</w:t>
            </w:r>
          </w:p>
        </w:tc>
        <w:tc>
          <w:tcPr>
            <w:tcW w:w="21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711,617</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744,042</w:t>
            </w:r>
          </w:p>
        </w:tc>
      </w:tr>
      <w:tr>
        <w:trPr>
          <w:trHeight w:val="20"/>
        </w:trPr>
        <w:tc>
          <w:tcPr>
            <w:tcW w:w="7660" w:type="dxa"/>
            <w:vAlign w:val="bottom"/>
            <w:tcBorders>
              <w:top w:val="single" w:sz="8" w:color="CCEDFF"/>
              <w:bottom w:val="single" w:sz="8" w:color="auto"/>
            </w:tcBorders>
          </w:tcPr>
          <w:p>
            <w:pPr>
              <w:spacing w:after="0" w:line="20" w:lineRule="exact"/>
              <w:rPr>
                <w:sz w:val="1"/>
                <w:szCs w:val="1"/>
                <w:color w:val="auto"/>
              </w:rPr>
            </w:pPr>
          </w:p>
        </w:tc>
        <w:tc>
          <w:tcPr>
            <w:tcW w:w="21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Amount</w:t>
            </w:r>
          </w:p>
        </w:tc>
        <w:tc>
          <w:tcPr>
            <w:tcW w:w="13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Shares</w:t>
            </w:r>
          </w:p>
        </w:tc>
        <w:tc>
          <w:tcPr>
            <w:tcW w:w="8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and Shares)</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2023</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2023</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480"/>
        </w:trPr>
        <w:tc>
          <w:tcPr>
            <w:tcW w:w="400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DFF"/>
          </w:tcPr>
          <w:p>
            <w:pPr>
              <w:ind w:left="20"/>
              <w:spacing w:after="0"/>
              <w:rPr>
                <w:sz w:val="20"/>
                <w:szCs w:val="20"/>
                <w:color w:val="auto"/>
              </w:rPr>
            </w:pPr>
            <w:r>
              <w:rPr>
                <w:rFonts w:ascii="Arial" w:cs="Arial" w:eastAsia="Arial" w:hAnsi="Arial"/>
                <w:sz w:val="18"/>
                <w:szCs w:val="18"/>
                <w:color w:val="auto"/>
              </w:rPr>
              <w:t>Balance, beginning of year</w:t>
            </w:r>
          </w:p>
        </w:tc>
        <w:tc>
          <w:tcPr>
            <w:tcW w:w="1240" w:type="dxa"/>
            <w:vAlign w:val="bottom"/>
            <w:shd w:val="clear" w:color="auto" w:fill="CCEDFF"/>
          </w:tcPr>
          <w:p>
            <w:pPr>
              <w:jc w:val="right"/>
              <w:ind w:right="170"/>
              <w:spacing w:after="0"/>
              <w:rPr>
                <w:sz w:val="20"/>
                <w:szCs w:val="20"/>
                <w:color w:val="auto"/>
              </w:rPr>
            </w:pPr>
            <w:r>
              <w:rPr>
                <w:rFonts w:ascii="Arial" w:cs="Arial" w:eastAsia="Arial" w:hAnsi="Arial"/>
                <w:sz w:val="18"/>
                <w:szCs w:val="18"/>
                <w:color w:val="auto"/>
              </w:rPr>
              <w:t>60</w:t>
            </w:r>
          </w:p>
        </w:tc>
        <w:tc>
          <w:tcPr>
            <w:tcW w:w="1280" w:type="dxa"/>
            <w:vAlign w:val="bottom"/>
            <w:shd w:val="clear" w:color="auto" w:fill="CCEDFF"/>
          </w:tcPr>
          <w:p>
            <w:pPr>
              <w:jc w:val="right"/>
              <w:ind w:right="210"/>
              <w:spacing w:after="0"/>
              <w:rPr>
                <w:sz w:val="20"/>
                <w:szCs w:val="20"/>
                <w:color w:val="auto"/>
              </w:rPr>
            </w:pPr>
            <w:r>
              <w:rPr>
                <w:rFonts w:ascii="Arial" w:cs="Arial" w:eastAsia="Arial" w:hAnsi="Arial"/>
                <w:sz w:val="18"/>
                <w:szCs w:val="18"/>
                <w:color w:val="auto"/>
              </w:rPr>
              <w:t>59</w:t>
            </w:r>
          </w:p>
        </w:tc>
        <w:tc>
          <w:tcPr>
            <w:tcW w:w="1380" w:type="dxa"/>
            <w:vAlign w:val="bottom"/>
            <w:shd w:val="clear" w:color="auto" w:fill="CCEDFF"/>
          </w:tcPr>
          <w:p>
            <w:pPr>
              <w:jc w:val="right"/>
              <w:ind w:right="330"/>
              <w:spacing w:after="0"/>
              <w:rPr>
                <w:sz w:val="20"/>
                <w:szCs w:val="20"/>
                <w:color w:val="auto"/>
              </w:rPr>
            </w:pPr>
            <w:r>
              <w:rPr>
                <w:rFonts w:ascii="Arial" w:cs="Arial" w:eastAsia="Arial" w:hAnsi="Arial"/>
                <w:sz w:val="18"/>
                <w:szCs w:val="18"/>
                <w:color w:val="auto"/>
              </w:rPr>
              <w:t>58</w:t>
            </w:r>
          </w:p>
        </w:tc>
        <w:tc>
          <w:tcPr>
            <w:tcW w:w="1060" w:type="dxa"/>
            <w:vAlign w:val="bottom"/>
            <w:shd w:val="clear" w:color="auto" w:fill="CCEDFF"/>
          </w:tcPr>
          <w:p>
            <w:pPr>
              <w:jc w:val="right"/>
              <w:ind w:right="170"/>
              <w:spacing w:after="0"/>
              <w:rPr>
                <w:sz w:val="20"/>
                <w:szCs w:val="20"/>
                <w:color w:val="auto"/>
              </w:rPr>
            </w:pPr>
            <w:r>
              <w:rPr>
                <w:rFonts w:ascii="Arial" w:cs="Arial" w:eastAsia="Arial" w:hAnsi="Arial"/>
                <w:sz w:val="18"/>
                <w:szCs w:val="18"/>
                <w:color w:val="auto"/>
              </w:rPr>
              <w:t>5,979</w:t>
            </w:r>
          </w:p>
        </w:tc>
        <w:tc>
          <w:tcPr>
            <w:tcW w:w="1400" w:type="dxa"/>
            <w:vAlign w:val="bottom"/>
            <w:shd w:val="clear" w:color="auto" w:fill="CCEDFF"/>
          </w:tcPr>
          <w:p>
            <w:pPr>
              <w:jc w:val="right"/>
              <w:ind w:right="330"/>
              <w:spacing w:after="0"/>
              <w:rPr>
                <w:sz w:val="20"/>
                <w:szCs w:val="20"/>
                <w:color w:val="auto"/>
              </w:rPr>
            </w:pPr>
            <w:r>
              <w:rPr>
                <w:rFonts w:ascii="Arial" w:cs="Arial" w:eastAsia="Arial" w:hAnsi="Arial"/>
                <w:sz w:val="18"/>
                <w:szCs w:val="18"/>
                <w:color w:val="auto"/>
              </w:rPr>
              <w:t>5,889</w:t>
            </w:r>
          </w:p>
        </w:tc>
        <w:tc>
          <w:tcPr>
            <w:tcW w:w="8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5,835</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Shares issued</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85</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Balance, end of year</w:t>
            </w:r>
          </w:p>
        </w:tc>
        <w:tc>
          <w:tcPr>
            <w:tcW w:w="1240" w:type="dxa"/>
            <w:vAlign w:val="bottom"/>
            <w:tcBorders>
              <w:bottom w:val="single" w:sz="8" w:color="auto"/>
            </w:tcBorders>
            <w:shd w:val="clear" w:color="auto" w:fill="CCEDFF"/>
          </w:tcPr>
          <w:p>
            <w:pPr>
              <w:jc w:val="right"/>
              <w:ind w:right="170"/>
              <w:spacing w:after="0"/>
              <w:rPr>
                <w:sz w:val="20"/>
                <w:szCs w:val="20"/>
                <w:color w:val="auto"/>
              </w:rPr>
            </w:pPr>
            <w:r>
              <w:rPr>
                <w:rFonts w:ascii="Arial" w:cs="Arial" w:eastAsia="Arial" w:hAnsi="Arial"/>
                <w:sz w:val="18"/>
                <w:szCs w:val="18"/>
                <w:color w:val="auto"/>
              </w:rPr>
              <w:t>61</w:t>
            </w:r>
          </w:p>
        </w:tc>
        <w:tc>
          <w:tcPr>
            <w:tcW w:w="1280" w:type="dxa"/>
            <w:vAlign w:val="bottom"/>
            <w:tcBorders>
              <w:bottom w:val="single" w:sz="8" w:color="auto"/>
            </w:tcBorders>
            <w:shd w:val="clear" w:color="auto" w:fill="CCEDFF"/>
          </w:tcPr>
          <w:p>
            <w:pPr>
              <w:jc w:val="right"/>
              <w:ind w:right="210"/>
              <w:spacing w:after="0"/>
              <w:rPr>
                <w:sz w:val="20"/>
                <w:szCs w:val="20"/>
                <w:color w:val="auto"/>
              </w:rPr>
            </w:pPr>
            <w:r>
              <w:rPr>
                <w:rFonts w:ascii="Arial" w:cs="Arial" w:eastAsia="Arial" w:hAnsi="Arial"/>
                <w:sz w:val="18"/>
                <w:szCs w:val="18"/>
                <w:color w:val="auto"/>
              </w:rPr>
              <w:t>60</w:t>
            </w:r>
          </w:p>
        </w:tc>
        <w:tc>
          <w:tcPr>
            <w:tcW w:w="1380" w:type="dxa"/>
            <w:vAlign w:val="bottom"/>
            <w:tcBorders>
              <w:bottom w:val="single" w:sz="8" w:color="auto"/>
            </w:tcBorders>
            <w:shd w:val="clear" w:color="auto" w:fill="CCEDFF"/>
          </w:tcPr>
          <w:p>
            <w:pPr>
              <w:jc w:val="right"/>
              <w:ind w:right="330"/>
              <w:spacing w:after="0"/>
              <w:rPr>
                <w:sz w:val="20"/>
                <w:szCs w:val="20"/>
                <w:color w:val="auto"/>
              </w:rPr>
            </w:pPr>
            <w:r>
              <w:rPr>
                <w:rFonts w:ascii="Arial" w:cs="Arial" w:eastAsia="Arial" w:hAnsi="Arial"/>
                <w:sz w:val="18"/>
                <w:szCs w:val="18"/>
                <w:color w:val="auto"/>
              </w:rPr>
              <w:t>59</w:t>
            </w:r>
          </w:p>
        </w:tc>
        <w:tc>
          <w:tcPr>
            <w:tcW w:w="1060" w:type="dxa"/>
            <w:vAlign w:val="bottom"/>
            <w:tcBorders>
              <w:bottom w:val="single" w:sz="8" w:color="auto"/>
            </w:tcBorders>
            <w:shd w:val="clear" w:color="auto" w:fill="CCEDFF"/>
          </w:tcPr>
          <w:p>
            <w:pPr>
              <w:jc w:val="right"/>
              <w:ind w:right="170"/>
              <w:spacing w:after="0"/>
              <w:rPr>
                <w:sz w:val="20"/>
                <w:szCs w:val="20"/>
                <w:color w:val="auto"/>
              </w:rPr>
            </w:pPr>
            <w:r>
              <w:rPr>
                <w:rFonts w:ascii="Arial" w:cs="Arial" w:eastAsia="Arial" w:hAnsi="Arial"/>
                <w:sz w:val="18"/>
                <w:szCs w:val="18"/>
                <w:color w:val="auto"/>
              </w:rPr>
              <w:t>6,064</w:t>
            </w:r>
          </w:p>
        </w:tc>
        <w:tc>
          <w:tcPr>
            <w:tcW w:w="1400" w:type="dxa"/>
            <w:vAlign w:val="bottom"/>
            <w:tcBorders>
              <w:bottom w:val="single" w:sz="8" w:color="auto"/>
            </w:tcBorders>
            <w:shd w:val="clear" w:color="auto" w:fill="CCEDFF"/>
          </w:tcPr>
          <w:p>
            <w:pPr>
              <w:jc w:val="right"/>
              <w:ind w:right="330"/>
              <w:spacing w:after="0"/>
              <w:rPr>
                <w:sz w:val="20"/>
                <w:szCs w:val="20"/>
                <w:color w:val="auto"/>
              </w:rPr>
            </w:pPr>
            <w:r>
              <w:rPr>
                <w:rFonts w:ascii="Arial" w:cs="Arial" w:eastAsia="Arial" w:hAnsi="Arial"/>
                <w:sz w:val="18"/>
                <w:szCs w:val="18"/>
                <w:color w:val="auto"/>
              </w:rPr>
              <w:t>5,979</w:t>
            </w:r>
          </w:p>
        </w:tc>
        <w:tc>
          <w:tcPr>
            <w:tcW w:w="8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DFF"/>
          </w:tcPr>
          <w:p>
            <w:pPr>
              <w:ind w:left="20"/>
              <w:spacing w:after="0"/>
              <w:rPr>
                <w:sz w:val="20"/>
                <w:szCs w:val="20"/>
                <w:color w:val="auto"/>
              </w:rPr>
            </w:pPr>
            <w:r>
              <w:rPr>
                <w:rFonts w:ascii="Arial" w:cs="Arial" w:eastAsia="Arial" w:hAnsi="Arial"/>
                <w:sz w:val="18"/>
                <w:szCs w:val="18"/>
                <w:color w:val="auto"/>
              </w:rPr>
              <w:t>Balance, beginning of year</w:t>
            </w:r>
          </w:p>
        </w:tc>
        <w:tc>
          <w:tcPr>
            <w:tcW w:w="1240" w:type="dxa"/>
            <w:vAlign w:val="bottom"/>
            <w:shd w:val="clear" w:color="auto" w:fill="CCEDFF"/>
          </w:tcPr>
          <w:p>
            <w:pPr>
              <w:jc w:val="right"/>
              <w:ind w:right="170"/>
              <w:spacing w:after="0"/>
              <w:rPr>
                <w:sz w:val="20"/>
                <w:szCs w:val="20"/>
                <w:color w:val="auto"/>
              </w:rPr>
            </w:pPr>
            <w:r>
              <w:rPr>
                <w:rFonts w:ascii="Arial" w:cs="Arial" w:eastAsia="Arial" w:hAnsi="Arial"/>
                <w:sz w:val="18"/>
                <w:szCs w:val="18"/>
                <w:color w:val="auto"/>
              </w:rPr>
              <w:t>259,521</w:t>
            </w:r>
          </w:p>
        </w:tc>
        <w:tc>
          <w:tcPr>
            <w:tcW w:w="1280" w:type="dxa"/>
            <w:vAlign w:val="bottom"/>
            <w:shd w:val="clear" w:color="auto" w:fill="CCEDFF"/>
          </w:tcPr>
          <w:p>
            <w:pPr>
              <w:jc w:val="right"/>
              <w:ind w:right="210"/>
              <w:spacing w:after="0"/>
              <w:rPr>
                <w:sz w:val="20"/>
                <w:szCs w:val="20"/>
                <w:color w:val="auto"/>
              </w:rPr>
            </w:pPr>
            <w:r>
              <w:rPr>
                <w:rFonts w:ascii="Arial" w:cs="Arial" w:eastAsia="Arial" w:hAnsi="Arial"/>
                <w:sz w:val="18"/>
                <w:szCs w:val="18"/>
                <w:color w:val="auto"/>
              </w:rPr>
              <w:t>258,063</w:t>
            </w:r>
          </w:p>
        </w:tc>
        <w:tc>
          <w:tcPr>
            <w:tcW w:w="1380" w:type="dxa"/>
            <w:vAlign w:val="bottom"/>
            <w:shd w:val="clear" w:color="auto" w:fill="CCEDFF"/>
          </w:tcPr>
          <w:p>
            <w:pPr>
              <w:jc w:val="right"/>
              <w:ind w:right="330"/>
              <w:spacing w:after="0"/>
              <w:rPr>
                <w:sz w:val="20"/>
                <w:szCs w:val="20"/>
                <w:color w:val="auto"/>
              </w:rPr>
            </w:pPr>
            <w:r>
              <w:rPr>
                <w:rFonts w:ascii="Arial" w:cs="Arial" w:eastAsia="Arial" w:hAnsi="Arial"/>
                <w:sz w:val="18"/>
                <w:szCs w:val="18"/>
                <w:color w:val="auto"/>
              </w:rPr>
              <w:t>256,957</w:t>
            </w:r>
          </w:p>
        </w:tc>
        <w:tc>
          <w:tcPr>
            <w:tcW w:w="1060" w:type="dxa"/>
            <w:vAlign w:val="bottom"/>
            <w:shd w:val="clear" w:color="auto" w:fill="CCEDFF"/>
          </w:tcPr>
          <w:p>
            <w:pPr>
              <w:spacing w:after="0"/>
              <w:rPr>
                <w:sz w:val="19"/>
                <w:szCs w:val="19"/>
                <w:color w:val="auto"/>
              </w:rPr>
            </w:pPr>
          </w:p>
        </w:tc>
        <w:tc>
          <w:tcPr>
            <w:tcW w:w="1400" w:type="dxa"/>
            <w:vAlign w:val="bottom"/>
            <w:shd w:val="clear" w:color="auto" w:fill="CCEDFF"/>
          </w:tcPr>
          <w:p>
            <w:pPr>
              <w:spacing w:after="0"/>
              <w:rPr>
                <w:sz w:val="19"/>
                <w:szCs w:val="19"/>
                <w:color w:val="auto"/>
              </w:rPr>
            </w:pPr>
          </w:p>
        </w:tc>
        <w:tc>
          <w:tcPr>
            <w:tcW w:w="88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1,806</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1,487</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854</w:t>
            </w:r>
          </w:p>
        </w:tc>
        <w:tc>
          <w:tcPr>
            <w:tcW w:w="1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Shares (redeemed) issued</w:t>
            </w:r>
          </w:p>
        </w:tc>
        <w:tc>
          <w:tcPr>
            <w:tcW w:w="1240" w:type="dxa"/>
            <w:vAlign w:val="bottom"/>
            <w:tcBorders>
              <w:bottom w:val="single" w:sz="8" w:color="auto"/>
            </w:tcBorders>
            <w:shd w:val="clear" w:color="auto" w:fill="CCEDFF"/>
          </w:tcPr>
          <w:p>
            <w:pPr>
              <w:jc w:val="right"/>
              <w:ind w:right="110"/>
              <w:spacing w:after="0"/>
              <w:rPr>
                <w:sz w:val="20"/>
                <w:szCs w:val="20"/>
                <w:color w:val="auto"/>
              </w:rPr>
            </w:pPr>
            <w:r>
              <w:rPr>
                <w:rFonts w:ascii="Arial" w:cs="Arial" w:eastAsia="Arial" w:hAnsi="Arial"/>
                <w:sz w:val="18"/>
                <w:szCs w:val="18"/>
                <w:color w:val="auto"/>
              </w:rPr>
              <w:t>(495)</w:t>
            </w:r>
          </w:p>
        </w:tc>
        <w:tc>
          <w:tcPr>
            <w:tcW w:w="1280" w:type="dxa"/>
            <w:vAlign w:val="bottom"/>
            <w:tcBorders>
              <w:bottom w:val="single" w:sz="8" w:color="auto"/>
            </w:tcBorders>
            <w:shd w:val="clear" w:color="auto" w:fill="CCEDFF"/>
          </w:tcPr>
          <w:p>
            <w:pPr>
              <w:jc w:val="right"/>
              <w:ind w:right="150"/>
              <w:spacing w:after="0"/>
              <w:rPr>
                <w:sz w:val="20"/>
                <w:szCs w:val="20"/>
                <w:color w:val="auto"/>
              </w:rPr>
            </w:pPr>
            <w:r>
              <w:rPr>
                <w:rFonts w:ascii="Arial" w:cs="Arial" w:eastAsia="Arial" w:hAnsi="Arial"/>
                <w:sz w:val="18"/>
                <w:szCs w:val="18"/>
                <w:color w:val="auto"/>
              </w:rPr>
              <w:t>(29)</w:t>
            </w:r>
          </w:p>
        </w:tc>
        <w:tc>
          <w:tcPr>
            <w:tcW w:w="1380" w:type="dxa"/>
            <w:vAlign w:val="bottom"/>
            <w:tcBorders>
              <w:bottom w:val="single" w:sz="8" w:color="auto"/>
            </w:tcBorders>
            <w:shd w:val="clear" w:color="auto" w:fill="CCEDFF"/>
          </w:tcPr>
          <w:p>
            <w:pPr>
              <w:jc w:val="right"/>
              <w:ind w:right="330"/>
              <w:spacing w:after="0"/>
              <w:rPr>
                <w:sz w:val="20"/>
                <w:szCs w:val="20"/>
                <w:color w:val="auto"/>
              </w:rPr>
            </w:pPr>
            <w:r>
              <w:rPr>
                <w:rFonts w:ascii="Arial" w:cs="Arial" w:eastAsia="Arial" w:hAnsi="Arial"/>
                <w:sz w:val="18"/>
                <w:szCs w:val="18"/>
                <w:color w:val="auto"/>
              </w:rPr>
              <w:t>252</w:t>
            </w:r>
          </w:p>
        </w:tc>
        <w:tc>
          <w:tcPr>
            <w:tcW w:w="106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spacing w:after="0"/>
              <w:rPr>
                <w:sz w:val="19"/>
                <w:szCs w:val="19"/>
                <w:color w:val="auto"/>
              </w:rPr>
            </w:pPr>
          </w:p>
        </w:tc>
        <w:tc>
          <w:tcPr>
            <w:tcW w:w="880" w:type="dxa"/>
            <w:vAlign w:val="bottom"/>
            <w:tcBorders>
              <w:bottom w:val="single" w:sz="8" w:color="auto"/>
            </w:tcBorders>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260,832</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259,521</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258,063</w:t>
            </w: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DFF"/>
          </w:tcPr>
          <w:p>
            <w:pPr>
              <w:ind w:left="20"/>
              <w:spacing w:after="0"/>
              <w:rPr>
                <w:sz w:val="20"/>
                <w:szCs w:val="20"/>
                <w:color w:val="auto"/>
              </w:rPr>
            </w:pPr>
            <w:r>
              <w:rPr>
                <w:rFonts w:ascii="Arial" w:cs="Arial" w:eastAsia="Arial" w:hAnsi="Arial"/>
                <w:sz w:val="18"/>
                <w:szCs w:val="18"/>
                <w:color w:val="auto"/>
              </w:rPr>
              <w:t>Accumulated deficit:</w:t>
            </w:r>
          </w:p>
        </w:tc>
        <w:tc>
          <w:tcPr>
            <w:tcW w:w="1240" w:type="dxa"/>
            <w:vAlign w:val="bottom"/>
            <w:shd w:val="clear" w:color="auto" w:fill="CCEDFF"/>
          </w:tcPr>
          <w:p>
            <w:pPr>
              <w:spacing w:after="0"/>
              <w:rPr>
                <w:sz w:val="19"/>
                <w:szCs w:val="19"/>
                <w:color w:val="auto"/>
              </w:rPr>
            </w:pPr>
          </w:p>
        </w:tc>
        <w:tc>
          <w:tcPr>
            <w:tcW w:w="1280" w:type="dxa"/>
            <w:vAlign w:val="bottom"/>
            <w:shd w:val="clear" w:color="auto" w:fill="CCEDFF"/>
          </w:tcPr>
          <w:p>
            <w:pPr>
              <w:spacing w:after="0"/>
              <w:rPr>
                <w:sz w:val="19"/>
                <w:szCs w:val="19"/>
                <w:color w:val="auto"/>
              </w:rPr>
            </w:pPr>
          </w:p>
        </w:tc>
        <w:tc>
          <w:tcPr>
            <w:tcW w:w="1380" w:type="dxa"/>
            <w:vAlign w:val="bottom"/>
            <w:shd w:val="clear" w:color="auto" w:fill="CCEDFF"/>
          </w:tcPr>
          <w:p>
            <w:pPr>
              <w:spacing w:after="0"/>
              <w:rPr>
                <w:sz w:val="19"/>
                <w:szCs w:val="19"/>
                <w:color w:val="auto"/>
              </w:rPr>
            </w:pPr>
          </w:p>
        </w:tc>
        <w:tc>
          <w:tcPr>
            <w:tcW w:w="1060" w:type="dxa"/>
            <w:vAlign w:val="bottom"/>
            <w:shd w:val="clear" w:color="auto" w:fill="CCEDFF"/>
          </w:tcPr>
          <w:p>
            <w:pPr>
              <w:spacing w:after="0"/>
              <w:rPr>
                <w:sz w:val="19"/>
                <w:szCs w:val="19"/>
                <w:color w:val="auto"/>
              </w:rPr>
            </w:pPr>
          </w:p>
        </w:tc>
        <w:tc>
          <w:tcPr>
            <w:tcW w:w="1400" w:type="dxa"/>
            <w:vAlign w:val="bottom"/>
            <w:shd w:val="clear" w:color="auto" w:fill="CCEDFF"/>
          </w:tcPr>
          <w:p>
            <w:pPr>
              <w:spacing w:after="0"/>
              <w:rPr>
                <w:sz w:val="19"/>
                <w:szCs w:val="19"/>
                <w:color w:val="auto"/>
              </w:rPr>
            </w:pPr>
          </w:p>
        </w:tc>
        <w:tc>
          <w:tcPr>
            <w:tcW w:w="88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Balance, beginning of year</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(261,229)</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(259,212)</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(281,957)</w:t>
            </w:r>
          </w:p>
        </w:tc>
        <w:tc>
          <w:tcPr>
            <w:tcW w:w="1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DFF"/>
          </w:tcPr>
          <w:p>
            <w:pPr>
              <w:ind w:left="20"/>
              <w:spacing w:after="0"/>
              <w:rPr>
                <w:sz w:val="20"/>
                <w:szCs w:val="20"/>
                <w:color w:val="auto"/>
              </w:rPr>
            </w:pPr>
            <w:r>
              <w:rPr>
                <w:rFonts w:ascii="Arial" w:cs="Arial" w:eastAsia="Arial" w:hAnsi="Arial"/>
                <w:sz w:val="18"/>
                <w:szCs w:val="18"/>
                <w:color w:val="auto"/>
              </w:rPr>
              <w:t>Net income (loss)</w:t>
            </w:r>
          </w:p>
        </w:tc>
        <w:tc>
          <w:tcPr>
            <w:tcW w:w="1240" w:type="dxa"/>
            <w:vAlign w:val="bottom"/>
            <w:shd w:val="clear" w:color="auto" w:fill="CCEDFF"/>
          </w:tcPr>
          <w:p>
            <w:pPr>
              <w:jc w:val="right"/>
              <w:ind w:right="110"/>
              <w:spacing w:after="0"/>
              <w:rPr>
                <w:sz w:val="20"/>
                <w:szCs w:val="20"/>
                <w:color w:val="auto"/>
              </w:rPr>
            </w:pPr>
            <w:r>
              <w:rPr>
                <w:rFonts w:ascii="Arial" w:cs="Arial" w:eastAsia="Arial" w:hAnsi="Arial"/>
                <w:sz w:val="18"/>
                <w:szCs w:val="18"/>
                <w:color w:val="auto"/>
              </w:rPr>
              <w:t>(2,733)</w:t>
            </w:r>
          </w:p>
        </w:tc>
        <w:tc>
          <w:tcPr>
            <w:tcW w:w="1280" w:type="dxa"/>
            <w:vAlign w:val="bottom"/>
            <w:shd w:val="clear" w:color="auto" w:fill="CCEDFF"/>
          </w:tcPr>
          <w:p>
            <w:pPr>
              <w:jc w:val="right"/>
              <w:ind w:right="210"/>
              <w:spacing w:after="0"/>
              <w:rPr>
                <w:sz w:val="20"/>
                <w:szCs w:val="20"/>
                <w:color w:val="auto"/>
              </w:rPr>
            </w:pPr>
            <w:r>
              <w:rPr>
                <w:rFonts w:ascii="Arial" w:cs="Arial" w:eastAsia="Arial" w:hAnsi="Arial"/>
                <w:sz w:val="18"/>
                <w:szCs w:val="18"/>
                <w:color w:val="auto"/>
              </w:rPr>
              <w:t>97</w:t>
            </w:r>
          </w:p>
        </w:tc>
        <w:tc>
          <w:tcPr>
            <w:tcW w:w="1380" w:type="dxa"/>
            <w:vAlign w:val="bottom"/>
            <w:shd w:val="clear" w:color="auto" w:fill="CCEDFF"/>
          </w:tcPr>
          <w:p>
            <w:pPr>
              <w:jc w:val="right"/>
              <w:ind w:right="330"/>
              <w:spacing w:after="0"/>
              <w:rPr>
                <w:sz w:val="20"/>
                <w:szCs w:val="20"/>
                <w:color w:val="auto"/>
              </w:rPr>
            </w:pPr>
            <w:r>
              <w:rPr>
                <w:rFonts w:ascii="Arial" w:cs="Arial" w:eastAsia="Arial" w:hAnsi="Arial"/>
                <w:sz w:val="18"/>
                <w:szCs w:val="18"/>
                <w:color w:val="auto"/>
              </w:rPr>
              <w:t>24,792</w:t>
            </w:r>
          </w:p>
        </w:tc>
        <w:tc>
          <w:tcPr>
            <w:tcW w:w="1060" w:type="dxa"/>
            <w:vAlign w:val="bottom"/>
            <w:shd w:val="clear" w:color="auto" w:fill="CCEDFF"/>
          </w:tcPr>
          <w:p>
            <w:pPr>
              <w:spacing w:after="0"/>
              <w:rPr>
                <w:sz w:val="19"/>
                <w:szCs w:val="19"/>
                <w:color w:val="auto"/>
              </w:rPr>
            </w:pPr>
          </w:p>
        </w:tc>
        <w:tc>
          <w:tcPr>
            <w:tcW w:w="1400" w:type="dxa"/>
            <w:vAlign w:val="bottom"/>
            <w:shd w:val="clear" w:color="auto" w:fill="CCEDFF"/>
          </w:tcPr>
          <w:p>
            <w:pPr>
              <w:spacing w:after="0"/>
              <w:rPr>
                <w:sz w:val="19"/>
                <w:szCs w:val="19"/>
                <w:color w:val="auto"/>
              </w:rPr>
            </w:pPr>
          </w:p>
        </w:tc>
        <w:tc>
          <w:tcPr>
            <w:tcW w:w="88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1240" w:type="dxa"/>
            <w:vAlign w:val="bottom"/>
            <w:vMerge w:val="restart"/>
          </w:tcPr>
          <w:p>
            <w:pPr>
              <w:jc w:val="right"/>
              <w:ind w:right="110"/>
              <w:spacing w:after="0"/>
              <w:rPr>
                <w:sz w:val="20"/>
                <w:szCs w:val="20"/>
                <w:color w:val="auto"/>
              </w:rPr>
            </w:pPr>
            <w:r>
              <w:rPr>
                <w:rFonts w:ascii="Arial" w:cs="Arial" w:eastAsia="Arial" w:hAnsi="Arial"/>
                <w:sz w:val="18"/>
                <w:szCs w:val="18"/>
                <w:color w:val="auto"/>
              </w:rPr>
              <w:t>(2,534)</w:t>
            </w:r>
          </w:p>
        </w:tc>
        <w:tc>
          <w:tcPr>
            <w:tcW w:w="1280" w:type="dxa"/>
            <w:vAlign w:val="bottom"/>
            <w:vMerge w:val="restart"/>
          </w:tcPr>
          <w:p>
            <w:pPr>
              <w:jc w:val="right"/>
              <w:ind w:right="150"/>
              <w:spacing w:after="0"/>
              <w:rPr>
                <w:sz w:val="20"/>
                <w:szCs w:val="20"/>
                <w:color w:val="auto"/>
              </w:rPr>
            </w:pPr>
            <w:r>
              <w:rPr>
                <w:rFonts w:ascii="Arial" w:cs="Arial" w:eastAsia="Arial" w:hAnsi="Arial"/>
                <w:sz w:val="18"/>
                <w:szCs w:val="18"/>
                <w:color w:val="auto"/>
              </w:rPr>
              <w:t>(2,114)</w:t>
            </w:r>
          </w:p>
        </w:tc>
        <w:tc>
          <w:tcPr>
            <w:tcW w:w="1380" w:type="dxa"/>
            <w:vAlign w:val="bottom"/>
            <w:vMerge w:val="restart"/>
          </w:tcPr>
          <w:p>
            <w:pPr>
              <w:jc w:val="right"/>
              <w:ind w:right="290"/>
              <w:spacing w:after="0"/>
              <w:rPr>
                <w:sz w:val="20"/>
                <w:szCs w:val="20"/>
                <w:color w:val="auto"/>
              </w:rPr>
            </w:pPr>
            <w:r>
              <w:rPr>
                <w:rFonts w:ascii="Arial" w:cs="Arial" w:eastAsia="Arial" w:hAnsi="Arial"/>
                <w:sz w:val="18"/>
                <w:szCs w:val="18"/>
                <w:color w:val="auto"/>
              </w:rPr>
              <w:t>(2,047)</w:t>
            </w: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interests</w:t>
            </w:r>
          </w:p>
        </w:tc>
        <w:tc>
          <w:tcPr>
            <w:tcW w:w="124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Balance, end of year</w:t>
            </w:r>
          </w:p>
        </w:tc>
        <w:tc>
          <w:tcPr>
            <w:tcW w:w="1240" w:type="dxa"/>
            <w:vAlign w:val="bottom"/>
            <w:tcBorders>
              <w:bottom w:val="single" w:sz="8" w:color="auto"/>
            </w:tcBorders>
            <w:shd w:val="clear" w:color="auto" w:fill="CCEDFF"/>
          </w:tcPr>
          <w:p>
            <w:pPr>
              <w:jc w:val="right"/>
              <w:ind w:right="110"/>
              <w:spacing w:after="0"/>
              <w:rPr>
                <w:sz w:val="20"/>
                <w:szCs w:val="20"/>
                <w:color w:val="auto"/>
              </w:rPr>
            </w:pPr>
            <w:r>
              <w:rPr>
                <w:rFonts w:ascii="Arial" w:cs="Arial" w:eastAsia="Arial" w:hAnsi="Arial"/>
                <w:sz w:val="18"/>
                <w:szCs w:val="18"/>
                <w:color w:val="auto"/>
              </w:rPr>
              <w:t>(266,496)</w:t>
            </w:r>
          </w:p>
        </w:tc>
        <w:tc>
          <w:tcPr>
            <w:tcW w:w="1280" w:type="dxa"/>
            <w:vAlign w:val="bottom"/>
            <w:tcBorders>
              <w:bottom w:val="single" w:sz="8" w:color="auto"/>
            </w:tcBorders>
            <w:shd w:val="clear" w:color="auto" w:fill="CCEDFF"/>
          </w:tcPr>
          <w:p>
            <w:pPr>
              <w:jc w:val="right"/>
              <w:ind w:right="150"/>
              <w:spacing w:after="0"/>
              <w:rPr>
                <w:sz w:val="20"/>
                <w:szCs w:val="20"/>
                <w:color w:val="auto"/>
              </w:rPr>
            </w:pPr>
            <w:r>
              <w:rPr>
                <w:rFonts w:ascii="Arial" w:cs="Arial" w:eastAsia="Arial" w:hAnsi="Arial"/>
                <w:sz w:val="18"/>
                <w:szCs w:val="18"/>
                <w:color w:val="auto"/>
              </w:rPr>
              <w:t>(261,229)</w:t>
            </w:r>
          </w:p>
        </w:tc>
        <w:tc>
          <w:tcPr>
            <w:tcW w:w="1380" w:type="dxa"/>
            <w:vAlign w:val="bottom"/>
            <w:tcBorders>
              <w:bottom w:val="single" w:sz="8" w:color="auto"/>
            </w:tcBorders>
            <w:shd w:val="clear" w:color="auto" w:fill="CCEDFF"/>
          </w:tcPr>
          <w:p>
            <w:pPr>
              <w:jc w:val="right"/>
              <w:ind w:right="290"/>
              <w:spacing w:after="0"/>
              <w:rPr>
                <w:sz w:val="20"/>
                <w:szCs w:val="20"/>
                <w:color w:val="auto"/>
              </w:rPr>
            </w:pPr>
            <w:r>
              <w:rPr>
                <w:rFonts w:ascii="Arial" w:cs="Arial" w:eastAsia="Arial" w:hAnsi="Arial"/>
                <w:sz w:val="18"/>
                <w:szCs w:val="18"/>
                <w:color w:val="auto"/>
              </w:rPr>
              <w:t>(259,212)</w:t>
            </w:r>
          </w:p>
        </w:tc>
        <w:tc>
          <w:tcPr>
            <w:tcW w:w="106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spacing w:after="0"/>
              <w:rPr>
                <w:sz w:val="19"/>
                <w:szCs w:val="19"/>
                <w:color w:val="auto"/>
              </w:rPr>
            </w:pPr>
          </w:p>
        </w:tc>
        <w:tc>
          <w:tcPr>
            <w:tcW w:w="880" w:type="dxa"/>
            <w:vAlign w:val="bottom"/>
            <w:tcBorders>
              <w:bottom w:val="single" w:sz="8" w:color="auto"/>
            </w:tcBorders>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000" w:type="dxa"/>
            <w:vAlign w:val="bottom"/>
          </w:tcPr>
          <w:p>
            <w:pPr>
              <w:ind w:left="20"/>
              <w:spacing w:after="0" w:line="169" w:lineRule="exact"/>
              <w:rPr>
                <w:sz w:val="20"/>
                <w:szCs w:val="20"/>
                <w:color w:val="auto"/>
              </w:rPr>
            </w:pPr>
            <w:r>
              <w:rPr>
                <w:rFonts w:ascii="Arial" w:cs="Arial" w:eastAsia="Arial" w:hAnsi="Arial"/>
                <w:sz w:val="18"/>
                <w:szCs w:val="18"/>
                <w:color w:val="auto"/>
              </w:rPr>
              <w:t>Accumulated other comprehensive income</w:t>
            </w: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000" w:type="dxa"/>
            <w:vAlign w:val="bottom"/>
          </w:tcPr>
          <w:p>
            <w:pPr>
              <w:ind w:left="20"/>
              <w:spacing w:after="0"/>
              <w:rPr>
                <w:sz w:val="20"/>
                <w:szCs w:val="20"/>
                <w:color w:val="auto"/>
              </w:rPr>
            </w:pPr>
            <w:r>
              <w:rPr>
                <w:rFonts w:ascii="Arial" w:cs="Arial" w:eastAsia="Arial" w:hAnsi="Arial"/>
                <w:sz w:val="18"/>
                <w:szCs w:val="18"/>
                <w:color w:val="auto"/>
              </w:rPr>
              <w:t>(loss):</w:t>
            </w:r>
          </w:p>
        </w:tc>
        <w:tc>
          <w:tcPr>
            <w:tcW w:w="1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CCEDFF"/>
          </w:tcPr>
          <w:p>
            <w:pPr>
              <w:ind w:left="20"/>
              <w:spacing w:after="0"/>
              <w:rPr>
                <w:sz w:val="20"/>
                <w:szCs w:val="20"/>
                <w:color w:val="auto"/>
              </w:rPr>
            </w:pPr>
            <w:r>
              <w:rPr>
                <w:rFonts w:ascii="Arial" w:cs="Arial" w:eastAsia="Arial" w:hAnsi="Arial"/>
                <w:sz w:val="18"/>
                <w:szCs w:val="18"/>
                <w:color w:val="auto"/>
              </w:rPr>
              <w:t>Balance, beginning of year</w:t>
            </w:r>
          </w:p>
        </w:tc>
        <w:tc>
          <w:tcPr>
            <w:tcW w:w="1240" w:type="dxa"/>
            <w:vAlign w:val="bottom"/>
            <w:shd w:val="clear" w:color="auto" w:fill="CCEDFF"/>
          </w:tcPr>
          <w:p>
            <w:pPr>
              <w:jc w:val="right"/>
              <w:ind w:right="170"/>
              <w:spacing w:after="0"/>
              <w:rPr>
                <w:sz w:val="20"/>
                <w:szCs w:val="20"/>
                <w:color w:val="auto"/>
              </w:rPr>
            </w:pPr>
            <w:r>
              <w:rPr>
                <w:rFonts w:ascii="Arial" w:cs="Arial" w:eastAsia="Arial" w:hAnsi="Arial"/>
                <w:sz w:val="18"/>
                <w:szCs w:val="18"/>
                <w:color w:val="auto"/>
              </w:rPr>
              <w:t>16,653</w:t>
            </w:r>
          </w:p>
        </w:tc>
        <w:tc>
          <w:tcPr>
            <w:tcW w:w="1280" w:type="dxa"/>
            <w:vAlign w:val="bottom"/>
            <w:shd w:val="clear" w:color="auto" w:fill="CCEDFF"/>
          </w:tcPr>
          <w:p>
            <w:pPr>
              <w:jc w:val="right"/>
              <w:ind w:right="210"/>
              <w:spacing w:after="0"/>
              <w:rPr>
                <w:sz w:val="20"/>
                <w:szCs w:val="20"/>
                <w:color w:val="auto"/>
              </w:rPr>
            </w:pPr>
            <w:r>
              <w:rPr>
                <w:rFonts w:ascii="Arial" w:cs="Arial" w:eastAsia="Arial" w:hAnsi="Arial"/>
                <w:sz w:val="18"/>
                <w:szCs w:val="18"/>
                <w:color w:val="auto"/>
              </w:rPr>
              <w:t>42,187</w:t>
            </w:r>
          </w:p>
        </w:tc>
        <w:tc>
          <w:tcPr>
            <w:tcW w:w="1380" w:type="dxa"/>
            <w:vAlign w:val="bottom"/>
            <w:shd w:val="clear" w:color="auto" w:fill="CCEDFF"/>
          </w:tcPr>
          <w:p>
            <w:pPr>
              <w:jc w:val="right"/>
              <w:ind w:right="290"/>
              <w:spacing w:after="0"/>
              <w:rPr>
                <w:sz w:val="20"/>
                <w:szCs w:val="20"/>
                <w:color w:val="auto"/>
              </w:rPr>
            </w:pPr>
            <w:r>
              <w:rPr>
                <w:rFonts w:ascii="Arial" w:cs="Arial" w:eastAsia="Arial" w:hAnsi="Arial"/>
                <w:sz w:val="18"/>
                <w:szCs w:val="18"/>
                <w:color w:val="auto"/>
              </w:rPr>
              <w:t>(20,050)</w:t>
            </w:r>
          </w:p>
        </w:tc>
        <w:tc>
          <w:tcPr>
            <w:tcW w:w="1060" w:type="dxa"/>
            <w:vAlign w:val="bottom"/>
            <w:shd w:val="clear" w:color="auto" w:fill="CCEDFF"/>
          </w:tcPr>
          <w:p>
            <w:pPr>
              <w:spacing w:after="0"/>
              <w:rPr>
                <w:sz w:val="20"/>
                <w:szCs w:val="20"/>
                <w:color w:val="auto"/>
              </w:rPr>
            </w:pPr>
          </w:p>
        </w:tc>
        <w:tc>
          <w:tcPr>
            <w:tcW w:w="1400" w:type="dxa"/>
            <w:vAlign w:val="bottom"/>
            <w:shd w:val="clear" w:color="auto" w:fill="CCEDFF"/>
          </w:tcPr>
          <w:p>
            <w:pPr>
              <w:spacing w:after="0"/>
              <w:rPr>
                <w:sz w:val="20"/>
                <w:szCs w:val="20"/>
                <w:color w:val="auto"/>
              </w:rPr>
            </w:pPr>
          </w:p>
        </w:tc>
        <w:tc>
          <w:tcPr>
            <w:tcW w:w="880" w:type="dxa"/>
            <w:vAlign w:val="bottom"/>
            <w:shd w:val="clear" w:color="auto" w:fill="CCED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Change in pension and postretirement benefits</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13,364</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(32,202)</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82,204</w:t>
            </w:r>
          </w:p>
        </w:tc>
        <w:tc>
          <w:tcPr>
            <w:tcW w:w="1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Deferred income taxes, net</w:t>
            </w:r>
          </w:p>
        </w:tc>
        <w:tc>
          <w:tcPr>
            <w:tcW w:w="1240" w:type="dxa"/>
            <w:vAlign w:val="bottom"/>
            <w:tcBorders>
              <w:bottom w:val="single" w:sz="8" w:color="auto"/>
            </w:tcBorders>
            <w:shd w:val="clear" w:color="auto" w:fill="CCEDFF"/>
          </w:tcPr>
          <w:p>
            <w:pPr>
              <w:jc w:val="right"/>
              <w:ind w:right="110"/>
              <w:spacing w:after="0"/>
              <w:rPr>
                <w:sz w:val="20"/>
                <w:szCs w:val="20"/>
                <w:color w:val="auto"/>
              </w:rPr>
            </w:pPr>
            <w:r>
              <w:rPr>
                <w:rFonts w:ascii="Arial" w:cs="Arial" w:eastAsia="Arial" w:hAnsi="Arial"/>
                <w:sz w:val="18"/>
                <w:szCs w:val="18"/>
                <w:color w:val="auto"/>
              </w:rPr>
              <w:t>(3,174)</w:t>
            </w:r>
          </w:p>
        </w:tc>
        <w:tc>
          <w:tcPr>
            <w:tcW w:w="1280" w:type="dxa"/>
            <w:vAlign w:val="bottom"/>
            <w:tcBorders>
              <w:bottom w:val="single" w:sz="8" w:color="auto"/>
            </w:tcBorders>
            <w:shd w:val="clear" w:color="auto" w:fill="CCEDFF"/>
          </w:tcPr>
          <w:p>
            <w:pPr>
              <w:jc w:val="right"/>
              <w:ind w:right="210"/>
              <w:spacing w:after="0"/>
              <w:rPr>
                <w:sz w:val="20"/>
                <w:szCs w:val="20"/>
                <w:color w:val="auto"/>
              </w:rPr>
            </w:pPr>
            <w:r>
              <w:rPr>
                <w:rFonts w:ascii="Arial" w:cs="Arial" w:eastAsia="Arial" w:hAnsi="Arial"/>
                <w:sz w:val="18"/>
                <w:szCs w:val="18"/>
                <w:color w:val="auto"/>
              </w:rPr>
              <w:t>6,668</w:t>
            </w:r>
          </w:p>
        </w:tc>
        <w:tc>
          <w:tcPr>
            <w:tcW w:w="1380" w:type="dxa"/>
            <w:vAlign w:val="bottom"/>
            <w:tcBorders>
              <w:bottom w:val="single" w:sz="8" w:color="auto"/>
            </w:tcBorders>
            <w:shd w:val="clear" w:color="auto" w:fill="CCEDFF"/>
          </w:tcPr>
          <w:p>
            <w:pPr>
              <w:jc w:val="right"/>
              <w:ind w:right="290"/>
              <w:spacing w:after="0"/>
              <w:rPr>
                <w:sz w:val="20"/>
                <w:szCs w:val="20"/>
                <w:color w:val="auto"/>
              </w:rPr>
            </w:pPr>
            <w:r>
              <w:rPr>
                <w:rFonts w:ascii="Arial" w:cs="Arial" w:eastAsia="Arial" w:hAnsi="Arial"/>
                <w:sz w:val="18"/>
                <w:szCs w:val="18"/>
                <w:color w:val="auto"/>
              </w:rPr>
              <w:t>(19,967)</w:t>
            </w:r>
          </w:p>
        </w:tc>
        <w:tc>
          <w:tcPr>
            <w:tcW w:w="106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spacing w:after="0"/>
              <w:rPr>
                <w:sz w:val="19"/>
                <w:szCs w:val="19"/>
                <w:color w:val="auto"/>
              </w:rPr>
            </w:pPr>
          </w:p>
        </w:tc>
        <w:tc>
          <w:tcPr>
            <w:tcW w:w="880" w:type="dxa"/>
            <w:vAlign w:val="bottom"/>
            <w:tcBorders>
              <w:bottom w:val="single" w:sz="8" w:color="auto"/>
            </w:tcBorders>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26,843</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16,653</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42,187</w:t>
            </w: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stockholders' equity</w:t>
            </w:r>
          </w:p>
        </w:tc>
        <w:tc>
          <w:tcPr>
            <w:tcW w:w="1240" w:type="dxa"/>
            <w:vAlign w:val="bottom"/>
            <w:tcBorders>
              <w:bottom w:val="single" w:sz="8" w:color="auto"/>
            </w:tcBorders>
            <w:shd w:val="clear" w:color="auto" w:fill="CCEDFF"/>
          </w:tcPr>
          <w:p>
            <w:pPr>
              <w:jc w:val="right"/>
              <w:ind w:right="170"/>
              <w:spacing w:after="0"/>
              <w:rPr>
                <w:sz w:val="20"/>
                <w:szCs w:val="20"/>
                <w:color w:val="auto"/>
              </w:rPr>
            </w:pPr>
            <w:r>
              <w:rPr>
                <w:rFonts w:ascii="Arial" w:cs="Arial" w:eastAsia="Arial" w:hAnsi="Arial"/>
                <w:sz w:val="18"/>
                <w:szCs w:val="18"/>
                <w:color w:val="auto"/>
              </w:rPr>
              <w:t>21,240</w:t>
            </w:r>
          </w:p>
        </w:tc>
        <w:tc>
          <w:tcPr>
            <w:tcW w:w="1280" w:type="dxa"/>
            <w:vAlign w:val="bottom"/>
            <w:tcBorders>
              <w:bottom w:val="single" w:sz="8" w:color="auto"/>
            </w:tcBorders>
            <w:shd w:val="clear" w:color="auto" w:fill="CCEDFF"/>
          </w:tcPr>
          <w:p>
            <w:pPr>
              <w:jc w:val="right"/>
              <w:ind w:right="210"/>
              <w:spacing w:after="0"/>
              <w:rPr>
                <w:sz w:val="20"/>
                <w:szCs w:val="20"/>
                <w:color w:val="auto"/>
              </w:rPr>
            </w:pPr>
            <w:r>
              <w:rPr>
                <w:rFonts w:ascii="Arial" w:cs="Arial" w:eastAsia="Arial" w:hAnsi="Arial"/>
                <w:sz w:val="18"/>
                <w:szCs w:val="18"/>
                <w:color w:val="auto"/>
              </w:rPr>
              <w:t>15,005</w:t>
            </w:r>
          </w:p>
        </w:tc>
        <w:tc>
          <w:tcPr>
            <w:tcW w:w="1380" w:type="dxa"/>
            <w:vAlign w:val="bottom"/>
            <w:tcBorders>
              <w:bottom w:val="single" w:sz="8" w:color="auto"/>
            </w:tcBorders>
            <w:shd w:val="clear" w:color="auto" w:fill="CCEDFF"/>
          </w:tcPr>
          <w:p>
            <w:pPr>
              <w:jc w:val="right"/>
              <w:ind w:right="330"/>
              <w:spacing w:after="0"/>
              <w:rPr>
                <w:sz w:val="20"/>
                <w:szCs w:val="20"/>
                <w:color w:val="auto"/>
              </w:rPr>
            </w:pPr>
            <w:r>
              <w:rPr>
                <w:rFonts w:ascii="Arial" w:cs="Arial" w:eastAsia="Arial" w:hAnsi="Arial"/>
                <w:sz w:val="18"/>
                <w:szCs w:val="18"/>
                <w:color w:val="auto"/>
              </w:rPr>
              <w:t>41,097</w:t>
            </w:r>
          </w:p>
        </w:tc>
        <w:tc>
          <w:tcPr>
            <w:tcW w:w="1060" w:type="dxa"/>
            <w:vAlign w:val="bottom"/>
            <w:tcBorders>
              <w:bottom w:val="single" w:sz="8" w:color="auto"/>
            </w:tcBorders>
            <w:shd w:val="clear" w:color="auto" w:fill="CCEDFF"/>
          </w:tcPr>
          <w:p>
            <w:pPr>
              <w:jc w:val="right"/>
              <w:ind w:right="170"/>
              <w:spacing w:after="0"/>
              <w:rPr>
                <w:sz w:val="20"/>
                <w:szCs w:val="20"/>
                <w:color w:val="auto"/>
              </w:rPr>
            </w:pPr>
            <w:r>
              <w:rPr>
                <w:rFonts w:ascii="Arial" w:cs="Arial" w:eastAsia="Arial" w:hAnsi="Arial"/>
                <w:sz w:val="18"/>
                <w:szCs w:val="18"/>
                <w:color w:val="auto"/>
              </w:rPr>
              <w:t>6,064</w:t>
            </w:r>
          </w:p>
        </w:tc>
        <w:tc>
          <w:tcPr>
            <w:tcW w:w="1400" w:type="dxa"/>
            <w:vAlign w:val="bottom"/>
            <w:tcBorders>
              <w:bottom w:val="single" w:sz="8" w:color="auto"/>
            </w:tcBorders>
            <w:shd w:val="clear" w:color="auto" w:fill="CCEDFF"/>
          </w:tcPr>
          <w:p>
            <w:pPr>
              <w:jc w:val="right"/>
              <w:ind w:right="330"/>
              <w:spacing w:after="0"/>
              <w:rPr>
                <w:sz w:val="20"/>
                <w:szCs w:val="20"/>
                <w:color w:val="auto"/>
              </w:rPr>
            </w:pPr>
            <w:r>
              <w:rPr>
                <w:rFonts w:ascii="Arial" w:cs="Arial" w:eastAsia="Arial" w:hAnsi="Arial"/>
                <w:sz w:val="18"/>
                <w:szCs w:val="18"/>
                <w:color w:val="auto"/>
              </w:rPr>
              <w:t>5,979</w:t>
            </w:r>
          </w:p>
        </w:tc>
        <w:tc>
          <w:tcPr>
            <w:tcW w:w="8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DFF"/>
              <w:bottom w:val="single" w:sz="8" w:color="auto"/>
            </w:tcBorders>
          </w:tcPr>
          <w:p>
            <w:pPr>
              <w:spacing w:after="0" w:line="20" w:lineRule="exact"/>
              <w:rPr>
                <w:sz w:val="1"/>
                <w:szCs w:val="1"/>
                <w:color w:val="auto"/>
              </w:rPr>
            </w:pPr>
          </w:p>
        </w:tc>
        <w:tc>
          <w:tcPr>
            <w:tcW w:w="1240" w:type="dxa"/>
            <w:vAlign w:val="bottom"/>
            <w:tcBorders>
              <w:top w:val="single" w:sz="8" w:color="CCEDFF"/>
              <w:bottom w:val="single" w:sz="8" w:color="auto"/>
            </w:tcBorders>
          </w:tcPr>
          <w:p>
            <w:pPr>
              <w:spacing w:after="0" w:line="20" w:lineRule="exact"/>
              <w:rPr>
                <w:sz w:val="1"/>
                <w:szCs w:val="1"/>
                <w:color w:val="auto"/>
              </w:rPr>
            </w:pPr>
          </w:p>
        </w:tc>
        <w:tc>
          <w:tcPr>
            <w:tcW w:w="1280" w:type="dxa"/>
            <w:vAlign w:val="bottom"/>
            <w:tcBorders>
              <w:top w:val="single" w:sz="8" w:color="CCEDFF"/>
              <w:bottom w:val="single" w:sz="8" w:color="auto"/>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c>
          <w:tcPr>
            <w:tcW w:w="1400" w:type="dxa"/>
            <w:vAlign w:val="bottom"/>
            <w:tcBorders>
              <w:top w:val="single" w:sz="8" w:color="CCEDFF"/>
              <w:bottom w:val="single" w:sz="8" w:color="auto"/>
            </w:tcBorders>
          </w:tcPr>
          <w:p>
            <w:pPr>
              <w:spacing w:after="0" w:line="20" w:lineRule="exact"/>
              <w:rPr>
                <w:sz w:val="1"/>
                <w:szCs w:val="1"/>
                <w:color w:val="auto"/>
              </w:rPr>
            </w:pPr>
          </w:p>
        </w:tc>
        <w:tc>
          <w:tcPr>
            <w:tcW w:w="8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6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1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0"/>
        </w:trPr>
        <w:tc>
          <w:tcPr>
            <w:tcW w:w="69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(required for) provided by operating activities:</w:t>
            </w:r>
          </w:p>
        </w:tc>
        <w:tc>
          <w:tcPr>
            <w:tcW w:w="1600" w:type="dxa"/>
            <w:vAlign w:val="bottom"/>
            <w:shd w:val="clear" w:color="auto" w:fill="CCEDFF"/>
          </w:tcPr>
          <w:p>
            <w:pPr>
              <w:spacing w:after="0"/>
              <w:rPr>
                <w:sz w:val="19"/>
                <w:szCs w:val="19"/>
                <w:color w:val="auto"/>
              </w:rPr>
            </w:pPr>
          </w:p>
        </w:tc>
        <w:tc>
          <w:tcPr>
            <w:tcW w:w="1580" w:type="dxa"/>
            <w:vAlign w:val="bottom"/>
            <w:shd w:val="clear" w:color="auto" w:fill="CCEDFF"/>
          </w:tcPr>
          <w:p>
            <w:pPr>
              <w:spacing w:after="0"/>
              <w:rPr>
                <w:sz w:val="19"/>
                <w:szCs w:val="19"/>
                <w:color w:val="auto"/>
              </w:rPr>
            </w:pPr>
          </w:p>
        </w:tc>
        <w:tc>
          <w:tcPr>
            <w:tcW w:w="1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(2,733)</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97</w:t>
            </w:r>
          </w:p>
        </w:tc>
        <w:tc>
          <w:tcPr>
            <w:tcW w:w="1140" w:type="dxa"/>
            <w:vAlign w:val="bottom"/>
          </w:tcPr>
          <w:p>
            <w:pPr>
              <w:jc w:val="right"/>
              <w:spacing w:after="0"/>
              <w:rPr>
                <w:sz w:val="20"/>
                <w:szCs w:val="20"/>
                <w:color w:val="auto"/>
              </w:rPr>
            </w:pPr>
            <w:r>
              <w:rPr>
                <w:rFonts w:ascii="Arial" w:cs="Arial" w:eastAsia="Arial" w:hAnsi="Arial"/>
                <w:sz w:val="18"/>
                <w:szCs w:val="18"/>
                <w:color w:val="auto"/>
              </w:rPr>
              <w:t>24,792</w:t>
            </w:r>
          </w:p>
        </w:tc>
        <w:tc>
          <w:tcPr>
            <w:tcW w:w="0" w:type="dxa"/>
            <w:vAlign w:val="bottom"/>
          </w:tcPr>
          <w:p>
            <w:pPr>
              <w:spacing w:after="0"/>
              <w:rPr>
                <w:sz w:val="1"/>
                <w:szCs w:val="1"/>
                <w:color w:val="auto"/>
              </w:rPr>
            </w:pPr>
          </w:p>
        </w:tc>
      </w:tr>
      <w:tr>
        <w:trPr>
          <w:trHeight w:val="176"/>
        </w:trPr>
        <w:tc>
          <w:tcPr>
            <w:tcW w:w="6920" w:type="dxa"/>
            <w:vAlign w:val="bottom"/>
            <w:shd w:val="clear" w:color="auto" w:fill="CCEDFF"/>
          </w:tcPr>
          <w:p>
            <w:pPr>
              <w:ind w:left="20"/>
              <w:spacing w:after="0" w:line="176" w:lineRule="exact"/>
              <w:rPr>
                <w:sz w:val="20"/>
                <w:szCs w:val="20"/>
                <w:color w:val="auto"/>
              </w:rPr>
            </w:pPr>
            <w:r>
              <w:rPr>
                <w:rFonts w:ascii="Arial" w:cs="Arial" w:eastAsia="Arial" w:hAnsi="Arial"/>
                <w:sz w:val="18"/>
                <w:szCs w:val="18"/>
                <w:color w:val="auto"/>
              </w:rPr>
              <w:t>Adjustments to reconcile net income (loss) to net cash provided by (required for)</w:t>
            </w:r>
          </w:p>
        </w:tc>
        <w:tc>
          <w:tcPr>
            <w:tcW w:w="1600" w:type="dxa"/>
            <w:vAlign w:val="bottom"/>
            <w:shd w:val="clear" w:color="auto" w:fill="CCEDFF"/>
          </w:tcPr>
          <w:p>
            <w:pPr>
              <w:spacing w:after="0"/>
              <w:rPr>
                <w:sz w:val="15"/>
                <w:szCs w:val="15"/>
                <w:color w:val="auto"/>
              </w:rPr>
            </w:pPr>
          </w:p>
        </w:tc>
        <w:tc>
          <w:tcPr>
            <w:tcW w:w="1580" w:type="dxa"/>
            <w:vAlign w:val="bottom"/>
            <w:shd w:val="clear" w:color="auto" w:fill="CCEDFF"/>
          </w:tcPr>
          <w:p>
            <w:pPr>
              <w:spacing w:after="0"/>
              <w:rPr>
                <w:sz w:val="15"/>
                <w:szCs w:val="15"/>
                <w:color w:val="auto"/>
              </w:rPr>
            </w:pPr>
          </w:p>
        </w:tc>
        <w:tc>
          <w:tcPr>
            <w:tcW w:w="1140" w:type="dxa"/>
            <w:vAlign w:val="bottom"/>
            <w:shd w:val="clear" w:color="auto" w:fill="CCED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20" w:type="dxa"/>
            <w:vAlign w:val="bottom"/>
            <w:shd w:val="clear" w:color="auto" w:fill="CCEDFF"/>
          </w:tcPr>
          <w:p>
            <w:pPr>
              <w:ind w:left="20"/>
              <w:spacing w:after="0"/>
              <w:rPr>
                <w:sz w:val="20"/>
                <w:szCs w:val="20"/>
                <w:color w:val="auto"/>
              </w:rPr>
            </w:pPr>
            <w:r>
              <w:rPr>
                <w:rFonts w:ascii="Arial" w:cs="Arial" w:eastAsia="Arial" w:hAnsi="Arial"/>
                <w:sz w:val="18"/>
                <w:szCs w:val="18"/>
                <w:color w:val="auto"/>
              </w:rPr>
              <w:t>operating activities:</w:t>
            </w:r>
          </w:p>
        </w:tc>
        <w:tc>
          <w:tcPr>
            <w:tcW w:w="1600" w:type="dxa"/>
            <w:vAlign w:val="bottom"/>
            <w:shd w:val="clear" w:color="auto" w:fill="CCEDFF"/>
          </w:tcPr>
          <w:p>
            <w:pPr>
              <w:spacing w:after="0"/>
              <w:rPr>
                <w:sz w:val="21"/>
                <w:szCs w:val="21"/>
                <w:color w:val="auto"/>
              </w:rPr>
            </w:pPr>
          </w:p>
        </w:tc>
        <w:tc>
          <w:tcPr>
            <w:tcW w:w="1580" w:type="dxa"/>
            <w:vAlign w:val="bottom"/>
            <w:shd w:val="clear" w:color="auto" w:fill="CCEDFF"/>
          </w:tcPr>
          <w:p>
            <w:pPr>
              <w:spacing w:after="0"/>
              <w:rPr>
                <w:sz w:val="21"/>
                <w:szCs w:val="21"/>
                <w:color w:val="auto"/>
              </w:rPr>
            </w:pPr>
          </w:p>
        </w:tc>
        <w:tc>
          <w:tcPr>
            <w:tcW w:w="114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30,621</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36,544</w:t>
            </w:r>
          </w:p>
        </w:tc>
        <w:tc>
          <w:tcPr>
            <w:tcW w:w="1140" w:type="dxa"/>
            <w:vAlign w:val="bottom"/>
          </w:tcPr>
          <w:p>
            <w:pPr>
              <w:jc w:val="right"/>
              <w:spacing w:after="0"/>
              <w:rPr>
                <w:sz w:val="20"/>
                <w:szCs w:val="20"/>
                <w:color w:val="auto"/>
              </w:rPr>
            </w:pPr>
            <w:r>
              <w:rPr>
                <w:rFonts w:ascii="Arial" w:cs="Arial" w:eastAsia="Arial" w:hAnsi="Arial"/>
                <w:sz w:val="18"/>
                <w:szCs w:val="18"/>
                <w:color w:val="auto"/>
              </w:rPr>
              <w:t>42,841</w:t>
            </w: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Bad debt expense</w:t>
            </w:r>
          </w:p>
        </w:tc>
        <w:tc>
          <w:tcPr>
            <w:tcW w:w="160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6,942</w:t>
            </w:r>
          </w:p>
        </w:tc>
        <w:tc>
          <w:tcPr>
            <w:tcW w:w="158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5,190</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Curtailment gain</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(1,027)</w:t>
            </w:r>
          </w:p>
        </w:tc>
        <w:tc>
          <w:tcPr>
            <w:tcW w:w="1140" w:type="dxa"/>
            <w:vAlign w:val="bottom"/>
          </w:tcPr>
          <w:p>
            <w:pPr>
              <w:jc w:val="right"/>
              <w:spacing w:after="0"/>
              <w:rPr>
                <w:sz w:val="20"/>
                <w:szCs w:val="20"/>
                <w:color w:val="auto"/>
              </w:rPr>
            </w:pPr>
            <w:r>
              <w:rPr>
                <w:rFonts w:ascii="Arial" w:cs="Arial" w:eastAsia="Arial" w:hAnsi="Arial"/>
                <w:sz w:val="18"/>
                <w:szCs w:val="18"/>
                <w:color w:val="auto"/>
              </w:rPr>
              <w:t>(23,830)</w:t>
            </w: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Pension withdrawal cost</w:t>
            </w:r>
          </w:p>
        </w:tc>
        <w:tc>
          <w:tcPr>
            <w:tcW w:w="160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1,200</w:t>
            </w:r>
          </w:p>
        </w:tc>
        <w:tc>
          <w:tcPr>
            <w:tcW w:w="158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2,335</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12,862</w:t>
            </w: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Stock compensation expense</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1,806</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1,337</w:t>
            </w:r>
          </w:p>
        </w:tc>
        <w:tc>
          <w:tcPr>
            <w:tcW w:w="1140" w:type="dxa"/>
            <w:vAlign w:val="bottom"/>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Asset loss (gain) on sales, impairments and other, net</w:t>
            </w:r>
          </w:p>
        </w:tc>
        <w:tc>
          <w:tcPr>
            <w:tcW w:w="160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1,882</w:t>
            </w:r>
          </w:p>
        </w:tc>
        <w:tc>
          <w:tcPr>
            <w:tcW w:w="158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9,716</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Gain on sale of investment</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(1,736)</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Deferred income taxes</w:t>
            </w:r>
          </w:p>
        </w:tc>
        <w:tc>
          <w:tcPr>
            <w:tcW w:w="160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(4,542)</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(4,377)</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Pension contributions</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(112)</w:t>
            </w:r>
          </w:p>
        </w:tc>
        <w:tc>
          <w:tcPr>
            <w:tcW w:w="1140" w:type="dxa"/>
            <w:vAlign w:val="bottom"/>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Other, net</w:t>
            </w:r>
          </w:p>
        </w:tc>
        <w:tc>
          <w:tcPr>
            <w:tcW w:w="160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(2,290)</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(2,015)</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360"/>
              <w:spacing w:after="0"/>
              <w:rPr>
                <w:sz w:val="20"/>
                <w:szCs w:val="20"/>
                <w:color w:val="auto"/>
              </w:rPr>
            </w:pPr>
            <w:r>
              <w:rPr>
                <w:rFonts w:ascii="Arial" w:cs="Arial" w:eastAsia="Arial" w:hAnsi="Arial"/>
                <w:sz w:val="18"/>
                <w:szCs w:val="18"/>
                <w:color w:val="auto"/>
              </w:rPr>
              <w:t>Decrease (increase) in receivables</w:t>
            </w:r>
          </w:p>
        </w:tc>
        <w:tc>
          <w:tcPr>
            <w:tcW w:w="160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(6,739)</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(7,804)</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(13,977)</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Arial" w:cs="Arial" w:eastAsia="Arial" w:hAnsi="Arial"/>
                <w:sz w:val="18"/>
                <w:szCs w:val="18"/>
                <w:color w:val="auto"/>
              </w:rPr>
              <w:t>Decrease (increase) in inventories and other</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977</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(3,088)</w:t>
            </w:r>
          </w:p>
        </w:tc>
        <w:tc>
          <w:tcPr>
            <w:tcW w:w="1140" w:type="dxa"/>
            <w:vAlign w:val="bottom"/>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175"/>
        </w:trPr>
        <w:tc>
          <w:tcPr>
            <w:tcW w:w="6920" w:type="dxa"/>
            <w:vAlign w:val="bottom"/>
            <w:shd w:val="clear" w:color="auto" w:fill="CCEDFF"/>
          </w:tcPr>
          <w:p>
            <w:pPr>
              <w:ind w:left="360"/>
              <w:spacing w:after="0" w:line="176" w:lineRule="exact"/>
              <w:rPr>
                <w:sz w:val="20"/>
                <w:szCs w:val="20"/>
                <w:color w:val="auto"/>
              </w:rPr>
            </w:pPr>
            <w:r>
              <w:rPr>
                <w:rFonts w:ascii="Arial" w:cs="Arial" w:eastAsia="Arial" w:hAnsi="Arial"/>
                <w:sz w:val="18"/>
                <w:szCs w:val="18"/>
                <w:color w:val="auto"/>
              </w:rPr>
              <w:t>(Decrease) increase in accounts payable, unearned revenue, other accrued</w:t>
            </w:r>
          </w:p>
        </w:tc>
        <w:tc>
          <w:tcPr>
            <w:tcW w:w="1600" w:type="dxa"/>
            <w:vAlign w:val="bottom"/>
            <w:vMerge w:val="restart"/>
            <w:shd w:val="clear" w:color="auto" w:fill="CCEDFF"/>
          </w:tcPr>
          <w:p>
            <w:pPr>
              <w:jc w:val="right"/>
              <w:ind w:right="370"/>
              <w:spacing w:after="0"/>
              <w:rPr>
                <w:sz w:val="20"/>
                <w:szCs w:val="20"/>
                <w:color w:val="auto"/>
              </w:rPr>
            </w:pPr>
            <w:r>
              <w:rPr>
                <w:rFonts w:ascii="Arial" w:cs="Arial" w:eastAsia="Arial" w:hAnsi="Arial"/>
                <w:sz w:val="18"/>
                <w:szCs w:val="18"/>
                <w:color w:val="auto"/>
              </w:rPr>
              <w:t>(26,155)</w:t>
            </w:r>
          </w:p>
        </w:tc>
        <w:tc>
          <w:tcPr>
            <w:tcW w:w="1580" w:type="dxa"/>
            <w:vAlign w:val="bottom"/>
            <w:vMerge w:val="restart"/>
            <w:shd w:val="clear" w:color="auto" w:fill="CCEDFF"/>
          </w:tcPr>
          <w:p>
            <w:pPr>
              <w:jc w:val="right"/>
              <w:ind w:right="370"/>
              <w:spacing w:after="0"/>
              <w:rPr>
                <w:sz w:val="20"/>
                <w:szCs w:val="20"/>
                <w:color w:val="auto"/>
              </w:rPr>
            </w:pPr>
            <w:r>
              <w:rPr>
                <w:rFonts w:ascii="Arial" w:cs="Arial" w:eastAsia="Arial" w:hAnsi="Arial"/>
                <w:sz w:val="18"/>
                <w:szCs w:val="18"/>
                <w:color w:val="auto"/>
              </w:rPr>
              <w:t>(14,645)</w:t>
            </w:r>
          </w:p>
        </w:tc>
        <w:tc>
          <w:tcPr>
            <w:tcW w:w="1140" w:type="dxa"/>
            <w:vAlign w:val="bottom"/>
            <w:vMerge w:val="restart"/>
            <w:shd w:val="clear" w:color="auto" w:fill="CCEDFF"/>
          </w:tcPr>
          <w:p>
            <w:pPr>
              <w:jc w:val="right"/>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43"/>
        </w:trPr>
        <w:tc>
          <w:tcPr>
            <w:tcW w:w="6920" w:type="dxa"/>
            <w:vAlign w:val="bottom"/>
            <w:shd w:val="clear" w:color="auto" w:fill="CCEDFF"/>
          </w:tcPr>
          <w:p>
            <w:pPr>
              <w:ind w:left="360"/>
              <w:spacing w:after="0"/>
              <w:rPr>
                <w:sz w:val="20"/>
                <w:szCs w:val="20"/>
                <w:color w:val="auto"/>
              </w:rPr>
            </w:pPr>
            <w:r>
              <w:rPr>
                <w:rFonts w:ascii="Arial" w:cs="Arial" w:eastAsia="Arial" w:hAnsi="Arial"/>
                <w:sz w:val="18"/>
                <w:szCs w:val="18"/>
                <w:color w:val="auto"/>
              </w:rPr>
              <w:t>liabilities and operating lease obligations</w:t>
            </w:r>
          </w:p>
        </w:tc>
        <w:tc>
          <w:tcPr>
            <w:tcW w:w="1600" w:type="dxa"/>
            <w:vAlign w:val="bottom"/>
            <w:vMerge w:val="continue"/>
            <w:shd w:val="clear" w:color="auto" w:fill="CCEDFF"/>
          </w:tcPr>
          <w:p>
            <w:pPr>
              <w:spacing w:after="0"/>
              <w:rPr>
                <w:sz w:val="21"/>
                <w:szCs w:val="21"/>
                <w:color w:val="auto"/>
              </w:rPr>
            </w:pPr>
          </w:p>
        </w:tc>
        <w:tc>
          <w:tcPr>
            <w:tcW w:w="1580" w:type="dxa"/>
            <w:vAlign w:val="bottom"/>
            <w:vMerge w:val="continue"/>
            <w:shd w:val="clear" w:color="auto" w:fill="CCEDFF"/>
          </w:tcPr>
          <w:p>
            <w:pPr>
              <w:spacing w:after="0"/>
              <w:rPr>
                <w:sz w:val="21"/>
                <w:szCs w:val="21"/>
                <w:color w:val="auto"/>
              </w:rPr>
            </w:pPr>
          </w:p>
        </w:tc>
        <w:tc>
          <w:tcPr>
            <w:tcW w:w="1140" w:type="dxa"/>
            <w:vAlign w:val="bottom"/>
            <w:vMerge w:val="continue"/>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360"/>
              <w:spacing w:after="0"/>
              <w:rPr>
                <w:sz w:val="20"/>
                <w:szCs w:val="20"/>
                <w:color w:val="auto"/>
              </w:rPr>
            </w:pPr>
            <w:r>
              <w:rPr>
                <w:rFonts w:ascii="Arial" w:cs="Arial" w:eastAsia="Arial" w:hAnsi="Arial"/>
                <w:sz w:val="18"/>
                <w:szCs w:val="18"/>
                <w:color w:val="auto"/>
              </w:rPr>
              <w:t>Decrease in pension, postretirement and postemployment benefit obligations</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(83)</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(21,449)</w:t>
            </w:r>
          </w:p>
        </w:tc>
        <w:tc>
          <w:tcPr>
            <w:tcW w:w="1140" w:type="dxa"/>
            <w:vAlign w:val="bottom"/>
          </w:tcPr>
          <w:p>
            <w:pPr>
              <w:jc w:val="right"/>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30"/>
        </w:trPr>
        <w:tc>
          <w:tcPr>
            <w:tcW w:w="6920" w:type="dxa"/>
            <w:vAlign w:val="bottom"/>
            <w:shd w:val="clear" w:color="auto" w:fill="CCEDFF"/>
          </w:tcPr>
          <w:p>
            <w:pPr>
              <w:ind w:left="360"/>
              <w:spacing w:after="0"/>
              <w:rPr>
                <w:sz w:val="20"/>
                <w:szCs w:val="20"/>
                <w:color w:val="auto"/>
              </w:rPr>
            </w:pPr>
            <w:r>
              <w:rPr>
                <w:rFonts w:ascii="Arial" w:cs="Arial" w:eastAsia="Arial" w:hAnsi="Arial"/>
                <w:sz w:val="18"/>
                <w:szCs w:val="18"/>
                <w:color w:val="auto"/>
              </w:rPr>
              <w:t>Change in income taxes payable</w:t>
            </w:r>
          </w:p>
        </w:tc>
        <w:tc>
          <w:tcPr>
            <w:tcW w:w="160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345</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(236)</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(8,418)</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2,963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Net cash (required for) provided by operating activities</w:t>
            </w:r>
          </w:p>
        </w:tc>
        <w:tc>
          <w:tcPr>
            <w:tcW w:w="1600" w:type="dxa"/>
            <w:vAlign w:val="bottom"/>
            <w:tcBorders>
              <w:bottom w:val="single" w:sz="8" w:color="auto"/>
            </w:tcBorders>
            <w:shd w:val="clear" w:color="auto" w:fill="CCEDFF"/>
          </w:tcPr>
          <w:p>
            <w:pPr>
              <w:jc w:val="right"/>
              <w:ind w:right="370"/>
              <w:spacing w:after="0"/>
              <w:rPr>
                <w:sz w:val="20"/>
                <w:szCs w:val="20"/>
                <w:color w:val="auto"/>
              </w:rPr>
            </w:pPr>
            <w:r>
              <w:rPr>
                <w:rFonts w:ascii="Arial" w:cs="Arial" w:eastAsia="Arial" w:hAnsi="Arial"/>
                <w:sz w:val="18"/>
                <w:szCs w:val="18"/>
                <w:color w:val="auto"/>
              </w:rPr>
              <w:t>(2,524)</w:t>
            </w:r>
          </w:p>
        </w:tc>
        <w:tc>
          <w:tcPr>
            <w:tcW w:w="158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3,429</w:t>
            </w:r>
          </w:p>
        </w:tc>
        <w:tc>
          <w:tcPr>
            <w:tcW w:w="11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50,078</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color w:val="auto"/>
              </w:rPr>
              <w:t>Cash provided by (required for) investing activities:</w:t>
            </w: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Purchases of property and equipment</w:t>
            </w:r>
          </w:p>
        </w:tc>
        <w:tc>
          <w:tcPr>
            <w:tcW w:w="160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(5,107)</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(7,536)</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(7,479)</w:t>
            </w: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Proceeds from sales of assets</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11,952</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14,835</w:t>
            </w:r>
          </w:p>
        </w:tc>
        <w:tc>
          <w:tcPr>
            <w:tcW w:w="1140" w:type="dxa"/>
            <w:vAlign w:val="bottom"/>
          </w:tcPr>
          <w:p>
            <w:pPr>
              <w:jc w:val="right"/>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Distributions greater (less) than earnings of TNI and MNI</w:t>
            </w:r>
          </w:p>
        </w:tc>
        <w:tc>
          <w:tcPr>
            <w:tcW w:w="160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(657)</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(576)</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net</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1,791</w:t>
            </w: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(386)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Net cash provided by (required for) investing activities</w:t>
            </w:r>
          </w:p>
        </w:tc>
        <w:tc>
          <w:tcPr>
            <w:tcW w:w="160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7,979</w:t>
            </w:r>
          </w:p>
        </w:tc>
        <w:tc>
          <w:tcPr>
            <w:tcW w:w="158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6,337</w:t>
            </w:r>
          </w:p>
        </w:tc>
        <w:tc>
          <w:tcPr>
            <w:tcW w:w="11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color w:val="auto"/>
              </w:rPr>
              <w:t>Cash required for financing activities:</w:t>
            </w: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Principal payments on long-term borrowings</w:t>
            </w:r>
          </w:p>
        </w:tc>
        <w:tc>
          <w:tcPr>
            <w:tcW w:w="160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(6,813)</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(20,062)</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(55,674)</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Sale (purchases) of common stock transactions</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(279)</w:t>
            </w: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369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Net cash required for financing activities</w:t>
            </w:r>
          </w:p>
        </w:tc>
        <w:tc>
          <w:tcPr>
            <w:tcW w:w="1600" w:type="dxa"/>
            <w:vAlign w:val="bottom"/>
            <w:tcBorders>
              <w:bottom w:val="single" w:sz="8" w:color="auto"/>
            </w:tcBorders>
            <w:shd w:val="clear" w:color="auto" w:fill="CCEDFF"/>
          </w:tcPr>
          <w:p>
            <w:pPr>
              <w:jc w:val="right"/>
              <w:ind w:right="370"/>
              <w:spacing w:after="0"/>
              <w:rPr>
                <w:sz w:val="20"/>
                <w:szCs w:val="20"/>
                <w:color w:val="auto"/>
              </w:rPr>
            </w:pPr>
            <w:r>
              <w:rPr>
                <w:rFonts w:ascii="Arial" w:cs="Arial" w:eastAsia="Arial" w:hAnsi="Arial"/>
                <w:sz w:val="18"/>
                <w:szCs w:val="18"/>
                <w:color w:val="auto"/>
              </w:rPr>
              <w:t>(7,092)</w:t>
            </w:r>
          </w:p>
        </w:tc>
        <w:tc>
          <w:tcPr>
            <w:tcW w:w="1580" w:type="dxa"/>
            <w:vAlign w:val="bottom"/>
            <w:tcBorders>
              <w:bottom w:val="single" w:sz="8" w:color="auto"/>
            </w:tcBorders>
            <w:shd w:val="clear" w:color="auto" w:fill="CCEDFF"/>
          </w:tcPr>
          <w:p>
            <w:pPr>
              <w:jc w:val="right"/>
              <w:ind w:right="370"/>
              <w:spacing w:after="0"/>
              <w:rPr>
                <w:sz w:val="20"/>
                <w:szCs w:val="20"/>
                <w:color w:val="auto"/>
              </w:rPr>
            </w:pPr>
            <w:r>
              <w:rPr>
                <w:rFonts w:ascii="Arial" w:cs="Arial" w:eastAsia="Arial" w:hAnsi="Arial"/>
                <w:sz w:val="18"/>
                <w:szCs w:val="18"/>
                <w:color w:val="auto"/>
              </w:rPr>
              <w:t>(19,693)</w:t>
            </w:r>
          </w:p>
        </w:tc>
        <w:tc>
          <w:tcPr>
            <w:tcW w:w="11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(55,421)</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(1,637)</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(9,927)</w:t>
            </w:r>
          </w:p>
        </w:tc>
        <w:tc>
          <w:tcPr>
            <w:tcW w:w="1140" w:type="dxa"/>
            <w:vAlign w:val="bottom"/>
          </w:tcPr>
          <w:p>
            <w:pPr>
              <w:jc w:val="right"/>
              <w:spacing w:after="0"/>
              <w:rPr>
                <w:sz w:val="20"/>
                <w:szCs w:val="20"/>
                <w:color w:val="auto"/>
              </w:rPr>
            </w:pPr>
            <w:r>
              <w:rPr>
                <w:rFonts w:ascii="Arial" w:cs="Arial" w:eastAsia="Arial" w:hAnsi="Arial"/>
                <w:sz w:val="18"/>
                <w:szCs w:val="18"/>
                <w:color w:val="auto"/>
              </w:rPr>
              <w:t>(7,621)</w:t>
            </w:r>
          </w:p>
        </w:tc>
        <w:tc>
          <w:tcPr>
            <w:tcW w:w="0" w:type="dxa"/>
            <w:vAlign w:val="bottom"/>
          </w:tcPr>
          <w:p>
            <w:pPr>
              <w:spacing w:after="0"/>
              <w:rPr>
                <w:sz w:val="1"/>
                <w:szCs w:val="1"/>
                <w:color w:val="auto"/>
              </w:rPr>
            </w:pPr>
          </w:p>
        </w:tc>
      </w:tr>
      <w:tr>
        <w:trPr>
          <w:trHeight w:val="230"/>
        </w:trPr>
        <w:tc>
          <w:tcPr>
            <w:tcW w:w="692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and cash equivalents:</w:t>
            </w:r>
          </w:p>
        </w:tc>
        <w:tc>
          <w:tcPr>
            <w:tcW w:w="1600" w:type="dxa"/>
            <w:vAlign w:val="bottom"/>
            <w:shd w:val="clear" w:color="auto" w:fill="CCEDFF"/>
          </w:tcPr>
          <w:p>
            <w:pPr>
              <w:spacing w:after="0"/>
              <w:rPr>
                <w:sz w:val="19"/>
                <w:szCs w:val="19"/>
                <w:color w:val="auto"/>
              </w:rPr>
            </w:pPr>
          </w:p>
        </w:tc>
        <w:tc>
          <w:tcPr>
            <w:tcW w:w="1580" w:type="dxa"/>
            <w:vAlign w:val="bottom"/>
            <w:shd w:val="clear" w:color="auto" w:fill="CCEDFF"/>
          </w:tcPr>
          <w:p>
            <w:pPr>
              <w:spacing w:after="0"/>
              <w:rPr>
                <w:sz w:val="19"/>
                <w:szCs w:val="19"/>
                <w:color w:val="auto"/>
              </w:rPr>
            </w:pPr>
          </w:p>
        </w:tc>
        <w:tc>
          <w:tcPr>
            <w:tcW w:w="1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Beginning of year</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16,185</w:t>
            </w: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26,112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33,733</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auto"/>
            </w:tcBorders>
            <w:shd w:val="clear" w:color="auto" w:fill="CCEDFF"/>
          </w:tcPr>
          <w:p>
            <w:pPr>
              <w:ind w:left="140"/>
              <w:spacing w:after="0"/>
              <w:rPr>
                <w:sz w:val="20"/>
                <w:szCs w:val="20"/>
                <w:color w:val="auto"/>
              </w:rPr>
            </w:pPr>
            <w:r>
              <w:rPr>
                <w:rFonts w:ascii="Arial" w:cs="Arial" w:eastAsia="Arial" w:hAnsi="Arial"/>
                <w:sz w:val="18"/>
                <w:szCs w:val="18"/>
                <w:color w:val="auto"/>
              </w:rPr>
              <w:t>End of year</w:t>
            </w:r>
          </w:p>
        </w:tc>
        <w:tc>
          <w:tcPr>
            <w:tcW w:w="160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14,548</w:t>
            </w:r>
          </w:p>
        </w:tc>
        <w:tc>
          <w:tcPr>
            <w:tcW w:w="158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16,185</w:t>
            </w:r>
          </w:p>
        </w:tc>
        <w:tc>
          <w:tcPr>
            <w:tcW w:w="11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26,112</w:t>
            </w:r>
          </w:p>
        </w:tc>
        <w:tc>
          <w:tcPr>
            <w:tcW w:w="0" w:type="dxa"/>
            <w:vAlign w:val="bottom"/>
          </w:tcPr>
          <w:p>
            <w:pPr>
              <w:spacing w:after="0"/>
              <w:rPr>
                <w:sz w:val="1"/>
                <w:szCs w:val="1"/>
                <w:color w:val="auto"/>
              </w:rPr>
            </w:pPr>
          </w:p>
        </w:tc>
      </w:tr>
      <w:tr>
        <w:trPr>
          <w:trHeight w:val="20"/>
        </w:trPr>
        <w:tc>
          <w:tcPr>
            <w:tcW w:w="6920" w:type="dxa"/>
            <w:vAlign w:val="bottom"/>
            <w:tcBorders>
              <w:top w:val="single" w:sz="8" w:color="CCEDFF"/>
              <w:bottom w:val="single" w:sz="8" w:color="auto"/>
            </w:tcBorders>
          </w:tcPr>
          <w:p>
            <w:pPr>
              <w:spacing w:after="0" w:line="20" w:lineRule="exact"/>
              <w:rPr>
                <w:sz w:val="1"/>
                <w:szCs w:val="1"/>
                <w:color w:val="auto"/>
              </w:rPr>
            </w:pPr>
          </w:p>
        </w:tc>
        <w:tc>
          <w:tcPr>
            <w:tcW w:w="1600" w:type="dxa"/>
            <w:vAlign w:val="bottom"/>
            <w:tcBorders>
              <w:top w:val="single" w:sz="8" w:color="CCEDFF"/>
              <w:bottom w:val="single" w:sz="8" w:color="auto"/>
            </w:tcBorders>
          </w:tcPr>
          <w:p>
            <w:pPr>
              <w:spacing w:after="0" w:line="20" w:lineRule="exact"/>
              <w:rPr>
                <w:sz w:val="1"/>
                <w:szCs w:val="1"/>
                <w:color w:val="auto"/>
              </w:rPr>
            </w:pPr>
          </w:p>
        </w:tc>
        <w:tc>
          <w:tcPr>
            <w:tcW w:w="1580" w:type="dxa"/>
            <w:vAlign w:val="bottom"/>
            <w:tcBorders>
              <w:top w:val="single" w:sz="8" w:color="CCEDFF"/>
              <w:bottom w:val="single" w:sz="8" w:color="auto"/>
            </w:tcBorders>
          </w:tcPr>
          <w:p>
            <w:pPr>
              <w:spacing w:after="0" w:line="20" w:lineRule="exact"/>
              <w:rPr>
                <w:sz w:val="1"/>
                <w:szCs w:val="1"/>
                <w:color w:val="auto"/>
              </w:rPr>
            </w:pPr>
          </w:p>
        </w:tc>
        <w:tc>
          <w:tcPr>
            <w:tcW w:w="114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References to "we", "our", "us" and the like throughout the Consolidated Financial Statements refer to Lee Enterprises, Incorporated and subsidiaries (the "Company"). Lee Enterprises, Incorporated is a leading provider of high quality, trusted, local news and information, and a major platform for advertising in the markets we serve. We operate 75 principally mid-sized local media operations (including TNI Partners ("TNI") and Madison Newspapers, Inc. ("MNI")) across 26 states.</w:t>
      </w:r>
    </w:p>
    <w:p>
      <w:pPr>
        <w:spacing w:after="0" w:line="136" w:lineRule="exact"/>
        <w:rPr>
          <w:sz w:val="20"/>
          <w:szCs w:val="20"/>
          <w:color w:val="auto"/>
        </w:rPr>
      </w:pPr>
    </w:p>
    <w:p>
      <w:pPr>
        <w:ind w:right="7580" w:firstLine="8"/>
        <w:spacing w:after="0" w:line="461" w:lineRule="auto"/>
        <w:tabs>
          <w:tab w:leader="none" w:pos="35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Consolidated Financial Statements include our accounts and those of our subsidiaries, all of which are wholly-owned, except for our 50% interest in TNI, 50% interest in MNI and 82.5% interest in BLOX Digital. TNI and MNI are accounted for under the equity method. Results of BLOX Digital are consolidated.</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16, 2020, the Company completed the acquisition of BH Media Group, Inc. and The Buffalo News, Inc. for a combined purchase price of $140.0 million (collectively, the "Transactions"). The Transactions were funded pursuant to a Credit Agreement dated as of January 29, 2020, between the Company and BH Finance LLC, a Nebraska limited liability company affiliated with Berkshire (the "Credit Agreement"), as described further in Note 5. In 2021, we allocated revenue from our full access subscriptions between print and digital subscription revenues.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2022, due to the increased prominence of digital-only revenues, we revised this presentation to classify full access subscriptions as print subscription revenue, and discretely present digital-only subscription revenues. 2021 amounts were reclassified in Note 2 to conform to the current year presentation. In 2023, certain prior period amounts have been adjusted to form with current period presentation. These matters did not change operating revenues, net income (loss), accumulated deficit, and earnings per share.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of our enterprises use period accounting with the fiscal year ending on the last Sunday in September. References to "2023", "2022", "2021" and the like refer to the fiscal years ended the last Sunday in September. Fiscal years 2023, 2022, and 2021 include 52 weeks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us to make estimates and judgments that affect the reported amounts of assets, liabilities, revenue and expenses, and related disclosure of contingent assets and liabilities. We evaluate our estimates, which include estimates used in the valuation of goodwill and intangible assets periodically. We evaluate our estimates used in connection with our business combinations, the discount rate assumptions applied to our pension and postretirement plan obligations, the expected long-term rate of return on plan assets, and the provision for income taxes on an on-going basis.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transactions and balances have been eliminated.</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Investments in TNI and MNI are accounted for using the equity method and are reported at cost, plus our share of undistributed earnings since acquisition less, for TNI, amortization of, and reductions in the value of, intangible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consider all highly liquid debt instruments purchased with an original maturity of three months or less at date of acquisition to be cash equivalents.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evaluate our allowance for credit losses based on historical credit experience, payment trends and other economic factors. Accounts considered to be uncollectible are written off.</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Newsprint inventories and other inventories are priced at the lower of cost or net realizable value. LIFO newsprint inventories at September 24, 2023 and September 25, 2022 are less than replacement cost by $1.1 million and $1.4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by cost method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3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September 24, 2023</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September 25, 2022</w:t>
            </w:r>
          </w:p>
        </w:tc>
      </w:tr>
      <w:tr>
        <w:trPr>
          <w:trHeight w:val="250"/>
        </w:trPr>
        <w:tc>
          <w:tcPr>
            <w:tcW w:w="486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30"/>
        </w:trPr>
        <w:tc>
          <w:tcPr>
            <w:tcW w:w="4860" w:type="dxa"/>
            <w:vAlign w:val="bottom"/>
            <w:shd w:val="clear" w:color="auto" w:fill="CCEDFF"/>
          </w:tcPr>
          <w:p>
            <w:pPr>
              <w:ind w:left="20"/>
              <w:spacing w:after="0"/>
              <w:rPr>
                <w:sz w:val="20"/>
                <w:szCs w:val="20"/>
                <w:color w:val="auto"/>
              </w:rPr>
            </w:pPr>
            <w:r>
              <w:rPr>
                <w:rFonts w:ascii="Arial" w:cs="Arial" w:eastAsia="Arial" w:hAnsi="Arial"/>
                <w:sz w:val="18"/>
                <w:szCs w:val="18"/>
                <w:color w:val="auto"/>
              </w:rPr>
              <w:t>Newsprint - FIFO method</w:t>
            </w:r>
          </w:p>
        </w:tc>
        <w:tc>
          <w:tcPr>
            <w:tcW w:w="4360" w:type="dxa"/>
            <w:vAlign w:val="bottom"/>
            <w:shd w:val="clear" w:color="auto" w:fill="CCEDFF"/>
          </w:tcPr>
          <w:p>
            <w:pPr>
              <w:jc w:val="right"/>
              <w:ind w:right="330"/>
              <w:spacing w:after="0"/>
              <w:rPr>
                <w:sz w:val="20"/>
                <w:szCs w:val="20"/>
                <w:color w:val="auto"/>
              </w:rPr>
            </w:pPr>
            <w:r>
              <w:rPr>
                <w:rFonts w:ascii="Arial" w:cs="Arial" w:eastAsia="Arial" w:hAnsi="Arial"/>
                <w:sz w:val="18"/>
                <w:szCs w:val="18"/>
                <w:color w:val="auto"/>
              </w:rPr>
              <w:t>200</w:t>
            </w:r>
          </w:p>
        </w:tc>
        <w:tc>
          <w:tcPr>
            <w:tcW w:w="20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Newsprint - LIFO method</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612</w:t>
            </w:r>
          </w:p>
        </w:tc>
        <w:tc>
          <w:tcPr>
            <w:tcW w:w="202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30"/>
        </w:trPr>
        <w:tc>
          <w:tcPr>
            <w:tcW w:w="4860" w:type="dxa"/>
            <w:vAlign w:val="bottom"/>
            <w:shd w:val="clear" w:color="auto" w:fill="CCEDFF"/>
          </w:tcPr>
          <w:p>
            <w:pPr>
              <w:ind w:left="20"/>
              <w:spacing w:after="0"/>
              <w:rPr>
                <w:sz w:val="20"/>
                <w:szCs w:val="20"/>
                <w:color w:val="auto"/>
              </w:rPr>
            </w:pPr>
            <w:r>
              <w:rPr>
                <w:rFonts w:ascii="Arial" w:cs="Arial" w:eastAsia="Arial" w:hAnsi="Arial"/>
                <w:sz w:val="18"/>
                <w:szCs w:val="18"/>
                <w:color w:val="auto"/>
              </w:rPr>
              <w:t>Other inventory - FIFO method</w:t>
            </w:r>
          </w:p>
        </w:tc>
        <w:tc>
          <w:tcPr>
            <w:tcW w:w="4360" w:type="dxa"/>
            <w:vAlign w:val="bottom"/>
            <w:shd w:val="clear" w:color="auto" w:fill="CCEDFF"/>
          </w:tcPr>
          <w:p>
            <w:pPr>
              <w:jc w:val="right"/>
              <w:ind w:right="330"/>
              <w:spacing w:after="0"/>
              <w:rPr>
                <w:sz w:val="20"/>
                <w:szCs w:val="20"/>
                <w:color w:val="auto"/>
              </w:rPr>
            </w:pPr>
            <w:r>
              <w:rPr>
                <w:rFonts w:ascii="Arial" w:cs="Arial" w:eastAsia="Arial" w:hAnsi="Arial"/>
                <w:sz w:val="18"/>
                <w:szCs w:val="18"/>
                <w:color w:val="auto"/>
              </w:rPr>
              <w:t>2,173</w:t>
            </w:r>
          </w:p>
        </w:tc>
        <w:tc>
          <w:tcPr>
            <w:tcW w:w="20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2,219</w:t>
            </w:r>
          </w:p>
        </w:tc>
      </w:tr>
      <w:tr>
        <w:trPr>
          <w:trHeight w:val="22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Specific identification</w:t>
            </w:r>
          </w:p>
        </w:tc>
        <w:tc>
          <w:tcPr>
            <w:tcW w:w="4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4,519</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w:t>
            </w:r>
          </w:p>
        </w:tc>
      </w:tr>
      <w:tr>
        <w:trPr>
          <w:trHeight w:val="248"/>
        </w:trPr>
        <w:tc>
          <w:tcPr>
            <w:tcW w:w="4860" w:type="dxa"/>
            <w:vAlign w:val="bottom"/>
            <w:tcBorders>
              <w:bottom w:val="single" w:sz="8" w:color="auto"/>
            </w:tcBorders>
            <w:shd w:val="clear" w:color="auto" w:fill="CCEDFF"/>
          </w:tcPr>
          <w:p>
            <w:pPr>
              <w:spacing w:after="0"/>
              <w:rPr>
                <w:sz w:val="21"/>
                <w:szCs w:val="21"/>
                <w:color w:val="auto"/>
              </w:rPr>
            </w:pPr>
          </w:p>
        </w:tc>
        <w:tc>
          <w:tcPr>
            <w:tcW w:w="4360" w:type="dxa"/>
            <w:vAlign w:val="bottom"/>
            <w:tcBorders>
              <w:bottom w:val="single" w:sz="8" w:color="auto"/>
            </w:tcBorders>
            <w:shd w:val="clear" w:color="auto" w:fill="CCEDFF"/>
          </w:tcPr>
          <w:p>
            <w:pPr>
              <w:jc w:val="right"/>
              <w:ind w:right="330"/>
              <w:spacing w:after="0"/>
              <w:rPr>
                <w:sz w:val="20"/>
                <w:szCs w:val="20"/>
                <w:color w:val="auto"/>
              </w:rPr>
            </w:pPr>
            <w:r>
              <w:rPr>
                <w:rFonts w:ascii="Arial" w:cs="Arial" w:eastAsia="Arial" w:hAnsi="Arial"/>
                <w:sz w:val="18"/>
                <w:szCs w:val="18"/>
                <w:color w:val="auto"/>
              </w:rPr>
              <w:t>7,504</w:t>
            </w:r>
          </w:p>
        </w:tc>
        <w:tc>
          <w:tcPr>
            <w:tcW w:w="20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8,265</w:t>
            </w:r>
          </w:p>
        </w:tc>
      </w:tr>
      <w:tr>
        <w:trPr>
          <w:trHeight w:val="20"/>
        </w:trPr>
        <w:tc>
          <w:tcPr>
            <w:tcW w:w="4860" w:type="dxa"/>
            <w:vAlign w:val="bottom"/>
            <w:tcBorders>
              <w:top w:val="single" w:sz="8" w:color="CCEDFF"/>
              <w:bottom w:val="single" w:sz="8" w:color="auto"/>
            </w:tcBorders>
          </w:tcPr>
          <w:p>
            <w:pPr>
              <w:spacing w:after="0" w:line="20" w:lineRule="exact"/>
              <w:rPr>
                <w:sz w:val="1"/>
                <w:szCs w:val="1"/>
                <w:color w:val="auto"/>
              </w:rPr>
            </w:pPr>
          </w:p>
        </w:tc>
        <w:tc>
          <w:tcPr>
            <w:tcW w:w="4360" w:type="dxa"/>
            <w:vAlign w:val="bottom"/>
            <w:tcBorders>
              <w:top w:val="single" w:sz="8" w:color="CCEDFF"/>
              <w:bottom w:val="single" w:sz="8" w:color="auto"/>
            </w:tcBorders>
          </w:tcPr>
          <w:p>
            <w:pPr>
              <w:spacing w:after="0" w:line="20" w:lineRule="exact"/>
              <w:rPr>
                <w:sz w:val="1"/>
                <w:szCs w:val="1"/>
                <w:color w:val="auto"/>
              </w:rPr>
            </w:pPr>
          </w:p>
        </w:tc>
        <w:tc>
          <w:tcPr>
            <w:tcW w:w="2020" w:type="dxa"/>
            <w:vAlign w:val="bottom"/>
            <w:tcBorders>
              <w:top w:val="single" w:sz="8" w:color="CCED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Investments in unconsolidated affiliates over which Lee exercises significant influence, but does not control, are accounted for by the equity method. Under this method, an investment account for each unconsolidated affiliate is increased by contributions made and by Lee's share of net income of the unconsolidated affiliate, and decreased by the share of net losses of and distributions from the unconsolidated affiliate.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elected to account for distributions under the cumulative earnings approach.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Property and equipment are carried at cost. Equipment and all other assets are depreciated using the straight line method. The estimated useful lives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20" w:type="dxa"/>
            <w:vAlign w:val="bottom"/>
            <w:tcBorders>
              <w:top w:val="single" w:sz="8" w:color="auto"/>
              <w:bottom w:val="single" w:sz="8" w:color="auto"/>
            </w:tcBorders>
          </w:tcPr>
          <w:p>
            <w:pPr>
              <w:spacing w:after="0"/>
              <w:rPr>
                <w:sz w:val="21"/>
                <w:szCs w:val="21"/>
                <w:color w:val="auto"/>
              </w:rPr>
            </w:pPr>
          </w:p>
        </w:tc>
        <w:tc>
          <w:tcPr>
            <w:tcW w:w="4220" w:type="dxa"/>
            <w:vAlign w:val="bottom"/>
            <w:tcBorders>
              <w:top w:val="single" w:sz="8" w:color="auto"/>
              <w:bottom w:val="single" w:sz="8" w:color="auto"/>
            </w:tcBorders>
          </w:tcPr>
          <w:p>
            <w:pPr>
              <w:ind w:left="3740"/>
              <w:spacing w:after="0"/>
              <w:rPr>
                <w:sz w:val="20"/>
                <w:szCs w:val="20"/>
                <w:color w:val="auto"/>
              </w:rPr>
            </w:pPr>
            <w:r>
              <w:rPr>
                <w:rFonts w:ascii="Arial" w:cs="Arial" w:eastAsia="Arial" w:hAnsi="Arial"/>
                <w:sz w:val="18"/>
                <w:szCs w:val="18"/>
                <w:color w:val="auto"/>
                <w:w w:val="97"/>
              </w:rPr>
              <w:t>Years</w:t>
            </w:r>
          </w:p>
        </w:tc>
      </w:tr>
      <w:tr>
        <w:trPr>
          <w:trHeight w:val="250"/>
        </w:trPr>
        <w:tc>
          <w:tcPr>
            <w:tcW w:w="7020" w:type="dxa"/>
            <w:vAlign w:val="bottom"/>
          </w:tcPr>
          <w:p>
            <w:pPr>
              <w:spacing w:after="0"/>
              <w:rPr>
                <w:sz w:val="21"/>
                <w:szCs w:val="21"/>
                <w:color w:val="auto"/>
              </w:rPr>
            </w:pPr>
          </w:p>
        </w:tc>
        <w:tc>
          <w:tcPr>
            <w:tcW w:w="4220" w:type="dxa"/>
            <w:vAlign w:val="bottom"/>
          </w:tcPr>
          <w:p>
            <w:pPr>
              <w:spacing w:after="0"/>
              <w:rPr>
                <w:sz w:val="21"/>
                <w:szCs w:val="21"/>
                <w:color w:val="auto"/>
              </w:rPr>
            </w:pPr>
          </w:p>
        </w:tc>
      </w:tr>
      <w:tr>
        <w:trPr>
          <w:trHeight w:val="230"/>
        </w:trPr>
        <w:tc>
          <w:tcPr>
            <w:tcW w:w="7020" w:type="dxa"/>
            <w:vAlign w:val="bottom"/>
            <w:shd w:val="clear" w:color="auto" w:fill="CCEDFF"/>
          </w:tcPr>
          <w:p>
            <w:pPr>
              <w:ind w:left="20"/>
              <w:spacing w:after="0"/>
              <w:rPr>
                <w:sz w:val="20"/>
                <w:szCs w:val="20"/>
                <w:color w:val="auto"/>
              </w:rPr>
            </w:pPr>
            <w:r>
              <w:rPr>
                <w:rFonts w:ascii="Arial" w:cs="Arial" w:eastAsia="Arial" w:hAnsi="Arial"/>
                <w:sz w:val="18"/>
                <w:szCs w:val="18"/>
                <w:color w:val="auto"/>
              </w:rPr>
              <w:t>Buildings and improvements</w:t>
            </w:r>
          </w:p>
        </w:tc>
        <w:tc>
          <w:tcPr>
            <w:tcW w:w="4220" w:type="dxa"/>
            <w:vAlign w:val="bottom"/>
            <w:shd w:val="clear" w:color="auto" w:fill="CCEDFF"/>
          </w:tcPr>
          <w:p>
            <w:pPr>
              <w:ind w:left="3740"/>
              <w:spacing w:after="0"/>
              <w:rPr>
                <w:sz w:val="20"/>
                <w:szCs w:val="20"/>
                <w:color w:val="auto"/>
              </w:rPr>
            </w:pPr>
            <w:r>
              <w:rPr>
                <w:rFonts w:ascii="Arial" w:cs="Arial" w:eastAsia="Arial" w:hAnsi="Arial"/>
                <w:sz w:val="18"/>
                <w:szCs w:val="18"/>
                <w:color w:val="auto"/>
                <w:w w:val="99"/>
              </w:rPr>
              <w:t>5 - 40</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Printing presses and insertion equipment</w:t>
            </w:r>
          </w:p>
        </w:tc>
        <w:tc>
          <w:tcPr>
            <w:tcW w:w="4220" w:type="dxa"/>
            <w:vAlign w:val="bottom"/>
          </w:tcPr>
          <w:p>
            <w:pPr>
              <w:ind w:left="3740"/>
              <w:spacing w:after="0"/>
              <w:rPr>
                <w:sz w:val="20"/>
                <w:szCs w:val="20"/>
                <w:color w:val="auto"/>
              </w:rPr>
            </w:pPr>
            <w:r>
              <w:rPr>
                <w:rFonts w:ascii="Arial" w:cs="Arial" w:eastAsia="Arial" w:hAnsi="Arial"/>
                <w:sz w:val="18"/>
                <w:szCs w:val="18"/>
                <w:color w:val="auto"/>
                <w:w w:val="99"/>
              </w:rPr>
              <w:t>5 - 25</w:t>
            </w:r>
          </w:p>
        </w:tc>
      </w:tr>
      <w:tr>
        <w:trPr>
          <w:trHeight w:val="230"/>
        </w:trPr>
        <w:tc>
          <w:tcPr>
            <w:tcW w:w="7020" w:type="dxa"/>
            <w:vAlign w:val="bottom"/>
            <w:shd w:val="clear" w:color="auto" w:fill="CCEDFF"/>
          </w:tcPr>
          <w:p>
            <w:pPr>
              <w:ind w:left="20"/>
              <w:spacing w:after="0"/>
              <w:rPr>
                <w:sz w:val="20"/>
                <w:szCs w:val="20"/>
                <w:color w:val="auto"/>
              </w:rPr>
            </w:pPr>
            <w:r>
              <w:rPr>
                <w:rFonts w:ascii="Arial" w:cs="Arial" w:eastAsia="Arial" w:hAnsi="Arial"/>
                <w:sz w:val="18"/>
                <w:szCs w:val="18"/>
                <w:color w:val="auto"/>
              </w:rPr>
              <w:t>Leasehold improvements</w:t>
            </w:r>
          </w:p>
        </w:tc>
        <w:tc>
          <w:tcPr>
            <w:tcW w:w="4220" w:type="dxa"/>
            <w:vAlign w:val="bottom"/>
            <w:shd w:val="clear" w:color="auto" w:fill="CCEDFF"/>
          </w:tcPr>
          <w:p>
            <w:pPr>
              <w:ind w:left="3740"/>
              <w:spacing w:after="0"/>
              <w:rPr>
                <w:sz w:val="20"/>
                <w:szCs w:val="20"/>
                <w:color w:val="auto"/>
              </w:rPr>
            </w:pPr>
            <w:r>
              <w:rPr>
                <w:rFonts w:ascii="Arial" w:cs="Arial" w:eastAsia="Arial" w:hAnsi="Arial"/>
                <w:sz w:val="18"/>
                <w:szCs w:val="18"/>
                <w:color w:val="auto"/>
                <w:w w:val="99"/>
              </w:rPr>
              <w:t>3 - 10</w:t>
            </w:r>
          </w:p>
        </w:tc>
      </w:tr>
      <w:tr>
        <w:trPr>
          <w:trHeight w:val="23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220" w:type="dxa"/>
            <w:vAlign w:val="bottom"/>
            <w:tcBorders>
              <w:bottom w:val="single" w:sz="8" w:color="auto"/>
            </w:tcBorders>
          </w:tcPr>
          <w:p>
            <w:pPr>
              <w:ind w:left="3740"/>
              <w:spacing w:after="0"/>
              <w:rPr>
                <w:sz w:val="20"/>
                <w:szCs w:val="20"/>
                <w:color w:val="auto"/>
              </w:rPr>
            </w:pPr>
            <w:r>
              <w:rPr>
                <w:rFonts w:ascii="Arial" w:cs="Arial" w:eastAsia="Arial" w:hAnsi="Arial"/>
                <w:sz w:val="18"/>
                <w:szCs w:val="18"/>
                <w:color w:val="auto"/>
                <w:w w:val="99"/>
              </w:rPr>
              <w:t>3 - 15</w:t>
            </w: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2023, 2022 and 2021 was $11.6 million, $14.4 million, and $18.0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Goodwill and other intangible assets are summarized in Note 4. Intangible assets include customer lists, newspaper subscriber lists and mastheads. Intangible assets subject to amortization are being amortized using the straight-line method except for intangible assets acquired in the Transactions which are being amortized in an accelerated manner consistent with the expected economic benefit.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20" w:type="dxa"/>
            <w:vAlign w:val="bottom"/>
            <w:tcBorders>
              <w:top w:val="single" w:sz="8" w:color="auto"/>
              <w:bottom w:val="single" w:sz="8" w:color="auto"/>
            </w:tcBorders>
          </w:tcPr>
          <w:p>
            <w:pPr>
              <w:spacing w:after="0"/>
              <w:rPr>
                <w:sz w:val="21"/>
                <w:szCs w:val="21"/>
                <w:color w:val="auto"/>
              </w:rPr>
            </w:pPr>
          </w:p>
        </w:tc>
        <w:tc>
          <w:tcPr>
            <w:tcW w:w="4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Years</w:t>
            </w:r>
          </w:p>
        </w:tc>
      </w:tr>
      <w:tr>
        <w:trPr>
          <w:trHeight w:val="250"/>
        </w:trPr>
        <w:tc>
          <w:tcPr>
            <w:tcW w:w="6420" w:type="dxa"/>
            <w:vAlign w:val="bottom"/>
          </w:tcPr>
          <w:p>
            <w:pPr>
              <w:spacing w:after="0"/>
              <w:rPr>
                <w:sz w:val="21"/>
                <w:szCs w:val="21"/>
                <w:color w:val="auto"/>
              </w:rPr>
            </w:pPr>
          </w:p>
        </w:tc>
        <w:tc>
          <w:tcPr>
            <w:tcW w:w="4820" w:type="dxa"/>
            <w:vAlign w:val="bottom"/>
          </w:tcPr>
          <w:p>
            <w:pPr>
              <w:spacing w:after="0"/>
              <w:rPr>
                <w:sz w:val="21"/>
                <w:szCs w:val="21"/>
                <w:color w:val="auto"/>
              </w:rPr>
            </w:pPr>
          </w:p>
        </w:tc>
      </w:tr>
      <w:tr>
        <w:trPr>
          <w:trHeight w:val="229"/>
        </w:trPr>
        <w:tc>
          <w:tcPr>
            <w:tcW w:w="6420" w:type="dxa"/>
            <w:vAlign w:val="bottom"/>
            <w:shd w:val="clear" w:color="auto" w:fill="CCEDFF"/>
          </w:tcPr>
          <w:p>
            <w:pPr>
              <w:ind w:left="20"/>
              <w:spacing w:after="0"/>
              <w:rPr>
                <w:sz w:val="20"/>
                <w:szCs w:val="20"/>
                <w:color w:val="auto"/>
              </w:rPr>
            </w:pPr>
            <w:r>
              <w:rPr>
                <w:rFonts w:ascii="Arial" w:cs="Arial" w:eastAsia="Arial" w:hAnsi="Arial"/>
                <w:sz w:val="18"/>
                <w:szCs w:val="18"/>
                <w:color w:val="auto"/>
              </w:rPr>
              <w:t>Customer lists</w:t>
            </w:r>
          </w:p>
        </w:tc>
        <w:tc>
          <w:tcPr>
            <w:tcW w:w="48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10 - 20</w:t>
            </w:r>
          </w:p>
        </w:tc>
      </w:tr>
      <w:tr>
        <w:trPr>
          <w:trHeight w:val="230"/>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Newspaper subscriber lists</w:t>
            </w:r>
          </w:p>
        </w:tc>
        <w:tc>
          <w:tcPr>
            <w:tcW w:w="4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10 - 20</w:t>
            </w:r>
          </w:p>
        </w:tc>
      </w:tr>
    </w:tbl>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goodwill and non-amortizing intangible assets, which include only newspaper mastheads, for impairment annually as of the first day of the fiscal fourth quarter, or more frequently if events or changes in circumstances indicate that an asset may be impaired in accordance with Financial Accounting Standards Board ("FASB") Accounting Standards Codification ("ASC") Topic 350, Intangibles - Goodwill and Other. Under ASC Topic 350, the impairment test for goodwill and non-amortizing intangible assets must be based on estimated fair values. Impairment would occur when the carrying amount of the reporting unit is greater than its fair value. Companies with reporting units with zero or negative carrying value are required to disclose the amount of goodwill for those reporting units.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ROU assets, current portion of long-term lease liabilities and operating lease liabilities on the Consolidated Balance Sheets. Finance leases would be included in property, plant and equipment, current portion of long-term debt and long-term debt on the Consolidated Balance Sheets. Amortization of operating lease ROU assets is included in other operating expenses. Amortization of finance leases would be included in depreciation expense.</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lease ROU assets and operating lease liabilities are recognized based on the present value of the future minimum lease payments over the lease term at commencement date. The ROU asset is adjusted to include lease payments made to date and initial direct costs incurred and to deduct for lease incentives received and impairment recognized. As most of the Company's leases do not provide an implicit rate, We determined the incremental borrowing rate based on a senior secured collateral adjusted yield curve for the Company. This yield curve reflects the estimated rate that would have been paid by the Company to borrow on a collateralized basis over a similar term in a similar economic environment. The lease terms may include options to extend or terminate the lease when it is reasonable certain that the option will be exercised. Lease expense for minimum lease payments is recognized on a straight-line basis over the lease term. Certain lease agreements have lease and non-lease components, which are accounted for together. See Note 6 for additional information related to leases.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accounts for acquisitions in accordance with the provisions of ASC Topic 805 - Business Combinations, which provides guidance for recognition and measurement of identifiable assets and goodwill acquired, liabilities assumed, and any non-controlling interest in the acquiree at fair value. In a business combination, the assets acquired, liabilities assumed and non-controlling interest in the acquiree are recorded as of the date of acquisition at their respective fair values with limited exceptions. Any excess of the purchase price (consideration transferred) over the estimated fair values of net assets acquired is recorded as goodwill. Transaction costs are expensed as incurred. The operating results of the acquired business are reflected in the Company's Consolidated Financial Statements from the date of acquisition.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 is recognized when a performance obligation is satisfied by the transfer of control of the contracted goods or services to our customers, in an amount that reflects the consideration we expect to receive in exchange for those goods or services. See Note 2.</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Restructuring costs and other primarily relate to severance expenses associated with involuntary terminations, as well as litigation, advisor, and other expenses associated with the unsolicited bid offer in November 2021. These costs are expensed as incurred.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Postretirement and Postemployment Benefit Plans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evaluate our liabilities for pension, postretirement and postemployment benefit plans based upon computations made by consulting actuaries, incorporating estimates and actuarial assumptions of future plan service costs, future interest costs on projected benefit obligations, rates of compensation increases, when applicable, employee turnover rates, anticipated mortality rates, expected investment returns on plan assets, asset allocation assumptions of plan assets and other factors.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apply a practical expedient under ASC Topic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which allows us to measure plan assets and benefit obligations using the month-end that is closest to our fiscal year-end. Accordingly, we measure our plan assets and benefit obligations as of September 30, or upon a remeasurement event. We use the alternative spot rate approach which utilizes a full yield curve to estimate the interest cost component of benefit cost by applying the specific spot rates along the yield curve used in the determination of the benefit obligation to the relevant projected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contributes to a number of multiemployer defined benefit pension plans under the terms of collective-bargaining agreements that cover certain of the Company's union represented employees. The risks of participating in these multiemployer plans are different from single-employer plans in that assets contributed are pooled and may be used to provide benefits to employees of other participating employers. If a participating employer withdraws from or otherwise ceases to contribute to the plan, the unfunded obligations of the plan may be borne by the remaining participating employers. Alternatively, if the Company chooses to stop participating in one of its multiemployer plans, it may incur a withdrawal liability based on its actuarially determined share of the unfunded status of the plan.</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Contributions made to multiemployer plans are based on collective-bargaining agreements and are accounted for under guidance related to multiemployer plans, which essentially provides that contributions to such plans are expensed when due. Any withdrawal liability would be recognized at the point withdrawal from the plan becomes probable. See Note 8 for additional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income tax assets are recognized for deductible temporary differences and loss carryforwards and deferred income tax liabilities are recognized for taxable temporary differences which are the difference between the reported amounts of assets and liabilities and their tax basis. Deferred income tax assets are reduced by a valuation allowance when, in our opinion, it is more likely than not that some portion or all of the deferred income tax assets will not be realized. Deferred income tax assets and liabilities are adjusted for the effects of changes in tax laws and rates on the date of enactment.</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as a component of income tax expense.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utilize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measure and report fair value. ASC Topic 820 defines fair value, establishes a framework for measuring fair value and expands disclosures about fair value measurements. ASC Topic 820 establishes a three-level hierarchy of fair value measurements based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on whether the inputs to those measurements are observable or unobservable, which consists of the following levels: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active; and model-derived valuations in which all significant inputs are observable in active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derived from valuation techniques in which one or more significant inputs are unobservable.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Investments measured at net asset value, as a practical expedient for fair value, are excluded from the fair value hierarchy.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Valuation methodologies measured at fair value are as follows: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consist of short term deposits valued based on quoted prices in active markets. Such investments are classified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Level 1.</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Treasury Inflation-Protected Securities </w:t>
      </w:r>
      <w:r>
        <w:rPr>
          <w:rFonts w:ascii="Arial" w:cs="Arial" w:eastAsia="Arial" w:hAnsi="Arial"/>
          <w:sz w:val="18"/>
          <w:szCs w:val="18"/>
          <w:color w:val="auto"/>
        </w:rPr>
        <w:t>("TIPS") consist of low yield mutual funds and are valued by quoted inactive market prices. Such</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classified as Level 2.</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are valued based on the closing market price in an active market and are classified as Level 1. Certain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commingled funds are valued at the end of the period based upon the value of the underlying investments as determined by quoted market prices. Such investments are classified as Level 2. Certain equity securities are part of a collective investment fund for which there is no readily determinable fair value. This fund is valued at the net asset value of units held at the end of the period based upon the value of the underlying investments, which is determined using multiple approaches including by quoted market prices and by private market quotations. Such investments are excluded from the fair value hierarchy.</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consist of government securities, corporate bonds, and mutual funds. Government securities and corporate bonds are valued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quoted market prices in an inactive market. Such investments are classified as Level 2. Mutual funds are valued based upon quoted market prices in an active market. Such investments are classified as Level 1.</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Hedge funds </w:t>
      </w:r>
      <w:r>
        <w:rPr>
          <w:rFonts w:ascii="Arial" w:cs="Arial" w:eastAsia="Arial" w:hAnsi="Arial"/>
          <w:sz w:val="18"/>
          <w:szCs w:val="18"/>
          <w:color w:val="auto"/>
        </w:rPr>
        <w:t>consist of a long/short equity funds and a diversified fund of funds for which there is no readily determinable fair value. These</w:t>
      </w:r>
      <w:r>
        <w:rPr>
          <w:rFonts w:ascii="Arial" w:cs="Arial" w:eastAsia="Arial" w:hAnsi="Arial"/>
          <w:sz w:val="18"/>
          <w:szCs w:val="18"/>
          <w:i w:val="1"/>
          <w:iCs w:val="1"/>
          <w:color w:val="auto"/>
        </w:rPr>
        <w:t xml:space="preserve"> </w:t>
      </w:r>
      <w:r>
        <w:rPr>
          <w:rFonts w:ascii="Arial" w:cs="Arial" w:eastAsia="Arial" w:hAnsi="Arial"/>
          <w:sz w:val="18"/>
          <w:szCs w:val="18"/>
          <w:color w:val="auto"/>
        </w:rPr>
        <w:t>funds are valued at the net asset value of units held at the end of the period based upon the value of the underlying investments, which is determined using multiple approaches including by quoted market prices and by private market quotations. Such investments are excluded from the fair value hierarchy.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consists of approximately 50 strategic business units ("SBU's"). The SBUs generally include print and digital subscription products and the associated advertising and marketing services. Each of our SBUs have comparable types of costs (compensation, newsprint/ink, and other costs) to generate similar sources of advertising and marketing services revenue and subscription revenue, they produce products in similar manner; they have same class of customers and they use the same distribution processes. In other words, each SBU engages in the same business activities.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Separate operating results of each SBU are not reviewed by the chief operating decision maker ("CODM"). The CODM reviews Consolidated Statements of Income and Consolidated Balance Sheets on a monthly basis, and reviews the Consolidated Statements of Cash Flows ("SOCF") on a quarterly basis. The balance sheets and SOCF are only prepared on a consolidated level. Selective revenue and expense details by SBU are reviewed by the CODM, however, the focus of those reviews is on details of advertising and marketing services revenue by SBU and subscription revenue by SBU. Complete operating results or other profitability measures by SBU are not reviewed by the CODM. Further, business decisions by the CODM, including the allocation of resources, are determined based on reviewing consolidated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and Warrants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have several stock-based compensation plans. We account for grants under those plans under the fair value expense recognition provisions of ASC Topic 718 -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We determine the fair value of stock options using the Black-Scholes option pricing formula. Key inputs to this formula include expected term, expected volatility and the risk-free interest rate.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expected term represents the period that our stock-based awards are expected to be outstanding, and is determined based on historical experience of similar awards, giving consideration to contractual terms of the awards, vesting schedules and expectations of future employee behavior. The volatility factor is calculated using historical market data for our Common Stock. The time frame used is equal to the expected term. We base the risk-free interest rate on the yield to maturity at the time of the stock option grant on zero-coupon U.S. government bonds having a remaining term equal to the option's expected term. When estimating forfeitures, we consider voluntary termination behavior as well as actual option forfeitures.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amortize as compensation expense the value of stock options and restricted Common Stock using the straight-line method over the requisite service period or restriction period, which is generally one to four years.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Prior to 2023, we also had 600,000 warrants outstanding to purchase shares of our Common Stock. Warrants were recorded at fair value determined using the Black-Scholes option pricing formula. These warrants expired in 2022. See Notes 5, 10 and 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Uninsured Risks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self-insured for health care, workers compensation and certain long-term disability costs of our employees, subject to stop loss insurance, which limits our losses in the event of large claims. We accrue our estimated health care costs in the period in which such costs are incurred, including an estimate of incurred but not-reported claims. Other risks are insured and carry deductible losses of varying amounts. We have posted cash collateral totaling $7.0 million and $4.6 million at September 24, 2023 and September 25,2022, respectively in support of our insurance programs recorded under Other on the Consolidated Balance Sheets.</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accrued reserves for health care and workers compensation claims are based upon estimates of the remaining liability for retained losses made by consulting actuaries. The amount of workers compensation reserve has been determined based upon historical patterns of incurred and paid loss development factors from the insurance industry.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November 2023, the FASB issued Accounting Standards Update ("ASU") 2023 -07 -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 improve reportable segment disclosure requirements, primarily through enhanced disclosures about significant segment expenses. This pronouncement is effective for fiscal years beginning after December 15, 2023, and interim periods within fiscal years beginning after December 15, 2024. Early adoption is permitted. The Company is evaluating the impact this will have on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 Standards Adopted in 2023 and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 Standards Adopted in 2021</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2016, the FASB issued a new standard ASC Topic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to replace the incurred loss impairment methodology with a methodology that reflects expected credit losses and requires consideration of a wider array of reasonable and supportable information to inform and develop credit loss estimates. We are required to use a forward-looking expected credit loss model for both accounts receivables and other financial instruments. The new standard was adopted on September 28, 2020, using a modified retrospective approach. This standard did not have a material impact on our Consolidated Financial Statements.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that changes disclosure requirements related to fair value measurements as part of the disclosure framework project. The disclosure framework project aims to improve effectiveness of disclosures in the notes to the financial statements by focusing 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requirements that clearly communicate the most important information to users of the financial statements. The new guidance was adopted on September 28, 2020, and did not have a material impact on our Consolidated Financial Statements.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FASB issued new guidance that simplifies the accounting for income taxes by eliminating certain exceptions to the guidance 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related to the approach for intra-period tax allocation, the methodology for calculating income taxes in an interim period and the recognition for deferred tax liabilities for outside basis differences. The standard also simplifies aspects of the accounting for franchise taxes and enacted changes in tax laws or rates and clarifies the accounting for transactions that result in a step-up in the tax basis of goodwill. This new guidance was adopted September 28, 2020, and did not have a material impact on our Consolidated Financial Statements.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August 2018, FASB issued ASU 2018-14 </w:t>
      </w:r>
      <w:r>
        <w:rPr>
          <w:rFonts w:ascii="Arial" w:cs="Arial" w:eastAsia="Arial" w:hAnsi="Arial"/>
          <w:sz w:val="18"/>
          <w:szCs w:val="18"/>
          <w:i w:val="1"/>
          <w:iCs w:val="1"/>
          <w:color w:val="auto"/>
        </w:rPr>
        <w:t>Compensation - Retirement Benefits - Defined Benefit Plans</w:t>
      </w:r>
      <w:r>
        <w:rPr>
          <w:rFonts w:ascii="Arial" w:cs="Arial" w:eastAsia="Arial" w:hAnsi="Arial"/>
          <w:sz w:val="18"/>
          <w:szCs w:val="18"/>
          <w:color w:val="auto"/>
        </w:rPr>
        <w:t xml:space="preserve"> to amend disclosure requirements for employers that sponsor defined benefit pension or other postretirement plans. The new standard was adopted on September 28, 2020 using a retrospective approach, and did not have a material impact on our Consolidated Financial Statements.</w:t>
      </w:r>
    </w:p>
    <w:p>
      <w:pPr>
        <w:spacing w:after="0" w:line="130"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the Company expects to be entitled to in exchange for goods or services. Revenues are recognized as performance obligations are satisfied either at a point in time, such as when an advertisement is published, or over time, such as audience subscription revenue. No single customer represented 10% or more of the Company's net revenue in any fiscal period presented.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marketing services revenue</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Print advertising revenue includes amounts charged to customers for retail, national, or classified advertising space purchased in our newspapers, advertising marketing services and other print advertising products such as preprint inserts and direct mail.</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Digital advertising revenue includes amounts for advertisements placed on our digital platforms, amounts charged to customers for digital marketing services which include: audience extension, Search Engine Optimization, Search Engine Marketing, web and mobile production, social media services and reputation monitoring and management.</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Payments for print and digital advertising revenue are due upon completion of our performance obligations at previously agreed upon rates. In instances where the timing of revenue recognition differs from the timing of invoicing, such timing differences are not large. As a result, we have determined that our contracts do not include a significant financing component.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revenue</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Print subscription revenue results from the sale of print editions of newspapers to individual subscribers and to sales outlets that resell the newspapers. Print subscriptions include full access to all forms of content provided. Single copy revenue is also included in subscription revenue. Subscription revenue from single-copy and home delivery subscriptions are recognized at the point in time the publications are delivered.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Digital subscription revenue results from the sale of digital-only access to the Company's content delivered via digital products purchased.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Digital subscription revenue is recognized over time as performance obligations are met throughout the subscription period.</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Payments for print and digital subscription revenue are typically collected in advance, are for contract periods of one year or less and result in an unearned revenue liability that is reduced when revenue is recognized.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revenue primarily consists of digital services, commercial printing and delivery of third party products. Digital services revenues, which are primarily delivered through BLOX Digital, are primarily comprised of contractual agreements to provide webhosting and content management services. As such, digital services revenue is recognized over the contract period. Prices for digital services are agreed upon in advance of the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contract beginning and are typically billed in arrears on a monthly basis, with the exception of implementation fees which are recognized as deferred revenue and amortized over the contract period. Commercial printing and delivery revenue is recognized when the product is delivered to the customer.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disaggregated by source: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6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2023</w:t>
            </w:r>
          </w:p>
        </w:tc>
        <w:tc>
          <w:tcPr>
            <w:tcW w:w="23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2022</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0"/>
        </w:trPr>
        <w:tc>
          <w:tcPr>
            <w:tcW w:w="46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2680" w:type="dxa"/>
            <w:vAlign w:val="bottom"/>
          </w:tcPr>
          <w:p>
            <w:pPr>
              <w:jc w:val="right"/>
              <w:ind w:right="790"/>
              <w:spacing w:after="0"/>
              <w:rPr>
                <w:sz w:val="20"/>
                <w:szCs w:val="20"/>
                <w:color w:val="auto"/>
              </w:rPr>
            </w:pPr>
            <w:r>
              <w:rPr>
                <w:rFonts w:ascii="Arial" w:cs="Arial" w:eastAsia="Arial" w:hAnsi="Arial"/>
                <w:sz w:val="18"/>
                <w:szCs w:val="18"/>
                <w:color w:val="auto"/>
              </w:rPr>
              <w:t>125,804</w:t>
            </w:r>
          </w:p>
        </w:tc>
        <w:tc>
          <w:tcPr>
            <w:tcW w:w="2340" w:type="dxa"/>
            <w:vAlign w:val="bottom"/>
          </w:tcPr>
          <w:p>
            <w:pPr>
              <w:jc w:val="right"/>
              <w:ind w:right="790"/>
              <w:spacing w:after="0"/>
              <w:rPr>
                <w:sz w:val="20"/>
                <w:szCs w:val="20"/>
                <w:color w:val="auto"/>
              </w:rPr>
            </w:pPr>
            <w:r>
              <w:rPr>
                <w:rFonts w:ascii="Arial" w:cs="Arial" w:eastAsia="Arial" w:hAnsi="Arial"/>
                <w:sz w:val="18"/>
                <w:szCs w:val="18"/>
                <w:color w:val="auto"/>
              </w:rPr>
              <w:t>184,963</w:t>
            </w:r>
          </w:p>
        </w:tc>
        <w:tc>
          <w:tcPr>
            <w:tcW w:w="1560" w:type="dxa"/>
            <w:vAlign w:val="bottom"/>
          </w:tcPr>
          <w:p>
            <w:pPr>
              <w:jc w:val="right"/>
              <w:spacing w:after="0"/>
              <w:rPr>
                <w:sz w:val="20"/>
                <w:szCs w:val="20"/>
                <w:color w:val="auto"/>
              </w:rPr>
            </w:pPr>
            <w:r>
              <w:rPr>
                <w:rFonts w:ascii="Arial" w:cs="Arial" w:eastAsia="Arial" w:hAnsi="Arial"/>
                <w:sz w:val="18"/>
                <w:szCs w:val="18"/>
                <w:color w:val="auto"/>
              </w:rPr>
              <w:t>227,892</w:t>
            </w:r>
          </w:p>
        </w:tc>
      </w:tr>
      <w:tr>
        <w:trPr>
          <w:trHeight w:val="229"/>
        </w:trPr>
        <w:tc>
          <w:tcPr>
            <w:tcW w:w="4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26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193,173</w:t>
            </w:r>
          </w:p>
        </w:tc>
        <w:tc>
          <w:tcPr>
            <w:tcW w:w="23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181,465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141,391</w:t>
            </w:r>
          </w:p>
        </w:tc>
      </w:tr>
      <w:tr>
        <w:trPr>
          <w:trHeight w:val="22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6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318,977</w:t>
            </w:r>
          </w:p>
        </w:tc>
        <w:tc>
          <w:tcPr>
            <w:tcW w:w="23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366,428</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369,283</w:t>
            </w:r>
          </w:p>
        </w:tc>
      </w:tr>
      <w:tr>
        <w:trPr>
          <w:trHeight w:val="22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26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252,591</w:t>
            </w:r>
          </w:p>
        </w:tc>
        <w:tc>
          <w:tcPr>
            <w:tcW w:w="23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313,504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329,484</w:t>
            </w:r>
          </w:p>
        </w:tc>
      </w:tr>
      <w:tr>
        <w:trPr>
          <w:trHeight w:val="230"/>
        </w:trPr>
        <w:tc>
          <w:tcPr>
            <w:tcW w:w="4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Digital-only subscription revenue</w:t>
            </w:r>
          </w:p>
        </w:tc>
        <w:tc>
          <w:tcPr>
            <w:tcW w:w="26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60,700</w:t>
            </w:r>
          </w:p>
        </w:tc>
        <w:tc>
          <w:tcPr>
            <w:tcW w:w="23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40,120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28,229</w:t>
            </w:r>
          </w:p>
        </w:tc>
      </w:tr>
      <w:tr>
        <w:trPr>
          <w:trHeight w:val="223"/>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6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313,291</w:t>
            </w:r>
          </w:p>
        </w:tc>
        <w:tc>
          <w:tcPr>
            <w:tcW w:w="23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353,624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357,713</w:t>
            </w:r>
          </w:p>
        </w:tc>
      </w:tr>
      <w:tr>
        <w:trPr>
          <w:trHeight w:val="223"/>
        </w:trPr>
        <w:tc>
          <w:tcPr>
            <w:tcW w:w="466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2680" w:type="dxa"/>
            <w:vAlign w:val="bottom"/>
          </w:tcPr>
          <w:p>
            <w:pPr>
              <w:jc w:val="right"/>
              <w:ind w:right="790"/>
              <w:spacing w:after="0"/>
              <w:rPr>
                <w:sz w:val="20"/>
                <w:szCs w:val="20"/>
                <w:color w:val="auto"/>
              </w:rPr>
            </w:pPr>
            <w:r>
              <w:rPr>
                <w:rFonts w:ascii="Arial" w:cs="Arial" w:eastAsia="Arial" w:hAnsi="Arial"/>
                <w:sz w:val="18"/>
                <w:szCs w:val="18"/>
                <w:color w:val="auto"/>
              </w:rPr>
              <w:t>39,508</w:t>
            </w:r>
          </w:p>
        </w:tc>
        <w:tc>
          <w:tcPr>
            <w:tcW w:w="2340" w:type="dxa"/>
            <w:vAlign w:val="bottom"/>
          </w:tcPr>
          <w:p>
            <w:pPr>
              <w:jc w:val="right"/>
              <w:ind w:right="790"/>
              <w:spacing w:after="0"/>
              <w:rPr>
                <w:sz w:val="20"/>
                <w:szCs w:val="20"/>
                <w:color w:val="auto"/>
              </w:rPr>
            </w:pPr>
            <w:r>
              <w:rPr>
                <w:rFonts w:ascii="Arial" w:cs="Arial" w:eastAsia="Arial" w:hAnsi="Arial"/>
                <w:sz w:val="18"/>
                <w:szCs w:val="18"/>
                <w:color w:val="auto"/>
              </w:rPr>
              <w:t>42,962</w:t>
            </w:r>
          </w:p>
        </w:tc>
        <w:tc>
          <w:tcPr>
            <w:tcW w:w="1560" w:type="dxa"/>
            <w:vAlign w:val="bottom"/>
          </w:tcPr>
          <w:p>
            <w:pPr>
              <w:jc w:val="right"/>
              <w:spacing w:after="0"/>
              <w:rPr>
                <w:sz w:val="20"/>
                <w:szCs w:val="20"/>
                <w:color w:val="auto"/>
              </w:rPr>
            </w:pPr>
            <w:r>
              <w:rPr>
                <w:rFonts w:ascii="Arial" w:cs="Arial" w:eastAsia="Arial" w:hAnsi="Arial"/>
                <w:sz w:val="18"/>
                <w:szCs w:val="18"/>
                <w:color w:val="auto"/>
              </w:rPr>
              <w:t>48,656</w:t>
            </w:r>
          </w:p>
        </w:tc>
      </w:tr>
      <w:tr>
        <w:trPr>
          <w:trHeight w:val="229"/>
        </w:trPr>
        <w:tc>
          <w:tcPr>
            <w:tcW w:w="4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26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19,362</w:t>
            </w:r>
          </w:p>
        </w:tc>
        <w:tc>
          <w:tcPr>
            <w:tcW w:w="23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17,955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18,997</w:t>
            </w:r>
          </w:p>
        </w:tc>
      </w:tr>
      <w:tr>
        <w:trPr>
          <w:trHeight w:val="22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6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58,870</w:t>
            </w:r>
          </w:p>
        </w:tc>
        <w:tc>
          <w:tcPr>
            <w:tcW w:w="23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60,917</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67,653</w:t>
            </w:r>
          </w:p>
        </w:tc>
      </w:tr>
      <w:tr>
        <w:trPr>
          <w:trHeight w:val="248"/>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6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691,138</w:t>
            </w:r>
          </w:p>
        </w:tc>
        <w:tc>
          <w:tcPr>
            <w:tcW w:w="23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780,969</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794,649</w:t>
            </w:r>
          </w:p>
        </w:tc>
      </w:tr>
      <w:tr>
        <w:trPr>
          <w:trHeight w:val="20"/>
        </w:trPr>
        <w:tc>
          <w:tcPr>
            <w:tcW w:w="46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The Company’s primary source of unearned revenue is from subscriptions paid in advance of the service provided.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expects to recognize the revenue related to unsatisfied performance obligations over the next twelve months in accordance with the terms of the subscriptions and other contracts with customers. The unearned revenue balances described herein are the Company's only contract liability. Unearned revenue was $40.8 million as of September 24, 2023, $49.9 million as of September 25, 2022, and $61.4 million as of September 26, 2021. Revenue recognized in 2023, 2022, and 2021 that was included in the contract liability as of September 25, 2022, September 26, 2021, and September 27, 2020 was $47.2 million, $54.7 million, and $56.1 million, respectively.</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Accounts receivable, excluding allowance for credit losses and contract assets, was $74.4 million, $74.8 million, and $71.6 million as of September 24, 2023, September 25, 2022 and September 26, 2021, respectively. Allowance for credit losses was $5.3 million and $5.2 million as of September 24, 2023 and September 25, 2022, respectively.</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Sales commissions are expensed as incurred as the associated contractual periods are one year or less. These costs</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within compensation. The vast majority of our contracts have original expected lengths of one year or less and revenue is earned at a rate and amount that corresponds directly with the value to the customer.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INVESTMENTS IN ASSOCIATED COMPANIES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TNI Partners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Citizen Publishing Company (“Citizen”), a subsidiary of Gannett Co. Inc., is responsible for printing, delivery, advertising and subscription activities of the </w:t>
      </w:r>
      <w:r>
        <w:rPr>
          <w:rFonts w:ascii="Arial" w:cs="Arial" w:eastAsia="Arial" w:hAnsi="Arial"/>
          <w:sz w:val="18"/>
          <w:szCs w:val="18"/>
          <w:i w:val="1"/>
          <w:iCs w:val="1"/>
          <w:color w:val="auto"/>
        </w:rPr>
        <w:t>Arizona Daily</w:t>
      </w:r>
      <w:r>
        <w:rPr>
          <w:rFonts w:ascii="Arial" w:cs="Arial" w:eastAsia="Arial" w:hAnsi="Arial"/>
          <w:sz w:val="18"/>
          <w:szCs w:val="18"/>
          <w:color w:val="auto"/>
        </w:rPr>
        <w:t xml:space="preserve"> </w:t>
      </w:r>
      <w:r>
        <w:rPr>
          <w:rFonts w:ascii="Arial" w:cs="Arial" w:eastAsia="Arial" w:hAnsi="Arial"/>
          <w:sz w:val="18"/>
          <w:szCs w:val="18"/>
          <w:i w:val="1"/>
          <w:iCs w:val="1"/>
          <w:color w:val="auto"/>
        </w:rPr>
        <w:t>Star</w:t>
      </w:r>
      <w:r>
        <w:rPr>
          <w:rFonts w:ascii="Arial" w:cs="Arial" w:eastAsia="Arial" w:hAnsi="Arial"/>
          <w:sz w:val="18"/>
          <w:szCs w:val="18"/>
          <w:color w:val="auto"/>
        </w:rPr>
        <w:t>, as well as the related digital platforms and specialty publications. TNI collects all receipts and records income and pays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incident to the partnership's operations and publication of the newspaper and other media. Income or loss of TNI is allocated equally to Star Publishing and Citizen.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of TNI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4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350"/>
              <w:spacing w:after="0" w:line="189" w:lineRule="exact"/>
              <w:rPr>
                <w:sz w:val="20"/>
                <w:szCs w:val="20"/>
                <w:color w:val="auto"/>
              </w:rPr>
            </w:pPr>
            <w:r>
              <w:rPr>
                <w:rFonts w:ascii="Arial" w:cs="Arial" w:eastAsia="Arial" w:hAnsi="Arial"/>
                <w:sz w:val="18"/>
                <w:szCs w:val="18"/>
                <w:color w:val="auto"/>
              </w:rPr>
              <w:t>September 24</w:t>
            </w:r>
          </w:p>
        </w:tc>
        <w:tc>
          <w:tcPr>
            <w:tcW w:w="13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25</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auto"/>
            </w:tcBorders>
            <w:vMerge w:val="continue"/>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479"/>
        </w:trPr>
        <w:tc>
          <w:tcPr>
            <w:tcW w:w="5740" w:type="dxa"/>
            <w:vAlign w:val="bottom"/>
          </w:tcPr>
          <w:p>
            <w:pPr>
              <w:ind w:left="20"/>
              <w:spacing w:after="0"/>
              <w:rPr>
                <w:sz w:val="20"/>
                <w:szCs w:val="20"/>
                <w:color w:val="auto"/>
              </w:rPr>
            </w:pPr>
            <w:r>
              <w:rPr>
                <w:rFonts w:ascii="Arial" w:cs="Arial" w:eastAsia="Arial" w:hAnsi="Arial"/>
                <w:sz w:val="18"/>
                <w:szCs w:val="18"/>
                <w:color w:val="auto"/>
              </w:rPr>
              <w:t>ASSETS</w:t>
            </w:r>
          </w:p>
        </w:tc>
        <w:tc>
          <w:tcPr>
            <w:tcW w:w="2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Current assets</w:t>
            </w:r>
          </w:p>
        </w:tc>
        <w:tc>
          <w:tcPr>
            <w:tcW w:w="2440" w:type="dxa"/>
            <w:vAlign w:val="bottom"/>
            <w:shd w:val="clear" w:color="auto" w:fill="CCEDFF"/>
          </w:tcPr>
          <w:p>
            <w:pPr>
              <w:spacing w:after="0"/>
              <w:rPr>
                <w:sz w:val="19"/>
                <w:szCs w:val="19"/>
                <w:color w:val="auto"/>
              </w:rPr>
            </w:pPr>
          </w:p>
        </w:tc>
        <w:tc>
          <w:tcPr>
            <w:tcW w:w="16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1,901</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Investments and other assets</w:t>
            </w:r>
          </w:p>
        </w:tc>
        <w:tc>
          <w:tcPr>
            <w:tcW w:w="2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1,240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assets</w:t>
            </w:r>
          </w:p>
        </w:tc>
        <w:tc>
          <w:tcPr>
            <w:tcW w:w="2440" w:type="dxa"/>
            <w:vAlign w:val="bottom"/>
            <w:tcBorders>
              <w:bottom w:val="single" w:sz="8" w:color="auto"/>
            </w:tcBorders>
            <w:shd w:val="clear" w:color="auto" w:fill="CCEDFF"/>
          </w:tcPr>
          <w:p>
            <w:pPr>
              <w:spacing w:after="0"/>
              <w:rPr>
                <w:sz w:val="21"/>
                <w:szCs w:val="21"/>
                <w:color w:val="auto"/>
              </w:rPr>
            </w:pPr>
          </w:p>
        </w:tc>
        <w:tc>
          <w:tcPr>
            <w:tcW w:w="16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3,141</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DFF"/>
              <w:bottom w:val="single" w:sz="8" w:color="auto"/>
            </w:tcBorders>
          </w:tcPr>
          <w:p>
            <w:pPr>
              <w:spacing w:after="0" w:line="20" w:lineRule="exact"/>
              <w:rPr>
                <w:sz w:val="1"/>
                <w:szCs w:val="1"/>
                <w:color w:val="auto"/>
              </w:rPr>
            </w:pPr>
          </w:p>
        </w:tc>
        <w:tc>
          <w:tcPr>
            <w:tcW w:w="2440" w:type="dxa"/>
            <w:vAlign w:val="bottom"/>
            <w:tcBorders>
              <w:top w:val="single" w:sz="8" w:color="CCEDFF"/>
              <w:bottom w:val="single" w:sz="8" w:color="auto"/>
            </w:tcBorders>
          </w:tcPr>
          <w:p>
            <w:pPr>
              <w:spacing w:after="0" w:line="20" w:lineRule="exact"/>
              <w:rPr>
                <w:sz w:val="1"/>
                <w:szCs w:val="1"/>
                <w:color w:val="auto"/>
              </w:rPr>
            </w:pPr>
          </w:p>
        </w:tc>
        <w:tc>
          <w:tcPr>
            <w:tcW w:w="1680" w:type="dxa"/>
            <w:vAlign w:val="bottom"/>
            <w:tcBorders>
              <w:top w:val="single" w:sz="8" w:color="CCEDFF"/>
              <w:bottom w:val="single" w:sz="8" w:color="auto"/>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LIABILITIES AND MEMBERS' EQUITY (DEFICIT)</w:t>
            </w:r>
          </w:p>
        </w:tc>
        <w:tc>
          <w:tcPr>
            <w:tcW w:w="2440" w:type="dxa"/>
            <w:vAlign w:val="bottom"/>
            <w:shd w:val="clear" w:color="auto" w:fill="CCEDFF"/>
          </w:tcPr>
          <w:p>
            <w:pPr>
              <w:spacing w:after="0"/>
              <w:rPr>
                <w:sz w:val="19"/>
                <w:szCs w:val="19"/>
                <w:color w:val="auto"/>
              </w:rPr>
            </w:pPr>
          </w:p>
        </w:tc>
        <w:tc>
          <w:tcPr>
            <w:tcW w:w="1680" w:type="dxa"/>
            <w:vAlign w:val="bottom"/>
            <w:shd w:val="clear" w:color="auto" w:fill="CCEDFF"/>
          </w:tcPr>
          <w:p>
            <w:pPr>
              <w:spacing w:after="0"/>
              <w:rPr>
                <w:sz w:val="19"/>
                <w:szCs w:val="19"/>
                <w:color w:val="auto"/>
              </w:rPr>
            </w:pPr>
          </w:p>
        </w:tc>
        <w:tc>
          <w:tcPr>
            <w:tcW w:w="138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440" w:type="dxa"/>
            <w:vAlign w:val="bottom"/>
          </w:tcPr>
          <w:p>
            <w:pPr>
              <w:spacing w:after="0"/>
              <w:rPr>
                <w:sz w:val="19"/>
                <w:szCs w:val="19"/>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3,837</w:t>
            </w:r>
          </w:p>
        </w:tc>
        <w:tc>
          <w:tcPr>
            <w:tcW w:w="1380" w:type="dxa"/>
            <w:vAlign w:val="bottom"/>
          </w:tcPr>
          <w:p>
            <w:pPr>
              <w:jc w:val="right"/>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Members' equity</w:t>
            </w:r>
          </w:p>
        </w:tc>
        <w:tc>
          <w:tcPr>
            <w:tcW w:w="2440" w:type="dxa"/>
            <w:vAlign w:val="bottom"/>
            <w:tcBorders>
              <w:bottom w:val="single" w:sz="8" w:color="auto"/>
            </w:tcBorders>
            <w:shd w:val="clear" w:color="auto" w:fill="CCEDFF"/>
          </w:tcPr>
          <w:p>
            <w:pPr>
              <w:spacing w:after="0"/>
              <w:rPr>
                <w:sz w:val="19"/>
                <w:szCs w:val="19"/>
                <w:color w:val="auto"/>
              </w:rPr>
            </w:pPr>
          </w:p>
        </w:tc>
        <w:tc>
          <w:tcPr>
            <w:tcW w:w="168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(696)</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members' equity (deficit)</w:t>
            </w:r>
          </w:p>
        </w:tc>
        <w:tc>
          <w:tcPr>
            <w:tcW w:w="2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3,141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5740" w:type="dxa"/>
            <w:vAlign w:val="bottom"/>
          </w:tcPr>
          <w:p>
            <w:pPr>
              <w:spacing w:after="0"/>
              <w:rPr>
                <w:sz w:val="20"/>
                <w:szCs w:val="20"/>
                <w:color w:val="auto"/>
              </w:rPr>
            </w:pPr>
            <w:r>
              <w:rPr>
                <w:rFonts w:ascii="Arial" w:cs="Arial" w:eastAsia="Arial" w:hAnsi="Arial"/>
                <w:sz w:val="18"/>
                <w:szCs w:val="18"/>
                <w:color w:val="auto"/>
              </w:rPr>
              <w:t>Summarized results of TNI are as follows:</w:t>
            </w:r>
          </w:p>
        </w:tc>
        <w:tc>
          <w:tcPr>
            <w:tcW w:w="2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7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Operating revenue</w:t>
            </w:r>
          </w:p>
        </w:tc>
        <w:tc>
          <w:tcPr>
            <w:tcW w:w="2440" w:type="dxa"/>
            <w:vAlign w:val="bottom"/>
            <w:shd w:val="clear" w:color="auto" w:fill="CCEDFF"/>
          </w:tcPr>
          <w:p>
            <w:pPr>
              <w:jc w:val="right"/>
              <w:ind w:right="90"/>
              <w:spacing w:after="0"/>
              <w:rPr>
                <w:sz w:val="20"/>
                <w:szCs w:val="20"/>
                <w:color w:val="auto"/>
              </w:rPr>
            </w:pPr>
            <w:r>
              <w:rPr>
                <w:rFonts w:ascii="Arial" w:cs="Arial" w:eastAsia="Arial" w:hAnsi="Arial"/>
                <w:sz w:val="18"/>
                <w:szCs w:val="18"/>
                <w:color w:val="auto"/>
              </w:rPr>
              <w:t>31,076</w:t>
            </w:r>
          </w:p>
        </w:tc>
        <w:tc>
          <w:tcPr>
            <w:tcW w:w="1680" w:type="dxa"/>
            <w:vAlign w:val="bottom"/>
            <w:shd w:val="clear" w:color="auto" w:fill="CCEDFF"/>
          </w:tcPr>
          <w:p>
            <w:pPr>
              <w:jc w:val="right"/>
              <w:ind w:right="190"/>
              <w:spacing w:after="0"/>
              <w:rPr>
                <w:sz w:val="20"/>
                <w:szCs w:val="20"/>
                <w:color w:val="auto"/>
              </w:rPr>
            </w:pPr>
            <w:r>
              <w:rPr>
                <w:rFonts w:ascii="Arial" w:cs="Arial" w:eastAsia="Arial" w:hAnsi="Arial"/>
                <w:sz w:val="18"/>
                <w:szCs w:val="18"/>
                <w:color w:val="auto"/>
              </w:rPr>
              <w:t>34,153</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34,782</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expenses</w:t>
            </w:r>
          </w:p>
        </w:tc>
        <w:tc>
          <w:tcPr>
            <w:tcW w:w="2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24,446</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25,445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25,320</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Operating income</w:t>
            </w:r>
          </w:p>
        </w:tc>
        <w:tc>
          <w:tcPr>
            <w:tcW w:w="2440" w:type="dxa"/>
            <w:vAlign w:val="bottom"/>
            <w:tcBorders>
              <w:bottom w:val="single" w:sz="8" w:color="auto"/>
            </w:tcBorders>
            <w:shd w:val="clear" w:color="auto" w:fill="CCEDFF"/>
          </w:tcPr>
          <w:p>
            <w:pPr>
              <w:jc w:val="right"/>
              <w:ind w:right="90"/>
              <w:spacing w:after="0"/>
              <w:rPr>
                <w:sz w:val="20"/>
                <w:szCs w:val="20"/>
                <w:color w:val="auto"/>
              </w:rPr>
            </w:pPr>
            <w:r>
              <w:rPr>
                <w:rFonts w:ascii="Arial" w:cs="Arial" w:eastAsia="Arial" w:hAnsi="Arial"/>
                <w:sz w:val="18"/>
                <w:szCs w:val="18"/>
                <w:color w:val="auto"/>
              </w:rPr>
              <w:t>6,630</w:t>
            </w:r>
          </w:p>
        </w:tc>
        <w:tc>
          <w:tcPr>
            <w:tcW w:w="1680" w:type="dxa"/>
            <w:vAlign w:val="bottom"/>
            <w:tcBorders>
              <w:bottom w:val="single" w:sz="8" w:color="auto"/>
            </w:tcBorders>
            <w:shd w:val="clear" w:color="auto" w:fill="CCEDFF"/>
          </w:tcPr>
          <w:p>
            <w:pPr>
              <w:jc w:val="right"/>
              <w:ind w:right="190"/>
              <w:spacing w:after="0"/>
              <w:rPr>
                <w:sz w:val="20"/>
                <w:szCs w:val="20"/>
                <w:color w:val="auto"/>
              </w:rPr>
            </w:pPr>
            <w:r>
              <w:rPr>
                <w:rFonts w:ascii="Arial" w:cs="Arial" w:eastAsia="Arial" w:hAnsi="Arial"/>
                <w:sz w:val="18"/>
                <w:szCs w:val="18"/>
                <w:color w:val="auto"/>
              </w:rPr>
              <w:t>8,708</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9,462</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2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7,142</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8,708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9,462</w:t>
            </w:r>
          </w:p>
        </w:tc>
        <w:tc>
          <w:tcPr>
            <w:tcW w:w="0" w:type="dxa"/>
            <w:vAlign w:val="bottom"/>
          </w:tcPr>
          <w:p>
            <w:pPr>
              <w:spacing w:after="0"/>
              <w:rPr>
                <w:sz w:val="1"/>
                <w:szCs w:val="1"/>
                <w:color w:val="auto"/>
              </w:rPr>
            </w:pP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shd w:val="clear" w:color="auto" w:fill="CCEDFF"/>
          </w:tcPr>
          <w:p>
            <w:pPr>
              <w:spacing w:after="0"/>
              <w:rPr>
                <w:sz w:val="20"/>
                <w:szCs w:val="20"/>
                <w:color w:val="auto"/>
              </w:rPr>
            </w:pPr>
          </w:p>
        </w:tc>
        <w:tc>
          <w:tcPr>
            <w:tcW w:w="2440" w:type="dxa"/>
            <w:vAlign w:val="bottom"/>
            <w:shd w:val="clear" w:color="auto" w:fill="CCEDFF"/>
          </w:tcPr>
          <w:p>
            <w:pPr>
              <w:spacing w:after="0"/>
              <w:rPr>
                <w:sz w:val="20"/>
                <w:szCs w:val="20"/>
                <w:color w:val="auto"/>
              </w:rPr>
            </w:pPr>
          </w:p>
        </w:tc>
        <w:tc>
          <w:tcPr>
            <w:tcW w:w="1680" w:type="dxa"/>
            <w:vAlign w:val="bottom"/>
            <w:shd w:val="clear" w:color="auto" w:fill="CCEDFF"/>
          </w:tcPr>
          <w:p>
            <w:pPr>
              <w:spacing w:after="0"/>
              <w:rPr>
                <w:sz w:val="20"/>
                <w:szCs w:val="20"/>
                <w:color w:val="auto"/>
              </w:rPr>
            </w:pPr>
          </w:p>
        </w:tc>
        <w:tc>
          <w:tcPr>
            <w:tcW w:w="1380" w:type="dxa"/>
            <w:vAlign w:val="bottom"/>
            <w:shd w:val="clear" w:color="auto" w:fill="CCED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Company's 50% share</w:t>
            </w:r>
          </w:p>
        </w:tc>
        <w:tc>
          <w:tcPr>
            <w:tcW w:w="2440" w:type="dxa"/>
            <w:vAlign w:val="bottom"/>
          </w:tcPr>
          <w:p>
            <w:pPr>
              <w:jc w:val="right"/>
              <w:ind w:right="90"/>
              <w:spacing w:after="0"/>
              <w:rPr>
                <w:sz w:val="20"/>
                <w:szCs w:val="20"/>
                <w:color w:val="auto"/>
              </w:rPr>
            </w:pPr>
            <w:r>
              <w:rPr>
                <w:rFonts w:ascii="Arial" w:cs="Arial" w:eastAsia="Arial" w:hAnsi="Arial"/>
                <w:sz w:val="18"/>
                <w:szCs w:val="18"/>
                <w:color w:val="auto"/>
              </w:rPr>
              <w:t>3,571</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4,354</w:t>
            </w:r>
          </w:p>
        </w:tc>
        <w:tc>
          <w:tcPr>
            <w:tcW w:w="1380" w:type="dxa"/>
            <w:vAlign w:val="bottom"/>
          </w:tcPr>
          <w:p>
            <w:pPr>
              <w:jc w:val="right"/>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Less amortization of intangible assets</w:t>
            </w:r>
          </w:p>
        </w:tc>
        <w:tc>
          <w:tcPr>
            <w:tcW w:w="2440" w:type="dxa"/>
            <w:vAlign w:val="bottom"/>
            <w:tcBorders>
              <w:bottom w:val="single" w:sz="8" w:color="auto"/>
            </w:tcBorders>
            <w:shd w:val="clear" w:color="auto" w:fill="CCEDFF"/>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D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TNI</w:t>
            </w:r>
          </w:p>
        </w:tc>
        <w:tc>
          <w:tcPr>
            <w:tcW w:w="2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3,571</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4,354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TNI makes periodic distributions of its earnings. We received $3.6 million, $3.8 million, and $5.2 million in distributions in 2023, 2022 and 2021, respectively.</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September 24, 2023 and September 25, 2022, the carrying value of the Company's 50% investment in TNI is $15.1 million and $15.3 million, respectively. The difference between our carrying value and our 50% share of the members' equity of TNI relates principally to goodwill of $12.4 million and other identified intangible assets of $2.3 million, certain of which have been amortized over their estimated useful lives through 2020. See Note 4.</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TNI provides editorial services to the Company. Editorial service costs are included in other operating expenses in the Consolidated Statements of Income and Comprehensive Income and totaled $4.4 million, $5.2 million, and $4.5 million in 2023, 2022 and 2021,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Madison Newspapers, Inc.</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related digital sites. Net income or loss of MNI (after income taxes) is allocated equally to us and The Capital Times Company (“TCT”). MNI conducts its business under the trade name Capital Newspapers.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of MNI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250"/>
              <w:spacing w:after="0" w:line="197" w:lineRule="exact"/>
              <w:rPr>
                <w:sz w:val="20"/>
                <w:szCs w:val="20"/>
                <w:color w:val="auto"/>
              </w:rPr>
            </w:pPr>
            <w:r>
              <w:rPr>
                <w:rFonts w:ascii="Arial" w:cs="Arial" w:eastAsia="Arial" w:hAnsi="Arial"/>
                <w:sz w:val="18"/>
                <w:szCs w:val="18"/>
                <w:color w:val="auto"/>
              </w:rPr>
              <w:t>September 24</w:t>
            </w:r>
          </w:p>
        </w:tc>
        <w:tc>
          <w:tcPr>
            <w:tcW w:w="148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September 25</w:t>
            </w:r>
          </w:p>
        </w:tc>
        <w:tc>
          <w:tcPr>
            <w:tcW w:w="0" w:type="dxa"/>
            <w:vAlign w:val="bottom"/>
          </w:tcPr>
          <w:p>
            <w:pPr>
              <w:spacing w:after="0"/>
              <w:rPr>
                <w:sz w:val="1"/>
                <w:szCs w:val="1"/>
                <w:color w:val="auto"/>
              </w:rPr>
            </w:pPr>
          </w:p>
        </w:tc>
      </w:tr>
      <w:tr>
        <w:trPr>
          <w:trHeight w:val="235"/>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7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479"/>
        </w:trPr>
        <w:tc>
          <w:tcPr>
            <w:tcW w:w="6240" w:type="dxa"/>
            <w:vAlign w:val="bottom"/>
          </w:tcPr>
          <w:p>
            <w:pPr>
              <w:ind w:left="20"/>
              <w:spacing w:after="0"/>
              <w:rPr>
                <w:sz w:val="20"/>
                <w:szCs w:val="20"/>
                <w:color w:val="auto"/>
              </w:rPr>
            </w:pPr>
            <w:r>
              <w:rPr>
                <w:rFonts w:ascii="Arial" w:cs="Arial" w:eastAsia="Arial" w:hAnsi="Arial"/>
                <w:sz w:val="18"/>
                <w:szCs w:val="18"/>
                <w:color w:val="auto"/>
              </w:rPr>
              <w:t>ASSETS</w:t>
            </w: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Current assets</w:t>
            </w:r>
          </w:p>
        </w:tc>
        <w:tc>
          <w:tcPr>
            <w:tcW w:w="1720" w:type="dxa"/>
            <w:vAlign w:val="bottom"/>
            <w:shd w:val="clear" w:color="auto" w:fill="CCEDFF"/>
          </w:tcPr>
          <w:p>
            <w:pPr>
              <w:spacing w:after="0"/>
              <w:rPr>
                <w:sz w:val="19"/>
                <w:szCs w:val="19"/>
                <w:color w:val="auto"/>
              </w:rPr>
            </w:pP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8,916</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Investments and other assets</w:t>
            </w:r>
          </w:p>
        </w:tc>
        <w:tc>
          <w:tcPr>
            <w:tcW w:w="1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29,267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29,903</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assets</w:t>
            </w:r>
          </w:p>
        </w:tc>
        <w:tc>
          <w:tcPr>
            <w:tcW w:w="1720" w:type="dxa"/>
            <w:vAlign w:val="bottom"/>
            <w:tcBorders>
              <w:bottom w:val="single" w:sz="8" w:color="auto"/>
            </w:tcBorders>
            <w:shd w:val="clear" w:color="auto" w:fill="CCEDFF"/>
          </w:tcPr>
          <w:p>
            <w:pPr>
              <w:spacing w:after="0"/>
              <w:rPr>
                <w:sz w:val="21"/>
                <w:szCs w:val="21"/>
                <w:color w:val="auto"/>
              </w:rPr>
            </w:pPr>
          </w:p>
        </w:tc>
        <w:tc>
          <w:tcPr>
            <w:tcW w:w="18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38,183</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35,740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DFF"/>
              <w:bottom w:val="single" w:sz="8" w:color="auto"/>
            </w:tcBorders>
          </w:tcPr>
          <w:p>
            <w:pPr>
              <w:spacing w:after="0" w:line="20" w:lineRule="exact"/>
              <w:rPr>
                <w:sz w:val="1"/>
                <w:szCs w:val="1"/>
                <w:color w:val="auto"/>
              </w:rPr>
            </w:pPr>
          </w:p>
        </w:tc>
        <w:tc>
          <w:tcPr>
            <w:tcW w:w="1720" w:type="dxa"/>
            <w:vAlign w:val="bottom"/>
            <w:tcBorders>
              <w:top w:val="single" w:sz="8" w:color="CCEDFF"/>
              <w:bottom w:val="single" w:sz="8" w:color="auto"/>
            </w:tcBorders>
          </w:tcPr>
          <w:p>
            <w:pPr>
              <w:spacing w:after="0" w:line="20" w:lineRule="exact"/>
              <w:rPr>
                <w:sz w:val="1"/>
                <w:szCs w:val="1"/>
                <w:color w:val="auto"/>
              </w:rPr>
            </w:pPr>
          </w:p>
        </w:tc>
        <w:tc>
          <w:tcPr>
            <w:tcW w:w="18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LIABILITIES AND MEMBERS' EQUITY</w:t>
            </w:r>
          </w:p>
        </w:tc>
        <w:tc>
          <w:tcPr>
            <w:tcW w:w="1720" w:type="dxa"/>
            <w:vAlign w:val="bottom"/>
            <w:shd w:val="clear" w:color="auto" w:fill="CCEDFF"/>
          </w:tcPr>
          <w:p>
            <w:pPr>
              <w:spacing w:after="0"/>
              <w:rPr>
                <w:sz w:val="19"/>
                <w:szCs w:val="19"/>
                <w:color w:val="auto"/>
              </w:rPr>
            </w:pPr>
          </w:p>
        </w:tc>
        <w:tc>
          <w:tcPr>
            <w:tcW w:w="1800" w:type="dxa"/>
            <w:vAlign w:val="bottom"/>
            <w:shd w:val="clear" w:color="auto" w:fill="CCEDFF"/>
          </w:tcPr>
          <w:p>
            <w:pPr>
              <w:spacing w:after="0"/>
              <w:rPr>
                <w:sz w:val="19"/>
                <w:szCs w:val="19"/>
                <w:color w:val="auto"/>
              </w:rPr>
            </w:pPr>
          </w:p>
        </w:tc>
        <w:tc>
          <w:tcPr>
            <w:tcW w:w="148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720" w:type="dxa"/>
            <w:vAlign w:val="bottom"/>
          </w:tcPr>
          <w:p>
            <w:pPr>
              <w:spacing w:after="0"/>
              <w:rPr>
                <w:sz w:val="19"/>
                <w:szCs w:val="19"/>
                <w:color w:val="auto"/>
              </w:rPr>
            </w:pP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6,352</w:t>
            </w:r>
          </w:p>
        </w:tc>
        <w:tc>
          <w:tcPr>
            <w:tcW w:w="1480" w:type="dxa"/>
            <w:vAlign w:val="bottom"/>
          </w:tcPr>
          <w:p>
            <w:pPr>
              <w:jc w:val="right"/>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29"/>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Other liabilities</w:t>
            </w:r>
          </w:p>
        </w:tc>
        <w:tc>
          <w:tcPr>
            <w:tcW w:w="1720" w:type="dxa"/>
            <w:vAlign w:val="bottom"/>
            <w:shd w:val="clear" w:color="auto" w:fill="CCEDFF"/>
          </w:tcPr>
          <w:p>
            <w:pPr>
              <w:spacing w:after="0"/>
              <w:rPr>
                <w:sz w:val="19"/>
                <w:szCs w:val="19"/>
                <w:color w:val="auto"/>
              </w:rPr>
            </w:pP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6,303</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Stockholders' equity</w:t>
            </w:r>
          </w:p>
        </w:tc>
        <w:tc>
          <w:tcPr>
            <w:tcW w:w="1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25,528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24,122</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liabilities and members' equity</w:t>
            </w:r>
          </w:p>
        </w:tc>
        <w:tc>
          <w:tcPr>
            <w:tcW w:w="1720" w:type="dxa"/>
            <w:vAlign w:val="bottom"/>
            <w:tcBorders>
              <w:bottom w:val="single" w:sz="8" w:color="auto"/>
            </w:tcBorders>
            <w:shd w:val="clear" w:color="auto" w:fill="CCEDFF"/>
          </w:tcPr>
          <w:p>
            <w:pPr>
              <w:spacing w:after="0"/>
              <w:rPr>
                <w:sz w:val="21"/>
                <w:szCs w:val="21"/>
                <w:color w:val="auto"/>
              </w:rPr>
            </w:pPr>
          </w:p>
        </w:tc>
        <w:tc>
          <w:tcPr>
            <w:tcW w:w="18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38,183</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35,740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DFF"/>
              <w:bottom w:val="single" w:sz="8" w:color="auto"/>
            </w:tcBorders>
          </w:tcPr>
          <w:p>
            <w:pPr>
              <w:spacing w:after="0" w:line="20" w:lineRule="exact"/>
              <w:rPr>
                <w:sz w:val="1"/>
                <w:szCs w:val="1"/>
                <w:color w:val="auto"/>
              </w:rPr>
            </w:pPr>
          </w:p>
        </w:tc>
        <w:tc>
          <w:tcPr>
            <w:tcW w:w="1720" w:type="dxa"/>
            <w:vAlign w:val="bottom"/>
            <w:tcBorders>
              <w:top w:val="single" w:sz="8" w:color="CCEDFF"/>
              <w:bottom w:val="single" w:sz="8" w:color="auto"/>
            </w:tcBorders>
          </w:tcPr>
          <w:p>
            <w:pPr>
              <w:spacing w:after="0" w:line="20" w:lineRule="exact"/>
              <w:rPr>
                <w:sz w:val="1"/>
                <w:szCs w:val="1"/>
                <w:color w:val="auto"/>
              </w:rPr>
            </w:pPr>
          </w:p>
        </w:tc>
        <w:tc>
          <w:tcPr>
            <w:tcW w:w="18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6240" w:type="dxa"/>
            <w:vAlign w:val="bottom"/>
          </w:tcPr>
          <w:p>
            <w:pPr>
              <w:spacing w:after="0"/>
              <w:rPr>
                <w:sz w:val="20"/>
                <w:szCs w:val="20"/>
                <w:color w:val="auto"/>
              </w:rPr>
            </w:pPr>
            <w:r>
              <w:rPr>
                <w:rFonts w:ascii="Arial" w:cs="Arial" w:eastAsia="Arial" w:hAnsi="Arial"/>
                <w:sz w:val="18"/>
                <w:szCs w:val="18"/>
                <w:color w:val="auto"/>
              </w:rPr>
              <w:t>Summarized results of MNI are as follows:</w:t>
            </w: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2023</w:t>
            </w:r>
          </w:p>
        </w:tc>
        <w:tc>
          <w:tcPr>
            <w:tcW w:w="1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0"/>
        </w:trPr>
        <w:tc>
          <w:tcPr>
            <w:tcW w:w="6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Operating revenue</w:t>
            </w:r>
          </w:p>
        </w:tc>
        <w:tc>
          <w:tcPr>
            <w:tcW w:w="1720" w:type="dxa"/>
            <w:vAlign w:val="bottom"/>
            <w:shd w:val="clear" w:color="auto" w:fill="CCEDFF"/>
          </w:tcPr>
          <w:p>
            <w:pPr>
              <w:jc w:val="right"/>
              <w:ind w:right="290"/>
              <w:spacing w:after="0"/>
              <w:rPr>
                <w:sz w:val="20"/>
                <w:szCs w:val="20"/>
                <w:color w:val="auto"/>
              </w:rPr>
            </w:pPr>
            <w:r>
              <w:rPr>
                <w:rFonts w:ascii="Arial" w:cs="Arial" w:eastAsia="Arial" w:hAnsi="Arial"/>
                <w:sz w:val="18"/>
                <w:szCs w:val="18"/>
                <w:color w:val="auto"/>
              </w:rPr>
              <w:t>44,109</w:t>
            </w: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47,621</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46,015</w:t>
            </w:r>
          </w:p>
        </w:tc>
        <w:tc>
          <w:tcPr>
            <w:tcW w:w="0" w:type="dxa"/>
            <w:vAlign w:val="bottom"/>
          </w:tcPr>
          <w:p>
            <w:pPr>
              <w:spacing w:after="0"/>
              <w:rPr>
                <w:sz w:val="1"/>
                <w:szCs w:val="1"/>
                <w:color w:val="auto"/>
              </w:rPr>
            </w:pPr>
          </w:p>
        </w:tc>
      </w:tr>
      <w:tr>
        <w:trPr>
          <w:trHeight w:val="175"/>
        </w:trPr>
        <w:tc>
          <w:tcPr>
            <w:tcW w:w="624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 excluding restructuring costs, depreciation and</w:t>
            </w:r>
          </w:p>
        </w:tc>
        <w:tc>
          <w:tcPr>
            <w:tcW w:w="1720" w:type="dxa"/>
            <w:vAlign w:val="bottom"/>
            <w:vMerge w:val="restart"/>
          </w:tcPr>
          <w:p>
            <w:pPr>
              <w:jc w:val="right"/>
              <w:ind w:right="290"/>
              <w:spacing w:after="0"/>
              <w:rPr>
                <w:sz w:val="20"/>
                <w:szCs w:val="20"/>
                <w:color w:val="auto"/>
              </w:rPr>
            </w:pPr>
            <w:r>
              <w:rPr>
                <w:rFonts w:ascii="Arial" w:cs="Arial" w:eastAsia="Arial" w:hAnsi="Arial"/>
                <w:sz w:val="18"/>
                <w:szCs w:val="18"/>
                <w:color w:val="auto"/>
              </w:rPr>
              <w:t>30,654</w:t>
            </w:r>
          </w:p>
        </w:tc>
        <w:tc>
          <w:tcPr>
            <w:tcW w:w="1800" w:type="dxa"/>
            <w:vAlign w:val="bottom"/>
            <w:vMerge w:val="restart"/>
          </w:tcPr>
          <w:p>
            <w:pPr>
              <w:jc w:val="right"/>
              <w:ind w:right="310"/>
              <w:spacing w:after="0"/>
              <w:rPr>
                <w:sz w:val="20"/>
                <w:szCs w:val="20"/>
                <w:color w:val="auto"/>
              </w:rPr>
            </w:pPr>
            <w:r>
              <w:rPr>
                <w:rFonts w:ascii="Arial" w:cs="Arial" w:eastAsia="Arial" w:hAnsi="Arial"/>
                <w:sz w:val="18"/>
                <w:szCs w:val="18"/>
                <w:color w:val="auto"/>
              </w:rPr>
              <w:t>37,922</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35,583</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72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Restructuring costs</w:t>
            </w:r>
          </w:p>
        </w:tc>
        <w:tc>
          <w:tcPr>
            <w:tcW w:w="1720" w:type="dxa"/>
            <w:vAlign w:val="bottom"/>
            <w:shd w:val="clear" w:color="auto" w:fill="CCEDFF"/>
          </w:tcPr>
          <w:p>
            <w:pPr>
              <w:jc w:val="right"/>
              <w:ind w:right="290"/>
              <w:spacing w:after="0"/>
              <w:rPr>
                <w:sz w:val="20"/>
                <w:szCs w:val="20"/>
                <w:color w:val="auto"/>
              </w:rPr>
            </w:pPr>
            <w:r>
              <w:rPr>
                <w:rFonts w:ascii="Arial" w:cs="Arial" w:eastAsia="Arial" w:hAnsi="Arial"/>
                <w:sz w:val="18"/>
                <w:szCs w:val="18"/>
                <w:color w:val="auto"/>
              </w:rPr>
              <w:t>143</w:t>
            </w: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169</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539</w:t>
            </w:r>
          </w:p>
        </w:tc>
        <w:tc>
          <w:tcPr>
            <w:tcW w:w="1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672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Operating income</w:t>
            </w:r>
          </w:p>
        </w:tc>
        <w:tc>
          <w:tcPr>
            <w:tcW w:w="1720" w:type="dxa"/>
            <w:vAlign w:val="bottom"/>
            <w:tcBorders>
              <w:bottom w:val="single" w:sz="8" w:color="auto"/>
            </w:tcBorders>
            <w:shd w:val="clear" w:color="auto" w:fill="CCEDFF"/>
          </w:tcPr>
          <w:p>
            <w:pPr>
              <w:jc w:val="right"/>
              <w:ind w:right="290"/>
              <w:spacing w:after="0"/>
              <w:rPr>
                <w:sz w:val="20"/>
                <w:szCs w:val="20"/>
                <w:color w:val="auto"/>
              </w:rPr>
            </w:pPr>
            <w:r>
              <w:rPr>
                <w:rFonts w:ascii="Arial" w:cs="Arial" w:eastAsia="Arial" w:hAnsi="Arial"/>
                <w:sz w:val="18"/>
                <w:szCs w:val="18"/>
                <w:color w:val="auto"/>
              </w:rPr>
              <w:t>12,773</w:t>
            </w:r>
          </w:p>
        </w:tc>
        <w:tc>
          <w:tcPr>
            <w:tcW w:w="18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8,858</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0"/>
        </w:trPr>
        <w:tc>
          <w:tcPr>
            <w:tcW w:w="6240" w:type="dxa"/>
            <w:vAlign w:val="bottom"/>
            <w:tcBorders>
              <w:top w:val="single" w:sz="8" w:color="CCEDFF"/>
              <w:bottom w:val="single" w:sz="8" w:color="auto"/>
            </w:tcBorders>
          </w:tcPr>
          <w:p>
            <w:pPr>
              <w:spacing w:after="0" w:line="20" w:lineRule="exact"/>
              <w:rPr>
                <w:sz w:val="1"/>
                <w:szCs w:val="1"/>
                <w:color w:val="auto"/>
              </w:rPr>
            </w:pPr>
          </w:p>
        </w:tc>
        <w:tc>
          <w:tcPr>
            <w:tcW w:w="1720" w:type="dxa"/>
            <w:vAlign w:val="bottom"/>
            <w:tcBorders>
              <w:top w:val="single" w:sz="8" w:color="CCEDFF"/>
              <w:bottom w:val="single" w:sz="8" w:color="auto"/>
            </w:tcBorders>
          </w:tcPr>
          <w:p>
            <w:pPr>
              <w:spacing w:after="0" w:line="20" w:lineRule="exact"/>
              <w:rPr>
                <w:sz w:val="1"/>
                <w:szCs w:val="1"/>
                <w:color w:val="auto"/>
              </w:rPr>
            </w:pPr>
          </w:p>
        </w:tc>
        <w:tc>
          <w:tcPr>
            <w:tcW w:w="18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17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5,911</w:t>
            </w:r>
          </w:p>
        </w:tc>
        <w:tc>
          <w:tcPr>
            <w:tcW w:w="18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2,605</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Equity in earnings of MNI</w:t>
            </w:r>
          </w:p>
        </w:tc>
        <w:tc>
          <w:tcPr>
            <w:tcW w:w="1720" w:type="dxa"/>
            <w:vAlign w:val="bottom"/>
            <w:tcBorders>
              <w:bottom w:val="single" w:sz="8" w:color="auto"/>
            </w:tcBorders>
            <w:shd w:val="clear" w:color="auto" w:fill="CCEDFF"/>
          </w:tcPr>
          <w:p>
            <w:pPr>
              <w:jc w:val="right"/>
              <w:ind w:right="290"/>
              <w:spacing w:after="0"/>
              <w:rPr>
                <w:sz w:val="20"/>
                <w:szCs w:val="20"/>
                <w:color w:val="auto"/>
              </w:rPr>
            </w:pPr>
            <w:r>
              <w:rPr>
                <w:rFonts w:ascii="Arial" w:cs="Arial" w:eastAsia="Arial" w:hAnsi="Arial"/>
                <w:sz w:val="18"/>
                <w:szCs w:val="18"/>
                <w:color w:val="auto"/>
              </w:rPr>
              <w:t>2,956</w:t>
            </w:r>
          </w:p>
        </w:tc>
        <w:tc>
          <w:tcPr>
            <w:tcW w:w="18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1,303</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DFF"/>
              <w:bottom w:val="single" w:sz="8" w:color="auto"/>
            </w:tcBorders>
          </w:tcPr>
          <w:p>
            <w:pPr>
              <w:spacing w:after="0" w:line="20" w:lineRule="exact"/>
              <w:rPr>
                <w:sz w:val="1"/>
                <w:szCs w:val="1"/>
                <w:color w:val="auto"/>
              </w:rPr>
            </w:pPr>
          </w:p>
        </w:tc>
        <w:tc>
          <w:tcPr>
            <w:tcW w:w="1720" w:type="dxa"/>
            <w:vAlign w:val="bottom"/>
            <w:tcBorders>
              <w:top w:val="single" w:sz="8" w:color="CCEDFF"/>
              <w:bottom w:val="single" w:sz="8" w:color="auto"/>
            </w:tcBorders>
          </w:tcPr>
          <w:p>
            <w:pPr>
              <w:spacing w:after="0" w:line="20" w:lineRule="exact"/>
              <w:rPr>
                <w:sz w:val="1"/>
                <w:szCs w:val="1"/>
                <w:color w:val="auto"/>
              </w:rPr>
            </w:pPr>
          </w:p>
        </w:tc>
        <w:tc>
          <w:tcPr>
            <w:tcW w:w="18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MNI makes periodic distributions of its earnings. We received $2.2 million, $1.3 million, and $2.3 million in distributions in 2023, 2022 and 2021, respectively.</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provide editorial services to MNI. Editorial service fees are included in other revenue in the Consolidated Statements of Income and Comprehensive Income and totaled $5.4 million, $5.6 million, and $5.6 million in 2023, 2022 and 2021, respectively.</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September 24, 2023 and September 25, 2022, the carrying value of the Company's 50% investment in MNI is $12.8 million and $12.0 million, respectively.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GOODWILL AND OTHER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3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0"/>
        </w:trPr>
        <w:tc>
          <w:tcPr>
            <w:tcW w:w="74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gross amount</w:t>
            </w:r>
          </w:p>
        </w:tc>
        <w:tc>
          <w:tcPr>
            <w:tcW w:w="2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1,618,233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1,618,933</w:t>
            </w:r>
          </w:p>
        </w:tc>
      </w:tr>
      <w:tr>
        <w:trPr>
          <w:trHeight w:val="229"/>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2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(1,288,729)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(1,288,729)</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year</w:t>
            </w:r>
          </w:p>
        </w:tc>
        <w:tc>
          <w:tcPr>
            <w:tcW w:w="2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329,504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330,204</w:t>
            </w:r>
          </w:p>
        </w:tc>
      </w:tr>
      <w:tr>
        <w:trPr>
          <w:trHeight w:val="229"/>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Disposal</w:t>
            </w:r>
          </w:p>
        </w:tc>
        <w:tc>
          <w:tcPr>
            <w:tcW w:w="2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r>
      <w:tr>
        <w:trPr>
          <w:trHeight w:val="248"/>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 end of year</w:t>
            </w:r>
          </w:p>
        </w:tc>
        <w:tc>
          <w:tcPr>
            <w:tcW w:w="2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329,504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329,504</w:t>
            </w:r>
          </w:p>
        </w:tc>
      </w:tr>
      <w:tr>
        <w:trPr>
          <w:trHeight w:val="20"/>
        </w:trPr>
        <w:tc>
          <w:tcPr>
            <w:tcW w:w="744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05"/>
        </w:trPr>
        <w:tc>
          <w:tcPr>
            <w:tcW w:w="7440" w:type="dxa"/>
            <w:vAlign w:val="bottom"/>
          </w:tcPr>
          <w:p>
            <w:pPr>
              <w:spacing w:after="0"/>
              <w:rPr>
                <w:sz w:val="20"/>
                <w:szCs w:val="20"/>
                <w:color w:val="auto"/>
              </w:rPr>
            </w:pPr>
            <w:r>
              <w:rPr>
                <w:rFonts w:ascii="Arial" w:cs="Arial" w:eastAsia="Arial" w:hAnsi="Arial"/>
                <w:sz w:val="18"/>
                <w:szCs w:val="18"/>
                <w:color w:val="auto"/>
              </w:rPr>
              <w:t>Identified intangible assets related to continuing operations consist of the following:</w:t>
            </w:r>
          </w:p>
        </w:tc>
        <w:tc>
          <w:tcPr>
            <w:tcW w:w="2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8"/>
        </w:trPr>
        <w:tc>
          <w:tcPr>
            <w:tcW w:w="74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169"/>
        </w:trPr>
        <w:tc>
          <w:tcPr>
            <w:tcW w:w="7440" w:type="dxa"/>
            <w:vAlign w:val="bottom"/>
          </w:tcPr>
          <w:p>
            <w:pPr>
              <w:spacing w:after="0"/>
              <w:rPr>
                <w:sz w:val="14"/>
                <w:szCs w:val="14"/>
                <w:color w:val="auto"/>
              </w:rPr>
            </w:pPr>
          </w:p>
        </w:tc>
        <w:tc>
          <w:tcPr>
            <w:tcW w:w="232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September 24</w:t>
            </w:r>
          </w:p>
        </w:tc>
        <w:tc>
          <w:tcPr>
            <w:tcW w:w="1480" w:type="dxa"/>
            <w:vAlign w:val="bottom"/>
          </w:tcPr>
          <w:p>
            <w:pPr>
              <w:jc w:val="right"/>
              <w:spacing w:after="0" w:line="169" w:lineRule="exact"/>
              <w:rPr>
                <w:sz w:val="20"/>
                <w:szCs w:val="20"/>
                <w:color w:val="auto"/>
              </w:rPr>
            </w:pPr>
            <w:r>
              <w:rPr>
                <w:rFonts w:ascii="Arial" w:cs="Arial" w:eastAsia="Arial" w:hAnsi="Arial"/>
                <w:sz w:val="18"/>
                <w:szCs w:val="18"/>
                <w:color w:val="auto"/>
              </w:rPr>
              <w:t>September 25</w:t>
            </w:r>
          </w:p>
        </w:tc>
      </w:tr>
      <w:tr>
        <w:trPr>
          <w:trHeight w:val="242"/>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481"/>
        </w:trPr>
        <w:tc>
          <w:tcPr>
            <w:tcW w:w="7440" w:type="dxa"/>
            <w:vAlign w:val="bottom"/>
          </w:tcPr>
          <w:p>
            <w:pPr>
              <w:ind w:left="20"/>
              <w:spacing w:after="0"/>
              <w:rPr>
                <w:sz w:val="20"/>
                <w:szCs w:val="20"/>
                <w:color w:val="auto"/>
              </w:rPr>
            </w:pPr>
            <w:r>
              <w:rPr>
                <w:rFonts w:ascii="Arial" w:cs="Arial" w:eastAsia="Arial" w:hAnsi="Arial"/>
                <w:sz w:val="18"/>
                <w:szCs w:val="18"/>
                <w:color w:val="auto"/>
              </w:rPr>
              <w:t>Non-amortized intangible assets:</w:t>
            </w:r>
          </w:p>
        </w:tc>
        <w:tc>
          <w:tcPr>
            <w:tcW w:w="2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7440" w:type="dxa"/>
            <w:vAlign w:val="bottom"/>
            <w:shd w:val="clear" w:color="auto" w:fill="CCEDFF"/>
          </w:tcPr>
          <w:p>
            <w:pPr>
              <w:ind w:left="20"/>
              <w:spacing w:after="0"/>
              <w:rPr>
                <w:sz w:val="20"/>
                <w:szCs w:val="20"/>
                <w:color w:val="auto"/>
              </w:rPr>
            </w:pPr>
            <w:r>
              <w:rPr>
                <w:rFonts w:ascii="Arial" w:cs="Arial" w:eastAsia="Arial" w:hAnsi="Arial"/>
                <w:sz w:val="18"/>
                <w:szCs w:val="18"/>
                <w:color w:val="auto"/>
              </w:rPr>
              <w:t>Mastheads</w:t>
            </w:r>
          </w:p>
        </w:tc>
        <w:tc>
          <w:tcPr>
            <w:tcW w:w="232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18,675</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26,346</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23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440" w:type="dxa"/>
            <w:vAlign w:val="bottom"/>
            <w:shd w:val="clear" w:color="auto" w:fill="CCEDFF"/>
          </w:tcPr>
          <w:p>
            <w:pPr>
              <w:ind w:left="20"/>
              <w:spacing w:after="0"/>
              <w:rPr>
                <w:sz w:val="20"/>
                <w:szCs w:val="20"/>
                <w:color w:val="auto"/>
              </w:rPr>
            </w:pPr>
            <w:r>
              <w:rPr>
                <w:rFonts w:ascii="Arial" w:cs="Arial" w:eastAsia="Arial" w:hAnsi="Arial"/>
                <w:sz w:val="18"/>
                <w:szCs w:val="18"/>
                <w:color w:val="auto"/>
              </w:rPr>
              <w:t>Customer and newspaper subscriber lists</w:t>
            </w:r>
          </w:p>
        </w:tc>
        <w:tc>
          <w:tcPr>
            <w:tcW w:w="232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306,766</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323,568</w:t>
            </w:r>
          </w:p>
        </w:tc>
      </w:tr>
      <w:tr>
        <w:trPr>
          <w:trHeight w:val="230"/>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2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(230,453)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(228,541)</w:t>
            </w:r>
          </w:p>
        </w:tc>
      </w:tr>
      <w:tr>
        <w:trPr>
          <w:trHeight w:val="223"/>
        </w:trPr>
        <w:tc>
          <w:tcPr>
            <w:tcW w:w="7440" w:type="dxa"/>
            <w:vAlign w:val="bottom"/>
            <w:tcBorders>
              <w:bottom w:val="single" w:sz="8" w:color="auto"/>
            </w:tcBorders>
            <w:shd w:val="clear" w:color="auto" w:fill="CCEDFF"/>
          </w:tcPr>
          <w:p>
            <w:pPr>
              <w:spacing w:after="0"/>
              <w:rPr>
                <w:sz w:val="19"/>
                <w:szCs w:val="19"/>
                <w:color w:val="auto"/>
              </w:rPr>
            </w:pPr>
          </w:p>
        </w:tc>
        <w:tc>
          <w:tcPr>
            <w:tcW w:w="232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76,313</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95,027</w:t>
            </w:r>
          </w:p>
        </w:tc>
      </w:tr>
      <w:tr>
        <w:trPr>
          <w:trHeight w:val="22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Identified intangible assets</w:t>
            </w:r>
          </w:p>
        </w:tc>
        <w:tc>
          <w:tcPr>
            <w:tcW w:w="2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94,988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121,373</w:t>
            </w: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discussed in Note 1, the Company reviews goodwill and non-amortized intangible assets for impairment annually on the first day of the fourth quarter, or more frequently if events or changes in circumstances indicate that an asset may be impaired in accordance with ASC Topic 350.</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of the Company’s goodwill is attributed to the single reporting unit. When evaluating these assets for impairment, we may first perform a qualitative assessment to determine whether it is more likely than not that a reporting unit is impaired, known as Step 0. If we do not perform a qualitative assessment, or if we determine that it is not more likely than not that the fair value of the reporting unit exceeds its carrying amount, we would calculate the estimated fair value of the reporting unit using discounted cash flows or a combination of discounted cash flow and market approaches. The Company performed its annual assessment on the first day of our fourth fiscal quarter, and determined the fair value of our single reporting unit was in excess of carrying value and as such, there was no impairment in 2023, 2022, and 2021.. In 2022, the Company disposed of a non-core operation with $0.7 million of attributable goodwill.</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mastheads, the calculated fair value includes Level 3 inputs that were determined using the relief from royalty method. The key assumptions used in the fair value estimates under the relief from royalty method are revenue and market growth, royalty rates for newspaper mastheads (the royalty rates utilized range from 0.0% to 1.0%), estimated tax rates, and appropriate risk-adjusted weighted-average cost of capital (for 2023, 2022 and 2021, the weighted-average cost of capital used was 13.00%, 11.00% and 10.50%, respectively). These assumptions reflect Lee's best estimates, but these items involve inherent uncertainties based on market conditions generally outside of the Company's control. A 50-basis point decrease in royalty rates would result in an additional $ 9.3 million of impairment. Increasing the discount rate by 100 basis points would result in an additional $1.2 million of impairment. In 2023, 2022, and 2021, we recorded non-cash charges to reduce the carrying value of non-amortized intangible assets. Such charges are recorded in assets loss (gain) on sales, impairments and other in the Consolidated Statements of Income (Loss) and Comprehensive Income (Loss). We recorded deferred income tax benefits related to these charges. Changes in market conditions and declines in revenue lead to the impairment charges noted above.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pretax impairment charges is included in the table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0" w:type="dxa"/>
            <w:vAlign w:val="bottom"/>
            <w:tcBorders>
              <w:top w:val="single" w:sz="8" w:color="auto"/>
              <w:bottom w:val="single" w:sz="8" w:color="auto"/>
            </w:tcBorders>
          </w:tcPr>
          <w:p>
            <w:pPr>
              <w:jc w:val="center"/>
              <w:ind w:left="470"/>
              <w:spacing w:after="0"/>
              <w:rPr>
                <w:sz w:val="20"/>
                <w:szCs w:val="20"/>
                <w:color w:val="auto"/>
              </w:rPr>
            </w:pPr>
            <w:r>
              <w:rPr>
                <w:rFonts w:ascii="Arial" w:cs="Arial" w:eastAsia="Arial" w:hAnsi="Arial"/>
                <w:sz w:val="18"/>
                <w:szCs w:val="18"/>
                <w:color w:val="auto"/>
                <w:w w:val="99"/>
              </w:rPr>
              <w:t>2021</w:t>
            </w:r>
          </w:p>
        </w:tc>
      </w:tr>
      <w:tr>
        <w:trPr>
          <w:trHeight w:val="250"/>
        </w:trPr>
        <w:tc>
          <w:tcPr>
            <w:tcW w:w="53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53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Non-amortized intangible assets</w:t>
            </w:r>
          </w:p>
        </w:tc>
        <w:tc>
          <w:tcPr>
            <w:tcW w:w="320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7,671</w:t>
            </w:r>
          </w:p>
        </w:tc>
        <w:tc>
          <w:tcPr>
            <w:tcW w:w="1700" w:type="dxa"/>
            <w:vAlign w:val="bottom"/>
            <w:shd w:val="clear" w:color="auto" w:fill="CCEDFF"/>
          </w:tcPr>
          <w:p>
            <w:pPr>
              <w:jc w:val="right"/>
              <w:ind w:right="570"/>
              <w:spacing w:after="0"/>
              <w:rPr>
                <w:sz w:val="20"/>
                <w:szCs w:val="20"/>
                <w:color w:val="auto"/>
              </w:rPr>
            </w:pPr>
            <w:r>
              <w:rPr>
                <w:rFonts w:ascii="Arial" w:cs="Arial" w:eastAsia="Arial" w:hAnsi="Arial"/>
                <w:sz w:val="18"/>
                <w:szCs w:val="18"/>
                <w:color w:val="auto"/>
              </w:rPr>
              <w:t>14,203</w:t>
            </w:r>
          </w:p>
        </w:tc>
        <w:tc>
          <w:tcPr>
            <w:tcW w:w="1000" w:type="dxa"/>
            <w:vAlign w:val="bottom"/>
            <w:shd w:val="clear" w:color="auto" w:fill="CCEDFF"/>
          </w:tcPr>
          <w:p>
            <w:pPr>
              <w:jc w:val="center"/>
              <w:ind w:left="450"/>
              <w:spacing w:after="0"/>
              <w:rPr>
                <w:sz w:val="20"/>
                <w:szCs w:val="20"/>
                <w:color w:val="auto"/>
              </w:rPr>
            </w:pPr>
            <w:r>
              <w:rPr>
                <w:rFonts w:ascii="Arial" w:cs="Arial" w:eastAsia="Arial" w:hAnsi="Arial"/>
                <w:sz w:val="18"/>
                <w:szCs w:val="18"/>
                <w:color w:val="auto"/>
                <w:w w:val="99"/>
              </w:rPr>
              <w:t>787</w:t>
            </w:r>
          </w:p>
        </w:tc>
      </w:tr>
      <w:tr>
        <w:trPr>
          <w:trHeight w:val="230"/>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Property, equipment and other assets</w:t>
            </w:r>
          </w:p>
        </w:tc>
        <w:tc>
          <w:tcPr>
            <w:tcW w:w="3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9"/>
              </w:rPr>
              <w:t>190</w:t>
            </w:r>
          </w:p>
        </w:tc>
      </w:tr>
      <w:tr>
        <w:trPr>
          <w:trHeight w:val="223"/>
        </w:trPr>
        <w:tc>
          <w:tcPr>
            <w:tcW w:w="5340" w:type="dxa"/>
            <w:vAlign w:val="bottom"/>
            <w:tcBorders>
              <w:bottom w:val="single" w:sz="8" w:color="auto"/>
            </w:tcBorders>
            <w:shd w:val="clear" w:color="auto" w:fill="CCEDFF"/>
          </w:tcPr>
          <w:p>
            <w:pPr>
              <w:spacing w:after="0"/>
              <w:rPr>
                <w:sz w:val="19"/>
                <w:szCs w:val="19"/>
                <w:color w:val="auto"/>
              </w:rPr>
            </w:pPr>
          </w:p>
        </w:tc>
        <w:tc>
          <w:tcPr>
            <w:tcW w:w="3200" w:type="dxa"/>
            <w:vAlign w:val="bottom"/>
            <w:tcBorders>
              <w:bottom w:val="single" w:sz="8" w:color="auto"/>
            </w:tcBorders>
            <w:shd w:val="clear" w:color="auto" w:fill="CCEDFF"/>
          </w:tcPr>
          <w:p>
            <w:pPr>
              <w:jc w:val="right"/>
              <w:ind w:right="450"/>
              <w:spacing w:after="0"/>
              <w:rPr>
                <w:sz w:val="20"/>
                <w:szCs w:val="20"/>
                <w:color w:val="auto"/>
              </w:rPr>
            </w:pPr>
            <w:r>
              <w:rPr>
                <w:rFonts w:ascii="Arial" w:cs="Arial" w:eastAsia="Arial" w:hAnsi="Arial"/>
                <w:sz w:val="18"/>
                <w:szCs w:val="18"/>
                <w:color w:val="auto"/>
              </w:rPr>
              <w:t>7,671</w:t>
            </w:r>
          </w:p>
        </w:tc>
        <w:tc>
          <w:tcPr>
            <w:tcW w:w="1700" w:type="dxa"/>
            <w:vAlign w:val="bottom"/>
            <w:tcBorders>
              <w:bottom w:val="single" w:sz="8" w:color="auto"/>
            </w:tcBorders>
            <w:shd w:val="clear" w:color="auto" w:fill="CCEDFF"/>
          </w:tcPr>
          <w:p>
            <w:pPr>
              <w:jc w:val="right"/>
              <w:ind w:right="570"/>
              <w:spacing w:after="0"/>
              <w:rPr>
                <w:sz w:val="20"/>
                <w:szCs w:val="20"/>
                <w:color w:val="auto"/>
              </w:rPr>
            </w:pPr>
            <w:r>
              <w:rPr>
                <w:rFonts w:ascii="Arial" w:cs="Arial" w:eastAsia="Arial" w:hAnsi="Arial"/>
                <w:sz w:val="18"/>
                <w:szCs w:val="18"/>
                <w:color w:val="auto"/>
              </w:rPr>
              <w:t>14,203</w:t>
            </w:r>
          </w:p>
        </w:tc>
        <w:tc>
          <w:tcPr>
            <w:tcW w:w="1000" w:type="dxa"/>
            <w:vAlign w:val="bottom"/>
            <w:tcBorders>
              <w:bottom w:val="single" w:sz="8" w:color="auto"/>
            </w:tcBorders>
            <w:shd w:val="clear" w:color="auto" w:fill="CCEDFF"/>
          </w:tcPr>
          <w:p>
            <w:pPr>
              <w:jc w:val="center"/>
              <w:ind w:left="450"/>
              <w:spacing w:after="0"/>
              <w:rPr>
                <w:sz w:val="20"/>
                <w:szCs w:val="20"/>
                <w:color w:val="auto"/>
              </w:rPr>
            </w:pPr>
            <w:r>
              <w:rPr>
                <w:rFonts w:ascii="Arial" w:cs="Arial" w:eastAsia="Arial" w:hAnsi="Arial"/>
                <w:sz w:val="18"/>
                <w:szCs w:val="18"/>
                <w:color w:val="auto"/>
                <w:w w:val="99"/>
              </w:rPr>
              <w:t>977</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2023, 2022, and 2021 was $19.0 million, $22.2 million, and $24.9 million, respectively.</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Annual amortization of intangible assets for the years ending September 2024 to September 2028 is estimated to be $18.4 million, $12.8 million, $7.3 million, $7.1 million, and $5.5 million, respectively. The weighted average amortization period for amortizable assets is 11.5 years.</w:t>
      </w:r>
    </w:p>
    <w:p>
      <w:pPr>
        <w:spacing w:after="0" w:line="130"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16, 2020 concurrent with closing the Transactions, the Company completed a comprehensive refinancing of its debt (the "2020 Refinancing"). The 2020 Refinancing consists of the Credit Agreement and Term Loan. The proceeds of the Term Loan were used, along with cash on hand, to refinance the Company's $ 431.5 million it incurred in 2014 (the "2014 Refinancing") as well as to fund the acquisition of BH Media Newspaper Business assets and the stock of Buffalo News for $140.0 million in cash. With the closing of this transaction, BH Finance became Lee's sole lender. Proceeds of the Term Loan were used to finance the Transactions and refinance all of the Company's outstanding debt at par. The Term Loan matures in March 2045. The Company's debt is collateralized by all Company assets.</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September 24, 2023, the Company has $455.7 million in aggregate principal debt outstanding under the Term Loan. The debt has a fixed interest rate at September 24, 2023 of 9.0%.</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twelve months ended September 24, 2023, we made principal debt payments of $6.8 million. Payments were from the sale of non-core assets. Future payments are contingent on the Company's ability to generate future Excess Cash Flow, as defined below.</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Agreement contains certain customary representations and warranties, certain affirmative and negative covenants and certain conditions, including restrictions on incurring additional indebtedness, creating certain liens, making certain investments or acquisitions, issuing dividends, repurchasing shares of stock of the Company and certain other capital transactions. Certain existing and future direct and indirect material domestic subsidiaries of the Company are guarantors of the Company's obligations under the Credit Agreement.</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Credit Agreement restricts us from paying dividends on our Common Stock. This restriction does not apply to dividends issued with the Company's Equity Interests or from the proceeds of a sale of the Company's Equity Interests. Further, the Credit Agreement restricts or limits, among other things, subject to certain exceptions, the ability of the Company and its subsidiaries to: (i) incur additional indebtedness,</w:t>
      </w:r>
    </w:p>
    <w:p>
      <w:pPr>
        <w:spacing w:after="0" w:line="1" w:lineRule="exact"/>
        <w:rPr>
          <w:sz w:val="20"/>
          <w:szCs w:val="20"/>
          <w:color w:val="auto"/>
        </w:rPr>
      </w:pPr>
    </w:p>
    <w:p>
      <w:pPr>
        <w:jc w:val="both"/>
        <w:ind w:firstLine="8"/>
        <w:spacing w:after="0" w:line="255" w:lineRule="auto"/>
        <w:tabs>
          <w:tab w:leader="none" w:pos="2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certain investments, (iii) enter into mergers, acquisitions and asset sales, (iv) incur or create liens and (v) enter into transactions with certain affiliates. The Credit Agreement contains various representations and warranties by the Company and may be terminated upon the occurrence of certain events of default, including non-payment. The Credit Agreement also contains cross-default provisions tied to other agreements with BH Finance entered into by the Company and its subsidiaries in connection with the 2020 Refinancing.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Payments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Voluntary pre-payments under the Credit Agreement are not subject to call premiums and are payable at par, with the exception of the change-of-control provisions discussed below.</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Excluding the Excess Cash Flow payments described below, there are no scheduled mandatory principal payments required under the Credit Agreement. The Company is required to make mandatory prepayments of the Term Loan as follows:</w:t>
      </w:r>
    </w:p>
    <w:p>
      <w:pPr>
        <w:spacing w:after="0" w:line="126" w:lineRule="exact"/>
        <w:rPr>
          <w:sz w:val="20"/>
          <w:szCs w:val="20"/>
          <w:color w:val="auto"/>
        </w:rPr>
      </w:pPr>
    </w:p>
    <w:p>
      <w:pPr>
        <w:jc w:val="both"/>
        <w:ind w:left="980" w:hanging="324"/>
        <w:spacing w:after="0" w:line="268"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must prepay the Term Loan in an aggregate amount equal to 100% of any Net Cash Proceeds received by the Company or any Subsidiary from a sale, transfer, license, or other disposition of any property of the Company or any subsidiary in excess of $0.5 million in any ninety (90) day period.</w:t>
      </w:r>
    </w:p>
    <w:p>
      <w:pPr>
        <w:spacing w:after="0" w:line="130" w:lineRule="exact"/>
        <w:rPr>
          <w:rFonts w:ascii="Arial" w:cs="Arial" w:eastAsia="Arial" w:hAnsi="Arial"/>
          <w:sz w:val="18"/>
          <w:szCs w:val="18"/>
          <w:color w:val="auto"/>
        </w:rPr>
      </w:pPr>
    </w:p>
    <w:p>
      <w:pPr>
        <w:jc w:val="both"/>
        <w:ind w:left="980" w:hanging="324"/>
        <w:spacing w:after="0" w:line="268"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is required to prepay the Term Loan with excess cash flow, defined as cash on the balance sheet at quarter-end in excess of $20.0 million ("Excess Cash Flow"). Excess Cash Flow is used to prepay the Term Loan, at par, and is due within 50-days of quarter-end.</w:t>
      </w:r>
    </w:p>
    <w:p>
      <w:pPr>
        <w:spacing w:after="0" w:line="130" w:lineRule="exact"/>
        <w:rPr>
          <w:rFonts w:ascii="Arial" w:cs="Arial" w:eastAsia="Arial" w:hAnsi="Arial"/>
          <w:sz w:val="18"/>
          <w:szCs w:val="18"/>
          <w:color w:val="auto"/>
        </w:rPr>
      </w:pPr>
    </w:p>
    <w:p>
      <w:pPr>
        <w:ind w:left="980" w:hanging="324"/>
        <w:spacing w:after="0" w:line="28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there is a Change of Control (as defined in the Credit Agreement), BH Finance has the option to require the Company to prepay the Term Loan in cash equal to 105% of the unpaid principal balance, plus accrued and unpaid interest.</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may, upon notice to BH Finance, at any time or from time to time, voluntarily prepay the Term Loan in whole or in part, at par, provided that any voluntary prepayment of the Term Loan shall be accompanied by payment of all accrued interest on the amount of principal prepaid to the date of prepayment.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5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In connection with the 2</w:t>
      </w:r>
      <w:r>
        <w:rPr>
          <w:rFonts w:ascii="Arial" w:cs="Arial" w:eastAsia="Arial" w:hAnsi="Arial"/>
          <w:sz w:val="28"/>
          <w:szCs w:val="28"/>
          <w:color w:val="auto"/>
          <w:vertAlign w:val="superscript"/>
        </w:rPr>
        <w:t>nd</w:t>
      </w:r>
      <w:r>
        <w:rPr>
          <w:rFonts w:ascii="Arial" w:cs="Arial" w:eastAsia="Arial" w:hAnsi="Arial"/>
          <w:sz w:val="18"/>
          <w:szCs w:val="18"/>
          <w:color w:val="auto"/>
        </w:rPr>
        <w:t xml:space="preserve"> Lien Term Loan entered into in the 2014 Refinancing, we entered into a Warrant Agreement dated as of March 31, 2014 (the "Warrant Agreement"). Under the Warrant Agreement, certain affiliates or designees of the 2</w:t>
      </w:r>
      <w:r>
        <w:rPr>
          <w:rFonts w:ascii="Arial" w:cs="Arial" w:eastAsia="Arial" w:hAnsi="Arial"/>
          <w:sz w:val="28"/>
          <w:szCs w:val="28"/>
          <w:color w:val="auto"/>
          <w:vertAlign w:val="superscript"/>
        </w:rPr>
        <w:t>nd</w:t>
      </w:r>
      <w:r>
        <w:rPr>
          <w:rFonts w:ascii="Arial" w:cs="Arial" w:eastAsia="Arial" w:hAnsi="Arial"/>
          <w:sz w:val="18"/>
          <w:szCs w:val="18"/>
          <w:color w:val="auto"/>
        </w:rPr>
        <w:t xml:space="preserve"> Lien Lenders received on March 31, 2014 their pro rata share of warrants to purchase, in cash, an initial aggregate of 600,000 shares of Common Stock, subject to adjustment pursuant to anti-dilution provisions (the "Warrants"). The Warrants represented, when fully exercised, approximately 10.1% of shares of Common Stock outstanding at March 30, 2014 on a fully diluted basis. The exercise price of the Warrants was $41.90 per share. The Warrants expired in March 2022.</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Warrant Agreement contained provisions requiring the Warrants to be measured at fair value and included in warrants and other liabilities in our Consolidated Balance Sheets. We re-measured at the fair value of the liability each reporting period, with changes reported in other, net non-operating income (expense). The initial fair value of the Warrants was $16.9 million. See Note 13.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the Credit Agreement, our debt does not include a revolver.</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liquidity, consisting of cash on the balance sheet, totals $ 14.5 million at September 24, 2023. This liquidity amount excludes any future cash flows. We expect all interest and principal payments due in the next twelve months will be satisfied by existing cash and our cash flows, which will allow us to maintain an adequate level of liquidity.</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are numerous potential consequences under the Term Loan if an event of default, as defined, occurs and is not remedied. Many of those consequences are beyond our control. The occurrence of one or more events of default would give rise to the right of BH Finance to exercise their remedies under the Credit Agreement including, without limitation, the right to accelerate all outstanding debt and take actions authorized in such circumstances under applicable collateral security documents.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agreements as they become due. The Credit Agreement (as defined above) has only limited affirmative covenants with which we are required to maintain compliance and there are no leverage or financial performance covenants. We are in compliance with our debt covenants at September 24, 2023.</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lease certain real estate, vehicles, and equipment. Our leases have remaining lease terms of 1 to 40 years, some of which may include options to extend the leases, and some of which may include options to terminate the leases. The exercise of lease renewal options and terminations are at our sole discretion. The depreciable lives of assets and leasehold improvements are limited by the expected lease term unless there is a transfer of title or purchase option reasonably certain of exercise.</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Transactions, the Company entered into a lease agreement between BH Media, as Landlord, and the Company, as Tenant, providing for the leasing of 68 properties and related fixtures (including production equipment) used in the BH Media Newspaper Business ("BH Lease"). The BH Lease commenced on March 16, 2020. The BH Lease requires the Company to pay annual rent of $8.0 million, payable in equal payments, as well as all operating costs relating to the properties (including maintenance, repairs, property taxes and insurance). Rent payments are subject to a Rent Credit (as defined in the Lease) equal to 8.00% of the net consideration for any leased real estate sold by BH Media during the term of the Lease. As of September 24, 2023, the Company has earned monthly rent credits of $0.2 million, making current annual rent of $5.2 million. In connection with the BH Lease, the Company recognized $56.2 million and $56.2 million in right-of-use ("ROU") assets and offsetting lease liabilities as of March 16, 2020.</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period ended September 25, 2022, the Company permanently vacated office and distribution space related to 14 leases. The space was vacated as some of our locations have transitioned to long-term remote working arrangements and space consolidation. The abandonment of lease space is an indicator of impairment and the Company assessed the lease ROU asset and leasehold improvements for impairment. Estimates of fair value include Level 3 inputs which are subjective in nature and involve uncertainties and matters of significant judgement and are made at a specific point in time. During the period ended September 25, 2022, the Company recorded non-cash impairment losses of $7.8 million for right-of-use assets, which is recorded on the Consolidated Statements of Income (loss) and Comprehensive Income (loss) under the line item assets loss (gain) on sales, impairments and other.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Total lease expense consists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44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2023</w:t>
            </w:r>
          </w:p>
        </w:tc>
        <w:tc>
          <w:tcPr>
            <w:tcW w:w="2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34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12,688</w:t>
            </w:r>
          </w:p>
        </w:tc>
        <w:tc>
          <w:tcPr>
            <w:tcW w:w="20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13,786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3440" w:type="dxa"/>
            <w:vAlign w:val="bottom"/>
          </w:tcPr>
          <w:p>
            <w:pPr>
              <w:jc w:val="right"/>
              <w:ind w:right="830"/>
              <w:spacing w:after="0"/>
              <w:rPr>
                <w:sz w:val="20"/>
                <w:szCs w:val="20"/>
                <w:color w:val="auto"/>
              </w:rPr>
            </w:pPr>
            <w:r>
              <w:rPr>
                <w:rFonts w:ascii="Arial" w:cs="Arial" w:eastAsia="Arial" w:hAnsi="Arial"/>
                <w:sz w:val="18"/>
                <w:szCs w:val="18"/>
                <w:color w:val="auto"/>
              </w:rPr>
              <w:t>1,175</w:t>
            </w:r>
          </w:p>
        </w:tc>
        <w:tc>
          <w:tcPr>
            <w:tcW w:w="2080" w:type="dxa"/>
            <w:vAlign w:val="bottom"/>
          </w:tcPr>
          <w:p>
            <w:pPr>
              <w:jc w:val="right"/>
              <w:ind w:right="570"/>
              <w:spacing w:after="0"/>
              <w:rPr>
                <w:sz w:val="20"/>
                <w:szCs w:val="20"/>
                <w:color w:val="auto"/>
              </w:rPr>
            </w:pPr>
            <w:r>
              <w:rPr>
                <w:rFonts w:ascii="Arial" w:cs="Arial" w:eastAsia="Arial" w:hAnsi="Arial"/>
                <w:sz w:val="18"/>
                <w:szCs w:val="18"/>
                <w:color w:val="auto"/>
              </w:rPr>
              <w:t>1,201</w:t>
            </w:r>
          </w:p>
        </w:tc>
        <w:tc>
          <w:tcPr>
            <w:tcW w:w="12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34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355</w:t>
            </w:r>
          </w:p>
        </w:tc>
        <w:tc>
          <w:tcPr>
            <w:tcW w:w="20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217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Lease Expense</w:t>
            </w:r>
          </w:p>
        </w:tc>
        <w:tc>
          <w:tcPr>
            <w:tcW w:w="34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14,218</w:t>
            </w:r>
          </w:p>
        </w:tc>
        <w:tc>
          <w:tcPr>
            <w:tcW w:w="2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15,204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14,938</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our operating leases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92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2023</w:t>
            </w:r>
          </w:p>
        </w:tc>
        <w:tc>
          <w:tcPr>
            <w:tcW w:w="2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77"/>
        </w:trPr>
        <w:tc>
          <w:tcPr>
            <w:tcW w:w="502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Cash paid for amounts included in the measurement of</w:t>
            </w:r>
          </w:p>
        </w:tc>
        <w:tc>
          <w:tcPr>
            <w:tcW w:w="29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920" w:type="dxa"/>
            <w:vAlign w:val="bottom"/>
            <w:tcBorders>
              <w:bottom w:val="single" w:sz="8" w:color="auto"/>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140"/>
              <w:spacing w:after="0"/>
              <w:rPr>
                <w:sz w:val="20"/>
                <w:szCs w:val="20"/>
                <w:color w:val="auto"/>
              </w:rPr>
            </w:pPr>
            <w:r>
              <w:rPr>
                <w:rFonts w:ascii="Arial" w:cs="Arial" w:eastAsia="Arial" w:hAnsi="Arial"/>
                <w:sz w:val="18"/>
                <w:szCs w:val="18"/>
                <w:color w:val="auto"/>
              </w:rPr>
              <w:t>Operating cash outflow from operating leases</w:t>
            </w:r>
          </w:p>
        </w:tc>
        <w:tc>
          <w:tcPr>
            <w:tcW w:w="2920" w:type="dxa"/>
            <w:vAlign w:val="bottom"/>
          </w:tcPr>
          <w:p>
            <w:pPr>
              <w:jc w:val="right"/>
              <w:ind w:right="830"/>
              <w:spacing w:after="0"/>
              <w:rPr>
                <w:sz w:val="20"/>
                <w:szCs w:val="20"/>
                <w:color w:val="auto"/>
              </w:rPr>
            </w:pPr>
            <w:r>
              <w:rPr>
                <w:rFonts w:ascii="Arial" w:cs="Arial" w:eastAsia="Arial" w:hAnsi="Arial"/>
                <w:sz w:val="18"/>
                <w:szCs w:val="18"/>
                <w:color w:val="auto"/>
              </w:rPr>
              <w:t>13,403</w:t>
            </w:r>
          </w:p>
        </w:tc>
        <w:tc>
          <w:tcPr>
            <w:tcW w:w="2080" w:type="dxa"/>
            <w:vAlign w:val="bottom"/>
          </w:tcPr>
          <w:p>
            <w:pPr>
              <w:jc w:val="right"/>
              <w:ind w:right="570"/>
              <w:spacing w:after="0"/>
              <w:rPr>
                <w:sz w:val="20"/>
                <w:szCs w:val="20"/>
                <w:color w:val="auto"/>
              </w:rPr>
            </w:pPr>
            <w:r>
              <w:rPr>
                <w:rFonts w:ascii="Arial" w:cs="Arial" w:eastAsia="Arial" w:hAnsi="Arial"/>
                <w:sz w:val="18"/>
                <w:szCs w:val="18"/>
                <w:color w:val="auto"/>
              </w:rPr>
              <w:t>14,325</w:t>
            </w:r>
          </w:p>
        </w:tc>
        <w:tc>
          <w:tcPr>
            <w:tcW w:w="1220" w:type="dxa"/>
            <w:vAlign w:val="bottom"/>
          </w:tcPr>
          <w:p>
            <w:pPr>
              <w:jc w:val="right"/>
              <w:spacing w:after="0"/>
              <w:rPr>
                <w:sz w:val="20"/>
                <w:szCs w:val="20"/>
                <w:color w:val="auto"/>
              </w:rPr>
            </w:pPr>
            <w:r>
              <w:rPr>
                <w:rFonts w:ascii="Arial" w:cs="Arial" w:eastAsia="Arial" w:hAnsi="Arial"/>
                <w:sz w:val="18"/>
                <w:szCs w:val="18"/>
                <w:color w:val="auto"/>
              </w:rPr>
              <w:t>14,789</w:t>
            </w: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Right-of-use assets obtained in exchange for operating</w:t>
            </w:r>
          </w:p>
        </w:tc>
        <w:tc>
          <w:tcPr>
            <w:tcW w:w="2920" w:type="dxa"/>
            <w:vAlign w:val="bottom"/>
            <w:vMerge w:val="restart"/>
            <w:shd w:val="clear" w:color="auto" w:fill="CCEEFF"/>
          </w:tcPr>
          <w:p>
            <w:pPr>
              <w:jc w:val="right"/>
              <w:ind w:right="830"/>
              <w:spacing w:after="0"/>
              <w:rPr>
                <w:sz w:val="20"/>
                <w:szCs w:val="20"/>
                <w:color w:val="auto"/>
              </w:rPr>
            </w:pPr>
            <w:r>
              <w:rPr>
                <w:rFonts w:ascii="Arial" w:cs="Arial" w:eastAsia="Arial" w:hAnsi="Arial"/>
                <w:sz w:val="18"/>
                <w:szCs w:val="18"/>
                <w:color w:val="auto"/>
              </w:rPr>
              <w:t>3,855</w:t>
            </w:r>
          </w:p>
        </w:tc>
        <w:tc>
          <w:tcPr>
            <w:tcW w:w="2080" w:type="dxa"/>
            <w:vAlign w:val="bottom"/>
            <w:vMerge w:val="restart"/>
            <w:shd w:val="clear" w:color="auto" w:fill="CCEEFF"/>
          </w:tcPr>
          <w:p>
            <w:pPr>
              <w:jc w:val="right"/>
              <w:ind w:right="570"/>
              <w:spacing w:after="0"/>
              <w:rPr>
                <w:sz w:val="20"/>
                <w:szCs w:val="20"/>
                <w:color w:val="auto"/>
              </w:rPr>
            </w:pPr>
            <w:r>
              <w:rPr>
                <w:rFonts w:ascii="Arial" w:cs="Arial" w:eastAsia="Arial" w:hAnsi="Arial"/>
                <w:sz w:val="18"/>
                <w:szCs w:val="18"/>
                <w:color w:val="auto"/>
              </w:rPr>
              <w:t>990</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35"/>
        </w:trPr>
        <w:tc>
          <w:tcPr>
            <w:tcW w:w="5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2920" w:type="dxa"/>
            <w:vAlign w:val="bottom"/>
            <w:tcBorders>
              <w:bottom w:val="single" w:sz="8" w:color="auto"/>
            </w:tcBorders>
            <w:vMerge w:val="continue"/>
            <w:shd w:val="clear" w:color="auto" w:fill="CCEEFF"/>
          </w:tcPr>
          <w:p>
            <w:pPr>
              <w:spacing w:after="0"/>
              <w:rPr>
                <w:sz w:val="20"/>
                <w:szCs w:val="20"/>
                <w:color w:val="auto"/>
              </w:rPr>
            </w:pPr>
          </w:p>
        </w:tc>
        <w:tc>
          <w:tcPr>
            <w:tcW w:w="20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15"/>
        </w:trPr>
        <w:tc>
          <w:tcPr>
            <w:tcW w:w="5020" w:type="dxa"/>
            <w:vAlign w:val="bottom"/>
          </w:tcPr>
          <w:p>
            <w:pPr>
              <w:spacing w:after="0"/>
              <w:rPr>
                <w:sz w:val="24"/>
                <w:szCs w:val="24"/>
                <w:color w:val="auto"/>
              </w:rPr>
            </w:pPr>
          </w:p>
        </w:tc>
        <w:tc>
          <w:tcPr>
            <w:tcW w:w="2920" w:type="dxa"/>
            <w:vAlign w:val="bottom"/>
          </w:tcPr>
          <w:p>
            <w:pPr>
              <w:jc w:val="right"/>
              <w:ind w:right="2130"/>
              <w:spacing w:after="0"/>
              <w:rPr>
                <w:sz w:val="20"/>
                <w:szCs w:val="20"/>
                <w:color w:val="auto"/>
              </w:rPr>
            </w:pPr>
            <w:r>
              <w:rPr>
                <w:rFonts w:ascii="Arial" w:cs="Arial" w:eastAsia="Arial" w:hAnsi="Arial"/>
                <w:sz w:val="18"/>
                <w:szCs w:val="18"/>
                <w:color w:val="auto"/>
              </w:rPr>
              <w:t>51</w:t>
            </w:r>
          </w:p>
        </w:tc>
        <w:tc>
          <w:tcPr>
            <w:tcW w:w="2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02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24, 2023, maturities of lease liabilities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(Thousands of Dollars)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40" w:type="dxa"/>
            <w:vAlign w:val="bottom"/>
            <w:tcBorders>
              <w:top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2024</w:t>
            </w:r>
          </w:p>
        </w:tc>
        <w:tc>
          <w:tcPr>
            <w:tcW w:w="4700" w:type="dxa"/>
            <w:vAlign w:val="bottom"/>
            <w:tcBorders>
              <w:top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12,179</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2025</w:t>
            </w:r>
          </w:p>
        </w:tc>
        <w:tc>
          <w:tcPr>
            <w:tcW w:w="4700" w:type="dxa"/>
            <w:vAlign w:val="bottom"/>
          </w:tcPr>
          <w:p>
            <w:pPr>
              <w:jc w:val="right"/>
              <w:spacing w:after="0"/>
              <w:rPr>
                <w:sz w:val="20"/>
                <w:szCs w:val="20"/>
                <w:color w:val="auto"/>
              </w:rPr>
            </w:pPr>
            <w:r>
              <w:rPr>
                <w:rFonts w:ascii="Arial" w:cs="Arial" w:eastAsia="Arial" w:hAnsi="Arial"/>
                <w:sz w:val="18"/>
                <w:szCs w:val="18"/>
                <w:color w:val="auto"/>
              </w:rPr>
              <w:t>10,960</w:t>
            </w:r>
          </w:p>
        </w:tc>
      </w:tr>
      <w:tr>
        <w:trPr>
          <w:trHeight w:val="229"/>
        </w:trPr>
        <w:tc>
          <w:tcPr>
            <w:tcW w:w="654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2026</w:t>
            </w:r>
          </w:p>
        </w:tc>
        <w:tc>
          <w:tcPr>
            <w:tcW w:w="47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9,369</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2027</w:t>
            </w:r>
          </w:p>
        </w:tc>
        <w:tc>
          <w:tcPr>
            <w:tcW w:w="4700" w:type="dxa"/>
            <w:vAlign w:val="bottom"/>
          </w:tcPr>
          <w:p>
            <w:pPr>
              <w:jc w:val="right"/>
              <w:spacing w:after="0"/>
              <w:rPr>
                <w:sz w:val="20"/>
                <w:szCs w:val="20"/>
                <w:color w:val="auto"/>
              </w:rPr>
            </w:pPr>
            <w:r>
              <w:rPr>
                <w:rFonts w:ascii="Arial" w:cs="Arial" w:eastAsia="Arial" w:hAnsi="Arial"/>
                <w:sz w:val="18"/>
                <w:szCs w:val="18"/>
                <w:color w:val="auto"/>
              </w:rPr>
              <w:t>7,701</w:t>
            </w:r>
          </w:p>
        </w:tc>
      </w:tr>
      <w:tr>
        <w:trPr>
          <w:trHeight w:val="229"/>
        </w:trPr>
        <w:tc>
          <w:tcPr>
            <w:tcW w:w="654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2028</w:t>
            </w:r>
          </w:p>
        </w:tc>
        <w:tc>
          <w:tcPr>
            <w:tcW w:w="47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6,324</w:t>
            </w:r>
          </w:p>
        </w:tc>
      </w:tr>
      <w:tr>
        <w:trPr>
          <w:trHeight w:val="229"/>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4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10,609</w:t>
            </w:r>
          </w:p>
        </w:tc>
      </w:tr>
      <w:tr>
        <w:trPr>
          <w:trHeight w:val="223"/>
        </w:trPr>
        <w:tc>
          <w:tcPr>
            <w:tcW w:w="6540" w:type="dxa"/>
            <w:vAlign w:val="bottom"/>
            <w:shd w:val="clear" w:color="auto" w:fill="CCEDFF"/>
          </w:tcPr>
          <w:p>
            <w:pPr>
              <w:ind w:left="20"/>
              <w:spacing w:after="0"/>
              <w:rPr>
                <w:sz w:val="20"/>
                <w:szCs w:val="20"/>
                <w:color w:val="auto"/>
              </w:rPr>
            </w:pPr>
            <w:r>
              <w:rPr>
                <w:rFonts w:ascii="Arial" w:cs="Arial" w:eastAsia="Arial" w:hAnsi="Arial"/>
                <w:sz w:val="18"/>
                <w:szCs w:val="18"/>
                <w:color w:val="auto"/>
              </w:rPr>
              <w:t>Total lease payments</w:t>
            </w:r>
          </w:p>
        </w:tc>
        <w:tc>
          <w:tcPr>
            <w:tcW w:w="47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57,142</w:t>
            </w:r>
          </w:p>
        </w:tc>
      </w:tr>
      <w:tr>
        <w:trPr>
          <w:trHeight w:val="229"/>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interest</w:t>
            </w:r>
          </w:p>
        </w:tc>
        <w:tc>
          <w:tcPr>
            <w:tcW w:w="4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(12,806)</w:t>
            </w:r>
          </w:p>
        </w:tc>
      </w:tr>
      <w:tr>
        <w:trPr>
          <w:trHeight w:val="248"/>
        </w:trPr>
        <w:tc>
          <w:tcPr>
            <w:tcW w:w="65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Present value of lease liabilities</w:t>
            </w:r>
          </w:p>
        </w:tc>
        <w:tc>
          <w:tcPr>
            <w:tcW w:w="470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44,336</w:t>
            </w:r>
          </w:p>
        </w:tc>
      </w:tr>
      <w:tr>
        <w:trPr>
          <w:trHeight w:val="20"/>
        </w:trPr>
        <w:tc>
          <w:tcPr>
            <w:tcW w:w="6540" w:type="dxa"/>
            <w:vAlign w:val="bottom"/>
            <w:tcBorders>
              <w:top w:val="single" w:sz="8" w:color="CCEDFF"/>
              <w:bottom w:val="single" w:sz="8" w:color="auto"/>
            </w:tcBorders>
          </w:tcPr>
          <w:p>
            <w:pPr>
              <w:spacing w:after="0" w:line="20" w:lineRule="exact"/>
              <w:rPr>
                <w:sz w:val="1"/>
                <w:szCs w:val="1"/>
                <w:color w:val="auto"/>
              </w:rPr>
            </w:pPr>
          </w:p>
        </w:tc>
        <w:tc>
          <w:tcPr>
            <w:tcW w:w="4700" w:type="dxa"/>
            <w:vAlign w:val="bottom"/>
            <w:tcBorders>
              <w:top w:val="single" w:sz="8" w:color="CCED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lease contracts are discounted using the incremental borrowing rate for the Company. We determined the incremental borrowing rate based on a senior secured collateral adjusted yield curve for the Company. This yield curve reflects the estimated rate that would have been paid by the Company to borrow on a collateralized basis over a similar term in a similar economic environment. The weighted average revolving lease terms and discount rates for all of our operating leases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00" w:type="dxa"/>
            <w:vAlign w:val="bottom"/>
            <w:tcBorders>
              <w:top w:val="single" w:sz="8" w:color="auto"/>
              <w:bottom w:val="single" w:sz="8" w:color="auto"/>
            </w:tcBorders>
          </w:tcPr>
          <w:p>
            <w:pPr>
              <w:spacing w:after="0"/>
              <w:rPr>
                <w:sz w:val="21"/>
                <w:szCs w:val="21"/>
                <w:color w:val="auto"/>
              </w:rPr>
            </w:pPr>
          </w:p>
        </w:tc>
        <w:tc>
          <w:tcPr>
            <w:tcW w:w="4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September 24, 2023</w:t>
            </w:r>
          </w:p>
        </w:tc>
      </w:tr>
      <w:tr>
        <w:trPr>
          <w:trHeight w:val="223"/>
        </w:trPr>
        <w:tc>
          <w:tcPr>
            <w:tcW w:w="6500" w:type="dxa"/>
            <w:vAlign w:val="bottom"/>
            <w:shd w:val="clear" w:color="auto" w:fill="CCED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47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 years, 7 months, 4 days</w:t>
            </w:r>
          </w:p>
        </w:tc>
      </w:tr>
      <w:tr>
        <w:trPr>
          <w:trHeight w:val="230"/>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discount rate</w:t>
            </w:r>
          </w:p>
        </w:tc>
        <w:tc>
          <w:tcPr>
            <w:tcW w:w="4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7.88 %</w:t>
            </w:r>
          </w:p>
        </w:tc>
      </w:tr>
    </w:tbl>
    <w:p>
      <w:pPr>
        <w:spacing w:after="0" w:line="251"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PLANS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2022, the Company made several changes to its defined benefit plans. At the beginning of 2022, the Company was the sponsor of seven single-employer defined benefit plans, two of which were frozen to new participants and future benefits. As of September 24, 2023, we are the sponsor of one single-employer defined benefit plan, which provide benefits to certain current and former employees of Lee.</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2022 we notified certain participants in our defined benefit plans of changes to be made to the plans. The Company froze future benefits and participation for an additional four of the defined benefit plans. The freeze of future benefits resulted in a non-cash curtailment gain of $1.0 million related to the four plans. In connection with the freeze the Company provided certain benefit enhancements that resulted in an increase to our net pension liability and a decrease to accumulated other comprehensive income of $6.1 million. Additionally, the Company merged the six frozen plans into one fully-funded defined benefit plan, the Lee Enterprises Incorporated Pension Plan ("Plan") effective in the second quarter of fiscal 2022.</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September of 2022, as part of a pension de-risking strategy for the Plan, the Company, executed an agreement pursuant to which it transferred to a third-party insurance company (the "Insurer") $ 85.6 million of the Plan's liabilities in exchange for $81.4 million of Plan assets and recorded a non-cash settlement gain of $4.2 million in Pension and OPEB related benefit (cost) and other, net. Collectively, the transactions are known as the "Annuity Purchase"</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September 24, 2023, an immaterial defined benefit plan was merged into the Plan. The prior period net periodic pension cost (benefit) and changes in benefit obligations tables have been revised to include amounts from this plan that was previously excluded due to immateriality.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cost (benefit) components of our pension plans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1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0"/>
        </w:trPr>
        <w:tc>
          <w:tcPr>
            <w:tcW w:w="7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7120" w:type="dxa"/>
            <w:vAlign w:val="bottom"/>
            <w:shd w:val="clear" w:color="auto" w:fill="CCEDFF"/>
          </w:tcPr>
          <w:p>
            <w:pPr>
              <w:ind w:left="20"/>
              <w:spacing w:after="0"/>
              <w:rPr>
                <w:sz w:val="20"/>
                <w:szCs w:val="20"/>
                <w:color w:val="auto"/>
              </w:rPr>
            </w:pPr>
            <w:r>
              <w:rPr>
                <w:rFonts w:ascii="Arial" w:cs="Arial" w:eastAsia="Arial" w:hAnsi="Arial"/>
                <w:sz w:val="18"/>
                <w:szCs w:val="18"/>
                <w:color w:val="auto"/>
              </w:rPr>
              <w:t>Service cost for benefits earned during the year</w:t>
            </w:r>
          </w:p>
        </w:tc>
        <w:tc>
          <w:tcPr>
            <w:tcW w:w="1060" w:type="dxa"/>
            <w:vAlign w:val="bottom"/>
            <w:shd w:val="clear" w:color="auto" w:fill="CCEDFF"/>
          </w:tcPr>
          <w:p>
            <w:pPr>
              <w:jc w:val="right"/>
              <w:ind w:right="150"/>
              <w:spacing w:after="0"/>
              <w:rPr>
                <w:sz w:val="20"/>
                <w:szCs w:val="20"/>
                <w:color w:val="auto"/>
              </w:rPr>
            </w:pPr>
            <w:r>
              <w:rPr>
                <w:rFonts w:ascii="Arial" w:cs="Arial" w:eastAsia="Arial" w:hAnsi="Arial"/>
                <w:sz w:val="18"/>
                <w:szCs w:val="18"/>
                <w:color w:val="auto"/>
              </w:rPr>
              <w:t>19</w:t>
            </w:r>
          </w:p>
        </w:tc>
        <w:tc>
          <w:tcPr>
            <w:tcW w:w="1680" w:type="dxa"/>
            <w:vAlign w:val="bottom"/>
            <w:shd w:val="clear" w:color="auto" w:fill="CCEDFF"/>
          </w:tcPr>
          <w:p>
            <w:pPr>
              <w:jc w:val="right"/>
              <w:ind w:right="190"/>
              <w:spacing w:after="0"/>
              <w:rPr>
                <w:sz w:val="20"/>
                <w:szCs w:val="20"/>
                <w:color w:val="auto"/>
              </w:rPr>
            </w:pPr>
            <w:r>
              <w:rPr>
                <w:rFonts w:ascii="Arial" w:cs="Arial" w:eastAsia="Arial" w:hAnsi="Arial"/>
                <w:sz w:val="18"/>
                <w:szCs w:val="18"/>
                <w:color w:val="auto"/>
              </w:rPr>
              <w:t>488</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2,529</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10,368</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7,999</w:t>
            </w:r>
          </w:p>
        </w:tc>
        <w:tc>
          <w:tcPr>
            <w:tcW w:w="1380" w:type="dxa"/>
            <w:vAlign w:val="bottom"/>
          </w:tcPr>
          <w:p>
            <w:pPr>
              <w:jc w:val="right"/>
              <w:spacing w:after="0"/>
              <w:rPr>
                <w:sz w:val="20"/>
                <w:szCs w:val="20"/>
                <w:color w:val="auto"/>
              </w:rPr>
            </w:pPr>
            <w:r>
              <w:rPr>
                <w:rFonts w:ascii="Arial" w:cs="Arial" w:eastAsia="Arial" w:hAnsi="Arial"/>
                <w:sz w:val="18"/>
                <w:szCs w:val="18"/>
                <w:color w:val="auto"/>
              </w:rPr>
              <w:t>7,147</w:t>
            </w:r>
          </w:p>
        </w:tc>
      </w:tr>
      <w:tr>
        <w:trPr>
          <w:trHeight w:val="229"/>
        </w:trPr>
        <w:tc>
          <w:tcPr>
            <w:tcW w:w="7120" w:type="dxa"/>
            <w:vAlign w:val="bottom"/>
            <w:shd w:val="clear" w:color="auto" w:fill="CCEDFF"/>
          </w:tcPr>
          <w:p>
            <w:pPr>
              <w:ind w:left="20"/>
              <w:spacing w:after="0"/>
              <w:rPr>
                <w:sz w:val="20"/>
                <w:szCs w:val="20"/>
                <w:color w:val="auto"/>
              </w:rPr>
            </w:pPr>
            <w:r>
              <w:rPr>
                <w:rFonts w:ascii="Arial" w:cs="Arial" w:eastAsia="Arial" w:hAnsi="Arial"/>
                <w:sz w:val="18"/>
                <w:szCs w:val="18"/>
                <w:color w:val="auto"/>
              </w:rPr>
              <w:t>Expected return on plan assets</w:t>
            </w:r>
          </w:p>
        </w:tc>
        <w:tc>
          <w:tcPr>
            <w:tcW w:w="1060" w:type="dxa"/>
            <w:vAlign w:val="bottom"/>
            <w:shd w:val="clear" w:color="auto" w:fill="CCEDFF"/>
          </w:tcPr>
          <w:p>
            <w:pPr>
              <w:jc w:val="right"/>
              <w:ind w:right="150"/>
              <w:spacing w:after="0"/>
              <w:rPr>
                <w:sz w:val="20"/>
                <w:szCs w:val="20"/>
                <w:color w:val="auto"/>
              </w:rPr>
            </w:pPr>
            <w:r>
              <w:rPr>
                <w:rFonts w:ascii="Arial" w:cs="Arial" w:eastAsia="Arial" w:hAnsi="Arial"/>
                <w:sz w:val="18"/>
                <w:szCs w:val="18"/>
                <w:color w:val="auto"/>
              </w:rPr>
              <w:t>(10,192)</w:t>
            </w:r>
          </w:p>
        </w:tc>
        <w:tc>
          <w:tcPr>
            <w:tcW w:w="1680" w:type="dxa"/>
            <w:vAlign w:val="bottom"/>
            <w:shd w:val="clear" w:color="auto" w:fill="CCEDFF"/>
          </w:tcPr>
          <w:p>
            <w:pPr>
              <w:jc w:val="right"/>
              <w:ind w:right="150"/>
              <w:spacing w:after="0"/>
              <w:rPr>
                <w:sz w:val="20"/>
                <w:szCs w:val="20"/>
                <w:color w:val="auto"/>
              </w:rPr>
            </w:pPr>
            <w:r>
              <w:rPr>
                <w:rFonts w:ascii="Arial" w:cs="Arial" w:eastAsia="Arial" w:hAnsi="Arial"/>
                <w:sz w:val="18"/>
                <w:szCs w:val="18"/>
                <w:color w:val="auto"/>
              </w:rPr>
              <w:t>(18,261)</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(18,688)</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Amortization of net (gain) loss</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(3,317)</w:t>
            </w:r>
          </w:p>
        </w:tc>
        <w:tc>
          <w:tcPr>
            <w:tcW w:w="1380" w:type="dxa"/>
            <w:vAlign w:val="bottom"/>
          </w:tcPr>
          <w:p>
            <w:pPr>
              <w:jc w:val="right"/>
              <w:spacing w:after="0"/>
              <w:rPr>
                <w:sz w:val="20"/>
                <w:szCs w:val="20"/>
                <w:color w:val="auto"/>
              </w:rPr>
            </w:pPr>
            <w:r>
              <w:rPr>
                <w:rFonts w:ascii="Arial" w:cs="Arial" w:eastAsia="Arial" w:hAnsi="Arial"/>
                <w:sz w:val="18"/>
                <w:szCs w:val="18"/>
                <w:color w:val="auto"/>
              </w:rPr>
              <w:t>4,018</w:t>
            </w:r>
          </w:p>
        </w:tc>
      </w:tr>
      <w:tr>
        <w:trPr>
          <w:trHeight w:val="229"/>
        </w:trPr>
        <w:tc>
          <w:tcPr>
            <w:tcW w:w="7120" w:type="dxa"/>
            <w:vAlign w:val="bottom"/>
            <w:shd w:val="clear" w:color="auto" w:fill="CCED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1060" w:type="dxa"/>
            <w:vAlign w:val="bottom"/>
            <w:shd w:val="clear" w:color="auto" w:fill="CCEDFF"/>
          </w:tcPr>
          <w:p>
            <w:pPr>
              <w:jc w:val="right"/>
              <w:ind w:right="150"/>
              <w:spacing w:after="0"/>
              <w:rPr>
                <w:sz w:val="20"/>
                <w:szCs w:val="20"/>
                <w:color w:val="auto"/>
              </w:rPr>
            </w:pPr>
            <w:r>
              <w:rPr>
                <w:rFonts w:ascii="Arial" w:cs="Arial" w:eastAsia="Arial" w:hAnsi="Arial"/>
                <w:sz w:val="18"/>
                <w:szCs w:val="18"/>
                <w:color w:val="auto"/>
              </w:rPr>
              <w:t>852</w:t>
            </w:r>
          </w:p>
        </w:tc>
        <w:tc>
          <w:tcPr>
            <w:tcW w:w="1680" w:type="dxa"/>
            <w:vAlign w:val="bottom"/>
            <w:shd w:val="clear" w:color="auto" w:fill="CCEDFF"/>
          </w:tcPr>
          <w:p>
            <w:pPr>
              <w:jc w:val="right"/>
              <w:ind w:right="190"/>
              <w:spacing w:after="0"/>
              <w:rPr>
                <w:sz w:val="20"/>
                <w:szCs w:val="20"/>
                <w:color w:val="auto"/>
              </w:rPr>
            </w:pPr>
            <w:r>
              <w:rPr>
                <w:rFonts w:ascii="Arial" w:cs="Arial" w:eastAsia="Arial" w:hAnsi="Arial"/>
                <w:sz w:val="18"/>
                <w:szCs w:val="18"/>
                <w:color w:val="auto"/>
              </w:rPr>
              <w:t>641</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Settlement gain</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(4,245)</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Curtailment gain</w:t>
            </w:r>
          </w:p>
        </w:tc>
        <w:tc>
          <w:tcPr>
            <w:tcW w:w="1060" w:type="dxa"/>
            <w:vAlign w:val="bottom"/>
            <w:tcBorders>
              <w:bottom w:val="single" w:sz="8" w:color="auto"/>
            </w:tcBorders>
            <w:shd w:val="clear" w:color="auto" w:fill="CCEDFF"/>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DFF"/>
          </w:tcPr>
          <w:p>
            <w:pPr>
              <w:jc w:val="right"/>
              <w:ind w:right="150"/>
              <w:spacing w:after="0"/>
              <w:rPr>
                <w:sz w:val="20"/>
                <w:szCs w:val="20"/>
                <w:color w:val="auto"/>
              </w:rPr>
            </w:pPr>
            <w:r>
              <w:rPr>
                <w:rFonts w:ascii="Arial" w:cs="Arial" w:eastAsia="Arial" w:hAnsi="Arial"/>
                <w:sz w:val="18"/>
                <w:szCs w:val="18"/>
                <w:color w:val="auto"/>
              </w:rPr>
              <w:t>(1,027)</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pension cost (benefit)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1,057</w:t>
            </w: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(17,722)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r>
      <w:tr>
        <w:trPr>
          <w:trHeight w:val="21"/>
        </w:trPr>
        <w:tc>
          <w:tcPr>
            <w:tcW w:w="7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83"/>
        </w:trPr>
        <w:tc>
          <w:tcPr>
            <w:tcW w:w="7120" w:type="dxa"/>
            <w:vAlign w:val="bottom"/>
          </w:tcPr>
          <w:p>
            <w:pPr>
              <w:spacing w:after="0"/>
              <w:rPr>
                <w:sz w:val="20"/>
                <w:szCs w:val="20"/>
                <w:color w:val="auto"/>
              </w:rPr>
            </w:pPr>
            <w:r>
              <w:rPr>
                <w:rFonts w:ascii="Arial" w:cs="Arial" w:eastAsia="Arial" w:hAnsi="Arial"/>
                <w:sz w:val="18"/>
                <w:szCs w:val="18"/>
                <w:color w:val="auto"/>
              </w:rPr>
              <w:t>Changes in benefit obligations and plan assets are as follows:</w:t>
            </w: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8"/>
        </w:trPr>
        <w:tc>
          <w:tcPr>
            <w:tcW w:w="7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23"/>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0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0"/>
        </w:trPr>
        <w:tc>
          <w:tcPr>
            <w:tcW w:w="7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 beginning of year</w:t>
            </w:r>
          </w:p>
        </w:tc>
        <w:tc>
          <w:tcPr>
            <w:tcW w:w="10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210,806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386,832</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06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19</w:t>
            </w:r>
          </w:p>
        </w:tc>
        <w:tc>
          <w:tcPr>
            <w:tcW w:w="138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10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10,368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Plan amendments</w:t>
            </w:r>
          </w:p>
        </w:tc>
        <w:tc>
          <w:tcPr>
            <w:tcW w:w="106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6,077</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(gain) loss</w:t>
            </w:r>
          </w:p>
        </w:tc>
        <w:tc>
          <w:tcPr>
            <w:tcW w:w="10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(9,876)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(86,387)</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106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(12,130)</w:t>
            </w:r>
          </w:p>
        </w:tc>
        <w:tc>
          <w:tcPr>
            <w:tcW w:w="1380" w:type="dxa"/>
            <w:vAlign w:val="bottom"/>
          </w:tcPr>
          <w:p>
            <w:pPr>
              <w:jc w:val="right"/>
              <w:spacing w:after="0"/>
              <w:rPr>
                <w:sz w:val="20"/>
                <w:szCs w:val="20"/>
                <w:color w:val="auto"/>
              </w:rPr>
            </w:pPr>
            <w:r>
              <w:rPr>
                <w:rFonts w:ascii="Arial" w:cs="Arial" w:eastAsia="Arial" w:hAnsi="Arial"/>
                <w:sz w:val="18"/>
                <w:szCs w:val="18"/>
                <w:color w:val="auto"/>
              </w:rPr>
              <w:t>(21,799)</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(gain)/loss due to curtailment</w:t>
            </w:r>
          </w:p>
        </w:tc>
        <w:tc>
          <w:tcPr>
            <w:tcW w:w="10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30"/>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Settlements</w:t>
            </w:r>
          </w:p>
        </w:tc>
        <w:tc>
          <w:tcPr>
            <w:tcW w:w="10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(81,377)</w:t>
            </w:r>
          </w:p>
        </w:tc>
      </w:tr>
      <w:tr>
        <w:trPr>
          <w:trHeight w:val="223"/>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Benefit obligation, end of year</w:t>
            </w:r>
          </w:p>
        </w:tc>
        <w:tc>
          <w:tcPr>
            <w:tcW w:w="10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199,187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210,806</w:t>
            </w: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106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211,058</w:t>
            </w:r>
          </w:p>
        </w:tc>
        <w:tc>
          <w:tcPr>
            <w:tcW w:w="1380" w:type="dxa"/>
            <w:vAlign w:val="bottom"/>
          </w:tcPr>
          <w:p>
            <w:pPr>
              <w:jc w:val="right"/>
              <w:spacing w:after="0"/>
              <w:rPr>
                <w:sz w:val="20"/>
                <w:szCs w:val="20"/>
                <w:color w:val="auto"/>
              </w:rPr>
            </w:pPr>
            <w:r>
              <w:rPr>
                <w:rFonts w:ascii="Arial" w:cs="Arial" w:eastAsia="Arial" w:hAnsi="Arial"/>
                <w:sz w:val="18"/>
                <w:szCs w:val="18"/>
                <w:color w:val="auto"/>
              </w:rPr>
              <w:t>400,907</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10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12,638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(84,636)</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106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(12,130)</w:t>
            </w:r>
          </w:p>
        </w:tc>
        <w:tc>
          <w:tcPr>
            <w:tcW w:w="1380" w:type="dxa"/>
            <w:vAlign w:val="bottom"/>
          </w:tcPr>
          <w:p>
            <w:pPr>
              <w:jc w:val="right"/>
              <w:spacing w:after="0"/>
              <w:rPr>
                <w:sz w:val="20"/>
                <w:szCs w:val="20"/>
                <w:color w:val="auto"/>
              </w:rPr>
            </w:pPr>
            <w:r>
              <w:rPr>
                <w:rFonts w:ascii="Arial" w:cs="Arial" w:eastAsia="Arial" w:hAnsi="Arial"/>
                <w:sz w:val="18"/>
                <w:szCs w:val="18"/>
                <w:color w:val="auto"/>
              </w:rPr>
              <w:t>(21,799)</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expenses paid</w:t>
            </w:r>
          </w:p>
        </w:tc>
        <w:tc>
          <w:tcPr>
            <w:tcW w:w="10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(1,535)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106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(81,377)</w:t>
            </w:r>
          </w:p>
        </w:tc>
      </w:tr>
      <w:tr>
        <w:trPr>
          <w:trHeight w:val="230"/>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Employer contributions</w:t>
            </w:r>
          </w:p>
        </w:tc>
        <w:tc>
          <w:tcPr>
            <w:tcW w:w="10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of plan assets, end of year</w:t>
            </w:r>
          </w:p>
        </w:tc>
        <w:tc>
          <w:tcPr>
            <w:tcW w:w="10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210,031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211,058</w:t>
            </w:r>
          </w:p>
        </w:tc>
      </w:tr>
      <w:tr>
        <w:trPr>
          <w:trHeight w:val="248"/>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10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10,844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0"/>
        </w:trPr>
        <w:tc>
          <w:tcPr>
            <w:tcW w:w="7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464"/>
        </w:trPr>
        <w:tc>
          <w:tcPr>
            <w:tcW w:w="7120" w:type="dxa"/>
            <w:vAlign w:val="bottom"/>
          </w:tcPr>
          <w:p>
            <w:pPr>
              <w:spacing w:after="0"/>
              <w:rPr>
                <w:sz w:val="20"/>
                <w:szCs w:val="20"/>
                <w:color w:val="auto"/>
              </w:rPr>
            </w:pPr>
            <w:r>
              <w:rPr>
                <w:rFonts w:ascii="Arial" w:cs="Arial" w:eastAsia="Arial" w:hAnsi="Arial"/>
                <w:sz w:val="18"/>
                <w:szCs w:val="18"/>
                <w:color w:val="auto"/>
              </w:rPr>
              <w:t>Disaggregated amounts recognized in the Consolidated Balance Sheets are as follows:</w:t>
            </w: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9"/>
        </w:trPr>
        <w:tc>
          <w:tcPr>
            <w:tcW w:w="7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77"/>
        </w:trPr>
        <w:tc>
          <w:tcPr>
            <w:tcW w:w="7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80" w:type="dxa"/>
            <w:vAlign w:val="bottom"/>
          </w:tcPr>
          <w:p>
            <w:pPr>
              <w:jc w:val="right"/>
              <w:ind w:right="350"/>
              <w:spacing w:after="0" w:line="177" w:lineRule="exact"/>
              <w:rPr>
                <w:sz w:val="20"/>
                <w:szCs w:val="20"/>
                <w:color w:val="auto"/>
              </w:rPr>
            </w:pPr>
            <w:r>
              <w:rPr>
                <w:rFonts w:ascii="Arial" w:cs="Arial" w:eastAsia="Arial" w:hAnsi="Arial"/>
                <w:sz w:val="18"/>
                <w:szCs w:val="18"/>
                <w:color w:val="auto"/>
              </w:rPr>
              <w:t>September 24</w:t>
            </w:r>
          </w:p>
        </w:tc>
        <w:tc>
          <w:tcPr>
            <w:tcW w:w="1380" w:type="dxa"/>
            <w:vAlign w:val="bottom"/>
          </w:tcPr>
          <w:p>
            <w:pPr>
              <w:jc w:val="right"/>
              <w:spacing w:after="0" w:line="177" w:lineRule="exact"/>
              <w:rPr>
                <w:sz w:val="20"/>
                <w:szCs w:val="20"/>
                <w:color w:val="auto"/>
              </w:rPr>
            </w:pPr>
            <w:r>
              <w:rPr>
                <w:rFonts w:ascii="Arial" w:cs="Arial" w:eastAsia="Arial" w:hAnsi="Arial"/>
                <w:sz w:val="18"/>
                <w:szCs w:val="18"/>
                <w:color w:val="auto"/>
              </w:rPr>
              <w:t>September 25</w:t>
            </w:r>
          </w:p>
        </w:tc>
      </w:tr>
      <w:tr>
        <w:trPr>
          <w:trHeight w:val="235"/>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0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0"/>
        </w:trPr>
        <w:tc>
          <w:tcPr>
            <w:tcW w:w="7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7120" w:type="dxa"/>
            <w:vAlign w:val="bottom"/>
            <w:shd w:val="clear" w:color="auto" w:fill="CCEDFF"/>
          </w:tcPr>
          <w:p>
            <w:pPr>
              <w:ind w:left="20"/>
              <w:spacing w:after="0"/>
              <w:rPr>
                <w:sz w:val="20"/>
                <w:szCs w:val="20"/>
                <w:color w:val="auto"/>
              </w:rPr>
            </w:pPr>
            <w:r>
              <w:rPr>
                <w:rFonts w:ascii="Arial" w:cs="Arial" w:eastAsia="Arial" w:hAnsi="Arial"/>
                <w:sz w:val="18"/>
                <w:szCs w:val="18"/>
                <w:color w:val="auto"/>
              </w:rPr>
              <w:t>Net pension assets</w:t>
            </w:r>
          </w:p>
        </w:tc>
        <w:tc>
          <w:tcPr>
            <w:tcW w:w="1060" w:type="dxa"/>
            <w:vAlign w:val="bottom"/>
            <w:shd w:val="clear" w:color="auto" w:fill="CCEDFF"/>
          </w:tcPr>
          <w:p>
            <w:pPr>
              <w:spacing w:after="0"/>
              <w:rPr>
                <w:sz w:val="19"/>
                <w:szCs w:val="19"/>
                <w:color w:val="auto"/>
              </w:rPr>
            </w:pPr>
          </w:p>
        </w:tc>
        <w:tc>
          <w:tcPr>
            <w:tcW w:w="16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10,844</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income (before income taxes)</w:t>
            </w:r>
          </w:p>
        </w:tc>
        <w:tc>
          <w:tcPr>
            <w:tcW w:w="10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16,653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5,005</w:t>
            </w:r>
          </w:p>
        </w:tc>
      </w:tr>
      <w:tr>
        <w:trPr>
          <w:trHeight w:val="20"/>
        </w:trPr>
        <w:tc>
          <w:tcPr>
            <w:tcW w:w="7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accumulated other comprehensive income (loss)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80" w:type="dxa"/>
            <w:vAlign w:val="bottom"/>
            <w:tcBorders>
              <w:top w:val="single" w:sz="8" w:color="auto"/>
            </w:tcBorders>
          </w:tcPr>
          <w:p>
            <w:pPr>
              <w:spacing w:after="0"/>
              <w:rPr>
                <w:sz w:val="16"/>
                <w:szCs w:val="16"/>
                <w:color w:val="auto"/>
              </w:rPr>
            </w:pPr>
          </w:p>
        </w:tc>
        <w:tc>
          <w:tcPr>
            <w:tcW w:w="4080" w:type="dxa"/>
            <w:vAlign w:val="bottom"/>
            <w:tcBorders>
              <w:top w:val="single" w:sz="8" w:color="auto"/>
            </w:tcBorders>
          </w:tcPr>
          <w:p>
            <w:pPr>
              <w:jc w:val="right"/>
              <w:ind w:right="250"/>
              <w:spacing w:after="0" w:line="189" w:lineRule="exact"/>
              <w:rPr>
                <w:sz w:val="20"/>
                <w:szCs w:val="20"/>
                <w:color w:val="auto"/>
              </w:rPr>
            </w:pPr>
            <w:r>
              <w:rPr>
                <w:rFonts w:ascii="Arial" w:cs="Arial" w:eastAsia="Arial" w:hAnsi="Arial"/>
                <w:sz w:val="18"/>
                <w:szCs w:val="18"/>
                <w:color w:val="auto"/>
              </w:rPr>
              <w:t>September 24</w:t>
            </w:r>
          </w:p>
        </w:tc>
        <w:tc>
          <w:tcPr>
            <w:tcW w:w="14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25</w:t>
            </w:r>
          </w:p>
        </w:tc>
      </w:tr>
      <w:tr>
        <w:trPr>
          <w:trHeight w:val="242"/>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4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1"/>
        </w:trPr>
        <w:tc>
          <w:tcPr>
            <w:tcW w:w="56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9"/>
        </w:trPr>
        <w:tc>
          <w:tcPr>
            <w:tcW w:w="5680" w:type="dxa"/>
            <w:vAlign w:val="bottom"/>
            <w:shd w:val="clear" w:color="auto" w:fill="CCEDFF"/>
          </w:tcPr>
          <w:p>
            <w:pPr>
              <w:ind w:left="20"/>
              <w:spacing w:after="0"/>
              <w:rPr>
                <w:sz w:val="20"/>
                <w:szCs w:val="20"/>
                <w:color w:val="auto"/>
              </w:rPr>
            </w:pPr>
            <w:r>
              <w:rPr>
                <w:rFonts w:ascii="Arial" w:cs="Arial" w:eastAsia="Arial" w:hAnsi="Arial"/>
                <w:sz w:val="18"/>
                <w:szCs w:val="18"/>
                <w:color w:val="auto"/>
              </w:rPr>
              <w:t>Unrecognized net actuarial gain (loss)</w:t>
            </w:r>
          </w:p>
        </w:tc>
        <w:tc>
          <w:tcPr>
            <w:tcW w:w="408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21,246</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10,450</w:t>
            </w:r>
          </w:p>
        </w:tc>
      </w:tr>
      <w:tr>
        <w:trPr>
          <w:trHeight w:val="23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Unrecognized prior service cost</w:t>
            </w:r>
          </w:p>
        </w:tc>
        <w:tc>
          <w:tcPr>
            <w:tcW w:w="4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(4,593)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w:t>
            </w:r>
          </w:p>
        </w:tc>
      </w:tr>
      <w:tr>
        <w:trPr>
          <w:trHeight w:val="248"/>
        </w:trPr>
        <w:tc>
          <w:tcPr>
            <w:tcW w:w="5680" w:type="dxa"/>
            <w:vAlign w:val="bottom"/>
            <w:tcBorders>
              <w:bottom w:val="single" w:sz="8" w:color="auto"/>
            </w:tcBorders>
            <w:shd w:val="clear" w:color="auto" w:fill="CCEDFF"/>
          </w:tcPr>
          <w:p>
            <w:pPr>
              <w:spacing w:after="0"/>
              <w:rPr>
                <w:sz w:val="21"/>
                <w:szCs w:val="21"/>
                <w:color w:val="auto"/>
              </w:rPr>
            </w:pPr>
          </w:p>
        </w:tc>
        <w:tc>
          <w:tcPr>
            <w:tcW w:w="408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16,653</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5,005</w:t>
            </w:r>
          </w:p>
        </w:tc>
      </w:tr>
      <w:tr>
        <w:trPr>
          <w:trHeight w:val="20"/>
        </w:trPr>
        <w:tc>
          <w:tcPr>
            <w:tcW w:w="5680" w:type="dxa"/>
            <w:vAlign w:val="bottom"/>
            <w:tcBorders>
              <w:top w:val="single" w:sz="8" w:color="CCEDFF"/>
              <w:bottom w:val="single" w:sz="8" w:color="auto"/>
            </w:tcBorders>
          </w:tcPr>
          <w:p>
            <w:pPr>
              <w:spacing w:after="0" w:line="20" w:lineRule="exact"/>
              <w:rPr>
                <w:sz w:val="1"/>
                <w:szCs w:val="1"/>
                <w:color w:val="auto"/>
              </w:rPr>
            </w:pPr>
          </w:p>
        </w:tc>
        <w:tc>
          <w:tcPr>
            <w:tcW w:w="408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recognize $0.8 million of unrecognized prior service cost in net periodic pension costs in 2024.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benefit obligations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ind w:left="120"/>
              <w:spacing w:after="0" w:line="189" w:lineRule="exact"/>
              <w:rPr>
                <w:sz w:val="20"/>
                <w:szCs w:val="20"/>
                <w:color w:val="auto"/>
              </w:rPr>
            </w:pPr>
            <w:r>
              <w:rPr>
                <w:rFonts w:ascii="Arial" w:cs="Arial" w:eastAsia="Arial" w:hAnsi="Arial"/>
                <w:sz w:val="18"/>
                <w:szCs w:val="18"/>
                <w:color w:val="auto"/>
              </w:rPr>
              <w:t>September 24</w:t>
            </w:r>
          </w:p>
        </w:tc>
        <w:tc>
          <w:tcPr>
            <w:tcW w:w="1380" w:type="dxa"/>
            <w:vAlign w:val="bottom"/>
            <w:tcBorders>
              <w:top w:val="single" w:sz="8" w:color="auto"/>
            </w:tcBorders>
          </w:tcPr>
          <w:p>
            <w:pPr>
              <w:ind w:left="240"/>
              <w:spacing w:after="0" w:line="189" w:lineRule="exact"/>
              <w:rPr>
                <w:sz w:val="20"/>
                <w:szCs w:val="20"/>
                <w:color w:val="auto"/>
              </w:rPr>
            </w:pPr>
            <w:r>
              <w:rPr>
                <w:rFonts w:ascii="Arial" w:cs="Arial" w:eastAsia="Arial" w:hAnsi="Arial"/>
                <w:sz w:val="18"/>
                <w:szCs w:val="18"/>
                <w:color w:val="auto"/>
                <w:w w:val="99"/>
              </w:rPr>
              <w:t>September 25</w:t>
            </w:r>
          </w:p>
        </w:tc>
      </w:tr>
      <w:tr>
        <w:trPr>
          <w:trHeight w:val="242"/>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7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2023</w:t>
            </w:r>
          </w:p>
        </w:tc>
        <w:tc>
          <w:tcPr>
            <w:tcW w:w="138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9"/>
              </w:rPr>
              <w:t>2022</w:t>
            </w:r>
          </w:p>
        </w:tc>
      </w:tr>
      <w:tr>
        <w:trPr>
          <w:trHeight w:val="251"/>
        </w:trPr>
        <w:tc>
          <w:tcPr>
            <w:tcW w:w="7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7420" w:type="dxa"/>
            <w:vAlign w:val="bottom"/>
            <w:shd w:val="clear" w:color="auto" w:fill="CCEDFF"/>
          </w:tcPr>
          <w:p>
            <w:pPr>
              <w:ind w:left="20"/>
              <w:spacing w:after="0"/>
              <w:rPr>
                <w:sz w:val="20"/>
                <w:szCs w:val="20"/>
                <w:color w:val="auto"/>
              </w:rPr>
            </w:pPr>
            <w:r>
              <w:rPr>
                <w:rFonts w:ascii="Arial" w:cs="Arial" w:eastAsia="Arial" w:hAnsi="Arial"/>
                <w:sz w:val="18"/>
                <w:szCs w:val="18"/>
                <w:color w:val="auto"/>
              </w:rPr>
              <w:t>Discount rate</w:t>
            </w:r>
          </w:p>
        </w:tc>
        <w:tc>
          <w:tcPr>
            <w:tcW w:w="760" w:type="dxa"/>
            <w:vAlign w:val="bottom"/>
            <w:shd w:val="clear" w:color="auto" w:fill="CCEDFF"/>
          </w:tcPr>
          <w:p>
            <w:pPr>
              <w:spacing w:after="0"/>
              <w:rPr>
                <w:sz w:val="19"/>
                <w:szCs w:val="19"/>
                <w:color w:val="auto"/>
              </w:rPr>
            </w:pPr>
          </w:p>
        </w:tc>
        <w:tc>
          <w:tcPr>
            <w:tcW w:w="1680" w:type="dxa"/>
            <w:vAlign w:val="bottom"/>
            <w:shd w:val="clear" w:color="auto" w:fill="CCEDFF"/>
          </w:tcPr>
          <w:p>
            <w:pPr>
              <w:jc w:val="center"/>
              <w:ind w:left="350"/>
              <w:spacing w:after="0"/>
              <w:rPr>
                <w:sz w:val="20"/>
                <w:szCs w:val="20"/>
                <w:color w:val="auto"/>
              </w:rPr>
            </w:pPr>
            <w:r>
              <w:rPr>
                <w:rFonts w:ascii="Arial" w:cs="Arial" w:eastAsia="Arial" w:hAnsi="Arial"/>
                <w:sz w:val="18"/>
                <w:szCs w:val="18"/>
                <w:color w:val="auto"/>
                <w:w w:val="95"/>
              </w:rPr>
              <w:t>5.7</w:t>
            </w:r>
          </w:p>
        </w:tc>
        <w:tc>
          <w:tcPr>
            <w:tcW w:w="1380" w:type="dxa"/>
            <w:vAlign w:val="bottom"/>
            <w:shd w:val="clear" w:color="auto" w:fill="CCEDFF"/>
          </w:tcPr>
          <w:p>
            <w:pPr>
              <w:jc w:val="center"/>
              <w:ind w:left="890"/>
              <w:spacing w:after="0"/>
              <w:rPr>
                <w:sz w:val="20"/>
                <w:szCs w:val="20"/>
                <w:color w:val="auto"/>
              </w:rPr>
            </w:pPr>
            <w:r>
              <w:rPr>
                <w:rFonts w:ascii="Arial" w:cs="Arial" w:eastAsia="Arial" w:hAnsi="Arial"/>
                <w:sz w:val="18"/>
                <w:szCs w:val="18"/>
                <w:color w:val="auto"/>
                <w:w w:val="95"/>
              </w:rPr>
              <w:t>5.3</w:t>
            </w:r>
          </w:p>
        </w:tc>
      </w:tr>
      <w:tr>
        <w:trPr>
          <w:trHeight w:val="229"/>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crediting rate</w:t>
            </w:r>
          </w:p>
        </w:tc>
        <w:tc>
          <w:tcPr>
            <w:tcW w:w="7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5"/>
              </w:rPr>
              <w:t>2.5</w:t>
            </w:r>
          </w:p>
        </w:tc>
        <w:tc>
          <w:tcPr>
            <w:tcW w:w="138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95"/>
              </w:rPr>
              <w:t>2.5</w:t>
            </w:r>
          </w:p>
        </w:tc>
      </w:tr>
      <w:tr>
        <w:trPr>
          <w:trHeight w:val="484"/>
        </w:trPr>
        <w:tc>
          <w:tcPr>
            <w:tcW w:w="7420" w:type="dxa"/>
            <w:vAlign w:val="bottom"/>
          </w:tcPr>
          <w:p>
            <w:pPr>
              <w:spacing w:after="0"/>
              <w:rPr>
                <w:sz w:val="20"/>
                <w:szCs w:val="20"/>
                <w:color w:val="auto"/>
              </w:rPr>
            </w:pPr>
            <w:r>
              <w:rPr>
                <w:rFonts w:ascii="Arial" w:cs="Arial" w:eastAsia="Arial" w:hAnsi="Arial"/>
                <w:sz w:val="18"/>
                <w:szCs w:val="18"/>
                <w:color w:val="auto"/>
              </w:rPr>
              <w:t>Weighted-average assumptions used to determine net periodic benefit cost are as follows:</w:t>
            </w: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8"/>
        </w:trPr>
        <w:tc>
          <w:tcPr>
            <w:tcW w:w="7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23"/>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7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2023</w:t>
            </w:r>
          </w:p>
        </w:tc>
        <w:tc>
          <w:tcPr>
            <w:tcW w:w="168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99"/>
              </w:rPr>
              <w:t>2022</w:t>
            </w:r>
          </w:p>
        </w:tc>
        <w:tc>
          <w:tcPr>
            <w:tcW w:w="138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9"/>
              </w:rPr>
              <w:t>2021</w:t>
            </w:r>
          </w:p>
        </w:tc>
      </w:tr>
      <w:tr>
        <w:trPr>
          <w:trHeight w:val="223"/>
        </w:trPr>
        <w:tc>
          <w:tcPr>
            <w:tcW w:w="7420" w:type="dxa"/>
            <w:vAlign w:val="bottom"/>
            <w:shd w:val="clear" w:color="auto" w:fill="CCEDFF"/>
          </w:tcPr>
          <w:p>
            <w:pPr>
              <w:ind w:left="20"/>
              <w:spacing w:after="0"/>
              <w:rPr>
                <w:sz w:val="20"/>
                <w:szCs w:val="20"/>
                <w:color w:val="auto"/>
              </w:rPr>
            </w:pPr>
            <w:r>
              <w:rPr>
                <w:rFonts w:ascii="Arial" w:cs="Arial" w:eastAsia="Arial" w:hAnsi="Arial"/>
                <w:sz w:val="18"/>
                <w:szCs w:val="18"/>
                <w:color w:val="auto"/>
              </w:rPr>
              <w:t>Discount rate - service cost</w:t>
            </w:r>
          </w:p>
        </w:tc>
        <w:tc>
          <w:tcPr>
            <w:tcW w:w="760" w:type="dxa"/>
            <w:vAlign w:val="bottom"/>
            <w:shd w:val="clear" w:color="auto" w:fill="CCEDFF"/>
          </w:tcPr>
          <w:p>
            <w:pPr>
              <w:jc w:val="center"/>
              <w:ind w:left="70"/>
              <w:spacing w:after="0"/>
              <w:rPr>
                <w:sz w:val="20"/>
                <w:szCs w:val="20"/>
                <w:color w:val="auto"/>
              </w:rPr>
            </w:pPr>
            <w:r>
              <w:rPr>
                <w:rFonts w:ascii="Arial" w:cs="Arial" w:eastAsia="Arial" w:hAnsi="Arial"/>
                <w:sz w:val="18"/>
                <w:szCs w:val="18"/>
                <w:color w:val="auto"/>
                <w:w w:val="95"/>
              </w:rPr>
              <w:t>5.8</w:t>
            </w:r>
          </w:p>
        </w:tc>
        <w:tc>
          <w:tcPr>
            <w:tcW w:w="1680" w:type="dxa"/>
            <w:vAlign w:val="bottom"/>
            <w:shd w:val="clear" w:color="auto" w:fill="CCEDFF"/>
          </w:tcPr>
          <w:p>
            <w:pPr>
              <w:jc w:val="center"/>
              <w:ind w:left="790"/>
              <w:spacing w:after="0"/>
              <w:rPr>
                <w:sz w:val="20"/>
                <w:szCs w:val="20"/>
                <w:color w:val="auto"/>
              </w:rPr>
            </w:pPr>
            <w:r>
              <w:rPr>
                <w:rFonts w:ascii="Arial" w:cs="Arial" w:eastAsia="Arial" w:hAnsi="Arial"/>
                <w:sz w:val="18"/>
                <w:szCs w:val="18"/>
                <w:color w:val="auto"/>
                <w:w w:val="95"/>
              </w:rPr>
              <w:t>5.4</w:t>
            </w:r>
          </w:p>
        </w:tc>
        <w:tc>
          <w:tcPr>
            <w:tcW w:w="1380" w:type="dxa"/>
            <w:vAlign w:val="bottom"/>
            <w:shd w:val="clear" w:color="auto" w:fill="CCEDFF"/>
          </w:tcPr>
          <w:p>
            <w:pPr>
              <w:jc w:val="center"/>
              <w:ind w:left="890"/>
              <w:spacing w:after="0"/>
              <w:rPr>
                <w:sz w:val="20"/>
                <w:szCs w:val="20"/>
                <w:color w:val="auto"/>
              </w:rPr>
            </w:pPr>
            <w:r>
              <w:rPr>
                <w:rFonts w:ascii="Arial" w:cs="Arial" w:eastAsia="Arial" w:hAnsi="Arial"/>
                <w:sz w:val="18"/>
                <w:szCs w:val="18"/>
                <w:color w:val="auto"/>
                <w:w w:val="95"/>
              </w:rPr>
              <w:t>3.0</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Discount rate - interest cost</w:t>
            </w:r>
          </w:p>
        </w:tc>
        <w:tc>
          <w:tcPr>
            <w:tcW w:w="760" w:type="dxa"/>
            <w:vAlign w:val="bottom"/>
          </w:tcPr>
          <w:p>
            <w:pPr>
              <w:jc w:val="center"/>
              <w:ind w:left="70"/>
              <w:spacing w:after="0"/>
              <w:rPr>
                <w:sz w:val="20"/>
                <w:szCs w:val="20"/>
                <w:color w:val="auto"/>
              </w:rPr>
            </w:pPr>
            <w:r>
              <w:rPr>
                <w:rFonts w:ascii="Arial" w:cs="Arial" w:eastAsia="Arial" w:hAnsi="Arial"/>
                <w:sz w:val="18"/>
                <w:szCs w:val="18"/>
                <w:color w:val="auto"/>
                <w:w w:val="95"/>
              </w:rPr>
              <w:t>5.7</w:t>
            </w:r>
          </w:p>
        </w:tc>
        <w:tc>
          <w:tcPr>
            <w:tcW w:w="1680" w:type="dxa"/>
            <w:vAlign w:val="bottom"/>
          </w:tcPr>
          <w:p>
            <w:pPr>
              <w:jc w:val="center"/>
              <w:ind w:left="790"/>
              <w:spacing w:after="0"/>
              <w:rPr>
                <w:sz w:val="20"/>
                <w:szCs w:val="20"/>
                <w:color w:val="auto"/>
              </w:rPr>
            </w:pPr>
            <w:r>
              <w:rPr>
                <w:rFonts w:ascii="Arial" w:cs="Arial" w:eastAsia="Arial" w:hAnsi="Arial"/>
                <w:sz w:val="18"/>
                <w:szCs w:val="18"/>
                <w:color w:val="auto"/>
                <w:w w:val="95"/>
              </w:rPr>
              <w:t>5.3</w:t>
            </w:r>
          </w:p>
        </w:tc>
        <w:tc>
          <w:tcPr>
            <w:tcW w:w="1380" w:type="dxa"/>
            <w:vAlign w:val="bottom"/>
          </w:tcPr>
          <w:p>
            <w:pPr>
              <w:jc w:val="center"/>
              <w:ind w:left="890"/>
              <w:spacing w:after="0"/>
              <w:rPr>
                <w:sz w:val="20"/>
                <w:szCs w:val="20"/>
                <w:color w:val="auto"/>
              </w:rPr>
            </w:pPr>
            <w:r>
              <w:rPr>
                <w:rFonts w:ascii="Arial" w:cs="Arial" w:eastAsia="Arial" w:hAnsi="Arial"/>
                <w:sz w:val="18"/>
                <w:szCs w:val="18"/>
                <w:color w:val="auto"/>
                <w:w w:val="95"/>
              </w:rPr>
              <w:t>1.9</w:t>
            </w:r>
          </w:p>
        </w:tc>
      </w:tr>
      <w:tr>
        <w:trPr>
          <w:trHeight w:val="229"/>
        </w:trPr>
        <w:tc>
          <w:tcPr>
            <w:tcW w:w="74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760" w:type="dxa"/>
            <w:vAlign w:val="bottom"/>
            <w:tcBorders>
              <w:bottom w:val="single" w:sz="8" w:color="auto"/>
            </w:tcBorders>
            <w:shd w:val="clear" w:color="auto" w:fill="CCEDFF"/>
          </w:tcPr>
          <w:p>
            <w:pPr>
              <w:jc w:val="center"/>
              <w:ind w:left="70"/>
              <w:spacing w:after="0"/>
              <w:rPr>
                <w:sz w:val="20"/>
                <w:szCs w:val="20"/>
                <w:color w:val="auto"/>
              </w:rPr>
            </w:pPr>
            <w:r>
              <w:rPr>
                <w:rFonts w:ascii="Arial" w:cs="Arial" w:eastAsia="Arial" w:hAnsi="Arial"/>
                <w:sz w:val="18"/>
                <w:szCs w:val="18"/>
                <w:color w:val="auto"/>
                <w:w w:val="95"/>
              </w:rPr>
              <w:t>5.0</w:t>
            </w:r>
          </w:p>
        </w:tc>
        <w:tc>
          <w:tcPr>
            <w:tcW w:w="1680" w:type="dxa"/>
            <w:vAlign w:val="bottom"/>
            <w:tcBorders>
              <w:bottom w:val="single" w:sz="8" w:color="auto"/>
            </w:tcBorders>
            <w:shd w:val="clear" w:color="auto" w:fill="CCEDFF"/>
          </w:tcPr>
          <w:p>
            <w:pPr>
              <w:jc w:val="center"/>
              <w:ind w:left="790"/>
              <w:spacing w:after="0"/>
              <w:rPr>
                <w:sz w:val="20"/>
                <w:szCs w:val="20"/>
                <w:color w:val="auto"/>
              </w:rPr>
            </w:pPr>
            <w:r>
              <w:rPr>
                <w:rFonts w:ascii="Arial" w:cs="Arial" w:eastAsia="Arial" w:hAnsi="Arial"/>
                <w:sz w:val="18"/>
                <w:szCs w:val="18"/>
                <w:color w:val="auto"/>
                <w:w w:val="95"/>
              </w:rPr>
              <w:t>5.0</w:t>
            </w:r>
          </w:p>
        </w:tc>
        <w:tc>
          <w:tcPr>
            <w:tcW w:w="1380" w:type="dxa"/>
            <w:vAlign w:val="bottom"/>
            <w:tcBorders>
              <w:bottom w:val="single" w:sz="8" w:color="auto"/>
            </w:tcBorders>
            <w:shd w:val="clear" w:color="auto" w:fill="CCEDFF"/>
          </w:tcPr>
          <w:p>
            <w:pPr>
              <w:jc w:val="center"/>
              <w:ind w:left="890"/>
              <w:spacing w:after="0"/>
              <w:rPr>
                <w:sz w:val="20"/>
                <w:szCs w:val="20"/>
                <w:color w:val="auto"/>
              </w:rPr>
            </w:pPr>
            <w:r>
              <w:rPr>
                <w:rFonts w:ascii="Arial" w:cs="Arial" w:eastAsia="Arial" w:hAnsi="Arial"/>
                <w:sz w:val="18"/>
                <w:szCs w:val="18"/>
                <w:color w:val="auto"/>
                <w:w w:val="95"/>
              </w:rPr>
              <w:t>5.9</w:t>
            </w: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2023, the expected long-term return on Plan assets is 5.0%. The assumptions related to the expected long-term return on Plan assets are developed through an analysis of historical market returns, current market conditions and composition of Plan assets.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September 24, 2023, the most significant driver of the decrease in benefit obligation was the actual return on assets exceeding expected returns and higher actuarial gains experienced by the Plan. The Plan recognized actuarial gains due to increases in bond yields that resulted in increases to the discount rate. For the year ended September 25, 2022, the most significant driver of the decrease in benefit obligation was the higher actuarial gains experienced by all plans and the Annuity Purchase mentioned above. The plans recognized actuarial gains due to significant increases in bond yields that resulted in increases to the discount rates. Discount rate increases were partially offset by actual return on assets falling behind expected returns for the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primary objective of our investment strategy is to satisfy our pension obligations at a reasonable cost. Assets are actively invested to balance real growth of capital through appreciation, reinvestment of dividend and interest income, and safety of invested funds.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investment policy outlines the governance structure for decision-making, sets investment objectives and restrictions and establishes criteria for selecting and evaluating investment managers. The use of derivatives is prohibited, except on a case-by-case basis where the manager has a proven capability, and only to hedge quantifiable risks such as exposure to foreign currencies. An investment committee, consisting of certain of our executives and supported by independent consultants, is responsible for monitoring compliance with the investment policy. Assets are periodically redistributed to maintain the appropriate policy allocation.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asset allocation of our pension assets,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3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Policy Allocation</w:t>
            </w:r>
          </w:p>
        </w:tc>
        <w:tc>
          <w:tcPr>
            <w:tcW w:w="3280" w:type="dxa"/>
            <w:vAlign w:val="bottom"/>
            <w:tcBorders>
              <w:top w:val="single" w:sz="8" w:color="auto"/>
              <w:bottom w:val="single" w:sz="8" w:color="auto"/>
            </w:tcBorders>
            <w:gridSpan w:val="2"/>
          </w:tcPr>
          <w:p>
            <w:pPr>
              <w:jc w:val="right"/>
              <w:ind w:right="990"/>
              <w:spacing w:after="0"/>
              <w:rPr>
                <w:sz w:val="20"/>
                <w:szCs w:val="20"/>
                <w:color w:val="auto"/>
              </w:rPr>
            </w:pPr>
            <w:r>
              <w:rPr>
                <w:rFonts w:ascii="Arial" w:cs="Arial" w:eastAsia="Arial" w:hAnsi="Arial"/>
                <w:sz w:val="18"/>
                <w:szCs w:val="18"/>
                <w:color w:val="auto"/>
              </w:rPr>
              <w:t>Actual Allocation</w:t>
            </w:r>
          </w:p>
        </w:tc>
        <w:tc>
          <w:tcPr>
            <w:tcW w:w="0" w:type="dxa"/>
            <w:vAlign w:val="bottom"/>
          </w:tcPr>
          <w:p>
            <w:pPr>
              <w:spacing w:after="0"/>
              <w:rPr>
                <w:sz w:val="1"/>
                <w:szCs w:val="1"/>
                <w:color w:val="auto"/>
              </w:rPr>
            </w:pPr>
          </w:p>
        </w:tc>
      </w:tr>
      <w:tr>
        <w:trPr>
          <w:trHeight w:val="169"/>
        </w:trPr>
        <w:tc>
          <w:tcPr>
            <w:tcW w:w="4260" w:type="dxa"/>
            <w:vAlign w:val="bottom"/>
            <w:vMerge w:val="restart"/>
          </w:tcPr>
          <w:p>
            <w:pPr>
              <w:ind w:left="20"/>
              <w:spacing w:after="0"/>
              <w:rPr>
                <w:sz w:val="20"/>
                <w:szCs w:val="20"/>
                <w:color w:val="auto"/>
              </w:rPr>
            </w:pPr>
            <w:r>
              <w:rPr>
                <w:rFonts w:ascii="Arial" w:cs="Arial" w:eastAsia="Arial" w:hAnsi="Arial"/>
                <w:sz w:val="18"/>
                <w:szCs w:val="18"/>
                <w:color w:val="auto"/>
              </w:rPr>
              <w:t>Asset Class</w:t>
            </w:r>
          </w:p>
        </w:tc>
        <w:tc>
          <w:tcPr>
            <w:tcW w:w="3700" w:type="dxa"/>
            <w:vAlign w:val="bottom"/>
          </w:tcPr>
          <w:p>
            <w:pPr>
              <w:jc w:val="right"/>
              <w:ind w:right="230"/>
              <w:spacing w:after="0" w:line="169" w:lineRule="exact"/>
              <w:rPr>
                <w:sz w:val="20"/>
                <w:szCs w:val="20"/>
                <w:color w:val="auto"/>
              </w:rPr>
            </w:pPr>
            <w:r>
              <w:rPr>
                <w:rFonts w:ascii="Arial" w:cs="Arial" w:eastAsia="Arial" w:hAnsi="Arial"/>
                <w:sz w:val="18"/>
                <w:szCs w:val="18"/>
                <w:color w:val="auto"/>
              </w:rPr>
              <w:t>September 24</w:t>
            </w:r>
          </w:p>
        </w:tc>
        <w:tc>
          <w:tcPr>
            <w:tcW w:w="180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September 24</w:t>
            </w:r>
          </w:p>
        </w:tc>
        <w:tc>
          <w:tcPr>
            <w:tcW w:w="1480" w:type="dxa"/>
            <w:vAlign w:val="bottom"/>
          </w:tcPr>
          <w:p>
            <w:pPr>
              <w:jc w:val="right"/>
              <w:spacing w:after="0" w:line="169" w:lineRule="exact"/>
              <w:rPr>
                <w:sz w:val="20"/>
                <w:szCs w:val="20"/>
                <w:color w:val="auto"/>
              </w:rPr>
            </w:pPr>
            <w:r>
              <w:rPr>
                <w:rFonts w:ascii="Arial" w:cs="Arial" w:eastAsia="Arial" w:hAnsi="Arial"/>
                <w:sz w:val="18"/>
                <w:szCs w:val="18"/>
                <w:color w:val="auto"/>
              </w:rPr>
              <w:t>September 25</w:t>
            </w:r>
          </w:p>
        </w:tc>
        <w:tc>
          <w:tcPr>
            <w:tcW w:w="0" w:type="dxa"/>
            <w:vAlign w:val="bottom"/>
          </w:tcPr>
          <w:p>
            <w:pPr>
              <w:spacing w:after="0"/>
              <w:rPr>
                <w:sz w:val="1"/>
                <w:szCs w:val="1"/>
                <w:color w:val="auto"/>
              </w:rPr>
            </w:pPr>
          </w:p>
        </w:tc>
      </w:tr>
      <w:tr>
        <w:trPr>
          <w:trHeight w:val="243"/>
        </w:trPr>
        <w:tc>
          <w:tcPr>
            <w:tcW w:w="4260" w:type="dxa"/>
            <w:vAlign w:val="bottom"/>
            <w:tcBorders>
              <w:bottom w:val="single" w:sz="8" w:color="auto"/>
            </w:tcBorders>
            <w:vMerge w:val="continue"/>
          </w:tcPr>
          <w:p>
            <w:pPr>
              <w:spacing w:after="0"/>
              <w:rPr>
                <w:sz w:val="21"/>
                <w:szCs w:val="21"/>
                <w:color w:val="auto"/>
              </w:rPr>
            </w:pPr>
          </w:p>
        </w:tc>
        <w:tc>
          <w:tcPr>
            <w:tcW w:w="3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2023</w:t>
            </w:r>
          </w:p>
        </w:tc>
        <w:tc>
          <w:tcPr>
            <w:tcW w:w="1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4260" w:type="dxa"/>
            <w:vAlign w:val="bottom"/>
            <w:shd w:val="clear" w:color="auto" w:fill="CCEDFF"/>
          </w:tcPr>
          <w:p>
            <w:pPr>
              <w:ind w:left="20"/>
              <w:spacing w:after="0"/>
              <w:rPr>
                <w:sz w:val="20"/>
                <w:szCs w:val="20"/>
                <w:color w:val="auto"/>
              </w:rPr>
            </w:pPr>
            <w:r>
              <w:rPr>
                <w:rFonts w:ascii="Arial" w:cs="Arial" w:eastAsia="Arial" w:hAnsi="Arial"/>
                <w:sz w:val="18"/>
                <w:szCs w:val="18"/>
                <w:color w:val="auto"/>
              </w:rPr>
              <w:t>Equity securities</w:t>
            </w:r>
          </w:p>
        </w:tc>
        <w:tc>
          <w:tcPr>
            <w:tcW w:w="3700" w:type="dxa"/>
            <w:vAlign w:val="bottom"/>
            <w:shd w:val="clear" w:color="auto" w:fill="CCEDFF"/>
          </w:tcPr>
          <w:p>
            <w:pPr>
              <w:jc w:val="right"/>
              <w:ind w:right="290"/>
              <w:spacing w:after="0"/>
              <w:rPr>
                <w:sz w:val="20"/>
                <w:szCs w:val="20"/>
                <w:color w:val="auto"/>
              </w:rPr>
            </w:pPr>
            <w:r>
              <w:rPr>
                <w:rFonts w:ascii="Arial" w:cs="Arial" w:eastAsia="Arial" w:hAnsi="Arial"/>
                <w:sz w:val="18"/>
                <w:szCs w:val="18"/>
                <w:color w:val="auto"/>
              </w:rPr>
              <w:t>25</w:t>
            </w: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25</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3700" w:type="dxa"/>
            <w:vAlign w:val="bottom"/>
          </w:tcPr>
          <w:p>
            <w:pPr>
              <w:jc w:val="right"/>
              <w:ind w:right="290"/>
              <w:spacing w:after="0"/>
              <w:rPr>
                <w:sz w:val="20"/>
                <w:szCs w:val="20"/>
                <w:color w:val="auto"/>
              </w:rPr>
            </w:pPr>
            <w:r>
              <w:rPr>
                <w:rFonts w:ascii="Arial" w:cs="Arial" w:eastAsia="Arial" w:hAnsi="Arial"/>
                <w:sz w:val="18"/>
                <w:szCs w:val="18"/>
                <w:color w:val="auto"/>
              </w:rPr>
              <w:t>65</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62</w:t>
            </w: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260" w:type="dxa"/>
            <w:vAlign w:val="bottom"/>
            <w:shd w:val="clear" w:color="auto" w:fill="CCEDFF"/>
          </w:tcPr>
          <w:p>
            <w:pPr>
              <w:ind w:left="20"/>
              <w:spacing w:after="0"/>
              <w:rPr>
                <w:sz w:val="20"/>
                <w:szCs w:val="20"/>
                <w:color w:val="auto"/>
              </w:rPr>
            </w:pPr>
            <w:r>
              <w:rPr>
                <w:rFonts w:ascii="Arial" w:cs="Arial" w:eastAsia="Arial" w:hAnsi="Arial"/>
                <w:sz w:val="18"/>
                <w:szCs w:val="18"/>
                <w:color w:val="auto"/>
              </w:rPr>
              <w:t>Hedge fund investments</w:t>
            </w:r>
          </w:p>
        </w:tc>
        <w:tc>
          <w:tcPr>
            <w:tcW w:w="3700" w:type="dxa"/>
            <w:vAlign w:val="bottom"/>
            <w:shd w:val="clear" w:color="auto" w:fill="CCEDFF"/>
          </w:tcPr>
          <w:p>
            <w:pPr>
              <w:jc w:val="right"/>
              <w:ind w:right="290"/>
              <w:spacing w:after="0"/>
              <w:rPr>
                <w:sz w:val="20"/>
                <w:szCs w:val="20"/>
                <w:color w:val="auto"/>
              </w:rPr>
            </w:pPr>
            <w:r>
              <w:rPr>
                <w:rFonts w:ascii="Arial" w:cs="Arial" w:eastAsia="Arial" w:hAnsi="Arial"/>
                <w:sz w:val="18"/>
                <w:szCs w:val="18"/>
                <w:color w:val="auto"/>
              </w:rPr>
              <w:t>10</w:t>
            </w: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12</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and cash equivalents</w:t>
            </w:r>
          </w:p>
        </w:tc>
        <w:tc>
          <w:tcPr>
            <w:tcW w:w="3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w:t>
            </w:r>
          </w:p>
        </w:tc>
        <w:tc>
          <w:tcPr>
            <w:tcW w:w="1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426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Plan assets include no Company securities. Assets include cash and cash equivalents and receivables from time to time due to the need to reallocate assets within policy guidelines.</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Due to the timing of the annuity purchase (as discussed above), funds were organized in a way that provided sufficient liquidity for the transaction. This caused our pension plans asset allocation to differ significantly from our desired policy as of September 25,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pension assets at September 24, 2023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8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NAV</w:t>
            </w:r>
          </w:p>
        </w:tc>
        <w:tc>
          <w:tcPr>
            <w:tcW w:w="15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Level 1</w:t>
            </w:r>
          </w:p>
        </w:tc>
        <w:tc>
          <w:tcPr>
            <w:tcW w:w="1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Level 2</w:t>
            </w:r>
          </w:p>
        </w:tc>
        <w:tc>
          <w:tcPr>
            <w:tcW w:w="11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99"/>
              </w:rPr>
              <w:t>Level 3</w:t>
            </w:r>
          </w:p>
        </w:tc>
      </w:tr>
      <w:tr>
        <w:trPr>
          <w:trHeight w:val="250"/>
        </w:trPr>
        <w:tc>
          <w:tcPr>
            <w:tcW w:w="41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412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and cash equivalents</w:t>
            </w:r>
          </w:p>
        </w:tc>
        <w:tc>
          <w:tcPr>
            <w:tcW w:w="286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1,937</w:t>
            </w:r>
          </w:p>
        </w:tc>
        <w:tc>
          <w:tcPr>
            <w:tcW w:w="1600" w:type="dxa"/>
            <w:vAlign w:val="bottom"/>
            <w:shd w:val="clear" w:color="auto" w:fill="CCED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DFF"/>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Domestic equity securities</w:t>
            </w:r>
          </w:p>
        </w:tc>
        <w:tc>
          <w:tcPr>
            <w:tcW w:w="2860" w:type="dxa"/>
            <w:vAlign w:val="bottom"/>
          </w:tcPr>
          <w:p>
            <w:pPr>
              <w:jc w:val="right"/>
              <w:ind w:right="450"/>
              <w:spacing w:after="0"/>
              <w:rPr>
                <w:sz w:val="20"/>
                <w:szCs w:val="20"/>
                <w:color w:val="auto"/>
              </w:rPr>
            </w:pPr>
            <w:r>
              <w:rPr>
                <w:rFonts w:ascii="Arial" w:cs="Arial" w:eastAsia="Arial" w:hAnsi="Arial"/>
                <w:sz w:val="18"/>
                <w:szCs w:val="18"/>
                <w:color w:val="auto"/>
              </w:rPr>
              <w:t>2,252</w:t>
            </w:r>
          </w:p>
        </w:tc>
        <w:tc>
          <w:tcPr>
            <w:tcW w:w="1560" w:type="dxa"/>
            <w:vAlign w:val="bottom"/>
          </w:tcPr>
          <w:p>
            <w:pPr>
              <w:jc w:val="right"/>
              <w:ind w:right="450"/>
              <w:spacing w:after="0"/>
              <w:rPr>
                <w:sz w:val="20"/>
                <w:szCs w:val="20"/>
                <w:color w:val="auto"/>
              </w:rPr>
            </w:pPr>
            <w:r>
              <w:rPr>
                <w:rFonts w:ascii="Arial" w:cs="Arial" w:eastAsia="Arial" w:hAnsi="Arial"/>
                <w:sz w:val="18"/>
                <w:szCs w:val="18"/>
                <w:color w:val="auto"/>
              </w:rPr>
              <w:t>30,885</w:t>
            </w:r>
          </w:p>
        </w:tc>
        <w:tc>
          <w:tcPr>
            <w:tcW w:w="16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shd w:val="clear" w:color="auto" w:fill="CCEDFF"/>
          </w:tcPr>
          <w:p>
            <w:pPr>
              <w:ind w:left="20"/>
              <w:spacing w:after="0"/>
              <w:rPr>
                <w:sz w:val="20"/>
                <w:szCs w:val="20"/>
                <w:color w:val="auto"/>
              </w:rPr>
            </w:pPr>
            <w:r>
              <w:rPr>
                <w:rFonts w:ascii="Arial" w:cs="Arial" w:eastAsia="Arial" w:hAnsi="Arial"/>
                <w:sz w:val="18"/>
                <w:szCs w:val="18"/>
                <w:color w:val="auto"/>
              </w:rPr>
              <w:t>International equity securities</w:t>
            </w:r>
          </w:p>
        </w:tc>
        <w:tc>
          <w:tcPr>
            <w:tcW w:w="286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7,565</w:t>
            </w:r>
          </w:p>
        </w:tc>
        <w:tc>
          <w:tcPr>
            <w:tcW w:w="1600" w:type="dxa"/>
            <w:vAlign w:val="bottom"/>
            <w:shd w:val="clear" w:color="auto" w:fill="CCEDFF"/>
          </w:tcPr>
          <w:p>
            <w:pPr>
              <w:jc w:val="right"/>
              <w:ind w:right="470"/>
              <w:spacing w:after="0"/>
              <w:rPr>
                <w:sz w:val="20"/>
                <w:szCs w:val="20"/>
                <w:color w:val="auto"/>
              </w:rPr>
            </w:pPr>
            <w:r>
              <w:rPr>
                <w:rFonts w:ascii="Arial" w:cs="Arial" w:eastAsia="Arial" w:hAnsi="Arial"/>
                <w:sz w:val="18"/>
                <w:szCs w:val="18"/>
                <w:color w:val="auto"/>
              </w:rPr>
              <w:t>5,644</w:t>
            </w:r>
          </w:p>
        </w:tc>
        <w:tc>
          <w:tcPr>
            <w:tcW w:w="1100" w:type="dxa"/>
            <w:vAlign w:val="bottom"/>
            <w:shd w:val="clear" w:color="auto" w:fill="CCED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Emerging equity securities</w:t>
            </w:r>
          </w:p>
        </w:tc>
        <w:tc>
          <w:tcPr>
            <w:tcW w:w="28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50"/>
              <w:spacing w:after="0"/>
              <w:rPr>
                <w:sz w:val="20"/>
                <w:szCs w:val="20"/>
                <w:color w:val="auto"/>
              </w:rPr>
            </w:pPr>
            <w:r>
              <w:rPr>
                <w:rFonts w:ascii="Arial" w:cs="Arial" w:eastAsia="Arial" w:hAnsi="Arial"/>
                <w:sz w:val="18"/>
                <w:szCs w:val="18"/>
                <w:color w:val="auto"/>
              </w:rPr>
              <w:t>6,263</w:t>
            </w:r>
          </w:p>
        </w:tc>
        <w:tc>
          <w:tcPr>
            <w:tcW w:w="16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shd w:val="clear" w:color="auto" w:fill="CCEDFF"/>
          </w:tcPr>
          <w:p>
            <w:pPr>
              <w:ind w:left="20"/>
              <w:spacing w:after="0"/>
              <w:rPr>
                <w:sz w:val="20"/>
                <w:szCs w:val="20"/>
                <w:color w:val="auto"/>
              </w:rPr>
            </w:pPr>
            <w:r>
              <w:rPr>
                <w:rFonts w:ascii="Arial" w:cs="Arial" w:eastAsia="Arial" w:hAnsi="Arial"/>
                <w:sz w:val="18"/>
                <w:szCs w:val="18"/>
                <w:color w:val="auto"/>
              </w:rPr>
              <w:t>Debt securities</w:t>
            </w:r>
          </w:p>
        </w:tc>
        <w:tc>
          <w:tcPr>
            <w:tcW w:w="286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78,740</w:t>
            </w:r>
          </w:p>
        </w:tc>
        <w:tc>
          <w:tcPr>
            <w:tcW w:w="1600" w:type="dxa"/>
            <w:vAlign w:val="bottom"/>
            <w:shd w:val="clear" w:color="auto" w:fill="CCEDFF"/>
          </w:tcPr>
          <w:p>
            <w:pPr>
              <w:jc w:val="right"/>
              <w:ind w:right="470"/>
              <w:spacing w:after="0"/>
              <w:rPr>
                <w:sz w:val="20"/>
                <w:szCs w:val="20"/>
                <w:color w:val="auto"/>
              </w:rPr>
            </w:pPr>
            <w:r>
              <w:rPr>
                <w:rFonts w:ascii="Arial" w:cs="Arial" w:eastAsia="Arial" w:hAnsi="Arial"/>
                <w:sz w:val="18"/>
                <w:szCs w:val="18"/>
                <w:color w:val="auto"/>
              </w:rPr>
              <w:t>52,304</w:t>
            </w:r>
          </w:p>
        </w:tc>
        <w:tc>
          <w:tcPr>
            <w:tcW w:w="1100" w:type="dxa"/>
            <w:vAlign w:val="bottom"/>
            <w:shd w:val="clear" w:color="auto" w:fill="CCED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Hedge fund investments</w:t>
            </w:r>
          </w:p>
        </w:tc>
        <w:tc>
          <w:tcPr>
            <w:tcW w:w="2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24,441</w:t>
            </w:r>
          </w:p>
        </w:tc>
        <w:tc>
          <w:tcPr>
            <w:tcW w:w="15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pension assets at September 25, 2022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8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NAV</w:t>
            </w:r>
          </w:p>
        </w:tc>
        <w:tc>
          <w:tcPr>
            <w:tcW w:w="15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Level 1</w:t>
            </w:r>
          </w:p>
        </w:tc>
        <w:tc>
          <w:tcPr>
            <w:tcW w:w="15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Level 2</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r>
      <w:tr>
        <w:trPr>
          <w:trHeight w:val="250"/>
        </w:trPr>
        <w:tc>
          <w:tcPr>
            <w:tcW w:w="41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416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and cash equivalents</w:t>
            </w:r>
          </w:p>
        </w:tc>
        <w:tc>
          <w:tcPr>
            <w:tcW w:w="2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1,562</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Domestic equity securities</w:t>
            </w:r>
          </w:p>
        </w:tc>
        <w:tc>
          <w:tcPr>
            <w:tcW w:w="2840" w:type="dxa"/>
            <w:vAlign w:val="bottom"/>
          </w:tcPr>
          <w:p>
            <w:pPr>
              <w:jc w:val="right"/>
              <w:ind w:right="410"/>
              <w:spacing w:after="0"/>
              <w:rPr>
                <w:sz w:val="20"/>
                <w:szCs w:val="20"/>
                <w:color w:val="auto"/>
              </w:rPr>
            </w:pPr>
            <w:r>
              <w:rPr>
                <w:rFonts w:ascii="Arial" w:cs="Arial" w:eastAsia="Arial" w:hAnsi="Arial"/>
                <w:sz w:val="18"/>
                <w:szCs w:val="18"/>
                <w:color w:val="auto"/>
              </w:rPr>
              <w:t>2,235</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67,661</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shd w:val="clear" w:color="auto" w:fill="CCEDFF"/>
          </w:tcPr>
          <w:p>
            <w:pPr>
              <w:ind w:left="20"/>
              <w:spacing w:after="0"/>
              <w:rPr>
                <w:sz w:val="20"/>
                <w:szCs w:val="20"/>
                <w:color w:val="auto"/>
              </w:rPr>
            </w:pPr>
            <w:r>
              <w:rPr>
                <w:rFonts w:ascii="Arial" w:cs="Arial" w:eastAsia="Arial" w:hAnsi="Arial"/>
                <w:sz w:val="18"/>
                <w:szCs w:val="18"/>
                <w:color w:val="auto"/>
              </w:rPr>
              <w:t>International equity securities</w:t>
            </w:r>
          </w:p>
        </w:tc>
        <w:tc>
          <w:tcPr>
            <w:tcW w:w="2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5,743</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4,519</w:t>
            </w:r>
          </w:p>
        </w:tc>
        <w:tc>
          <w:tcPr>
            <w:tcW w:w="11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Emerging equity securities</w:t>
            </w:r>
          </w:p>
        </w:tc>
        <w:tc>
          <w:tcPr>
            <w:tcW w:w="28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4,996</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shd w:val="clear" w:color="auto" w:fill="CCEDFF"/>
          </w:tcPr>
          <w:p>
            <w:pPr>
              <w:ind w:left="20"/>
              <w:spacing w:after="0"/>
              <w:rPr>
                <w:sz w:val="20"/>
                <w:szCs w:val="20"/>
                <w:color w:val="auto"/>
              </w:rPr>
            </w:pPr>
            <w:r>
              <w:rPr>
                <w:rFonts w:ascii="Arial" w:cs="Arial" w:eastAsia="Arial" w:hAnsi="Arial"/>
                <w:sz w:val="18"/>
                <w:szCs w:val="18"/>
                <w:color w:val="auto"/>
              </w:rPr>
              <w:t>Debt securities</w:t>
            </w:r>
          </w:p>
        </w:tc>
        <w:tc>
          <w:tcPr>
            <w:tcW w:w="2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25,742</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65,364</w:t>
            </w:r>
          </w:p>
        </w:tc>
        <w:tc>
          <w:tcPr>
            <w:tcW w:w="11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Hedge fund investments</w:t>
            </w:r>
          </w:p>
        </w:tc>
        <w:tc>
          <w:tcPr>
            <w:tcW w:w="2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32,515</w:t>
            </w: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There were no purchases, sales or transfers of assets classified as Level 3 in 2023 or 2022. Pension assets that are excluded from the fair value hierarchy and are measured at net asset value or "NAV", include three investments:</w:t>
      </w:r>
    </w:p>
    <w:p>
      <w:pPr>
        <w:spacing w:after="0" w:line="180" w:lineRule="exact"/>
        <w:rPr>
          <w:sz w:val="20"/>
          <w:szCs w:val="20"/>
          <w:color w:val="auto"/>
        </w:rPr>
      </w:pPr>
    </w:p>
    <w:p>
      <w:pPr>
        <w:jc w:val="both"/>
        <w:ind w:left="960" w:right="20" w:hanging="354"/>
        <w:spacing w:after="0" w:line="253"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small cap value equity common/collective fund for which fund prices are not publicly available. The balance of this investment is $2.3 million and $2.2 million as of September 24, 2023 and September 25, 2022, respectively. We can redeem this fund on a monthly basis.</w:t>
      </w:r>
    </w:p>
    <w:p>
      <w:pPr>
        <w:spacing w:after="0" w:line="74" w:lineRule="exact"/>
        <w:rPr>
          <w:rFonts w:ascii="Arial" w:cs="Arial" w:eastAsia="Arial" w:hAnsi="Arial"/>
          <w:sz w:val="18"/>
          <w:szCs w:val="18"/>
          <w:color w:val="auto"/>
        </w:rPr>
      </w:pPr>
    </w:p>
    <w:p>
      <w:pPr>
        <w:jc w:val="both"/>
        <w:ind w:left="960" w:right="20" w:hanging="354"/>
        <w:spacing w:after="0" w:line="252"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equity long/short common/collective hedge fund-of-funds for which fund prices are established on a monthly basis. The balance of this investment is $11.7 million and $16.7 million as of September 24, 2023 and September 25, 2022, respectively. We can redeem up to 90% of our investment in this fund within 90-120 days of notice with the remaining distributed following completion of the audit of the Fund's financial statements for the year.</w:t>
      </w:r>
    </w:p>
    <w:p>
      <w:pPr>
        <w:spacing w:after="0" w:line="62" w:lineRule="exact"/>
        <w:rPr>
          <w:rFonts w:ascii="Arial" w:cs="Arial" w:eastAsia="Arial" w:hAnsi="Arial"/>
          <w:sz w:val="18"/>
          <w:szCs w:val="18"/>
          <w:color w:val="auto"/>
        </w:rPr>
      </w:pPr>
    </w:p>
    <w:p>
      <w:pPr>
        <w:jc w:val="both"/>
        <w:ind w:left="960" w:right="20" w:hanging="354"/>
        <w:spacing w:after="0" w:line="253"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equity long/short common/collective hedge fund-of-funds for which fund prices are established on a monthly basis. The balance of this investment is $12.7 million and $15.9 million as of September 24, 2023 and September 25, 2022, respectively. We can redeem up to 50% of our investment in this fund twice per year.</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activity within Other comprehensive income (loss) for both pension plans and postretirement plans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90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rPr>
              <w:t>2023</w:t>
            </w: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7000" w:type="dxa"/>
            <w:vAlign w:val="bottom"/>
            <w:shd w:val="clear" w:color="auto" w:fill="CCEDFF"/>
          </w:tcPr>
          <w:p>
            <w:pPr>
              <w:ind w:left="20"/>
              <w:spacing w:after="0"/>
              <w:rPr>
                <w:sz w:val="20"/>
                <w:szCs w:val="20"/>
                <w:color w:val="auto"/>
              </w:rPr>
            </w:pPr>
            <w:r>
              <w:rPr>
                <w:rFonts w:ascii="Arial" w:cs="Arial" w:eastAsia="Arial" w:hAnsi="Arial"/>
                <w:sz w:val="18"/>
                <w:szCs w:val="18"/>
                <w:color w:val="auto"/>
              </w:rPr>
              <w:t>Comprehensive (loss) income, net of taxes:</w:t>
            </w:r>
          </w:p>
        </w:tc>
        <w:tc>
          <w:tcPr>
            <w:tcW w:w="1900" w:type="dxa"/>
            <w:vAlign w:val="bottom"/>
            <w:shd w:val="clear" w:color="auto" w:fill="CCEDFF"/>
          </w:tcPr>
          <w:p>
            <w:pPr>
              <w:spacing w:after="0"/>
              <w:rPr>
                <w:sz w:val="19"/>
                <w:szCs w:val="19"/>
                <w:color w:val="auto"/>
              </w:rPr>
            </w:pPr>
          </w:p>
        </w:tc>
        <w:tc>
          <w:tcPr>
            <w:tcW w:w="1220" w:type="dxa"/>
            <w:vAlign w:val="bottom"/>
            <w:shd w:val="clear" w:color="auto" w:fill="CCEDFF"/>
          </w:tcPr>
          <w:p>
            <w:pPr>
              <w:spacing w:after="0"/>
              <w:rPr>
                <w:sz w:val="19"/>
                <w:szCs w:val="19"/>
                <w:color w:val="auto"/>
              </w:rPr>
            </w:pPr>
          </w:p>
        </w:tc>
        <w:tc>
          <w:tcPr>
            <w:tcW w:w="112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000" w:type="dxa"/>
            <w:vAlign w:val="bottom"/>
          </w:tcPr>
          <w:p>
            <w:pPr>
              <w:ind w:left="140"/>
              <w:spacing w:after="0" w:line="176" w:lineRule="exact"/>
              <w:rPr>
                <w:sz w:val="20"/>
                <w:szCs w:val="20"/>
                <w:color w:val="auto"/>
              </w:rPr>
            </w:pPr>
            <w:r>
              <w:rPr>
                <w:rFonts w:ascii="Arial" w:cs="Arial" w:eastAsia="Arial" w:hAnsi="Arial"/>
                <w:sz w:val="18"/>
                <w:szCs w:val="18"/>
                <w:color w:val="auto"/>
              </w:rPr>
              <w:t>Change in unrecognized benefit plan gain (loss) arising during the period, net of</w:t>
            </w:r>
          </w:p>
        </w:tc>
        <w:tc>
          <w:tcPr>
            <w:tcW w:w="1900" w:type="dxa"/>
            <w:vAlign w:val="bottom"/>
            <w:vMerge w:val="restart"/>
          </w:tcPr>
          <w:p>
            <w:pPr>
              <w:jc w:val="right"/>
              <w:ind w:right="750"/>
              <w:spacing w:after="0"/>
              <w:rPr>
                <w:sz w:val="20"/>
                <w:szCs w:val="20"/>
                <w:color w:val="auto"/>
              </w:rPr>
            </w:pPr>
            <w:r>
              <w:rPr>
                <w:rFonts w:ascii="Arial" w:cs="Arial" w:eastAsia="Arial" w:hAnsi="Arial"/>
                <w:sz w:val="18"/>
                <w:szCs w:val="18"/>
                <w:color w:val="auto"/>
              </w:rPr>
              <w:t>(560)</w:t>
            </w:r>
          </w:p>
        </w:tc>
        <w:tc>
          <w:tcPr>
            <w:tcW w:w="1220" w:type="dxa"/>
            <w:vAlign w:val="bottom"/>
            <w:vMerge w:val="restart"/>
          </w:tcPr>
          <w:p>
            <w:pPr>
              <w:jc w:val="right"/>
              <w:ind w:right="390"/>
              <w:spacing w:after="0"/>
              <w:rPr>
                <w:sz w:val="20"/>
                <w:szCs w:val="20"/>
                <w:color w:val="auto"/>
              </w:rPr>
            </w:pPr>
            <w:r>
              <w:rPr>
                <w:rFonts w:ascii="Arial" w:cs="Arial" w:eastAsia="Arial" w:hAnsi="Arial"/>
                <w:sz w:val="18"/>
                <w:szCs w:val="18"/>
                <w:color w:val="auto"/>
              </w:rPr>
              <w:t>(14,485)</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59,663</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taxes $240, $279, and $19,148, respectively</w:t>
            </w:r>
          </w:p>
        </w:tc>
        <w:tc>
          <w:tcPr>
            <w:tcW w:w="190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000" w:type="dxa"/>
            <w:vAlign w:val="bottom"/>
            <w:shd w:val="clear" w:color="auto" w:fill="CCEDFF"/>
          </w:tcPr>
          <w:p>
            <w:pPr>
              <w:ind w:left="140"/>
              <w:spacing w:after="0" w:line="176" w:lineRule="exact"/>
              <w:rPr>
                <w:sz w:val="20"/>
                <w:szCs w:val="20"/>
                <w:color w:val="auto"/>
              </w:rPr>
            </w:pPr>
            <w:r>
              <w:rPr>
                <w:rFonts w:ascii="Arial" w:cs="Arial" w:eastAsia="Arial" w:hAnsi="Arial"/>
                <w:sz w:val="18"/>
                <w:szCs w:val="18"/>
                <w:color w:val="auto"/>
              </w:rPr>
              <w:t>Amortization of items to periodic pension and other post-employment benefit</w:t>
            </w:r>
          </w:p>
        </w:tc>
        <w:tc>
          <w:tcPr>
            <w:tcW w:w="1900" w:type="dxa"/>
            <w:vAlign w:val="bottom"/>
            <w:vMerge w:val="restart"/>
            <w:shd w:val="clear" w:color="auto" w:fill="CCEDFF"/>
          </w:tcPr>
          <w:p>
            <w:pPr>
              <w:jc w:val="right"/>
              <w:ind w:right="810"/>
              <w:spacing w:after="0"/>
              <w:rPr>
                <w:sz w:val="20"/>
                <w:szCs w:val="20"/>
                <w:color w:val="auto"/>
              </w:rPr>
            </w:pPr>
            <w:r>
              <w:rPr>
                <w:rFonts w:ascii="Arial" w:cs="Arial" w:eastAsia="Arial" w:hAnsi="Arial"/>
                <w:sz w:val="18"/>
                <w:szCs w:val="18"/>
                <w:color w:val="auto"/>
              </w:rPr>
              <w:t>10,750</w:t>
            </w:r>
          </w:p>
        </w:tc>
        <w:tc>
          <w:tcPr>
            <w:tcW w:w="1220" w:type="dxa"/>
            <w:vAlign w:val="bottom"/>
            <w:vMerge w:val="restart"/>
            <w:shd w:val="clear" w:color="auto" w:fill="CCEDFF"/>
          </w:tcPr>
          <w:p>
            <w:pPr>
              <w:jc w:val="right"/>
              <w:ind w:right="390"/>
              <w:spacing w:after="0"/>
              <w:rPr>
                <w:sz w:val="20"/>
                <w:szCs w:val="20"/>
                <w:color w:val="auto"/>
              </w:rPr>
            </w:pPr>
            <w:r>
              <w:rPr>
                <w:rFonts w:ascii="Arial" w:cs="Arial" w:eastAsia="Arial" w:hAnsi="Arial"/>
                <w:sz w:val="18"/>
                <w:szCs w:val="18"/>
                <w:color w:val="auto"/>
              </w:rPr>
              <w:t>(11,049)</w:t>
            </w:r>
          </w:p>
        </w:tc>
        <w:tc>
          <w:tcPr>
            <w:tcW w:w="1120" w:type="dxa"/>
            <w:vAlign w:val="bottom"/>
            <w:vMerge w:val="restart"/>
            <w:shd w:val="clear" w:color="auto" w:fill="CCEDFF"/>
          </w:tcPr>
          <w:p>
            <w:pPr>
              <w:jc w:val="right"/>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43"/>
        </w:trPr>
        <w:tc>
          <w:tcPr>
            <w:tcW w:w="7000" w:type="dxa"/>
            <w:vAlign w:val="bottom"/>
            <w:tcBorders>
              <w:bottom w:val="single" w:sz="8" w:color="auto"/>
            </w:tcBorders>
            <w:shd w:val="clear" w:color="auto" w:fill="CCEDFF"/>
          </w:tcPr>
          <w:p>
            <w:pPr>
              <w:ind w:left="140"/>
              <w:spacing w:after="0"/>
              <w:rPr>
                <w:sz w:val="20"/>
                <w:szCs w:val="20"/>
                <w:color w:val="auto"/>
              </w:rPr>
            </w:pPr>
            <w:r>
              <w:rPr>
                <w:rFonts w:ascii="Arial" w:cs="Arial" w:eastAsia="Arial" w:hAnsi="Arial"/>
                <w:sz w:val="18"/>
                <w:szCs w:val="18"/>
                <w:color w:val="auto"/>
              </w:rPr>
              <w:t>costs during the period, net of taxes $3,414, $6,389, and $819, respectively</w:t>
            </w:r>
          </w:p>
        </w:tc>
        <w:tc>
          <w:tcPr>
            <w:tcW w:w="1900" w:type="dxa"/>
            <w:vAlign w:val="bottom"/>
            <w:tcBorders>
              <w:bottom w:val="single" w:sz="8" w:color="auto"/>
            </w:tcBorders>
            <w:vMerge w:val="continue"/>
            <w:shd w:val="clear" w:color="auto" w:fill="CCEDFF"/>
          </w:tcPr>
          <w:p>
            <w:pPr>
              <w:spacing w:after="0"/>
              <w:rPr>
                <w:sz w:val="21"/>
                <w:szCs w:val="21"/>
                <w:color w:val="auto"/>
              </w:rPr>
            </w:pPr>
          </w:p>
        </w:tc>
        <w:tc>
          <w:tcPr>
            <w:tcW w:w="1220" w:type="dxa"/>
            <w:vAlign w:val="bottom"/>
            <w:tcBorders>
              <w:bottom w:val="single" w:sz="8" w:color="auto"/>
            </w:tcBorders>
            <w:vMerge w:val="continue"/>
            <w:shd w:val="clear" w:color="auto" w:fill="CCEDFF"/>
          </w:tcPr>
          <w:p>
            <w:pPr>
              <w:spacing w:after="0"/>
              <w:rPr>
                <w:sz w:val="21"/>
                <w:szCs w:val="21"/>
                <w:color w:val="auto"/>
              </w:rPr>
            </w:pPr>
          </w:p>
        </w:tc>
        <w:tc>
          <w:tcPr>
            <w:tcW w:w="1120" w:type="dxa"/>
            <w:vAlign w:val="bottom"/>
            <w:tcBorders>
              <w:bottom w:val="single" w:sz="8" w:color="auto"/>
            </w:tcBorders>
            <w:vMerge w:val="continue"/>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 income recognized in operations, net of taxes</w:t>
            </w:r>
          </w:p>
        </w:tc>
        <w:tc>
          <w:tcPr>
            <w:tcW w:w="19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10,190</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(25,534)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62,237</w:t>
            </w:r>
          </w:p>
        </w:tc>
        <w:tc>
          <w:tcPr>
            <w:tcW w:w="0" w:type="dxa"/>
            <w:vAlign w:val="bottom"/>
          </w:tcPr>
          <w:p>
            <w:pPr>
              <w:spacing w:after="0"/>
              <w:rPr>
                <w:sz w:val="1"/>
                <w:szCs w:val="1"/>
                <w:color w:val="auto"/>
              </w:rPr>
            </w:pPr>
          </w:p>
        </w:tc>
      </w:tr>
      <w:tr>
        <w:trPr>
          <w:trHeight w:val="21"/>
        </w:trPr>
        <w:tc>
          <w:tcPr>
            <w:tcW w:w="70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1"/>
        </w:trPr>
        <w:tc>
          <w:tcPr>
            <w:tcW w:w="700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8900" w:type="dxa"/>
            <w:vAlign w:val="bottom"/>
            <w:gridSpan w:val="2"/>
          </w:tcPr>
          <w:p>
            <w:pPr>
              <w:spacing w:after="0"/>
              <w:rPr>
                <w:sz w:val="20"/>
                <w:szCs w:val="20"/>
                <w:color w:val="auto"/>
              </w:rPr>
            </w:pPr>
            <w:r>
              <w:rPr>
                <w:rFonts w:ascii="Arial" w:cs="Arial" w:eastAsia="Arial" w:hAnsi="Arial"/>
                <w:sz w:val="18"/>
                <w:szCs w:val="18"/>
                <w:color w:val="auto"/>
              </w:rPr>
              <w:t>Based on our forecast at September 24, 2023, we expect to make no contributions to our pension trust in 2024.</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000" w:type="dxa"/>
            <w:vAlign w:val="bottom"/>
          </w:tcPr>
          <w:p>
            <w:pPr>
              <w:spacing w:after="0"/>
              <w:rPr>
                <w:sz w:val="20"/>
                <w:szCs w:val="20"/>
                <w:color w:val="auto"/>
              </w:rPr>
            </w:pPr>
            <w:r>
              <w:rPr>
                <w:rFonts w:ascii="Arial" w:cs="Arial" w:eastAsia="Arial" w:hAnsi="Arial"/>
                <w:sz w:val="18"/>
                <w:szCs w:val="18"/>
                <w:color w:val="auto"/>
              </w:rPr>
              <w:t>We anticipate future benefit payments to be paid from the pension trust as follows:</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0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9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0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2024</w:t>
            </w:r>
          </w:p>
        </w:tc>
        <w:tc>
          <w:tcPr>
            <w:tcW w:w="1900" w:type="dxa"/>
            <w:vAlign w:val="bottom"/>
            <w:shd w:val="clear" w:color="auto" w:fill="CCEDFF"/>
          </w:tcPr>
          <w:p>
            <w:pPr>
              <w:spacing w:after="0"/>
              <w:rPr>
                <w:sz w:val="19"/>
                <w:szCs w:val="19"/>
                <w:color w:val="auto"/>
              </w:rPr>
            </w:pPr>
          </w:p>
        </w:tc>
        <w:tc>
          <w:tcPr>
            <w:tcW w:w="1220" w:type="dxa"/>
            <w:vAlign w:val="bottom"/>
            <w:shd w:val="clear" w:color="auto" w:fill="CCEDFF"/>
          </w:tcPr>
          <w:p>
            <w:pPr>
              <w:spacing w:after="0"/>
              <w:rPr>
                <w:sz w:val="19"/>
                <w:szCs w:val="19"/>
                <w:color w:val="auto"/>
              </w:rPr>
            </w:pPr>
          </w:p>
        </w:tc>
        <w:tc>
          <w:tcPr>
            <w:tcW w:w="11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16,262</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2025</w:t>
            </w:r>
          </w:p>
        </w:tc>
        <w:tc>
          <w:tcPr>
            <w:tcW w:w="1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14,575</w:t>
            </w:r>
          </w:p>
        </w:tc>
        <w:tc>
          <w:tcPr>
            <w:tcW w:w="0" w:type="dxa"/>
            <w:vAlign w:val="bottom"/>
          </w:tcPr>
          <w:p>
            <w:pPr>
              <w:spacing w:after="0"/>
              <w:rPr>
                <w:sz w:val="1"/>
                <w:szCs w:val="1"/>
                <w:color w:val="auto"/>
              </w:rPr>
            </w:pPr>
          </w:p>
        </w:tc>
      </w:tr>
      <w:tr>
        <w:trPr>
          <w:trHeight w:val="230"/>
        </w:trPr>
        <w:tc>
          <w:tcPr>
            <w:tcW w:w="700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2026</w:t>
            </w:r>
          </w:p>
        </w:tc>
        <w:tc>
          <w:tcPr>
            <w:tcW w:w="1900" w:type="dxa"/>
            <w:vAlign w:val="bottom"/>
            <w:shd w:val="clear" w:color="auto" w:fill="CCEDFF"/>
          </w:tcPr>
          <w:p>
            <w:pPr>
              <w:spacing w:after="0"/>
              <w:rPr>
                <w:sz w:val="19"/>
                <w:szCs w:val="19"/>
                <w:color w:val="auto"/>
              </w:rPr>
            </w:pPr>
          </w:p>
        </w:tc>
        <w:tc>
          <w:tcPr>
            <w:tcW w:w="1220" w:type="dxa"/>
            <w:vAlign w:val="bottom"/>
            <w:shd w:val="clear" w:color="auto" w:fill="CCEDFF"/>
          </w:tcPr>
          <w:p>
            <w:pPr>
              <w:spacing w:after="0"/>
              <w:rPr>
                <w:sz w:val="19"/>
                <w:szCs w:val="19"/>
                <w:color w:val="auto"/>
              </w:rPr>
            </w:pPr>
          </w:p>
        </w:tc>
        <w:tc>
          <w:tcPr>
            <w:tcW w:w="11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14,816</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2027</w:t>
            </w:r>
          </w:p>
        </w:tc>
        <w:tc>
          <w:tcPr>
            <w:tcW w:w="1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14,944</w:t>
            </w:r>
          </w:p>
        </w:tc>
        <w:tc>
          <w:tcPr>
            <w:tcW w:w="0" w:type="dxa"/>
            <w:vAlign w:val="bottom"/>
          </w:tcPr>
          <w:p>
            <w:pPr>
              <w:spacing w:after="0"/>
              <w:rPr>
                <w:sz w:val="1"/>
                <w:szCs w:val="1"/>
                <w:color w:val="auto"/>
              </w:rPr>
            </w:pPr>
          </w:p>
        </w:tc>
      </w:tr>
      <w:tr>
        <w:trPr>
          <w:trHeight w:val="230"/>
        </w:trPr>
        <w:tc>
          <w:tcPr>
            <w:tcW w:w="700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2028</w:t>
            </w:r>
          </w:p>
        </w:tc>
        <w:tc>
          <w:tcPr>
            <w:tcW w:w="1900" w:type="dxa"/>
            <w:vAlign w:val="bottom"/>
            <w:shd w:val="clear" w:color="auto" w:fill="CCEDFF"/>
          </w:tcPr>
          <w:p>
            <w:pPr>
              <w:spacing w:after="0"/>
              <w:rPr>
                <w:sz w:val="19"/>
                <w:szCs w:val="19"/>
                <w:color w:val="auto"/>
              </w:rPr>
            </w:pPr>
          </w:p>
        </w:tc>
        <w:tc>
          <w:tcPr>
            <w:tcW w:w="1220" w:type="dxa"/>
            <w:vAlign w:val="bottom"/>
            <w:shd w:val="clear" w:color="auto" w:fill="CCEDFF"/>
          </w:tcPr>
          <w:p>
            <w:pPr>
              <w:spacing w:after="0"/>
              <w:rPr>
                <w:sz w:val="19"/>
                <w:szCs w:val="19"/>
                <w:color w:val="auto"/>
              </w:rPr>
            </w:pPr>
          </w:p>
        </w:tc>
        <w:tc>
          <w:tcPr>
            <w:tcW w:w="11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15,021</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2029-2033</w:t>
            </w:r>
          </w:p>
        </w:tc>
        <w:tc>
          <w:tcPr>
            <w:tcW w:w="19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74,092</w:t>
            </w:r>
          </w:p>
        </w:tc>
        <w:tc>
          <w:tcPr>
            <w:tcW w:w="0" w:type="dxa"/>
            <w:vAlign w:val="bottom"/>
          </w:tcPr>
          <w:p>
            <w:pPr>
              <w:spacing w:after="0"/>
              <w:rPr>
                <w:sz w:val="1"/>
                <w:szCs w:val="1"/>
                <w:color w:val="auto"/>
              </w:rPr>
            </w:pPr>
          </w:p>
        </w:tc>
      </w:tr>
      <w:tr>
        <w:trPr>
          <w:trHeight w:val="21"/>
        </w:trPr>
        <w:tc>
          <w:tcPr>
            <w:tcW w:w="70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the plan sponsor for other funded and unfunded defined benefit pension plans that are not considered material. The net benefit obligation for these plans are $0.6 million and $1.0 million at September 24, 2023 and September 25, 2022, respectively.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Subsequent to September 24, 2023, the Company offered a voluntary lump sum payment of future pension benefits to terminated vested participants of the Plan. As of November 30, 2023, 522 participants representing $22.6 million in Plan liabilities have elected to take the voluntary offer.</w:t>
      </w:r>
    </w:p>
    <w:p>
      <w:pPr>
        <w:spacing w:after="0" w:line="130"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POSTRETIREMENT AND POSTEMPLOYMENT BENEFITS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retiree medical and life insurance benefits under postretirement plans at several of our operating locations. The level and adjustment of participant contributions vary depending on the specific plan. Our liability and related expense for benefits under the postretirement plans are recorded over the service period of active employees based upon annual actuarial calculations. We accrue postemployment disability benefits when it becomes probable that such benefits will be paid and when sufficient information exists to make reasonable estimates of the amounts to be paid.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postretirement benefit cost (benefit) components for our postretirement plans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9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0"/>
        </w:trPr>
        <w:tc>
          <w:tcPr>
            <w:tcW w:w="66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year</w:t>
            </w:r>
          </w:p>
        </w:tc>
        <w:tc>
          <w:tcPr>
            <w:tcW w:w="19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68</w:t>
            </w:r>
          </w:p>
        </w:tc>
        <w:tc>
          <w:tcPr>
            <w:tcW w:w="15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108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940" w:type="dxa"/>
            <w:vAlign w:val="bottom"/>
          </w:tcPr>
          <w:p>
            <w:pPr>
              <w:jc w:val="right"/>
              <w:ind w:right="450"/>
              <w:spacing w:after="0"/>
              <w:rPr>
                <w:sz w:val="20"/>
                <w:szCs w:val="20"/>
                <w:color w:val="auto"/>
              </w:rPr>
            </w:pPr>
            <w:r>
              <w:rPr>
                <w:rFonts w:ascii="Arial" w:cs="Arial" w:eastAsia="Arial" w:hAnsi="Arial"/>
                <w:sz w:val="18"/>
                <w:szCs w:val="18"/>
                <w:color w:val="auto"/>
              </w:rPr>
              <w:t>598</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340</w:t>
            </w:r>
          </w:p>
        </w:tc>
        <w:tc>
          <w:tcPr>
            <w:tcW w:w="114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9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(1,182)</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(1,053)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Amortization of net actuarial gain</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(1,014)</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(994)</w:t>
            </w:r>
          </w:p>
        </w:tc>
        <w:tc>
          <w:tcPr>
            <w:tcW w:w="114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19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(647)</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(647)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30"/>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Curtailment gains</w:t>
            </w:r>
          </w:p>
        </w:tc>
        <w:tc>
          <w:tcPr>
            <w:tcW w:w="1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(23,830)</w:t>
            </w:r>
          </w:p>
        </w:tc>
      </w:tr>
      <w:tr>
        <w:trPr>
          <w:trHeight w:val="248"/>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postretirement benefit</w:t>
            </w:r>
          </w:p>
        </w:tc>
        <w:tc>
          <w:tcPr>
            <w:tcW w:w="19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(2,177)</w:t>
            </w:r>
          </w:p>
        </w:tc>
        <w:tc>
          <w:tcPr>
            <w:tcW w:w="1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(2,246)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(25,533)</w:t>
            </w:r>
          </w:p>
        </w:tc>
      </w:tr>
      <w:tr>
        <w:trPr>
          <w:trHeight w:val="20"/>
        </w:trPr>
        <w:tc>
          <w:tcPr>
            <w:tcW w:w="66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64"/>
        </w:trPr>
        <w:tc>
          <w:tcPr>
            <w:tcW w:w="6600" w:type="dxa"/>
            <w:vAlign w:val="bottom"/>
          </w:tcPr>
          <w:p>
            <w:pPr>
              <w:spacing w:after="0"/>
              <w:rPr>
                <w:sz w:val="20"/>
                <w:szCs w:val="20"/>
                <w:color w:val="auto"/>
              </w:rPr>
            </w:pPr>
            <w:r>
              <w:rPr>
                <w:rFonts w:ascii="Arial" w:cs="Arial" w:eastAsia="Arial" w:hAnsi="Arial"/>
                <w:sz w:val="18"/>
                <w:szCs w:val="18"/>
                <w:color w:val="auto"/>
              </w:rPr>
              <w:t>Changes in benefit obligations and plan assets are as follows:</w:t>
            </w: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9"/>
        </w:trPr>
        <w:tc>
          <w:tcPr>
            <w:tcW w:w="66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2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0"/>
        </w:trPr>
        <w:tc>
          <w:tcPr>
            <w:tcW w:w="66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 beginning of year</w:t>
            </w:r>
          </w:p>
        </w:tc>
        <w:tc>
          <w:tcPr>
            <w:tcW w:w="1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12,287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18,538</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940" w:type="dxa"/>
            <w:vAlign w:val="bottom"/>
          </w:tcPr>
          <w:p>
            <w:pPr>
              <w:spacing w:after="0"/>
              <w:rPr>
                <w:sz w:val="19"/>
                <w:szCs w:val="19"/>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68</w:t>
            </w: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1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598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Actuarial (gain) loss</w:t>
            </w:r>
          </w:p>
        </w:tc>
        <w:tc>
          <w:tcPr>
            <w:tcW w:w="1940" w:type="dxa"/>
            <w:vAlign w:val="bottom"/>
          </w:tcPr>
          <w:p>
            <w:pPr>
              <w:spacing w:after="0"/>
              <w:rPr>
                <w:sz w:val="19"/>
                <w:szCs w:val="19"/>
                <w:color w:val="auto"/>
              </w:rPr>
            </w:pP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(1,049)</w:t>
            </w:r>
          </w:p>
        </w:tc>
        <w:tc>
          <w:tcPr>
            <w:tcW w:w="1140" w:type="dxa"/>
            <w:vAlign w:val="bottom"/>
          </w:tcPr>
          <w:p>
            <w:pPr>
              <w:jc w:val="right"/>
              <w:spacing w:after="0"/>
              <w:rPr>
                <w:sz w:val="20"/>
                <w:szCs w:val="20"/>
                <w:color w:val="auto"/>
              </w:rPr>
            </w:pPr>
            <w:r>
              <w:rPr>
                <w:rFonts w:ascii="Arial" w:cs="Arial" w:eastAsia="Arial" w:hAnsi="Arial"/>
                <w:sz w:val="18"/>
                <w:szCs w:val="18"/>
                <w:color w:val="auto"/>
              </w:rPr>
              <w:t>(4,729)</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 net of premiums received</w:t>
            </w:r>
          </w:p>
        </w:tc>
        <w:tc>
          <w:tcPr>
            <w:tcW w:w="1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(652)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r>
      <w:tr>
        <w:trPr>
          <w:trHeight w:val="229"/>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Medicare Part D subsidies</w:t>
            </w:r>
          </w:p>
        </w:tc>
        <w:tc>
          <w:tcPr>
            <w:tcW w:w="1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Benefit obligation, end of year</w:t>
            </w:r>
          </w:p>
        </w:tc>
        <w:tc>
          <w:tcPr>
            <w:tcW w:w="1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11,252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12,287</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1940" w:type="dxa"/>
            <w:vAlign w:val="bottom"/>
          </w:tcPr>
          <w:p>
            <w:pPr>
              <w:spacing w:after="0"/>
              <w:rPr>
                <w:sz w:val="19"/>
                <w:szCs w:val="19"/>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23,903</w:t>
            </w:r>
          </w:p>
        </w:tc>
        <w:tc>
          <w:tcPr>
            <w:tcW w:w="1140" w:type="dxa"/>
            <w:vAlign w:val="bottom"/>
          </w:tcPr>
          <w:p>
            <w:pPr>
              <w:jc w:val="right"/>
              <w:spacing w:after="0"/>
              <w:rPr>
                <w:sz w:val="20"/>
                <w:szCs w:val="20"/>
                <w:color w:val="auto"/>
              </w:rPr>
            </w:pPr>
            <w:r>
              <w:rPr>
                <w:rFonts w:ascii="Arial" w:cs="Arial" w:eastAsia="Arial" w:hAnsi="Arial"/>
                <w:sz w:val="18"/>
                <w:szCs w:val="18"/>
                <w:color w:val="auto"/>
              </w:rPr>
              <w:t>26,802</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1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2,393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Employer contributions</w:t>
            </w:r>
          </w:p>
        </w:tc>
        <w:tc>
          <w:tcPr>
            <w:tcW w:w="1940" w:type="dxa"/>
            <w:vAlign w:val="bottom"/>
          </w:tcPr>
          <w:p>
            <w:pPr>
              <w:spacing w:after="0"/>
              <w:rPr>
                <w:sz w:val="19"/>
                <w:szCs w:val="19"/>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165</w:t>
            </w:r>
          </w:p>
        </w:tc>
        <w:tc>
          <w:tcPr>
            <w:tcW w:w="1140" w:type="dxa"/>
            <w:vAlign w:val="bottom"/>
          </w:tcPr>
          <w:p>
            <w:pPr>
              <w:jc w:val="right"/>
              <w:spacing w:after="0"/>
              <w:rPr>
                <w:sz w:val="20"/>
                <w:szCs w:val="20"/>
                <w:color w:val="auto"/>
              </w:rPr>
            </w:pPr>
            <w:r>
              <w:rPr>
                <w:rFonts w:ascii="Arial" w:cs="Arial" w:eastAsia="Arial" w:hAnsi="Arial"/>
                <w:sz w:val="18"/>
                <w:szCs w:val="18"/>
                <w:color w:val="auto"/>
              </w:rPr>
              <w:t>1,525</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 net of premiums and Medicare Part D subsidies received</w:t>
            </w:r>
          </w:p>
        </w:tc>
        <w:tc>
          <w:tcPr>
            <w:tcW w:w="1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(660)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30"/>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Plan participant contributions</w:t>
            </w:r>
          </w:p>
        </w:tc>
        <w:tc>
          <w:tcPr>
            <w:tcW w:w="1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23"/>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measurement date</w:t>
            </w:r>
          </w:p>
        </w:tc>
        <w:tc>
          <w:tcPr>
            <w:tcW w:w="1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25,809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23,903</w:t>
            </w:r>
          </w:p>
        </w:tc>
      </w:tr>
      <w:tr>
        <w:trPr>
          <w:trHeight w:val="22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Funded status</w:t>
            </w:r>
          </w:p>
        </w:tc>
        <w:tc>
          <w:tcPr>
            <w:tcW w:w="1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14,557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w:t>
            </w: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915"/>
        </w:trPr>
        <w:tc>
          <w:tcPr>
            <w:tcW w:w="6600" w:type="dxa"/>
            <w:vAlign w:val="bottom"/>
          </w:tcPr>
          <w:p>
            <w:pPr>
              <w:ind w:left="5520"/>
              <w:spacing w:after="0"/>
              <w:rPr>
                <w:sz w:val="20"/>
                <w:szCs w:val="20"/>
                <w:color w:val="auto"/>
              </w:rPr>
            </w:pPr>
            <w:r>
              <w:rPr>
                <w:rFonts w:ascii="Arial" w:cs="Arial" w:eastAsia="Arial" w:hAnsi="Arial"/>
                <w:sz w:val="18"/>
                <w:szCs w:val="18"/>
                <w:color w:val="auto"/>
              </w:rPr>
              <w:t>57</w:t>
            </w: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8"/>
        </w:trPr>
        <w:tc>
          <w:tcPr>
            <w:tcW w:w="660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Disaggregated amounts recognized in the Consolidated Balance Sheets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6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jc w:val="right"/>
              <w:ind w:right="250"/>
              <w:spacing w:after="0" w:line="189" w:lineRule="exact"/>
              <w:rPr>
                <w:sz w:val="20"/>
                <w:szCs w:val="20"/>
                <w:color w:val="auto"/>
              </w:rPr>
            </w:pPr>
            <w:r>
              <w:rPr>
                <w:rFonts w:ascii="Arial" w:cs="Arial" w:eastAsia="Arial" w:hAnsi="Arial"/>
                <w:sz w:val="18"/>
                <w:szCs w:val="18"/>
                <w:color w:val="auto"/>
              </w:rPr>
              <w:t>September 24</w:t>
            </w:r>
          </w:p>
        </w:tc>
        <w:tc>
          <w:tcPr>
            <w:tcW w:w="14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25</w:t>
            </w:r>
          </w:p>
        </w:tc>
      </w:tr>
      <w:tr>
        <w:trPr>
          <w:trHeight w:val="242"/>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1"/>
        </w:trPr>
        <w:tc>
          <w:tcPr>
            <w:tcW w:w="69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21,565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19,066</w:t>
            </w: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Postretirement benefit obligations</w:t>
            </w:r>
          </w:p>
        </w:tc>
        <w:tc>
          <w:tcPr>
            <w:tcW w:w="2800" w:type="dxa"/>
            <w:vAlign w:val="bottom"/>
          </w:tcPr>
          <w:p>
            <w:pPr>
              <w:jc w:val="right"/>
              <w:ind w:right="250"/>
              <w:spacing w:after="0"/>
              <w:rPr>
                <w:sz w:val="20"/>
                <w:szCs w:val="20"/>
                <w:color w:val="auto"/>
              </w:rPr>
            </w:pPr>
            <w:r>
              <w:rPr>
                <w:rFonts w:ascii="Arial" w:cs="Arial" w:eastAsia="Arial" w:hAnsi="Arial"/>
                <w:sz w:val="18"/>
                <w:szCs w:val="18"/>
                <w:color w:val="auto"/>
              </w:rPr>
              <w:t>(7,008)</w:t>
            </w:r>
          </w:p>
        </w:tc>
        <w:tc>
          <w:tcPr>
            <w:tcW w:w="1480" w:type="dxa"/>
            <w:vAlign w:val="bottom"/>
          </w:tcPr>
          <w:p>
            <w:pPr>
              <w:jc w:val="right"/>
              <w:spacing w:after="0"/>
              <w:rPr>
                <w:sz w:val="20"/>
                <w:szCs w:val="20"/>
                <w:color w:val="auto"/>
              </w:rPr>
            </w:pPr>
            <w:r>
              <w:rPr>
                <w:rFonts w:ascii="Arial" w:cs="Arial" w:eastAsia="Arial" w:hAnsi="Arial"/>
                <w:sz w:val="18"/>
                <w:szCs w:val="18"/>
                <w:color w:val="auto"/>
              </w:rPr>
              <w:t>(7,450)</w:t>
            </w:r>
          </w:p>
        </w:tc>
      </w:tr>
      <w:tr>
        <w:trPr>
          <w:trHeight w:val="254"/>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(before income tax benefit)</w:t>
            </w:r>
          </w:p>
        </w:tc>
        <w:tc>
          <w:tcPr>
            <w:tcW w:w="28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19,043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17,327</w:t>
            </w:r>
          </w:p>
        </w:tc>
      </w:tr>
      <w:tr>
        <w:trPr>
          <w:trHeight w:val="20"/>
        </w:trPr>
        <w:tc>
          <w:tcPr>
            <w:tcW w:w="696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accumulated other comprehensive income (loss) before income tax benefit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Borders>
              <w:top w:val="single" w:sz="8" w:color="auto"/>
            </w:tcBorders>
          </w:tcPr>
          <w:p>
            <w:pPr>
              <w:spacing w:after="0"/>
              <w:rPr>
                <w:sz w:val="16"/>
                <w:szCs w:val="16"/>
                <w:color w:val="auto"/>
              </w:rPr>
            </w:pPr>
          </w:p>
        </w:tc>
        <w:tc>
          <w:tcPr>
            <w:tcW w:w="4240" w:type="dxa"/>
            <w:vAlign w:val="bottom"/>
            <w:tcBorders>
              <w:top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rPr>
              <w:t>September 24</w:t>
            </w:r>
          </w:p>
        </w:tc>
        <w:tc>
          <w:tcPr>
            <w:tcW w:w="1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25</w:t>
            </w:r>
          </w:p>
        </w:tc>
      </w:tr>
      <w:tr>
        <w:trPr>
          <w:trHeight w:val="242"/>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4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1"/>
        </w:trPr>
        <w:tc>
          <w:tcPr>
            <w:tcW w:w="558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net actuarial gain</w:t>
            </w:r>
          </w:p>
        </w:tc>
        <w:tc>
          <w:tcPr>
            <w:tcW w:w="4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16,660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14,298</w:t>
            </w:r>
          </w:p>
        </w:tc>
      </w:tr>
      <w:tr>
        <w:trPr>
          <w:trHeight w:val="229"/>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Unrecognized prior service benefit</w:t>
            </w:r>
          </w:p>
        </w:tc>
        <w:tc>
          <w:tcPr>
            <w:tcW w:w="4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2,383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r>
      <w:tr>
        <w:trPr>
          <w:trHeight w:val="248"/>
        </w:trPr>
        <w:tc>
          <w:tcPr>
            <w:tcW w:w="5580" w:type="dxa"/>
            <w:vAlign w:val="bottom"/>
            <w:tcBorders>
              <w:bottom w:val="single" w:sz="8" w:color="auto"/>
            </w:tcBorders>
            <w:shd w:val="clear" w:color="auto" w:fill="CCEEFF"/>
          </w:tcPr>
          <w:p>
            <w:pPr>
              <w:spacing w:after="0"/>
              <w:rPr>
                <w:sz w:val="21"/>
                <w:szCs w:val="21"/>
                <w:color w:val="auto"/>
              </w:rPr>
            </w:pPr>
          </w:p>
        </w:tc>
        <w:tc>
          <w:tcPr>
            <w:tcW w:w="42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19,043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17,327</w:t>
            </w:r>
          </w:p>
        </w:tc>
      </w:tr>
      <w:tr>
        <w:trPr>
          <w:trHeight w:val="20"/>
        </w:trPr>
        <w:tc>
          <w:tcPr>
            <w:tcW w:w="5580" w:type="dxa"/>
            <w:vAlign w:val="bottom"/>
            <w:tcBorders>
              <w:top w:val="single" w:sz="8" w:color="CCEEFF"/>
              <w:bottom w:val="single" w:sz="8" w:color="auto"/>
            </w:tcBorders>
          </w:tcPr>
          <w:p>
            <w:pPr>
              <w:spacing w:after="0" w:line="20" w:lineRule="exact"/>
              <w:rPr>
                <w:sz w:val="1"/>
                <w:szCs w:val="1"/>
                <w:color w:val="auto"/>
              </w:rPr>
            </w:pPr>
          </w:p>
        </w:tc>
        <w:tc>
          <w:tcPr>
            <w:tcW w:w="4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expect to recognize $1.2 million and $0.4 million of unrecognized net actuarial gain and unrecognized prior service benefit, respectively, in net periodic postretirement benefit in 2024</w:t>
      </w:r>
      <w:r>
        <w:rPr>
          <w:rFonts w:ascii="Arial" w:cs="Arial" w:eastAsia="Arial" w:hAnsi="Arial"/>
          <w:sz w:val="18"/>
          <w:szCs w:val="18"/>
          <w:i w:val="1"/>
          <w:iCs w:val="1"/>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postretirement benefit obligations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tcPr>
          <w:p>
            <w:pPr>
              <w:ind w:left="2540"/>
              <w:spacing w:after="0" w:line="189" w:lineRule="exact"/>
              <w:rPr>
                <w:sz w:val="20"/>
                <w:szCs w:val="20"/>
                <w:color w:val="auto"/>
              </w:rPr>
            </w:pPr>
            <w:r>
              <w:rPr>
                <w:rFonts w:ascii="Arial" w:cs="Arial" w:eastAsia="Arial" w:hAnsi="Arial"/>
                <w:sz w:val="18"/>
                <w:szCs w:val="18"/>
                <w:color w:val="auto"/>
              </w:rPr>
              <w:t>September 24</w:t>
            </w:r>
          </w:p>
        </w:tc>
        <w:tc>
          <w:tcPr>
            <w:tcW w:w="1420" w:type="dxa"/>
            <w:vAlign w:val="bottom"/>
            <w:tcBorders>
              <w:top w:val="single" w:sz="8" w:color="auto"/>
            </w:tcBorders>
          </w:tcPr>
          <w:p>
            <w:pPr>
              <w:ind w:left="280"/>
              <w:spacing w:after="0" w:line="189" w:lineRule="exact"/>
              <w:rPr>
                <w:sz w:val="20"/>
                <w:szCs w:val="20"/>
                <w:color w:val="auto"/>
              </w:rPr>
            </w:pPr>
            <w:r>
              <w:rPr>
                <w:rFonts w:ascii="Arial" w:cs="Arial" w:eastAsia="Arial" w:hAnsi="Arial"/>
                <w:sz w:val="18"/>
                <w:szCs w:val="18"/>
                <w:color w:val="auto"/>
                <w:w w:val="99"/>
              </w:rPr>
              <w:t>September 25</w:t>
            </w:r>
          </w:p>
        </w:tc>
      </w:tr>
      <w:tr>
        <w:trPr>
          <w:trHeight w:val="242"/>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3960" w:type="dxa"/>
            <w:vAlign w:val="bottom"/>
            <w:tcBorders>
              <w:bottom w:val="single" w:sz="8" w:color="auto"/>
            </w:tcBorders>
          </w:tcPr>
          <w:p>
            <w:pPr>
              <w:jc w:val="center"/>
              <w:ind w:left="2910"/>
              <w:spacing w:after="0"/>
              <w:rPr>
                <w:sz w:val="20"/>
                <w:szCs w:val="20"/>
                <w:color w:val="auto"/>
              </w:rPr>
            </w:pPr>
            <w:r>
              <w:rPr>
                <w:rFonts w:ascii="Arial" w:cs="Arial" w:eastAsia="Arial" w:hAnsi="Arial"/>
                <w:sz w:val="18"/>
                <w:szCs w:val="18"/>
                <w:color w:val="auto"/>
                <w:w w:val="99"/>
              </w:rPr>
              <w:t>2023</w:t>
            </w:r>
          </w:p>
        </w:tc>
        <w:tc>
          <w:tcPr>
            <w:tcW w:w="142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99"/>
              </w:rPr>
              <w:t>2022</w:t>
            </w:r>
          </w:p>
        </w:tc>
      </w:tr>
      <w:tr>
        <w:trPr>
          <w:trHeight w:val="251"/>
        </w:trPr>
        <w:tc>
          <w:tcPr>
            <w:tcW w:w="586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3960" w:type="dxa"/>
            <w:vAlign w:val="bottom"/>
            <w:shd w:val="clear" w:color="auto" w:fill="CCEEFF"/>
          </w:tcPr>
          <w:p>
            <w:pPr>
              <w:jc w:val="center"/>
              <w:ind w:left="2930"/>
              <w:spacing w:after="0"/>
              <w:rPr>
                <w:sz w:val="20"/>
                <w:szCs w:val="20"/>
                <w:color w:val="auto"/>
              </w:rPr>
            </w:pPr>
            <w:r>
              <w:rPr>
                <w:rFonts w:ascii="Arial" w:cs="Arial" w:eastAsia="Arial" w:hAnsi="Arial"/>
                <w:sz w:val="18"/>
                <w:szCs w:val="18"/>
                <w:color w:val="auto"/>
              </w:rPr>
              <w:t>5.6</w:t>
            </w:r>
          </w:p>
        </w:tc>
        <w:tc>
          <w:tcPr>
            <w:tcW w:w="142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5"/>
              </w:rPr>
              <w:t>5.3</w:t>
            </w:r>
          </w:p>
        </w:tc>
      </w:tr>
      <w:tr>
        <w:trPr>
          <w:trHeight w:val="22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3960" w:type="dxa"/>
            <w:vAlign w:val="bottom"/>
            <w:tcBorders>
              <w:bottom w:val="single" w:sz="8" w:color="auto"/>
            </w:tcBorders>
          </w:tcPr>
          <w:p>
            <w:pPr>
              <w:jc w:val="center"/>
              <w:ind w:left="2930"/>
              <w:spacing w:after="0"/>
              <w:rPr>
                <w:sz w:val="20"/>
                <w:szCs w:val="20"/>
                <w:color w:val="auto"/>
              </w:rPr>
            </w:pPr>
            <w:r>
              <w:rPr>
                <w:rFonts w:ascii="Arial" w:cs="Arial" w:eastAsia="Arial" w:hAnsi="Arial"/>
                <w:sz w:val="18"/>
                <w:szCs w:val="18"/>
                <w:color w:val="auto"/>
              </w:rPr>
              <w:t>5.0</w:t>
            </w:r>
          </w:p>
        </w:tc>
        <w:tc>
          <w:tcPr>
            <w:tcW w:w="14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color w:val="auto"/>
                <w:w w:val="95"/>
              </w:rPr>
              <w:t>5.0</w:t>
            </w:r>
          </w:p>
        </w:tc>
      </w:tr>
      <w:tr>
        <w:trPr>
          <w:trHeight w:val="21"/>
        </w:trPr>
        <w:tc>
          <w:tcPr>
            <w:tcW w:w="58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assumptions related to the expected long-term return on plan assets are developed through an analysis of historical market returns, current market conditions and composition of plan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benefit cost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3180" w:type="dxa"/>
            <w:vAlign w:val="bottom"/>
            <w:tcBorders>
              <w:top w:val="single" w:sz="8" w:color="auto"/>
              <w:bottom w:val="single" w:sz="8" w:color="auto"/>
            </w:tcBorders>
          </w:tcPr>
          <w:p>
            <w:pPr>
              <w:jc w:val="center"/>
              <w:ind w:left="1490"/>
              <w:spacing w:after="0"/>
              <w:rPr>
                <w:sz w:val="20"/>
                <w:szCs w:val="20"/>
                <w:color w:val="auto"/>
              </w:rPr>
            </w:pPr>
            <w:r>
              <w:rPr>
                <w:rFonts w:ascii="Arial" w:cs="Arial" w:eastAsia="Arial" w:hAnsi="Arial"/>
                <w:sz w:val="18"/>
                <w:szCs w:val="18"/>
                <w:color w:val="auto"/>
                <w:w w:val="99"/>
              </w:rPr>
              <w:t>2023</w:t>
            </w: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2022</w:t>
            </w:r>
          </w:p>
        </w:tc>
        <w:tc>
          <w:tcPr>
            <w:tcW w:w="1000" w:type="dxa"/>
            <w:vAlign w:val="bottom"/>
            <w:tcBorders>
              <w:top w:val="single" w:sz="8" w:color="auto"/>
              <w:bottom w:val="single" w:sz="8" w:color="auto"/>
            </w:tcBorders>
          </w:tcPr>
          <w:p>
            <w:pPr>
              <w:jc w:val="center"/>
              <w:ind w:left="470"/>
              <w:spacing w:after="0"/>
              <w:rPr>
                <w:sz w:val="20"/>
                <w:szCs w:val="20"/>
                <w:color w:val="auto"/>
              </w:rPr>
            </w:pPr>
            <w:r>
              <w:rPr>
                <w:rFonts w:ascii="Arial" w:cs="Arial" w:eastAsia="Arial" w:hAnsi="Arial"/>
                <w:sz w:val="18"/>
                <w:szCs w:val="18"/>
                <w:color w:val="auto"/>
                <w:w w:val="99"/>
              </w:rPr>
              <w:t>2021</w:t>
            </w:r>
          </w:p>
        </w:tc>
      </w:tr>
      <w:tr>
        <w:trPr>
          <w:trHeight w:val="250"/>
        </w:trPr>
        <w:tc>
          <w:tcPr>
            <w:tcW w:w="54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 service cost</w:t>
            </w:r>
          </w:p>
        </w:tc>
        <w:tc>
          <w:tcPr>
            <w:tcW w:w="3180" w:type="dxa"/>
            <w:vAlign w:val="bottom"/>
            <w:shd w:val="clear" w:color="auto" w:fill="CCEEFF"/>
          </w:tcPr>
          <w:p>
            <w:pPr>
              <w:jc w:val="center"/>
              <w:ind w:left="1530"/>
              <w:spacing w:after="0"/>
              <w:rPr>
                <w:sz w:val="20"/>
                <w:szCs w:val="20"/>
                <w:color w:val="auto"/>
              </w:rPr>
            </w:pPr>
            <w:r>
              <w:rPr>
                <w:rFonts w:ascii="Arial" w:cs="Arial" w:eastAsia="Arial" w:hAnsi="Arial"/>
                <w:sz w:val="18"/>
                <w:szCs w:val="18"/>
                <w:color w:val="auto"/>
                <w:w w:val="95"/>
              </w:rPr>
              <w:t>5.9</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5.5</w:t>
            </w:r>
          </w:p>
        </w:tc>
        <w:tc>
          <w:tcPr>
            <w:tcW w:w="10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5"/>
              </w:rPr>
              <w:t>2.5</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Discount rate - interest cost</w:t>
            </w:r>
          </w:p>
        </w:tc>
        <w:tc>
          <w:tcPr>
            <w:tcW w:w="3180" w:type="dxa"/>
            <w:vAlign w:val="bottom"/>
          </w:tcPr>
          <w:p>
            <w:pPr>
              <w:jc w:val="center"/>
              <w:ind w:left="1530"/>
              <w:spacing w:after="0"/>
              <w:rPr>
                <w:sz w:val="20"/>
                <w:szCs w:val="20"/>
                <w:color w:val="auto"/>
              </w:rPr>
            </w:pPr>
            <w:r>
              <w:rPr>
                <w:rFonts w:ascii="Arial" w:cs="Arial" w:eastAsia="Arial" w:hAnsi="Arial"/>
                <w:sz w:val="18"/>
                <w:szCs w:val="18"/>
                <w:color w:val="auto"/>
                <w:w w:val="95"/>
              </w:rPr>
              <w:t>5.5</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1000" w:type="dxa"/>
            <w:vAlign w:val="bottom"/>
          </w:tcPr>
          <w:p>
            <w:pPr>
              <w:jc w:val="center"/>
              <w:ind w:left="510"/>
              <w:spacing w:after="0"/>
              <w:rPr>
                <w:sz w:val="20"/>
                <w:szCs w:val="20"/>
                <w:color w:val="auto"/>
              </w:rPr>
            </w:pPr>
            <w:r>
              <w:rPr>
                <w:rFonts w:ascii="Arial" w:cs="Arial" w:eastAsia="Arial" w:hAnsi="Arial"/>
                <w:sz w:val="18"/>
                <w:szCs w:val="18"/>
                <w:color w:val="auto"/>
                <w:w w:val="95"/>
              </w:rPr>
              <w:t>1.9</w:t>
            </w:r>
          </w:p>
        </w:tc>
      </w:tr>
      <w:tr>
        <w:trPr>
          <w:trHeight w:val="255"/>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3180" w:type="dxa"/>
            <w:vAlign w:val="bottom"/>
            <w:tcBorders>
              <w:bottom w:val="single" w:sz="8" w:color="auto"/>
            </w:tcBorders>
            <w:shd w:val="clear" w:color="auto" w:fill="CCEEFF"/>
          </w:tcPr>
          <w:p>
            <w:pPr>
              <w:jc w:val="center"/>
              <w:ind w:left="1530"/>
              <w:spacing w:after="0"/>
              <w:rPr>
                <w:sz w:val="20"/>
                <w:szCs w:val="20"/>
                <w:color w:val="auto"/>
              </w:rPr>
            </w:pPr>
            <w:r>
              <w:rPr>
                <w:rFonts w:ascii="Arial" w:cs="Arial" w:eastAsia="Arial" w:hAnsi="Arial"/>
                <w:sz w:val="18"/>
                <w:szCs w:val="18"/>
                <w:color w:val="auto"/>
                <w:w w:val="95"/>
              </w:rPr>
              <w:t>5.0</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5.0</w:t>
            </w:r>
          </w:p>
        </w:tc>
        <w:tc>
          <w:tcPr>
            <w:tcW w:w="100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5"/>
              </w:rPr>
              <w:t>4.0</w:t>
            </w: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2023</w:t>
      </w:r>
      <w:r>
        <w:rPr>
          <w:rFonts w:ascii="Arial" w:cs="Arial" w:eastAsia="Arial" w:hAnsi="Arial"/>
          <w:sz w:val="18"/>
          <w:szCs w:val="18"/>
          <w:i w:val="1"/>
          <w:iCs w:val="1"/>
          <w:color w:val="auto"/>
        </w:rPr>
        <w:t>,</w:t>
      </w:r>
      <w:r>
        <w:rPr>
          <w:rFonts w:ascii="Arial" w:cs="Arial" w:eastAsia="Arial" w:hAnsi="Arial"/>
          <w:sz w:val="18"/>
          <w:szCs w:val="18"/>
          <w:color w:val="auto"/>
        </w:rPr>
        <w:t xml:space="preserve"> the expected long-term return on plan assets is 5.0%. The assumptions related to the expected long-term return on plan assets are developed through an analysis of historical market returns, current market conditions and composition of plan assets.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Assumed health care cost trend rates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tcPr>
          <w:p>
            <w:pPr>
              <w:ind w:left="900"/>
              <w:spacing w:after="0" w:line="189" w:lineRule="exact"/>
              <w:rPr>
                <w:sz w:val="20"/>
                <w:szCs w:val="20"/>
                <w:color w:val="auto"/>
              </w:rPr>
            </w:pPr>
            <w:r>
              <w:rPr>
                <w:rFonts w:ascii="Arial" w:cs="Arial" w:eastAsia="Arial" w:hAnsi="Arial"/>
                <w:sz w:val="18"/>
                <w:szCs w:val="18"/>
                <w:color w:val="auto"/>
              </w:rPr>
              <w:t>September 24</w:t>
            </w:r>
          </w:p>
        </w:tc>
        <w:tc>
          <w:tcPr>
            <w:tcW w:w="1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25</w:t>
            </w:r>
          </w:p>
        </w:tc>
      </w:tr>
      <w:tr>
        <w:trPr>
          <w:trHeight w:val="242"/>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2320" w:type="dxa"/>
            <w:vAlign w:val="bottom"/>
            <w:tcBorders>
              <w:bottom w:val="single" w:sz="8" w:color="auto"/>
            </w:tcBorders>
          </w:tcPr>
          <w:p>
            <w:pPr>
              <w:jc w:val="center"/>
              <w:ind w:left="1270"/>
              <w:spacing w:after="0"/>
              <w:rPr>
                <w:sz w:val="20"/>
                <w:szCs w:val="20"/>
                <w:color w:val="auto"/>
              </w:rPr>
            </w:pPr>
            <w:r>
              <w:rPr>
                <w:rFonts w:ascii="Arial" w:cs="Arial" w:eastAsia="Arial" w:hAnsi="Arial"/>
                <w:sz w:val="18"/>
                <w:szCs w:val="18"/>
                <w:color w:val="auto"/>
                <w:w w:val="99"/>
              </w:rPr>
              <w:t>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1"/>
        </w:trPr>
        <w:tc>
          <w:tcPr>
            <w:tcW w:w="75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cost trend rates</w:t>
            </w:r>
          </w:p>
        </w:tc>
        <w:tc>
          <w:tcPr>
            <w:tcW w:w="232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rPr>
              <w:t>3.9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2320" w:type="dxa"/>
            <w:vAlign w:val="bottom"/>
          </w:tcPr>
          <w:p>
            <w:pPr>
              <w:jc w:val="center"/>
              <w:ind w:left="1290"/>
              <w:spacing w:after="0"/>
              <w:rPr>
                <w:sz w:val="20"/>
                <w:szCs w:val="20"/>
                <w:color w:val="auto"/>
              </w:rPr>
            </w:pPr>
            <w:r>
              <w:rPr>
                <w:rFonts w:ascii="Arial" w:cs="Arial" w:eastAsia="Arial" w:hAnsi="Arial"/>
                <w:sz w:val="18"/>
                <w:szCs w:val="18"/>
                <w:color w:val="auto"/>
              </w:rPr>
              <w:t>4.5</w:t>
            </w: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54"/>
        </w:trPr>
        <w:tc>
          <w:tcPr>
            <w:tcW w:w="7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Year in which the rate reaches the Ultimate Trend Rate</w:t>
            </w:r>
          </w:p>
        </w:tc>
        <w:tc>
          <w:tcPr>
            <w:tcW w:w="2320" w:type="dxa"/>
            <w:vAlign w:val="bottom"/>
            <w:tcBorders>
              <w:bottom w:val="single" w:sz="8" w:color="auto"/>
            </w:tcBorders>
            <w:shd w:val="clear" w:color="auto" w:fill="CCEEFF"/>
          </w:tcPr>
          <w:p>
            <w:pPr>
              <w:jc w:val="center"/>
              <w:ind w:left="1270"/>
              <w:spacing w:after="0"/>
              <w:rPr>
                <w:sz w:val="20"/>
                <w:szCs w:val="20"/>
                <w:color w:val="auto"/>
              </w:rPr>
            </w:pPr>
            <w:r>
              <w:rPr>
                <w:rFonts w:ascii="Arial" w:cs="Arial" w:eastAsia="Arial" w:hAnsi="Arial"/>
                <w:sz w:val="18"/>
                <w:szCs w:val="18"/>
                <w:color w:val="auto"/>
                <w:w w:val="99"/>
              </w:rPr>
              <w:t>2033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r>
      <w:tr>
        <w:trPr>
          <w:trHeight w:val="20"/>
        </w:trPr>
        <w:tc>
          <w:tcPr>
            <w:tcW w:w="75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costs related to indemnity plans are assumed to increase at the health care cost trend rates noted above.</w:t>
      </w:r>
    </w:p>
    <w:p>
      <w:pPr>
        <w:spacing w:after="0" w:line="18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2021</w:t>
      </w:r>
      <w:r>
        <w:rPr>
          <w:rFonts w:ascii="Arial" w:cs="Arial" w:eastAsia="Arial" w:hAnsi="Arial"/>
          <w:sz w:val="18"/>
          <w:szCs w:val="18"/>
          <w:i w:val="1"/>
          <w:iCs w:val="1"/>
          <w:color w:val="auto"/>
        </w:rPr>
        <w:t>,</w:t>
      </w:r>
      <w:r>
        <w:rPr>
          <w:rFonts w:ascii="Arial" w:cs="Arial" w:eastAsia="Arial" w:hAnsi="Arial"/>
          <w:sz w:val="18"/>
          <w:szCs w:val="18"/>
          <w:color w:val="auto"/>
        </w:rPr>
        <w:t xml:space="preserve"> we notified certain participants in one of our postemployment medical plans of changes to their plan, including elimination of coverage for certain participants. These changes resulted in a non-cash curtailment gain of $23.8 million in 2021</w:t>
      </w:r>
      <w:r>
        <w:rPr>
          <w:rFonts w:ascii="Arial" w:cs="Arial" w:eastAsia="Arial" w:hAnsi="Arial"/>
          <w:sz w:val="18"/>
          <w:szCs w:val="18"/>
          <w:i w:val="1"/>
          <w:iCs w:val="1"/>
          <w:color w:val="auto"/>
        </w:rPr>
        <w:t>.</w:t>
      </w:r>
      <w:r>
        <w:rPr>
          <w:rFonts w:ascii="Arial" w:cs="Arial" w:eastAsia="Arial" w:hAnsi="Arial"/>
          <w:sz w:val="18"/>
          <w:szCs w:val="18"/>
          <w:color w:val="auto"/>
        </w:rPr>
        <w:t xml:space="preserve"> The curtailment gain is recorded in Curtailment gain in the Consolidated Statements of Income (loss) and Comprehensive Income (loss). These charges also reduced the postemployment benefit obligation by $23.8 million in 2021</w:t>
      </w:r>
      <w:r>
        <w:rPr>
          <w:rFonts w:ascii="Arial" w:cs="Arial" w:eastAsia="Arial" w:hAnsi="Arial"/>
          <w:sz w:val="18"/>
          <w:szCs w:val="18"/>
          <w:i w:val="1"/>
          <w:iCs w:val="1"/>
          <w:color w:val="auto"/>
        </w:rPr>
        <w:t>.</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September 24, 2023</w:t>
      </w:r>
      <w:r>
        <w:rPr>
          <w:rFonts w:ascii="Arial" w:cs="Arial" w:eastAsia="Arial" w:hAnsi="Arial"/>
          <w:sz w:val="18"/>
          <w:szCs w:val="18"/>
          <w:i w:val="1"/>
          <w:iCs w:val="1"/>
          <w:color w:val="auto"/>
        </w:rPr>
        <w:t>,</w:t>
      </w:r>
      <w:r>
        <w:rPr>
          <w:rFonts w:ascii="Arial" w:cs="Arial" w:eastAsia="Arial" w:hAnsi="Arial"/>
          <w:sz w:val="18"/>
          <w:szCs w:val="18"/>
          <w:color w:val="auto"/>
        </w:rPr>
        <w:t xml:space="preserve"> the most significant driver of the decrease in benefit obligations for the plans was the higher actual return on assets compared to expectations. The plans also recognized actuarial gains due to increases in bond yields that resulted in increases to the discount rates. For the year ended September 25, 2022, the most significant driver of the decrease in benefit obligations for the plans was the higher actuarial gains experienced by all plans. The plans recognized actuarial gains due to significant increases in bond yields that resulted in increases to the discount rates. Discount rate increases were partially offset by actual return on assets falling behind expected returns for the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Assets of the retiree medical plan are invested in a master trust. The master trust also pays benefits of active employee medical plans for the same union employees. The fair value of master trust assets allocated to the active employee medical plans at September 24, 2023 and September 25, 2022 is $0.4 million and $0.6 million, respectively, which are included within the tables below.</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primary objective of our investment strategy is to satisfy our postretirement obligations at a reasonable cost. Assets are actively invested to balance real growth of capital through appreciation and reinvestment of dividend and interest income and safety of invested funds.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investment policy outlines the governance structure for decision-making, sets investment objectives and restrictions and establishes criteria for selecting and evaluating investment managers. The use of derivatives is strictly prohibited, except on a case-by-case basis where the manager has a proven capability, and only to hedge quantifiable risks such as exposure to foreign currencies. An investment committee, consisting of certain of our executives and supported by independent consultants, is responsible for monitoring compliance with the investment policy. Assets are periodically redistributed to maintain the appropriate policy allocation.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asset allocation of our postretirement assets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3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Policy Allocation</w:t>
            </w:r>
          </w:p>
        </w:tc>
        <w:tc>
          <w:tcPr>
            <w:tcW w:w="2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Actual Allocation</w:t>
            </w:r>
          </w:p>
        </w:tc>
        <w:tc>
          <w:tcPr>
            <w:tcW w:w="14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3560" w:type="dxa"/>
            <w:vAlign w:val="bottom"/>
            <w:vMerge w:val="restart"/>
          </w:tcPr>
          <w:p>
            <w:pPr>
              <w:ind w:left="20"/>
              <w:spacing w:after="0"/>
              <w:rPr>
                <w:sz w:val="20"/>
                <w:szCs w:val="20"/>
                <w:color w:val="auto"/>
              </w:rPr>
            </w:pPr>
            <w:r>
              <w:rPr>
                <w:rFonts w:ascii="Arial" w:cs="Arial" w:eastAsia="Arial" w:hAnsi="Arial"/>
                <w:sz w:val="18"/>
                <w:szCs w:val="18"/>
                <w:color w:val="auto"/>
              </w:rPr>
              <w:t>Asset Class</w:t>
            </w:r>
          </w:p>
        </w:tc>
        <w:tc>
          <w:tcPr>
            <w:tcW w:w="3560" w:type="dxa"/>
            <w:vAlign w:val="bottom"/>
            <w:vMerge w:val="restart"/>
          </w:tcPr>
          <w:p>
            <w:pPr>
              <w:jc w:val="right"/>
              <w:ind w:right="510"/>
              <w:spacing w:after="0"/>
              <w:rPr>
                <w:sz w:val="20"/>
                <w:szCs w:val="20"/>
                <w:color w:val="auto"/>
              </w:rPr>
            </w:pPr>
            <w:r>
              <w:rPr>
                <w:rFonts w:ascii="Arial" w:cs="Arial" w:eastAsia="Arial" w:hAnsi="Arial"/>
                <w:sz w:val="18"/>
                <w:szCs w:val="18"/>
                <w:color w:val="auto"/>
              </w:rPr>
              <w:t>September 24 2023</w:t>
            </w:r>
          </w:p>
        </w:tc>
        <w:tc>
          <w:tcPr>
            <w:tcW w:w="2720" w:type="dxa"/>
            <w:vAlign w:val="bottom"/>
          </w:tcPr>
          <w:p>
            <w:pPr>
              <w:jc w:val="right"/>
              <w:ind w:right="890"/>
              <w:spacing w:after="0" w:line="177" w:lineRule="exact"/>
              <w:rPr>
                <w:sz w:val="20"/>
                <w:szCs w:val="20"/>
                <w:color w:val="auto"/>
              </w:rPr>
            </w:pPr>
            <w:r>
              <w:rPr>
                <w:rFonts w:ascii="Arial" w:cs="Arial" w:eastAsia="Arial" w:hAnsi="Arial"/>
                <w:sz w:val="18"/>
                <w:szCs w:val="18"/>
                <w:color w:val="auto"/>
              </w:rPr>
              <w:t>September 24</w:t>
            </w:r>
          </w:p>
        </w:tc>
        <w:tc>
          <w:tcPr>
            <w:tcW w:w="1400" w:type="dxa"/>
            <w:vAlign w:val="bottom"/>
          </w:tcPr>
          <w:p>
            <w:pPr>
              <w:jc w:val="right"/>
              <w:spacing w:after="0" w:line="177" w:lineRule="exact"/>
              <w:rPr>
                <w:sz w:val="20"/>
                <w:szCs w:val="20"/>
                <w:color w:val="auto"/>
              </w:rPr>
            </w:pPr>
            <w:r>
              <w:rPr>
                <w:rFonts w:ascii="Arial" w:cs="Arial" w:eastAsia="Arial" w:hAnsi="Arial"/>
                <w:sz w:val="18"/>
                <w:szCs w:val="18"/>
                <w:color w:val="auto"/>
              </w:rPr>
              <w:t>September 25</w:t>
            </w:r>
          </w:p>
        </w:tc>
        <w:tc>
          <w:tcPr>
            <w:tcW w:w="0" w:type="dxa"/>
            <w:vAlign w:val="bottom"/>
          </w:tcPr>
          <w:p>
            <w:pPr>
              <w:spacing w:after="0"/>
              <w:rPr>
                <w:sz w:val="1"/>
                <w:szCs w:val="1"/>
                <w:color w:val="auto"/>
              </w:rPr>
            </w:pPr>
          </w:p>
        </w:tc>
      </w:tr>
      <w:tr>
        <w:trPr>
          <w:trHeight w:val="235"/>
        </w:trPr>
        <w:tc>
          <w:tcPr>
            <w:tcW w:w="3560" w:type="dxa"/>
            <w:vAlign w:val="bottom"/>
            <w:tcBorders>
              <w:bottom w:val="single" w:sz="8" w:color="auto"/>
            </w:tcBorders>
            <w:vMerge w:val="continue"/>
          </w:tcPr>
          <w:p>
            <w:pPr>
              <w:spacing w:after="0"/>
              <w:rPr>
                <w:sz w:val="20"/>
                <w:szCs w:val="20"/>
                <w:color w:val="auto"/>
              </w:rPr>
            </w:pPr>
          </w:p>
        </w:tc>
        <w:tc>
          <w:tcPr>
            <w:tcW w:w="3560" w:type="dxa"/>
            <w:vAlign w:val="bottom"/>
            <w:tcBorders>
              <w:bottom w:val="single" w:sz="8" w:color="auto"/>
            </w:tcBorders>
            <w:vMerge w:val="continue"/>
          </w:tcPr>
          <w:p>
            <w:pPr>
              <w:spacing w:after="0"/>
              <w:rPr>
                <w:sz w:val="20"/>
                <w:szCs w:val="20"/>
                <w:color w:val="auto"/>
              </w:rPr>
            </w:pPr>
          </w:p>
        </w:tc>
        <w:tc>
          <w:tcPr>
            <w:tcW w:w="27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2023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50"/>
        </w:trPr>
        <w:tc>
          <w:tcPr>
            <w:tcW w:w="356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3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20</w:t>
            </w:r>
          </w:p>
        </w:tc>
        <w:tc>
          <w:tcPr>
            <w:tcW w:w="272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20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3560" w:type="dxa"/>
            <w:vAlign w:val="bottom"/>
          </w:tcPr>
          <w:p>
            <w:pPr>
              <w:jc w:val="right"/>
              <w:ind w:right="570"/>
              <w:spacing w:after="0"/>
              <w:rPr>
                <w:sz w:val="20"/>
                <w:szCs w:val="20"/>
                <w:color w:val="auto"/>
              </w:rPr>
            </w:pPr>
            <w:r>
              <w:rPr>
                <w:rFonts w:ascii="Arial" w:cs="Arial" w:eastAsia="Arial" w:hAnsi="Arial"/>
                <w:sz w:val="18"/>
                <w:szCs w:val="18"/>
                <w:color w:val="auto"/>
              </w:rPr>
              <w:t>70</w:t>
            </w:r>
          </w:p>
        </w:tc>
        <w:tc>
          <w:tcPr>
            <w:tcW w:w="2720" w:type="dxa"/>
            <w:vAlign w:val="bottom"/>
          </w:tcPr>
          <w:p>
            <w:pPr>
              <w:jc w:val="right"/>
              <w:ind w:right="950"/>
              <w:spacing w:after="0"/>
              <w:rPr>
                <w:sz w:val="20"/>
                <w:szCs w:val="20"/>
                <w:color w:val="auto"/>
              </w:rPr>
            </w:pPr>
            <w:r>
              <w:rPr>
                <w:rFonts w:ascii="Arial" w:cs="Arial" w:eastAsia="Arial" w:hAnsi="Arial"/>
                <w:sz w:val="18"/>
                <w:szCs w:val="18"/>
                <w:color w:val="auto"/>
              </w:rPr>
              <w:t>68</w:t>
            </w:r>
          </w:p>
        </w:tc>
        <w:tc>
          <w:tcPr>
            <w:tcW w:w="14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Hedge fund investment</w:t>
            </w:r>
          </w:p>
        </w:tc>
        <w:tc>
          <w:tcPr>
            <w:tcW w:w="3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w:t>
            </w:r>
          </w:p>
        </w:tc>
        <w:tc>
          <w:tcPr>
            <w:tcW w:w="272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and cash equivalents</w:t>
            </w:r>
          </w:p>
        </w:tc>
        <w:tc>
          <w:tcPr>
            <w:tcW w:w="35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Plan assets include no Company securities. Assets include cash and cash equivalents and receivables from time to time due to the need to reallocate assets within policy guidelines.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postretirement assets at September 24, 2023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NAV</w:t>
            </w: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1</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Level 2</w:t>
            </w:r>
          </w:p>
        </w:tc>
        <w:tc>
          <w:tcPr>
            <w:tcW w:w="11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Level 3</w:t>
            </w:r>
          </w:p>
        </w:tc>
      </w:tr>
      <w:tr>
        <w:trPr>
          <w:trHeight w:val="255"/>
        </w:trPr>
        <w:tc>
          <w:tcPr>
            <w:tcW w:w="41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93</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2"/>
        </w:trPr>
        <w:tc>
          <w:tcPr>
            <w:tcW w:w="4180" w:type="dxa"/>
            <w:vAlign w:val="bottom"/>
          </w:tcPr>
          <w:p>
            <w:pPr>
              <w:ind w:left="20"/>
              <w:spacing w:after="0"/>
              <w:rPr>
                <w:sz w:val="20"/>
                <w:szCs w:val="20"/>
                <w:color w:val="auto"/>
              </w:rPr>
            </w:pPr>
            <w:r>
              <w:rPr>
                <w:rFonts w:ascii="Arial" w:cs="Arial" w:eastAsia="Arial" w:hAnsi="Arial"/>
                <w:sz w:val="18"/>
                <w:szCs w:val="18"/>
                <w:color w:val="auto"/>
              </w:rPr>
              <w:t>Domestic equity securities</w:t>
            </w:r>
          </w:p>
        </w:tc>
        <w:tc>
          <w:tcPr>
            <w:tcW w:w="2800" w:type="dxa"/>
            <w:vAlign w:val="bottom"/>
          </w:tcPr>
          <w:p>
            <w:pPr>
              <w:jc w:val="right"/>
              <w:ind w:right="450"/>
              <w:spacing w:after="0"/>
              <w:rPr>
                <w:sz w:val="20"/>
                <w:szCs w:val="20"/>
                <w:color w:val="auto"/>
              </w:rPr>
            </w:pPr>
            <w:r>
              <w:rPr>
                <w:rFonts w:ascii="Arial" w:cs="Arial" w:eastAsia="Arial" w:hAnsi="Arial"/>
                <w:sz w:val="18"/>
                <w:szCs w:val="18"/>
                <w:color w:val="auto"/>
              </w:rPr>
              <w:t>870</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2,303</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61"/>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equity securities</w:t>
            </w:r>
          </w:p>
        </w:tc>
        <w:tc>
          <w:tcPr>
            <w:tcW w:w="2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535</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2"/>
        </w:trPr>
        <w:tc>
          <w:tcPr>
            <w:tcW w:w="4180" w:type="dxa"/>
            <w:vAlign w:val="bottom"/>
          </w:tcPr>
          <w:p>
            <w:pPr>
              <w:ind w:left="20"/>
              <w:spacing w:after="0"/>
              <w:rPr>
                <w:sz w:val="20"/>
                <w:szCs w:val="20"/>
                <w:color w:val="auto"/>
              </w:rPr>
            </w:pPr>
            <w:r>
              <w:rPr>
                <w:rFonts w:ascii="Arial" w:cs="Arial" w:eastAsia="Arial" w:hAnsi="Arial"/>
                <w:sz w:val="18"/>
                <w:szCs w:val="18"/>
                <w:color w:val="auto"/>
              </w:rPr>
              <w:t>International equity securities</w:t>
            </w:r>
          </w:p>
        </w:tc>
        <w:tc>
          <w:tcPr>
            <w:tcW w:w="28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814</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600</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61"/>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17,615</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2"/>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Hedge fund investment</w:t>
            </w:r>
          </w:p>
        </w:tc>
        <w:tc>
          <w:tcPr>
            <w:tcW w:w="2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2,979</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5"/>
        </w:trPr>
        <w:tc>
          <w:tcPr>
            <w:tcW w:w="41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postretirement assets at September 25, 2022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NAV</w:t>
            </w: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1</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Level 2</w:t>
            </w:r>
          </w:p>
        </w:tc>
        <w:tc>
          <w:tcPr>
            <w:tcW w:w="11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Level 3</w:t>
            </w:r>
          </w:p>
        </w:tc>
      </w:tr>
      <w:tr>
        <w:trPr>
          <w:trHeight w:val="255"/>
        </w:trPr>
        <w:tc>
          <w:tcPr>
            <w:tcW w:w="41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26</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2"/>
        </w:trPr>
        <w:tc>
          <w:tcPr>
            <w:tcW w:w="4180" w:type="dxa"/>
            <w:vAlign w:val="bottom"/>
          </w:tcPr>
          <w:p>
            <w:pPr>
              <w:ind w:left="20"/>
              <w:spacing w:after="0"/>
              <w:rPr>
                <w:sz w:val="20"/>
                <w:szCs w:val="20"/>
                <w:color w:val="auto"/>
              </w:rPr>
            </w:pPr>
            <w:r>
              <w:rPr>
                <w:rFonts w:ascii="Arial" w:cs="Arial" w:eastAsia="Arial" w:hAnsi="Arial"/>
                <w:sz w:val="18"/>
                <w:szCs w:val="18"/>
                <w:color w:val="auto"/>
              </w:rPr>
              <w:t>Domestic equity securities</w:t>
            </w:r>
          </w:p>
        </w:tc>
        <w:tc>
          <w:tcPr>
            <w:tcW w:w="2800" w:type="dxa"/>
            <w:vAlign w:val="bottom"/>
          </w:tcPr>
          <w:p>
            <w:pPr>
              <w:jc w:val="right"/>
              <w:ind w:right="450"/>
              <w:spacing w:after="0"/>
              <w:rPr>
                <w:sz w:val="20"/>
                <w:szCs w:val="20"/>
                <w:color w:val="auto"/>
              </w:rPr>
            </w:pPr>
            <w:r>
              <w:rPr>
                <w:rFonts w:ascii="Arial" w:cs="Arial" w:eastAsia="Arial" w:hAnsi="Arial"/>
                <w:sz w:val="18"/>
                <w:szCs w:val="18"/>
                <w:color w:val="auto"/>
              </w:rPr>
              <w:t>791</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1,910</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61"/>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equity securities</w:t>
            </w:r>
          </w:p>
        </w:tc>
        <w:tc>
          <w:tcPr>
            <w:tcW w:w="2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456</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2"/>
        </w:trPr>
        <w:tc>
          <w:tcPr>
            <w:tcW w:w="4180" w:type="dxa"/>
            <w:vAlign w:val="bottom"/>
          </w:tcPr>
          <w:p>
            <w:pPr>
              <w:ind w:left="20"/>
              <w:spacing w:after="0"/>
              <w:rPr>
                <w:sz w:val="20"/>
                <w:szCs w:val="20"/>
                <w:color w:val="auto"/>
              </w:rPr>
            </w:pPr>
            <w:r>
              <w:rPr>
                <w:rFonts w:ascii="Arial" w:cs="Arial" w:eastAsia="Arial" w:hAnsi="Arial"/>
                <w:sz w:val="18"/>
                <w:szCs w:val="18"/>
                <w:color w:val="auto"/>
              </w:rPr>
              <w:t>International equity securities</w:t>
            </w:r>
          </w:p>
        </w:tc>
        <w:tc>
          <w:tcPr>
            <w:tcW w:w="28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573</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480</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61"/>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17,248</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2"/>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Hedge fund investment</w:t>
            </w:r>
          </w:p>
        </w:tc>
        <w:tc>
          <w:tcPr>
            <w:tcW w:w="2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2,782</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5"/>
        </w:trPr>
        <w:tc>
          <w:tcPr>
            <w:tcW w:w="41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purchases, sales or transfers of assets classified as Level 3 in 2023 or 2022</w:t>
      </w:r>
      <w:r>
        <w:rPr>
          <w:rFonts w:ascii="Arial" w:cs="Arial" w:eastAsia="Arial" w:hAnsi="Arial"/>
          <w:sz w:val="18"/>
          <w:szCs w:val="18"/>
          <w:i w:val="1"/>
          <w:iCs w:val="1"/>
          <w:color w:val="auto"/>
        </w:rPr>
        <w:t>.</w:t>
      </w:r>
      <w:r>
        <w:rPr>
          <w:rFonts w:ascii="Arial" w:cs="Arial" w:eastAsia="Arial" w:hAnsi="Arial"/>
          <w:sz w:val="18"/>
          <w:szCs w:val="18"/>
          <w:color w:val="auto"/>
        </w:rPr>
        <w:t xml:space="preserve"> Postretirement assets that are excluded from the fair value hierarchy and are measured at net asset value or "NAV", include two investments:</w:t>
      </w:r>
    </w:p>
    <w:p>
      <w:pPr>
        <w:spacing w:after="0" w:line="166" w:lineRule="exact"/>
        <w:rPr>
          <w:sz w:val="20"/>
          <w:szCs w:val="20"/>
          <w:color w:val="auto"/>
        </w:rPr>
      </w:pPr>
    </w:p>
    <w:p>
      <w:pPr>
        <w:jc w:val="both"/>
        <w:ind w:left="940" w:right="20" w:hanging="361"/>
        <w:spacing w:after="0" w:line="260"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small cap value equity common/collective fund for which fund prices are not publicly available. The balance of this investment is $0.9 million and $0.8 million as of September 24, 2023 and September 25, 2022, respectively. We can redeem this fund on a monthly basis.</w:t>
      </w:r>
    </w:p>
    <w:p>
      <w:pPr>
        <w:spacing w:after="0" w:line="2" w:lineRule="exact"/>
        <w:rPr>
          <w:rFonts w:ascii="Arial" w:cs="Arial" w:eastAsia="Arial" w:hAnsi="Arial"/>
          <w:sz w:val="18"/>
          <w:szCs w:val="18"/>
          <w:color w:val="auto"/>
        </w:rPr>
      </w:pPr>
    </w:p>
    <w:p>
      <w:pPr>
        <w:jc w:val="both"/>
        <w:ind w:left="940" w:right="20" w:hanging="361"/>
        <w:spacing w:after="0" w:line="252"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Global equity long/short common/collective hedge fund-of-funds for which fund prices are established on a monthly basis. The balance of this investment is $3.0 million and $2.8 million as of September 24, 2023 and September 25, 2022, respectively. We can redeem up to 90% of our investment in this fund within 90-120 days of notice with the remaining distributed following completion of the audit of the Fund's financial statements for the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Based on our forecast at September 24, 2023, we do not expect to contribute to our postretirement plans in 2024</w:t>
      </w:r>
      <w:r>
        <w:rPr>
          <w:rFonts w:ascii="Arial" w:cs="Arial" w:eastAsia="Arial" w:hAnsi="Arial"/>
          <w:sz w:val="18"/>
          <w:szCs w:val="18"/>
          <w:i w:val="1"/>
          <w:iCs w:val="1"/>
          <w:color w:val="auto"/>
        </w:rPr>
        <w: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Medicare Prescription Drug, Improvement and Modernization Act of 2003 (the “Modernization Act”) introduced a prescription drug benefit under Medicare (“Medicare Part D”) and a federal subsidy to sponsors of retiree health care benefit plans (“Subsidy”) that provide a benefit at least actuarially equivalent (as that term is defined in the Modernization Act) to Medicare Part D. We concluded we qualify for the Subsidy under the Modernization Act since the prescription drug benefits provided under our postretirement health care plans generally require lower premiums from covered retirees and have lower deductibles than the benefits provided in Medicare Part D and, accordingly, are actuarially equivalent to or better than, the benefits provided under the Modernization Act.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We anticipate future benefit payments to be paid either with future contributions to the plan or directly from plan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760" w:type="dxa"/>
            <w:vAlign w:val="bottom"/>
          </w:tcPr>
          <w:p>
            <w:pPr>
              <w:jc w:val="right"/>
              <w:ind w:right="410"/>
              <w:spacing w:after="0"/>
              <w:rPr>
                <w:sz w:val="20"/>
                <w:szCs w:val="20"/>
                <w:color w:val="auto"/>
              </w:rPr>
            </w:pPr>
            <w:r>
              <w:rPr>
                <w:rFonts w:ascii="Arial" w:cs="Arial" w:eastAsia="Arial" w:hAnsi="Arial"/>
                <w:sz w:val="18"/>
                <w:szCs w:val="18"/>
                <w:color w:val="auto"/>
              </w:rPr>
              <w:t>Less</w:t>
            </w:r>
          </w:p>
        </w:tc>
        <w:tc>
          <w:tcPr>
            <w:tcW w:w="132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7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Medicare</w:t>
            </w:r>
          </w:p>
        </w:tc>
        <w:tc>
          <w:tcPr>
            <w:tcW w:w="1320" w:type="dxa"/>
            <w:vAlign w:val="bottom"/>
          </w:tcPr>
          <w:p>
            <w:pPr>
              <w:spacing w:after="0"/>
              <w:rPr>
                <w:sz w:val="17"/>
                <w:szCs w:val="17"/>
                <w:color w:val="auto"/>
              </w:rPr>
            </w:pPr>
          </w:p>
        </w:tc>
      </w:tr>
      <w:tr>
        <w:trPr>
          <w:trHeight w:val="216"/>
        </w:trPr>
        <w:tc>
          <w:tcPr>
            <w:tcW w:w="4240" w:type="dxa"/>
            <w:vAlign w:val="bottom"/>
          </w:tcPr>
          <w:p>
            <w:pPr>
              <w:spacing w:after="0"/>
              <w:rPr>
                <w:sz w:val="18"/>
                <w:szCs w:val="18"/>
                <w:color w:val="auto"/>
              </w:rPr>
            </w:pPr>
          </w:p>
        </w:tc>
        <w:tc>
          <w:tcPr>
            <w:tcW w:w="3920" w:type="dxa"/>
            <w:vAlign w:val="bottom"/>
          </w:tcPr>
          <w:p>
            <w:pPr>
              <w:jc w:val="right"/>
              <w:ind w:right="430"/>
              <w:spacing w:after="0"/>
              <w:rPr>
                <w:sz w:val="20"/>
                <w:szCs w:val="20"/>
                <w:color w:val="auto"/>
              </w:rPr>
            </w:pPr>
            <w:r>
              <w:rPr>
                <w:rFonts w:ascii="Arial" w:cs="Arial" w:eastAsia="Arial" w:hAnsi="Arial"/>
                <w:sz w:val="18"/>
                <w:szCs w:val="18"/>
                <w:color w:val="auto"/>
              </w:rPr>
              <w:t>Gross</w:t>
            </w:r>
          </w:p>
        </w:tc>
        <w:tc>
          <w:tcPr>
            <w:tcW w:w="1760" w:type="dxa"/>
            <w:vAlign w:val="bottom"/>
          </w:tcPr>
          <w:p>
            <w:pPr>
              <w:jc w:val="right"/>
              <w:ind w:right="410"/>
              <w:spacing w:after="0"/>
              <w:rPr>
                <w:sz w:val="20"/>
                <w:szCs w:val="20"/>
                <w:color w:val="auto"/>
              </w:rPr>
            </w:pPr>
            <w:r>
              <w:rPr>
                <w:rFonts w:ascii="Arial" w:cs="Arial" w:eastAsia="Arial" w:hAnsi="Arial"/>
                <w:sz w:val="18"/>
                <w:szCs w:val="18"/>
                <w:color w:val="auto"/>
              </w:rPr>
              <w:t>Part D</w:t>
            </w:r>
          </w:p>
        </w:tc>
        <w:tc>
          <w:tcPr>
            <w:tcW w:w="1320" w:type="dxa"/>
            <w:vAlign w:val="bottom"/>
          </w:tcPr>
          <w:p>
            <w:pPr>
              <w:jc w:val="right"/>
              <w:spacing w:after="0"/>
              <w:rPr>
                <w:sz w:val="20"/>
                <w:szCs w:val="20"/>
                <w:color w:val="auto"/>
              </w:rPr>
            </w:pPr>
            <w:r>
              <w:rPr>
                <w:rFonts w:ascii="Arial" w:cs="Arial" w:eastAsia="Arial" w:hAnsi="Arial"/>
                <w:sz w:val="18"/>
                <w:szCs w:val="18"/>
                <w:color w:val="auto"/>
              </w:rPr>
              <w:t>Net</w:t>
            </w:r>
          </w:p>
        </w:tc>
      </w:tr>
      <w:tr>
        <w:trPr>
          <w:trHeight w:val="244"/>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Payments</w:t>
            </w:r>
          </w:p>
        </w:tc>
        <w:tc>
          <w:tcPr>
            <w:tcW w:w="1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Subsidy</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Payments</w:t>
            </w:r>
          </w:p>
        </w:tc>
      </w:tr>
      <w:tr>
        <w:trPr>
          <w:trHeight w:val="255"/>
        </w:trPr>
        <w:tc>
          <w:tcPr>
            <w:tcW w:w="42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9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906</w:t>
            </w:r>
          </w:p>
        </w:tc>
        <w:tc>
          <w:tcPr>
            <w:tcW w:w="17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52"/>
        </w:trPr>
        <w:tc>
          <w:tcPr>
            <w:tcW w:w="4240" w:type="dxa"/>
            <w:vAlign w:val="bottom"/>
          </w:tcPr>
          <w:p>
            <w:pPr>
              <w:ind w:left="20"/>
              <w:spacing w:after="0"/>
              <w:rPr>
                <w:sz w:val="20"/>
                <w:szCs w:val="20"/>
                <w:color w:val="auto"/>
              </w:rPr>
            </w:pPr>
            <w:r>
              <w:rPr>
                <w:rFonts w:ascii="Arial" w:cs="Arial" w:eastAsia="Arial" w:hAnsi="Arial"/>
                <w:sz w:val="18"/>
                <w:szCs w:val="18"/>
                <w:color w:val="auto"/>
              </w:rPr>
              <w:t>2025</w:t>
            </w:r>
          </w:p>
        </w:tc>
        <w:tc>
          <w:tcPr>
            <w:tcW w:w="3920" w:type="dxa"/>
            <w:vAlign w:val="bottom"/>
          </w:tcPr>
          <w:p>
            <w:pPr>
              <w:jc w:val="right"/>
              <w:ind w:right="490"/>
              <w:spacing w:after="0"/>
              <w:rPr>
                <w:sz w:val="20"/>
                <w:szCs w:val="20"/>
                <w:color w:val="auto"/>
              </w:rPr>
            </w:pPr>
            <w:r>
              <w:rPr>
                <w:rFonts w:ascii="Arial" w:cs="Arial" w:eastAsia="Arial" w:hAnsi="Arial"/>
                <w:sz w:val="18"/>
                <w:szCs w:val="18"/>
                <w:color w:val="auto"/>
              </w:rPr>
              <w:t>906</w:t>
            </w:r>
          </w:p>
        </w:tc>
        <w:tc>
          <w:tcPr>
            <w:tcW w:w="1760" w:type="dxa"/>
            <w:vAlign w:val="bottom"/>
          </w:tcPr>
          <w:p>
            <w:pPr>
              <w:ind w:left="10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61"/>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9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916</w:t>
            </w:r>
          </w:p>
        </w:tc>
        <w:tc>
          <w:tcPr>
            <w:tcW w:w="17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52"/>
        </w:trPr>
        <w:tc>
          <w:tcPr>
            <w:tcW w:w="4240" w:type="dxa"/>
            <w:vAlign w:val="bottom"/>
          </w:tcPr>
          <w:p>
            <w:pPr>
              <w:ind w:left="20"/>
              <w:spacing w:after="0"/>
              <w:rPr>
                <w:sz w:val="20"/>
                <w:szCs w:val="20"/>
                <w:color w:val="auto"/>
              </w:rPr>
            </w:pPr>
            <w:r>
              <w:rPr>
                <w:rFonts w:ascii="Arial" w:cs="Arial" w:eastAsia="Arial" w:hAnsi="Arial"/>
                <w:sz w:val="18"/>
                <w:szCs w:val="18"/>
                <w:color w:val="auto"/>
              </w:rPr>
              <w:t>2027</w:t>
            </w:r>
          </w:p>
        </w:tc>
        <w:tc>
          <w:tcPr>
            <w:tcW w:w="3920" w:type="dxa"/>
            <w:vAlign w:val="bottom"/>
          </w:tcPr>
          <w:p>
            <w:pPr>
              <w:jc w:val="right"/>
              <w:ind w:right="490"/>
              <w:spacing w:after="0"/>
              <w:rPr>
                <w:sz w:val="20"/>
                <w:szCs w:val="20"/>
                <w:color w:val="auto"/>
              </w:rPr>
            </w:pPr>
            <w:r>
              <w:rPr>
                <w:rFonts w:ascii="Arial" w:cs="Arial" w:eastAsia="Arial" w:hAnsi="Arial"/>
                <w:sz w:val="18"/>
                <w:szCs w:val="18"/>
                <w:color w:val="auto"/>
              </w:rPr>
              <w:t>933</w:t>
            </w:r>
          </w:p>
        </w:tc>
        <w:tc>
          <w:tcPr>
            <w:tcW w:w="1760" w:type="dxa"/>
            <w:vAlign w:val="bottom"/>
          </w:tcPr>
          <w:p>
            <w:pPr>
              <w:ind w:left="10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61"/>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9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912</w:t>
            </w:r>
          </w:p>
        </w:tc>
        <w:tc>
          <w:tcPr>
            <w:tcW w:w="17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52"/>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2029-2033</w:t>
            </w:r>
          </w:p>
        </w:tc>
        <w:tc>
          <w:tcPr>
            <w:tcW w:w="39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4,395</w:t>
            </w:r>
          </w:p>
        </w:tc>
        <w:tc>
          <w:tcPr>
            <w:tcW w:w="17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w:t>
            </w:r>
          </w:p>
        </w:tc>
      </w:tr>
      <w:tr>
        <w:trPr>
          <w:trHeight w:val="25"/>
        </w:trPr>
        <w:tc>
          <w:tcPr>
            <w:tcW w:w="42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Plan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postemployment benefit obligation, which represents certain disability benefits, was $1.6 million at September 24, 2023 and $1.8 million at September 25, 2022.</w:t>
      </w:r>
    </w:p>
    <w:p>
      <w:pPr>
        <w:spacing w:after="0" w:line="112"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OTHER RETIREMENT PLANS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Substantially all of our employees are eligible to participate in a qualified defined contribution retirement plan. We also have a non-qualified plan for employees whose incomes exceed qualified plan limits.</w:t>
      </w:r>
    </w:p>
    <w:p>
      <w:pPr>
        <w:spacing w:after="0" w:line="112" w:lineRule="exact"/>
        <w:rPr>
          <w:sz w:val="20"/>
          <w:szCs w:val="20"/>
          <w:color w:val="auto"/>
        </w:rPr>
      </w:pPr>
    </w:p>
    <w:p>
      <w:pPr>
        <w:ind w:right="1880"/>
        <w:spacing w:after="0" w:line="461" w:lineRule="auto"/>
        <w:rPr>
          <w:sz w:val="20"/>
          <w:szCs w:val="20"/>
          <w:color w:val="auto"/>
        </w:rPr>
      </w:pPr>
      <w:r>
        <w:rPr>
          <w:rFonts w:ascii="Arial" w:cs="Arial" w:eastAsia="Arial" w:hAnsi="Arial"/>
          <w:sz w:val="18"/>
          <w:szCs w:val="18"/>
          <w:color w:val="auto"/>
        </w:rPr>
        <w:t xml:space="preserve">The defined contribution retirement plan costs were $3.5 million in 2023, $3.6 million in 2022 and $3.4 million in 2021. </w:t>
      </w:r>
      <w:r>
        <w:rPr>
          <w:rFonts w:ascii="Arial" w:cs="Arial" w:eastAsia="Arial" w:hAnsi="Arial"/>
          <w:sz w:val="18"/>
          <w:szCs w:val="18"/>
          <w:b w:val="1"/>
          <w:bCs w:val="1"/>
          <w:color w:val="auto"/>
        </w:rPr>
        <w:t>Multiemployer Pension Plans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contributed to various multiemployer defined benefit pension plans under the terms of collective bargaining agreements ("CBAs"). The risks of participating in these multiemployer plans are different from our Company-sponsored plans in the following aspects:</w:t>
      </w:r>
    </w:p>
    <w:p>
      <w:pPr>
        <w:spacing w:after="0" w:line="11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do not manage the plan investments or any other aspect of plan administration;</w:t>
      </w:r>
    </w:p>
    <w:p>
      <w:pPr>
        <w:spacing w:after="0" w:line="18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w:t>
      </w:r>
    </w:p>
    <w:p>
      <w:pPr>
        <w:spacing w:after="0" w:line="1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 and</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choose to stop participating in one or more multiemployer plans, we may be required to fund over time an amount based on the unfunded status of the plan at the time of withdrawal, referred to as a "withdrawal liability".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these plans is outlined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Funding</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Improvement</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Plan/Rehabilitation</w:t>
            </w: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Zone Status</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Plan</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(Thousands of Dollars)</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September 30</w:t>
            </w: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Status</w:t>
            </w:r>
          </w:p>
        </w:tc>
        <w:tc>
          <w:tcPr>
            <w:tcW w:w="7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Contributions</w:t>
            </w:r>
          </w:p>
        </w:tc>
        <w:tc>
          <w:tcPr>
            <w:tcW w:w="1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1840" w:type="dxa"/>
            <w:vAlign w:val="bottom"/>
            <w:vMerge w:val="restart"/>
          </w:tcPr>
          <w:p>
            <w:pPr>
              <w:ind w:left="20"/>
              <w:spacing w:after="0"/>
              <w:rPr>
                <w:sz w:val="20"/>
                <w:szCs w:val="20"/>
                <w:color w:val="auto"/>
              </w:rPr>
            </w:pPr>
            <w:r>
              <w:rPr>
                <w:rFonts w:ascii="Arial" w:cs="Arial" w:eastAsia="Arial" w:hAnsi="Arial"/>
                <w:sz w:val="16"/>
                <w:szCs w:val="16"/>
                <w:color w:val="auto"/>
              </w:rPr>
              <w:t>Pension Plan</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2023</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2022</w:t>
            </w:r>
          </w:p>
        </w:tc>
        <w:tc>
          <w:tcPr>
            <w:tcW w:w="1620" w:type="dxa"/>
            <w:vAlign w:val="bottom"/>
            <w:vMerge w:val="restart"/>
          </w:tcPr>
          <w:p>
            <w:pPr>
              <w:jc w:val="right"/>
              <w:ind w:right="99"/>
              <w:spacing w:after="0"/>
              <w:rPr>
                <w:sz w:val="20"/>
                <w:szCs w:val="20"/>
                <w:color w:val="auto"/>
              </w:rPr>
            </w:pPr>
            <w:r>
              <w:rPr>
                <w:rFonts w:ascii="Arial" w:cs="Arial" w:eastAsia="Arial" w:hAnsi="Arial"/>
                <w:sz w:val="16"/>
                <w:szCs w:val="16"/>
                <w:color w:val="auto"/>
              </w:rPr>
              <w:t>Status</w:t>
            </w: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color w:val="auto"/>
              </w:rPr>
              <w:t>2023</w:t>
            </w: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color w:val="auto"/>
              </w:rPr>
              <w:t>2022</w:t>
            </w: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color w:val="auto"/>
              </w:rPr>
              <w:t>2021</w:t>
            </w:r>
          </w:p>
        </w:tc>
        <w:tc>
          <w:tcPr>
            <w:tcW w:w="1100" w:type="dxa"/>
            <w:vAlign w:val="bottom"/>
          </w:tcPr>
          <w:p>
            <w:pPr>
              <w:jc w:val="right"/>
              <w:ind w:right="79"/>
              <w:spacing w:after="0" w:line="157" w:lineRule="exact"/>
              <w:rPr>
                <w:sz w:val="20"/>
                <w:szCs w:val="20"/>
                <w:color w:val="auto"/>
              </w:rPr>
            </w:pPr>
            <w:r>
              <w:rPr>
                <w:rFonts w:ascii="Arial" w:cs="Arial" w:eastAsia="Arial" w:hAnsi="Arial"/>
                <w:sz w:val="16"/>
                <w:szCs w:val="16"/>
                <w:color w:val="auto"/>
              </w:rPr>
              <w:t>Surcharge</w:t>
            </w:r>
          </w:p>
        </w:tc>
        <w:tc>
          <w:tcPr>
            <w:tcW w:w="1200" w:type="dxa"/>
            <w:vAlign w:val="bottom"/>
            <w:vMerge w:val="restart"/>
          </w:tcPr>
          <w:p>
            <w:pPr>
              <w:jc w:val="right"/>
              <w:ind w:right="519"/>
              <w:spacing w:after="0"/>
              <w:rPr>
                <w:sz w:val="20"/>
                <w:szCs w:val="20"/>
                <w:color w:val="auto"/>
              </w:rPr>
            </w:pPr>
            <w:r>
              <w:rPr>
                <w:rFonts w:ascii="Arial" w:cs="Arial" w:eastAsia="Arial" w:hAnsi="Arial"/>
                <w:sz w:val="16"/>
                <w:szCs w:val="16"/>
                <w:color w:val="auto"/>
              </w:rPr>
              <w:t>EIN</w:t>
            </w:r>
          </w:p>
        </w:tc>
        <w:tc>
          <w:tcPr>
            <w:tcW w:w="1540" w:type="dxa"/>
            <w:vAlign w:val="bottom"/>
          </w:tcPr>
          <w:p>
            <w:pPr>
              <w:jc w:val="right"/>
              <w:spacing w:after="0" w:line="157" w:lineRule="exact"/>
              <w:rPr>
                <w:sz w:val="20"/>
                <w:szCs w:val="20"/>
                <w:color w:val="auto"/>
              </w:rPr>
            </w:pPr>
            <w:r>
              <w:rPr>
                <w:rFonts w:ascii="Arial" w:cs="Arial" w:eastAsia="Arial" w:hAnsi="Arial"/>
                <w:sz w:val="16"/>
                <w:szCs w:val="16"/>
                <w:color w:val="auto"/>
              </w:rPr>
              <w:t>Expiration Dates of</w:t>
            </w:r>
          </w:p>
        </w:tc>
        <w:tc>
          <w:tcPr>
            <w:tcW w:w="0" w:type="dxa"/>
            <w:vAlign w:val="bottom"/>
          </w:tcPr>
          <w:p>
            <w:pPr>
              <w:spacing w:after="0"/>
              <w:rPr>
                <w:sz w:val="1"/>
                <w:szCs w:val="1"/>
                <w:color w:val="auto"/>
              </w:rPr>
            </w:pPr>
          </w:p>
        </w:tc>
      </w:tr>
      <w:tr>
        <w:trPr>
          <w:trHeight w:val="215"/>
        </w:trPr>
        <w:tc>
          <w:tcPr>
            <w:tcW w:w="18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Imposed</w:t>
            </w:r>
          </w:p>
        </w:tc>
        <w:tc>
          <w:tcPr>
            <w:tcW w:w="120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CBAs</w:t>
            </w:r>
          </w:p>
        </w:tc>
        <w:tc>
          <w:tcPr>
            <w:tcW w:w="0" w:type="dxa"/>
            <w:vAlign w:val="bottom"/>
          </w:tcPr>
          <w:p>
            <w:pPr>
              <w:spacing w:after="0"/>
              <w:rPr>
                <w:sz w:val="1"/>
                <w:szCs w:val="1"/>
                <w:color w:val="auto"/>
              </w:rPr>
            </w:pPr>
          </w:p>
        </w:tc>
      </w:tr>
      <w:tr>
        <w:trPr>
          <w:trHeight w:val="251"/>
        </w:trPr>
        <w:tc>
          <w:tcPr>
            <w:tcW w:w="18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5" w:lineRule="exact"/>
              <w:rPr>
                <w:sz w:val="20"/>
                <w:szCs w:val="20"/>
                <w:color w:val="auto"/>
              </w:rPr>
            </w:pPr>
            <w:r>
              <w:rPr>
                <w:rFonts w:ascii="Arial" w:cs="Arial" w:eastAsia="Arial" w:hAnsi="Arial"/>
                <w:sz w:val="16"/>
                <w:szCs w:val="16"/>
                <w:color w:val="auto"/>
              </w:rPr>
              <w:t>GCIU- Employer</w:t>
            </w: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Critical</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Critical</w:t>
            </w:r>
          </w:p>
        </w:tc>
        <w:tc>
          <w:tcPr>
            <w:tcW w:w="1620" w:type="dxa"/>
            <w:vAlign w:val="bottom"/>
          </w:tcPr>
          <w:p>
            <w:pPr>
              <w:jc w:val="right"/>
              <w:ind w:right="99"/>
              <w:spacing w:after="0" w:line="175" w:lineRule="exact"/>
              <w:rPr>
                <w:sz w:val="20"/>
                <w:szCs w:val="20"/>
                <w:color w:val="auto"/>
              </w:rPr>
            </w:pPr>
            <w:r>
              <w:rPr>
                <w:rFonts w:ascii="Arial" w:cs="Arial" w:eastAsia="Arial" w:hAnsi="Arial"/>
                <w:sz w:val="16"/>
                <w:szCs w:val="16"/>
                <w:color w:val="auto"/>
              </w:rPr>
              <w:t>Implemented</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10</w:t>
            </w:r>
          </w:p>
        </w:tc>
        <w:tc>
          <w:tcPr>
            <w:tcW w:w="1100" w:type="dxa"/>
            <w:vAlign w:val="bottom"/>
          </w:tcPr>
          <w:p>
            <w:pPr>
              <w:jc w:val="right"/>
              <w:ind w:right="79"/>
              <w:spacing w:after="0" w:line="175" w:lineRule="exact"/>
              <w:rPr>
                <w:sz w:val="20"/>
                <w:szCs w:val="20"/>
                <w:color w:val="auto"/>
              </w:rPr>
            </w:pPr>
            <w:r>
              <w:rPr>
                <w:rFonts w:ascii="Arial" w:cs="Arial" w:eastAsia="Arial" w:hAnsi="Arial"/>
                <w:sz w:val="16"/>
                <w:szCs w:val="16"/>
                <w:color w:val="auto"/>
              </w:rPr>
              <w:t>No</w:t>
            </w:r>
          </w:p>
        </w:tc>
        <w:tc>
          <w:tcPr>
            <w:tcW w:w="1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840" w:type="dxa"/>
            <w:vAlign w:val="bottom"/>
          </w:tcPr>
          <w:p>
            <w:pPr>
              <w:ind w:left="20"/>
              <w:spacing w:after="0"/>
              <w:rPr>
                <w:sz w:val="20"/>
                <w:szCs w:val="20"/>
                <w:color w:val="auto"/>
              </w:rPr>
            </w:pPr>
            <w:r>
              <w:rPr>
                <w:rFonts w:ascii="Arial" w:cs="Arial" w:eastAsia="Arial" w:hAnsi="Arial"/>
                <w:sz w:val="16"/>
                <w:szCs w:val="16"/>
                <w:color w:val="auto"/>
              </w:rPr>
              <w:t>Retirement Fund</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91-6024903</w:t>
            </w:r>
          </w:p>
        </w:tc>
        <w:tc>
          <w:tcPr>
            <w:tcW w:w="1540" w:type="dxa"/>
            <w:vAlign w:val="bottom"/>
          </w:tcPr>
          <w:p>
            <w:pPr>
              <w:jc w:val="right"/>
              <w:spacing w:after="0"/>
              <w:rPr>
                <w:sz w:val="20"/>
                <w:szCs w:val="20"/>
                <w:color w:val="auto"/>
              </w:rPr>
            </w:pPr>
            <w:r>
              <w:rPr>
                <w:rFonts w:ascii="Arial" w:cs="Arial" w:eastAsia="Arial" w:hAnsi="Arial"/>
                <w:sz w:val="16"/>
                <w:szCs w:val="16"/>
                <w:color w:val="auto"/>
              </w:rPr>
              <w:t>N/A (1)</w:t>
            </w: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5" w:lineRule="exact"/>
              <w:rPr>
                <w:sz w:val="20"/>
                <w:szCs w:val="20"/>
                <w:color w:val="auto"/>
              </w:rPr>
            </w:pPr>
            <w:r>
              <w:rPr>
                <w:rFonts w:ascii="Arial" w:cs="Arial" w:eastAsia="Arial" w:hAnsi="Arial"/>
                <w:sz w:val="16"/>
                <w:szCs w:val="16"/>
                <w:color w:val="auto"/>
              </w:rPr>
              <w:t>District No. 9,</w:t>
            </w:r>
          </w:p>
        </w:tc>
        <w:tc>
          <w:tcPr>
            <w:tcW w:w="16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Green Endangered</w:t>
            </w:r>
          </w:p>
        </w:tc>
        <w:tc>
          <w:tcPr>
            <w:tcW w:w="1620" w:type="dxa"/>
            <w:vAlign w:val="bottom"/>
          </w:tcPr>
          <w:p>
            <w:pPr>
              <w:jc w:val="right"/>
              <w:ind w:right="99"/>
              <w:spacing w:after="0" w:line="175" w:lineRule="exact"/>
              <w:rPr>
                <w:sz w:val="20"/>
                <w:szCs w:val="20"/>
                <w:color w:val="auto"/>
              </w:rPr>
            </w:pPr>
            <w:r>
              <w:rPr>
                <w:rFonts w:ascii="Arial" w:cs="Arial" w:eastAsia="Arial" w:hAnsi="Arial"/>
                <w:sz w:val="16"/>
                <w:szCs w:val="16"/>
                <w:color w:val="auto"/>
              </w:rPr>
              <w:t>N/A</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15</w:t>
            </w:r>
          </w:p>
        </w:tc>
        <w:tc>
          <w:tcPr>
            <w:tcW w:w="1100" w:type="dxa"/>
            <w:vAlign w:val="bottom"/>
          </w:tcPr>
          <w:p>
            <w:pPr>
              <w:jc w:val="right"/>
              <w:ind w:right="79"/>
              <w:spacing w:after="0" w:line="175" w:lineRule="exact"/>
              <w:rPr>
                <w:sz w:val="20"/>
                <w:szCs w:val="20"/>
                <w:color w:val="auto"/>
              </w:rPr>
            </w:pPr>
            <w:r>
              <w:rPr>
                <w:rFonts w:ascii="Arial" w:cs="Arial" w:eastAsia="Arial" w:hAnsi="Arial"/>
                <w:sz w:val="16"/>
                <w:szCs w:val="16"/>
                <w:color w:val="auto"/>
              </w:rPr>
              <w:t>N/A</w:t>
            </w:r>
          </w:p>
        </w:tc>
        <w:tc>
          <w:tcPr>
            <w:tcW w:w="1200" w:type="dxa"/>
            <w:vAlign w:val="bottom"/>
          </w:tcPr>
          <w:p>
            <w:pPr>
              <w:jc w:val="right"/>
              <w:ind w:right="79"/>
              <w:spacing w:after="0" w:line="175" w:lineRule="exact"/>
              <w:rPr>
                <w:sz w:val="20"/>
                <w:szCs w:val="20"/>
                <w:color w:val="auto"/>
              </w:rPr>
            </w:pPr>
            <w:r>
              <w:rPr>
                <w:rFonts w:ascii="Arial" w:cs="Arial" w:eastAsia="Arial" w:hAnsi="Arial"/>
                <w:sz w:val="16"/>
                <w:szCs w:val="16"/>
                <w:color w:val="auto"/>
              </w:rPr>
              <w:t>51-0138317</w:t>
            </w: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N/A (1)</w:t>
            </w:r>
          </w:p>
        </w:tc>
        <w:tc>
          <w:tcPr>
            <w:tcW w:w="0" w:type="dxa"/>
            <w:vAlign w:val="bottom"/>
          </w:tcPr>
          <w:p>
            <w:pPr>
              <w:spacing w:after="0"/>
              <w:rPr>
                <w:sz w:val="1"/>
                <w:szCs w:val="1"/>
                <w:color w:val="auto"/>
              </w:rPr>
            </w:pPr>
          </w:p>
        </w:tc>
      </w:tr>
      <w:tr>
        <w:trPr>
          <w:trHeight w:val="189"/>
        </w:trPr>
        <w:tc>
          <w:tcPr>
            <w:tcW w:w="184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20"/>
              <w:spacing w:after="0"/>
              <w:rPr>
                <w:sz w:val="20"/>
                <w:szCs w:val="20"/>
                <w:color w:val="auto"/>
              </w:rPr>
            </w:pPr>
            <w:r>
              <w:rPr>
                <w:rFonts w:ascii="Arial" w:cs="Arial" w:eastAsia="Arial" w:hAnsi="Arial"/>
                <w:sz w:val="16"/>
                <w:szCs w:val="16"/>
                <w:color w:val="auto"/>
              </w:rPr>
              <w:t>Association of</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5" w:lineRule="exact"/>
              <w:rPr>
                <w:sz w:val="20"/>
                <w:szCs w:val="20"/>
                <w:color w:val="auto"/>
              </w:rPr>
            </w:pPr>
            <w:r>
              <w:rPr>
                <w:rFonts w:ascii="Arial" w:cs="Arial" w:eastAsia="Arial" w:hAnsi="Arial"/>
                <w:sz w:val="16"/>
                <w:szCs w:val="16"/>
                <w:color w:val="auto"/>
              </w:rPr>
              <w:t>Machinists and</w:t>
            </w: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20"/>
              <w:spacing w:after="0"/>
              <w:rPr>
                <w:sz w:val="20"/>
                <w:szCs w:val="20"/>
                <w:color w:val="auto"/>
              </w:rPr>
            </w:pPr>
            <w:r>
              <w:rPr>
                <w:rFonts w:ascii="Arial" w:cs="Arial" w:eastAsia="Arial" w:hAnsi="Arial"/>
                <w:sz w:val="16"/>
                <w:szCs w:val="16"/>
                <w:color w:val="auto"/>
              </w:rPr>
              <w:t>Aerospace Workers</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40" w:type="dxa"/>
            <w:vAlign w:val="bottom"/>
          </w:tcPr>
          <w:p>
            <w:pPr>
              <w:ind w:left="20"/>
              <w:spacing w:after="0"/>
              <w:rPr>
                <w:sz w:val="20"/>
                <w:szCs w:val="20"/>
                <w:color w:val="auto"/>
              </w:rPr>
            </w:pPr>
            <w:r>
              <w:rPr>
                <w:rFonts w:ascii="Arial" w:cs="Arial" w:eastAsia="Arial" w:hAnsi="Arial"/>
                <w:sz w:val="16"/>
                <w:szCs w:val="16"/>
                <w:color w:val="auto"/>
              </w:rPr>
              <w:t>Pension Trust</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5" w:lineRule="exact"/>
              <w:rPr>
                <w:sz w:val="20"/>
                <w:szCs w:val="20"/>
                <w:color w:val="auto"/>
              </w:rPr>
            </w:pPr>
            <w:r>
              <w:rPr>
                <w:rFonts w:ascii="Arial" w:cs="Arial" w:eastAsia="Arial" w:hAnsi="Arial"/>
                <w:sz w:val="16"/>
                <w:szCs w:val="16"/>
                <w:color w:val="auto"/>
              </w:rPr>
              <w:t>CWA/ITU negotiated</w:t>
            </w: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Critical</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Critical</w:t>
            </w:r>
          </w:p>
        </w:tc>
        <w:tc>
          <w:tcPr>
            <w:tcW w:w="1620" w:type="dxa"/>
            <w:vAlign w:val="bottom"/>
          </w:tcPr>
          <w:p>
            <w:pPr>
              <w:jc w:val="right"/>
              <w:ind w:right="99"/>
              <w:spacing w:after="0" w:line="175" w:lineRule="exact"/>
              <w:rPr>
                <w:sz w:val="20"/>
                <w:szCs w:val="20"/>
                <w:color w:val="auto"/>
              </w:rPr>
            </w:pPr>
            <w:r>
              <w:rPr>
                <w:rFonts w:ascii="Arial" w:cs="Arial" w:eastAsia="Arial" w:hAnsi="Arial"/>
                <w:sz w:val="16"/>
                <w:szCs w:val="16"/>
                <w:color w:val="auto"/>
              </w:rPr>
              <w:t>Implemented</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81</w:t>
            </w:r>
          </w:p>
        </w:tc>
        <w:tc>
          <w:tcPr>
            <w:tcW w:w="1100" w:type="dxa"/>
            <w:vAlign w:val="bottom"/>
          </w:tcPr>
          <w:p>
            <w:pPr>
              <w:jc w:val="right"/>
              <w:ind w:right="79"/>
              <w:spacing w:after="0" w:line="175" w:lineRule="exact"/>
              <w:rPr>
                <w:sz w:val="20"/>
                <w:szCs w:val="20"/>
                <w:color w:val="auto"/>
              </w:rPr>
            </w:pPr>
            <w:r>
              <w:rPr>
                <w:rFonts w:ascii="Arial" w:cs="Arial" w:eastAsia="Arial" w:hAnsi="Arial"/>
                <w:sz w:val="16"/>
                <w:szCs w:val="16"/>
                <w:color w:val="auto"/>
              </w:rPr>
              <w:t>No</w:t>
            </w:r>
          </w:p>
        </w:tc>
        <w:tc>
          <w:tcPr>
            <w:tcW w:w="1200" w:type="dxa"/>
            <w:vAlign w:val="bottom"/>
          </w:tcPr>
          <w:p>
            <w:pPr>
              <w:jc w:val="right"/>
              <w:ind w:right="79"/>
              <w:spacing w:after="0" w:line="175" w:lineRule="exact"/>
              <w:rPr>
                <w:sz w:val="20"/>
                <w:szCs w:val="20"/>
                <w:color w:val="auto"/>
              </w:rPr>
            </w:pPr>
            <w:r>
              <w:rPr>
                <w:rFonts w:ascii="Arial" w:cs="Arial" w:eastAsia="Arial" w:hAnsi="Arial"/>
                <w:sz w:val="16"/>
                <w:szCs w:val="16"/>
                <w:color w:val="auto"/>
              </w:rPr>
              <w:t>13-6212879</w:t>
            </w: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N/A (1)</w:t>
            </w:r>
          </w:p>
        </w:tc>
        <w:tc>
          <w:tcPr>
            <w:tcW w:w="0" w:type="dxa"/>
            <w:vAlign w:val="bottom"/>
          </w:tcPr>
          <w:p>
            <w:pPr>
              <w:spacing w:after="0"/>
              <w:rPr>
                <w:sz w:val="1"/>
                <w:szCs w:val="1"/>
                <w:color w:val="auto"/>
              </w:rPr>
            </w:pPr>
          </w:p>
        </w:tc>
      </w:tr>
      <w:tr>
        <w:trPr>
          <w:trHeight w:val="215"/>
        </w:trPr>
        <w:tc>
          <w:tcPr>
            <w:tcW w:w="1840" w:type="dxa"/>
            <w:vAlign w:val="bottom"/>
          </w:tcPr>
          <w:p>
            <w:pPr>
              <w:ind w:left="20"/>
              <w:spacing w:after="0"/>
              <w:rPr>
                <w:sz w:val="20"/>
                <w:szCs w:val="20"/>
                <w:color w:val="auto"/>
              </w:rPr>
            </w:pPr>
            <w:r>
              <w:rPr>
                <w:rFonts w:ascii="Arial" w:cs="Arial" w:eastAsia="Arial" w:hAnsi="Arial"/>
                <w:sz w:val="16"/>
                <w:szCs w:val="16"/>
                <w:color w:val="auto"/>
              </w:rPr>
              <w:t>Pension Plan</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5" w:lineRule="exact"/>
              <w:rPr>
                <w:sz w:val="20"/>
                <w:szCs w:val="20"/>
                <w:color w:val="auto"/>
              </w:rPr>
            </w:pPr>
            <w:r>
              <w:rPr>
                <w:rFonts w:ascii="Arial" w:cs="Arial" w:eastAsia="Arial" w:hAnsi="Arial"/>
                <w:sz w:val="16"/>
                <w:szCs w:val="16"/>
                <w:color w:val="auto"/>
              </w:rPr>
              <w:t>IAM National Pension</w:t>
            </w: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Green</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Green</w:t>
            </w:r>
          </w:p>
        </w:tc>
        <w:tc>
          <w:tcPr>
            <w:tcW w:w="1620" w:type="dxa"/>
            <w:vAlign w:val="bottom"/>
          </w:tcPr>
          <w:p>
            <w:pPr>
              <w:jc w:val="right"/>
              <w:ind w:right="99"/>
              <w:spacing w:after="0" w:line="175" w:lineRule="exact"/>
              <w:rPr>
                <w:sz w:val="20"/>
                <w:szCs w:val="20"/>
                <w:color w:val="auto"/>
              </w:rPr>
            </w:pPr>
            <w:r>
              <w:rPr>
                <w:rFonts w:ascii="Arial" w:cs="Arial" w:eastAsia="Arial" w:hAnsi="Arial"/>
                <w:sz w:val="16"/>
                <w:szCs w:val="16"/>
                <w:color w:val="auto"/>
              </w:rPr>
              <w:t>N/A</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45</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57</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67</w:t>
            </w:r>
          </w:p>
        </w:tc>
        <w:tc>
          <w:tcPr>
            <w:tcW w:w="1100" w:type="dxa"/>
            <w:vAlign w:val="bottom"/>
          </w:tcPr>
          <w:p>
            <w:pPr>
              <w:jc w:val="right"/>
              <w:ind w:right="79"/>
              <w:spacing w:after="0" w:line="175" w:lineRule="exact"/>
              <w:rPr>
                <w:sz w:val="20"/>
                <w:szCs w:val="20"/>
                <w:color w:val="auto"/>
              </w:rPr>
            </w:pPr>
            <w:r>
              <w:rPr>
                <w:rFonts w:ascii="Arial" w:cs="Arial" w:eastAsia="Arial" w:hAnsi="Arial"/>
                <w:sz w:val="16"/>
                <w:szCs w:val="16"/>
                <w:color w:val="auto"/>
              </w:rPr>
              <w:t>N/A</w:t>
            </w:r>
          </w:p>
        </w:tc>
        <w:tc>
          <w:tcPr>
            <w:tcW w:w="1200" w:type="dxa"/>
            <w:vAlign w:val="bottom"/>
          </w:tcPr>
          <w:p>
            <w:pPr>
              <w:jc w:val="right"/>
              <w:ind w:right="79"/>
              <w:spacing w:after="0" w:line="175" w:lineRule="exact"/>
              <w:rPr>
                <w:sz w:val="20"/>
                <w:szCs w:val="20"/>
                <w:color w:val="auto"/>
              </w:rPr>
            </w:pPr>
            <w:r>
              <w:rPr>
                <w:rFonts w:ascii="Arial" w:cs="Arial" w:eastAsia="Arial" w:hAnsi="Arial"/>
                <w:sz w:val="16"/>
                <w:szCs w:val="16"/>
                <w:color w:val="auto"/>
              </w:rPr>
              <w:t>51-6031295</w:t>
            </w: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N/A (1)</w:t>
            </w:r>
          </w:p>
        </w:tc>
        <w:tc>
          <w:tcPr>
            <w:tcW w:w="0" w:type="dxa"/>
            <w:vAlign w:val="bottom"/>
          </w:tcPr>
          <w:p>
            <w:pPr>
              <w:spacing w:after="0"/>
              <w:rPr>
                <w:sz w:val="1"/>
                <w:szCs w:val="1"/>
                <w:color w:val="auto"/>
              </w:rPr>
            </w:pPr>
          </w:p>
        </w:tc>
      </w:tr>
      <w:tr>
        <w:trPr>
          <w:trHeight w:val="215"/>
        </w:trPr>
        <w:tc>
          <w:tcPr>
            <w:tcW w:w="1840" w:type="dxa"/>
            <w:vAlign w:val="bottom"/>
          </w:tcPr>
          <w:p>
            <w:pPr>
              <w:ind w:left="20"/>
              <w:spacing w:after="0"/>
              <w:rPr>
                <w:sz w:val="20"/>
                <w:szCs w:val="20"/>
                <w:color w:val="auto"/>
              </w:rPr>
            </w:pPr>
            <w:r>
              <w:rPr>
                <w:rFonts w:ascii="Arial" w:cs="Arial" w:eastAsia="Arial" w:hAnsi="Arial"/>
                <w:sz w:val="16"/>
                <w:szCs w:val="16"/>
                <w:color w:val="auto"/>
              </w:rPr>
              <w:t>Fund</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5" w:lineRule="exact"/>
              <w:rPr>
                <w:sz w:val="20"/>
                <w:szCs w:val="20"/>
                <w:color w:val="auto"/>
              </w:rPr>
            </w:pPr>
            <w:r>
              <w:rPr>
                <w:rFonts w:ascii="Arial" w:cs="Arial" w:eastAsia="Arial" w:hAnsi="Arial"/>
                <w:sz w:val="16"/>
                <w:szCs w:val="16"/>
                <w:color w:val="auto"/>
              </w:rPr>
              <w:t>Operating Engineers</w:t>
            </w: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Green</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Green</w:t>
            </w:r>
          </w:p>
        </w:tc>
        <w:tc>
          <w:tcPr>
            <w:tcW w:w="1620" w:type="dxa"/>
            <w:vAlign w:val="bottom"/>
          </w:tcPr>
          <w:p>
            <w:pPr>
              <w:jc w:val="right"/>
              <w:ind w:right="99"/>
              <w:spacing w:after="0" w:line="175" w:lineRule="exact"/>
              <w:rPr>
                <w:sz w:val="20"/>
                <w:szCs w:val="20"/>
                <w:color w:val="auto"/>
              </w:rPr>
            </w:pPr>
            <w:r>
              <w:rPr>
                <w:rFonts w:ascii="Arial" w:cs="Arial" w:eastAsia="Arial" w:hAnsi="Arial"/>
                <w:sz w:val="16"/>
                <w:szCs w:val="16"/>
                <w:color w:val="auto"/>
              </w:rPr>
              <w:t>N/A</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32</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50</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49</w:t>
            </w:r>
          </w:p>
        </w:tc>
        <w:tc>
          <w:tcPr>
            <w:tcW w:w="1100" w:type="dxa"/>
            <w:vAlign w:val="bottom"/>
          </w:tcPr>
          <w:p>
            <w:pPr>
              <w:jc w:val="right"/>
              <w:ind w:right="79"/>
              <w:spacing w:after="0" w:line="175" w:lineRule="exact"/>
              <w:rPr>
                <w:sz w:val="20"/>
                <w:szCs w:val="20"/>
                <w:color w:val="auto"/>
              </w:rPr>
            </w:pPr>
            <w:r>
              <w:rPr>
                <w:rFonts w:ascii="Arial" w:cs="Arial" w:eastAsia="Arial" w:hAnsi="Arial"/>
                <w:sz w:val="16"/>
                <w:szCs w:val="16"/>
                <w:color w:val="auto"/>
              </w:rPr>
              <w:t>N/A</w:t>
            </w:r>
          </w:p>
        </w:tc>
        <w:tc>
          <w:tcPr>
            <w:tcW w:w="1200" w:type="dxa"/>
            <w:vAlign w:val="bottom"/>
          </w:tcPr>
          <w:p>
            <w:pPr>
              <w:jc w:val="right"/>
              <w:ind w:right="79"/>
              <w:spacing w:after="0" w:line="175" w:lineRule="exact"/>
              <w:rPr>
                <w:sz w:val="20"/>
                <w:szCs w:val="20"/>
                <w:color w:val="auto"/>
              </w:rPr>
            </w:pPr>
            <w:r>
              <w:rPr>
                <w:rFonts w:ascii="Arial" w:cs="Arial" w:eastAsia="Arial" w:hAnsi="Arial"/>
                <w:sz w:val="16"/>
                <w:szCs w:val="16"/>
                <w:color w:val="auto"/>
              </w:rPr>
              <w:t>36-6052390</w:t>
            </w: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12/31/2023</w:t>
            </w:r>
          </w:p>
        </w:tc>
        <w:tc>
          <w:tcPr>
            <w:tcW w:w="0" w:type="dxa"/>
            <w:vAlign w:val="bottom"/>
          </w:tcPr>
          <w:p>
            <w:pPr>
              <w:spacing w:after="0"/>
              <w:rPr>
                <w:sz w:val="1"/>
                <w:szCs w:val="1"/>
                <w:color w:val="auto"/>
              </w:rPr>
            </w:pPr>
          </w:p>
        </w:tc>
      </w:tr>
      <w:tr>
        <w:trPr>
          <w:trHeight w:val="189"/>
        </w:trPr>
        <w:tc>
          <w:tcPr>
            <w:tcW w:w="1840" w:type="dxa"/>
            <w:vAlign w:val="bottom"/>
          </w:tcPr>
          <w:p>
            <w:pPr>
              <w:ind w:left="20"/>
              <w:spacing w:after="0"/>
              <w:rPr>
                <w:sz w:val="20"/>
                <w:szCs w:val="20"/>
                <w:color w:val="auto"/>
              </w:rPr>
            </w:pPr>
            <w:r>
              <w:rPr>
                <w:rFonts w:ascii="Arial" w:cs="Arial" w:eastAsia="Arial" w:hAnsi="Arial"/>
                <w:sz w:val="16"/>
                <w:szCs w:val="16"/>
                <w:color w:val="auto"/>
              </w:rPr>
              <w:t>Central Pension Fund</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40" w:type="dxa"/>
            <w:vAlign w:val="bottom"/>
          </w:tcPr>
          <w:p>
            <w:pPr>
              <w:ind w:left="20"/>
              <w:spacing w:after="0"/>
              <w:rPr>
                <w:sz w:val="20"/>
                <w:szCs w:val="20"/>
                <w:color w:val="auto"/>
              </w:rPr>
            </w:pPr>
            <w:r>
              <w:rPr>
                <w:rFonts w:ascii="Arial" w:cs="Arial" w:eastAsia="Arial" w:hAnsi="Arial"/>
                <w:sz w:val="16"/>
                <w:szCs w:val="16"/>
                <w:color w:val="auto"/>
              </w:rPr>
              <w:t>of the International</w:t>
            </w: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
        <w:spacing w:after="0" w:line="228" w:lineRule="auto"/>
        <w:rPr>
          <w:sz w:val="20"/>
          <w:szCs w:val="20"/>
          <w:color w:val="auto"/>
        </w:rPr>
      </w:pPr>
      <w:r>
        <w:rPr>
          <w:rFonts w:ascii="Arial" w:cs="Arial" w:eastAsia="Arial" w:hAnsi="Arial"/>
          <w:sz w:val="16"/>
          <w:szCs w:val="16"/>
          <w:color w:val="auto"/>
        </w:rPr>
        <w:t>Union of Operating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Engineers and</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Participating</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Employers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  The Company has withdrawn from the multiemployer plan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effectuated withdrawals from all but one multiemployer plan. We record estimates of withdrawal liabilities as of the time the contracts agreeing to withdraw from those plans are ratified. As of September 24, 2023 and September 25, 2022, we had $25.1 million and $25.0 million of accrued withdrawal liabilities. The liabilities reflect the estimated net present value of payments to the fund, payable over 20 years.</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Several multiemployer plans have CBAs that expire in the next twelve months. It is reasonably possible that if the Company is unable to renegotiate these agreements employees could go on strike which could disrupt the normal operations of the Company. Of our employees in CBAs, approximately 55% have CBAs that expire in the next 12 months.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9260" w:firstLine="8"/>
        <w:spacing w:after="0" w:line="461" w:lineRule="auto"/>
        <w:tabs>
          <w:tab w:leader="none" w:pos="45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 Agreement</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previous 2nd Lien Term Loan entered into as part of the 2014 Refinancing, we entered into the Warrant Agreement. Under the Warrant Agreement, certain affiliates or designees of the 2nd Lien Lenders received on March 31, 2014, their pro rata share of Warrants to purchase, in cash, 600,000 shares of Common Stock, subject to adjustment pursuant to anti-dilution provisions. The Warrants represent, when fully exercised, approximately 10.1% of shares of Common Stock outstanding at March 30, 2014, on a fully diluted basis. The exercise price of the Warrants was $41.90 per share.</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Warrant Agreement contained a cash settlement provision in the event of a change of control prior to March 31, 2018, as well as other provisions requiring the Warrants to be measured at fair value and classified as warrants and other liabilities in our Consolidated Balance Sheets. We re-measured the liability to fair value each reporting period, with changes reported in other non-operating income (expense). The initial fair value of the Warrants was $16.9 million. The Warrants expired in March 2022.</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issuance of the Warrants, we entered into the Registration Rights Agreement. The Registration Rights Agreement requires, among other matters, that we use our commercially reasonable efforts to file and maintain the effectiveness for certain specified periods of a shelf registration statement covering the shares of Common Stock upon exercise of the Warrants.</w:t>
      </w:r>
    </w:p>
    <w:p>
      <w:pPr>
        <w:spacing w:after="0" w:line="130" w:lineRule="exact"/>
        <w:rPr>
          <w:sz w:val="20"/>
          <w:szCs w:val="20"/>
          <w:color w:val="auto"/>
        </w:rPr>
      </w:pPr>
    </w:p>
    <w:p>
      <w:pPr>
        <w:ind w:left="440" w:hanging="432"/>
        <w:spacing w:after="0"/>
        <w:tabs>
          <w:tab w:leader="none" w:pos="4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STOCK OWNERSHIP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Total non-cash stock compensation expense is $1.8 million, $1.3 million and $0.9 million, in 2023, 2022 and 2021, respectively.</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September 24, 2023, we have reserved 196,359 shares of Common Stock for issuance to employees under an incentive and non-statutory stock option and restricted stock plan approved by stockholders, of which 196,359 shares are available for granting of non-qualified stock options or issuance of restricted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Options are granted at a price equal to the fair market value on the date of the grant and are exercisable, upon vesting, over a ten-year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Shares)</w:t>
            </w:r>
          </w:p>
        </w:tc>
        <w:tc>
          <w:tcPr>
            <w:tcW w:w="2520" w:type="dxa"/>
            <w:vAlign w:val="bottom"/>
            <w:tcBorders>
              <w:top w:val="single" w:sz="8" w:color="auto"/>
              <w:bottom w:val="single" w:sz="8" w:color="auto"/>
            </w:tcBorders>
          </w:tcPr>
          <w:p>
            <w:pPr>
              <w:ind w:left="1580"/>
              <w:spacing w:after="0"/>
              <w:rPr>
                <w:sz w:val="20"/>
                <w:szCs w:val="20"/>
                <w:color w:val="auto"/>
              </w:rPr>
            </w:pPr>
            <w:r>
              <w:rPr>
                <w:rFonts w:ascii="Arial" w:cs="Arial" w:eastAsia="Arial" w:hAnsi="Arial"/>
                <w:sz w:val="18"/>
                <w:szCs w:val="18"/>
                <w:color w:val="auto"/>
              </w:rPr>
              <w:t>2023</w:t>
            </w:r>
          </w:p>
        </w:tc>
        <w:tc>
          <w:tcPr>
            <w:tcW w:w="15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0"/>
        </w:trPr>
        <w:tc>
          <w:tcPr>
            <w:tcW w:w="60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year</w:t>
            </w:r>
          </w:p>
        </w:tc>
        <w:tc>
          <w:tcPr>
            <w:tcW w:w="252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Exercised</w:t>
            </w:r>
          </w:p>
        </w:tc>
        <w:tc>
          <w:tcPr>
            <w:tcW w:w="2520" w:type="dxa"/>
            <w:vAlign w:val="bottom"/>
          </w:tcPr>
          <w:p>
            <w:pPr>
              <w:ind w:left="17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(9)</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2520" w:type="dxa"/>
            <w:vAlign w:val="bottom"/>
            <w:tcBorders>
              <w:bottom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end of year</w:t>
            </w:r>
          </w:p>
        </w:tc>
        <w:tc>
          <w:tcPr>
            <w:tcW w:w="252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48"/>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Exercisable, end of year</w:t>
            </w:r>
          </w:p>
        </w:tc>
        <w:tc>
          <w:tcPr>
            <w:tcW w:w="2520" w:type="dxa"/>
            <w:vAlign w:val="bottom"/>
            <w:tcBorders>
              <w:bottom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08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64"/>
        </w:trPr>
        <w:tc>
          <w:tcPr>
            <w:tcW w:w="6080" w:type="dxa"/>
            <w:vAlign w:val="bottom"/>
          </w:tcPr>
          <w:p>
            <w:pPr>
              <w:spacing w:after="0"/>
              <w:rPr>
                <w:sz w:val="20"/>
                <w:szCs w:val="20"/>
                <w:color w:val="auto"/>
              </w:rPr>
            </w:pPr>
            <w:r>
              <w:rPr>
                <w:rFonts w:ascii="Arial" w:cs="Arial" w:eastAsia="Arial" w:hAnsi="Arial"/>
                <w:sz w:val="18"/>
                <w:szCs w:val="18"/>
                <w:color w:val="auto"/>
              </w:rPr>
              <w:t>Weighted average prices of stock options are as follows:</w:t>
            </w: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9"/>
        </w:trPr>
        <w:tc>
          <w:tcPr>
            <w:tcW w:w="60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2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w:t>
            </w:r>
          </w:p>
        </w:tc>
        <w:tc>
          <w:tcPr>
            <w:tcW w:w="252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2023</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0"/>
        </w:trPr>
        <w:tc>
          <w:tcPr>
            <w:tcW w:w="60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252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11.30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3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Cancelled</w:t>
            </w:r>
          </w:p>
        </w:tc>
        <w:tc>
          <w:tcPr>
            <w:tcW w:w="252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11.30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r>
      <w:tr>
        <w:trPr>
          <w:trHeight w:val="248"/>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end of year</w:t>
            </w:r>
          </w:p>
        </w:tc>
        <w:tc>
          <w:tcPr>
            <w:tcW w:w="2520" w:type="dxa"/>
            <w:vAlign w:val="bottom"/>
            <w:tcBorders>
              <w:bottom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11.40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r>
      <w:tr>
        <w:trPr>
          <w:trHeight w:val="20"/>
        </w:trPr>
        <w:tc>
          <w:tcPr>
            <w:tcW w:w="608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Common Stock activity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Shares)</w:t>
            </w:r>
          </w:p>
        </w:tc>
        <w:tc>
          <w:tcPr>
            <w:tcW w:w="15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5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0"/>
        </w:trPr>
        <w:tc>
          <w:tcPr>
            <w:tcW w:w="7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year</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165</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154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69</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78</w:t>
            </w: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(62)</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(10)</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end of year</w:t>
            </w:r>
          </w:p>
        </w:tc>
        <w:tc>
          <w:tcPr>
            <w:tcW w:w="15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162</w:t>
            </w:r>
          </w:p>
        </w:tc>
        <w:tc>
          <w:tcPr>
            <w:tcW w:w="15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165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7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64"/>
        </w:trPr>
        <w:tc>
          <w:tcPr>
            <w:tcW w:w="7100" w:type="dxa"/>
            <w:vAlign w:val="bottom"/>
          </w:tcPr>
          <w:p>
            <w:pPr>
              <w:spacing w:after="0"/>
              <w:rPr>
                <w:sz w:val="20"/>
                <w:szCs w:val="20"/>
                <w:color w:val="auto"/>
              </w:rPr>
            </w:pPr>
            <w:r>
              <w:rPr>
                <w:rFonts w:ascii="Arial" w:cs="Arial" w:eastAsia="Arial" w:hAnsi="Arial"/>
                <w:sz w:val="18"/>
                <w:szCs w:val="18"/>
                <w:color w:val="auto"/>
              </w:rPr>
              <w:t>Weighted average grant date fair values of restricted Common Stock are as follows:</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8"/>
        </w:trPr>
        <w:tc>
          <w:tcPr>
            <w:tcW w:w="7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w:t>
            </w: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0"/>
        </w:trPr>
        <w:tc>
          <w:tcPr>
            <w:tcW w:w="7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year</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21.21</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16.70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17.87</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30.01</w:t>
            </w:r>
          </w:p>
        </w:tc>
        <w:tc>
          <w:tcPr>
            <w:tcW w:w="1060" w:type="dxa"/>
            <w:vAlign w:val="bottom"/>
          </w:tcPr>
          <w:p>
            <w:pPr>
              <w:jc w:val="right"/>
              <w:spacing w:after="0"/>
              <w:rPr>
                <w:sz w:val="20"/>
                <w:szCs w:val="20"/>
                <w:color w:val="auto"/>
              </w:rPr>
            </w:pPr>
            <w:r>
              <w:rPr>
                <w:rFonts w:ascii="Arial" w:cs="Arial" w:eastAsia="Arial" w:hAnsi="Arial"/>
                <w:sz w:val="18"/>
                <w:szCs w:val="18"/>
                <w:color w:val="auto"/>
              </w:rPr>
              <w:t>11.20</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17.27</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20.93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r>
      <w:tr>
        <w:trPr>
          <w:trHeight w:val="229"/>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24.04</w:t>
            </w: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23.60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r>
      <w:tr>
        <w:trPr>
          <w:trHeight w:val="248"/>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end of year</w:t>
            </w:r>
          </w:p>
        </w:tc>
        <w:tc>
          <w:tcPr>
            <w:tcW w:w="15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21.14</w:t>
            </w:r>
          </w:p>
        </w:tc>
        <w:tc>
          <w:tcPr>
            <w:tcW w:w="15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21.21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r>
      <w:tr>
        <w:trPr>
          <w:trHeight w:val="20"/>
        </w:trPr>
        <w:tc>
          <w:tcPr>
            <w:tcW w:w="7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unrecognized compensation expense for unvested restricted Common Stock at September 24, 2023 is $1.7 million, which will be recognized over a weighted average period of 1.4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27,000 shares of Common Stock available for issuance pursuant to our Employee Stock Purchase Plan. We also have 870 shares of Common Stock available for issuance under our Supplemental Employee Stock Purchase Plan. There has been no activity under these plans in 2023, 2022, or 2021.</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506"/>
        </w:trPr>
        <w:tc>
          <w:tcPr>
            <w:tcW w:w="4580" w:type="dxa"/>
            <w:vAlign w:val="bottom"/>
          </w:tcPr>
          <w:p>
            <w:pPr>
              <w:ind w:left="20"/>
              <w:spacing w:after="0"/>
              <w:rPr>
                <w:sz w:val="20"/>
                <w:szCs w:val="20"/>
                <w:color w:val="auto"/>
              </w:rPr>
            </w:pPr>
            <w:r>
              <w:rPr>
                <w:rFonts w:ascii="Arial" w:cs="Arial" w:eastAsia="Arial" w:hAnsi="Arial"/>
                <w:sz w:val="18"/>
                <w:szCs w:val="18"/>
                <w:color w:val="auto"/>
              </w:rPr>
              <w:t>Current:</w:t>
            </w:r>
          </w:p>
        </w:tc>
        <w:tc>
          <w:tcPr>
            <w:tcW w:w="3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1"/>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9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4,528</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4,932</w:t>
            </w:r>
          </w:p>
        </w:tc>
        <w:tc>
          <w:tcPr>
            <w:tcW w:w="11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rPr>
              <w:t>(2,431)</w:t>
            </w:r>
          </w:p>
        </w:tc>
      </w:tr>
      <w:tr>
        <w:trPr>
          <w:trHeight w:val="252"/>
        </w:trPr>
        <w:tc>
          <w:tcPr>
            <w:tcW w:w="4580" w:type="dxa"/>
            <w:vAlign w:val="bottom"/>
          </w:tcPr>
          <w:p>
            <w:pPr>
              <w:ind w:left="20"/>
              <w:spacing w:after="0"/>
              <w:rPr>
                <w:sz w:val="20"/>
                <w:szCs w:val="20"/>
                <w:color w:val="auto"/>
              </w:rPr>
            </w:pPr>
            <w:r>
              <w:rPr>
                <w:rFonts w:ascii="Arial" w:cs="Arial" w:eastAsia="Arial" w:hAnsi="Arial"/>
                <w:sz w:val="18"/>
                <w:szCs w:val="18"/>
                <w:color w:val="auto"/>
              </w:rPr>
              <w:t>State</w:t>
            </w:r>
          </w:p>
        </w:tc>
        <w:tc>
          <w:tcPr>
            <w:tcW w:w="3980" w:type="dxa"/>
            <w:vAlign w:val="bottom"/>
          </w:tcPr>
          <w:p>
            <w:pPr>
              <w:jc w:val="right"/>
              <w:ind w:right="410"/>
              <w:spacing w:after="0"/>
              <w:rPr>
                <w:sz w:val="20"/>
                <w:szCs w:val="20"/>
                <w:color w:val="auto"/>
              </w:rPr>
            </w:pPr>
            <w:r>
              <w:rPr>
                <w:rFonts w:ascii="Arial" w:cs="Arial" w:eastAsia="Arial" w:hAnsi="Arial"/>
                <w:sz w:val="18"/>
                <w:szCs w:val="18"/>
                <w:color w:val="auto"/>
              </w:rPr>
              <w:t>(336)</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142</w:t>
            </w:r>
          </w:p>
        </w:tc>
        <w:tc>
          <w:tcPr>
            <w:tcW w:w="1100" w:type="dxa"/>
            <w:vAlign w:val="bottom"/>
          </w:tcPr>
          <w:p>
            <w:pPr>
              <w:jc w:val="center"/>
              <w:ind w:left="410"/>
              <w:spacing w:after="0"/>
              <w:rPr>
                <w:sz w:val="20"/>
                <w:szCs w:val="20"/>
                <w:color w:val="auto"/>
              </w:rPr>
            </w:pPr>
            <w:r>
              <w:rPr>
                <w:rFonts w:ascii="Arial" w:cs="Arial" w:eastAsia="Arial" w:hAnsi="Arial"/>
                <w:sz w:val="18"/>
                <w:szCs w:val="18"/>
                <w:color w:val="auto"/>
                <w:w w:val="97"/>
              </w:rPr>
              <w:t>3,642</w:t>
            </w:r>
          </w:p>
        </w:tc>
      </w:tr>
      <w:tr>
        <w:trPr>
          <w:trHeight w:val="257"/>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9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(4,541)</w:t>
            </w:r>
          </w:p>
        </w:tc>
        <w:tc>
          <w:tcPr>
            <w:tcW w:w="15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(4,376)</w:t>
            </w:r>
          </w:p>
        </w:tc>
        <w:tc>
          <w:tcPr>
            <w:tcW w:w="110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7"/>
              </w:rPr>
              <w:t>6,044</w:t>
            </w:r>
          </w:p>
        </w:tc>
      </w:tr>
      <w:tr>
        <w:trPr>
          <w:trHeight w:val="250"/>
        </w:trPr>
        <w:tc>
          <w:tcPr>
            <w:tcW w:w="458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(349)</w:t>
            </w: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698</w:t>
            </w:r>
          </w:p>
        </w:tc>
        <w:tc>
          <w:tcPr>
            <w:tcW w:w="11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7"/>
              </w:rPr>
              <w:t>7,255</w:t>
            </w:r>
          </w:p>
        </w:tc>
      </w:tr>
      <w:tr>
        <w:trPr>
          <w:trHeight w:val="25"/>
        </w:trPr>
        <w:tc>
          <w:tcPr>
            <w:tcW w:w="45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Income tax (benefit) expense related to operations differs from the amounts computed by applying the U.S. federal income tax rate to income (loss) before income taxes. The reasons for these differences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 of (Loss) Income Before Income Taxes)</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2023</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5"/>
        </w:trPr>
        <w:tc>
          <w:tcPr>
            <w:tcW w:w="66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income tax expense</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52"/>
        </w:trPr>
        <w:tc>
          <w:tcPr>
            <w:tcW w:w="6600" w:type="dxa"/>
            <w:vAlign w:val="bottom"/>
          </w:tcPr>
          <w:p>
            <w:pPr>
              <w:ind w:left="20"/>
              <w:spacing w:after="0"/>
              <w:rPr>
                <w:sz w:val="20"/>
                <w:szCs w:val="20"/>
                <w:color w:val="auto"/>
              </w:rPr>
            </w:pPr>
            <w:r>
              <w:rPr>
                <w:rFonts w:ascii="Arial" w:cs="Arial" w:eastAsia="Arial" w:hAnsi="Arial"/>
                <w:sz w:val="18"/>
                <w:szCs w:val="18"/>
                <w:color w:val="auto"/>
              </w:rPr>
              <w:t>State income tax benefit, net of federal tax benefit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(8.9)</w:t>
            </w:r>
          </w:p>
        </w:tc>
        <w:tc>
          <w:tcPr>
            <w:tcW w:w="13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61"/>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of associated companies</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31.2</w:t>
            </w: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52"/>
        </w:trPr>
        <w:tc>
          <w:tcPr>
            <w:tcW w:w="6600" w:type="dxa"/>
            <w:vAlign w:val="bottom"/>
          </w:tcPr>
          <w:p>
            <w:pPr>
              <w:ind w:left="20"/>
              <w:spacing w:after="0"/>
              <w:rPr>
                <w:sz w:val="20"/>
                <w:szCs w:val="20"/>
                <w:color w:val="auto"/>
              </w:rPr>
            </w:pPr>
            <w:r>
              <w:rPr>
                <w:rFonts w:ascii="Arial" w:cs="Arial" w:eastAsia="Arial" w:hAnsi="Arial"/>
                <w:sz w:val="18"/>
                <w:szCs w:val="18"/>
                <w:color w:val="auto"/>
              </w:rPr>
              <w:t>Resolution of tax matters</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69.7</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(32.2)</w:t>
            </w: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1"/>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due to state rate changes</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52"/>
        </w:trPr>
        <w:tc>
          <w:tcPr>
            <w:tcW w:w="660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124.0</w:t>
            </w:r>
          </w:p>
        </w:tc>
        <w:tc>
          <w:tcPr>
            <w:tcW w:w="13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61"/>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to return adjustment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70.2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660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16.0</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11.9</w:t>
            </w:r>
          </w:p>
        </w:tc>
        <w:tc>
          <w:tcPr>
            <w:tcW w:w="13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61"/>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Wage credit, net addback</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6600" w:type="dxa"/>
            <w:vAlign w:val="bottom"/>
          </w:tcPr>
          <w:p>
            <w:pPr>
              <w:ind w:left="20"/>
              <w:spacing w:after="0"/>
              <w:rPr>
                <w:sz w:val="20"/>
                <w:szCs w:val="20"/>
                <w:color w:val="auto"/>
              </w:rPr>
            </w:pPr>
            <w:r>
              <w:rPr>
                <w:rFonts w:ascii="Arial" w:cs="Arial" w:eastAsia="Arial" w:hAnsi="Arial"/>
                <w:sz w:val="18"/>
                <w:szCs w:val="18"/>
                <w:color w:val="auto"/>
              </w:rPr>
              <w:t>Warrant valuation</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61"/>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penalties</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0.8</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11.3</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88.2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r>
      <w:tr>
        <w:trPr>
          <w:trHeight w:val="25"/>
        </w:trPr>
        <w:tc>
          <w:tcPr>
            <w:tcW w:w="6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483"/>
        </w:trPr>
        <w:tc>
          <w:tcPr>
            <w:tcW w:w="6600" w:type="dxa"/>
            <w:vAlign w:val="bottom"/>
          </w:tcPr>
          <w:p>
            <w:pPr>
              <w:spacing w:after="0"/>
              <w:rPr>
                <w:sz w:val="20"/>
                <w:szCs w:val="20"/>
                <w:color w:val="auto"/>
              </w:rPr>
            </w:pPr>
            <w:r>
              <w:rPr>
                <w:rFonts w:ascii="Arial" w:cs="Arial" w:eastAsia="Arial" w:hAnsi="Arial"/>
                <w:sz w:val="18"/>
                <w:szCs w:val="18"/>
                <w:color w:val="auto"/>
              </w:rPr>
              <w:t>Net deferred income tax liabilities consist of the following components:</w:t>
            </w: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8"/>
        </w:trPr>
        <w:tc>
          <w:tcPr>
            <w:tcW w:w="66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04"/>
        </w:trPr>
        <w:tc>
          <w:tcPr>
            <w:tcW w:w="6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jc w:val="right"/>
              <w:ind w:right="350"/>
              <w:spacing w:after="0" w:line="204" w:lineRule="exact"/>
              <w:rPr>
                <w:sz w:val="20"/>
                <w:szCs w:val="20"/>
                <w:color w:val="auto"/>
              </w:rPr>
            </w:pPr>
            <w:r>
              <w:rPr>
                <w:rFonts w:ascii="Arial" w:cs="Arial" w:eastAsia="Arial" w:hAnsi="Arial"/>
                <w:sz w:val="18"/>
                <w:szCs w:val="18"/>
                <w:color w:val="auto"/>
              </w:rPr>
              <w:t>September 24</w:t>
            </w:r>
          </w:p>
        </w:tc>
        <w:tc>
          <w:tcPr>
            <w:tcW w:w="1380" w:type="dxa"/>
            <w:vAlign w:val="bottom"/>
          </w:tcPr>
          <w:p>
            <w:pPr>
              <w:jc w:val="right"/>
              <w:spacing w:after="0" w:line="204" w:lineRule="exact"/>
              <w:rPr>
                <w:sz w:val="20"/>
                <w:szCs w:val="20"/>
                <w:color w:val="auto"/>
              </w:rPr>
            </w:pPr>
            <w:r>
              <w:rPr>
                <w:rFonts w:ascii="Arial" w:cs="Arial" w:eastAsia="Arial" w:hAnsi="Arial"/>
                <w:sz w:val="18"/>
                <w:szCs w:val="18"/>
                <w:color w:val="auto"/>
              </w:rPr>
              <w:t>September 25</w:t>
            </w:r>
          </w:p>
        </w:tc>
      </w:tr>
      <w:tr>
        <w:trPr>
          <w:trHeight w:val="244"/>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5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507"/>
        </w:trPr>
        <w:tc>
          <w:tcPr>
            <w:tcW w:w="660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1"/>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5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(8,461)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(11,712)</w:t>
            </w:r>
          </w:p>
        </w:tc>
      </w:tr>
      <w:tr>
        <w:trPr>
          <w:trHeight w:val="252"/>
        </w:trPr>
        <w:tc>
          <w:tcPr>
            <w:tcW w:w="6600" w:type="dxa"/>
            <w:vAlign w:val="bottom"/>
          </w:tcPr>
          <w:p>
            <w:pPr>
              <w:ind w:left="20"/>
              <w:spacing w:after="0"/>
              <w:rPr>
                <w:sz w:val="20"/>
                <w:szCs w:val="20"/>
                <w:color w:val="auto"/>
              </w:rPr>
            </w:pPr>
            <w:r>
              <w:rPr>
                <w:rFonts w:ascii="Arial" w:cs="Arial" w:eastAsia="Arial" w:hAnsi="Arial"/>
                <w:sz w:val="18"/>
                <w:szCs w:val="18"/>
                <w:color w:val="auto"/>
              </w:rPr>
              <w:t>Identified intangible assets</w:t>
            </w:r>
          </w:p>
        </w:tc>
        <w:tc>
          <w:tcPr>
            <w:tcW w:w="1580" w:type="dxa"/>
            <w:vAlign w:val="bottom"/>
          </w:tcPr>
          <w:p>
            <w:pPr>
              <w:spacing w:after="0"/>
              <w:rPr>
                <w:sz w:val="21"/>
                <w:szCs w:val="21"/>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(18,705)</w:t>
            </w:r>
          </w:p>
        </w:tc>
        <w:tc>
          <w:tcPr>
            <w:tcW w:w="1380" w:type="dxa"/>
            <w:vAlign w:val="bottom"/>
          </w:tcPr>
          <w:p>
            <w:pPr>
              <w:jc w:val="right"/>
              <w:spacing w:after="0"/>
              <w:rPr>
                <w:sz w:val="20"/>
                <w:szCs w:val="20"/>
                <w:color w:val="auto"/>
              </w:rPr>
            </w:pPr>
            <w:r>
              <w:rPr>
                <w:rFonts w:ascii="Arial" w:cs="Arial" w:eastAsia="Arial" w:hAnsi="Arial"/>
                <w:sz w:val="18"/>
                <w:szCs w:val="18"/>
                <w:color w:val="auto"/>
              </w:rPr>
              <w:t>(21,649)</w:t>
            </w:r>
          </w:p>
        </w:tc>
      </w:tr>
      <w:tr>
        <w:trPr>
          <w:trHeight w:val="261"/>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 842 - Leases DTL</w:t>
            </w:r>
          </w:p>
        </w:tc>
        <w:tc>
          <w:tcPr>
            <w:tcW w:w="15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(9,890)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(11,308)</w:t>
            </w:r>
          </w:p>
        </w:tc>
      </w:tr>
      <w:tr>
        <w:trPr>
          <w:trHeight w:val="252"/>
        </w:trPr>
        <w:tc>
          <w:tcPr>
            <w:tcW w:w="6600" w:type="dxa"/>
            <w:vAlign w:val="bottom"/>
          </w:tcPr>
          <w:p>
            <w:pPr>
              <w:ind w:left="2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21"/>
                <w:szCs w:val="21"/>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(615)</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5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(31,296)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(26,489)</w:t>
            </w:r>
          </w:p>
        </w:tc>
      </w:tr>
      <w:tr>
        <w:trPr>
          <w:trHeight w:val="250"/>
        </w:trPr>
        <w:tc>
          <w:tcPr>
            <w:tcW w:w="66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(68,967)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(71,158)</w:t>
            </w:r>
          </w:p>
        </w:tc>
      </w:tr>
      <w:tr>
        <w:trPr>
          <w:trHeight w:val="255"/>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15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2"/>
        </w:trPr>
        <w:tc>
          <w:tcPr>
            <w:tcW w:w="660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1580" w:type="dxa"/>
            <w:vAlign w:val="bottom"/>
          </w:tcPr>
          <w:p>
            <w:pPr>
              <w:spacing w:after="0"/>
              <w:rPr>
                <w:sz w:val="21"/>
                <w:szCs w:val="21"/>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1,655</w:t>
            </w:r>
          </w:p>
        </w:tc>
        <w:tc>
          <w:tcPr>
            <w:tcW w:w="1380" w:type="dxa"/>
            <w:vAlign w:val="bottom"/>
          </w:tcPr>
          <w:p>
            <w:pPr>
              <w:jc w:val="right"/>
              <w:spacing w:after="0"/>
              <w:rPr>
                <w:sz w:val="20"/>
                <w:szCs w:val="20"/>
                <w:color w:val="auto"/>
              </w:rPr>
            </w:pPr>
            <w:r>
              <w:rPr>
                <w:rFonts w:ascii="Arial" w:cs="Arial" w:eastAsia="Arial" w:hAnsi="Arial"/>
                <w:sz w:val="18"/>
                <w:szCs w:val="18"/>
                <w:color w:val="auto"/>
              </w:rPr>
              <w:t>802</w:t>
            </w:r>
          </w:p>
        </w:tc>
      </w:tr>
      <w:tr>
        <w:trPr>
          <w:trHeight w:val="261"/>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benefits</w:t>
            </w:r>
          </w:p>
        </w:tc>
        <w:tc>
          <w:tcPr>
            <w:tcW w:w="15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1,102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w:t>
            </w:r>
          </w:p>
        </w:tc>
      </w:tr>
      <w:tr>
        <w:trPr>
          <w:trHeight w:val="252"/>
        </w:trPr>
        <w:tc>
          <w:tcPr>
            <w:tcW w:w="66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580" w:type="dxa"/>
            <w:vAlign w:val="bottom"/>
          </w:tcPr>
          <w:p>
            <w:pPr>
              <w:spacing w:after="0"/>
              <w:rPr>
                <w:sz w:val="21"/>
                <w:szCs w:val="21"/>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159</w:t>
            </w:r>
          </w:p>
        </w:tc>
        <w:tc>
          <w:tcPr>
            <w:tcW w:w="13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61"/>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deduction limitation</w:t>
            </w:r>
          </w:p>
        </w:tc>
        <w:tc>
          <w:tcPr>
            <w:tcW w:w="15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9,828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r>
      <w:tr>
        <w:trPr>
          <w:trHeight w:val="252"/>
        </w:trPr>
        <w:tc>
          <w:tcPr>
            <w:tcW w:w="6600" w:type="dxa"/>
            <w:vAlign w:val="bottom"/>
          </w:tcPr>
          <w:p>
            <w:pPr>
              <w:ind w:left="20"/>
              <w:spacing w:after="0"/>
              <w:rPr>
                <w:sz w:val="20"/>
                <w:szCs w:val="20"/>
                <w:color w:val="auto"/>
              </w:rPr>
            </w:pPr>
            <w:r>
              <w:rPr>
                <w:rFonts w:ascii="Arial" w:cs="Arial" w:eastAsia="Arial" w:hAnsi="Arial"/>
                <w:sz w:val="18"/>
                <w:szCs w:val="18"/>
                <w:color w:val="auto"/>
              </w:rPr>
              <w:t>Operating loss carryforwards</w:t>
            </w:r>
          </w:p>
        </w:tc>
        <w:tc>
          <w:tcPr>
            <w:tcW w:w="1580" w:type="dxa"/>
            <w:vAlign w:val="bottom"/>
          </w:tcPr>
          <w:p>
            <w:pPr>
              <w:spacing w:after="0"/>
              <w:rPr>
                <w:sz w:val="21"/>
                <w:szCs w:val="21"/>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25,749</w:t>
            </w:r>
          </w:p>
        </w:tc>
        <w:tc>
          <w:tcPr>
            <w:tcW w:w="1380" w:type="dxa"/>
            <w:vAlign w:val="bottom"/>
          </w:tcPr>
          <w:p>
            <w:pPr>
              <w:jc w:val="right"/>
              <w:spacing w:after="0"/>
              <w:rPr>
                <w:sz w:val="20"/>
                <w:szCs w:val="20"/>
                <w:color w:val="auto"/>
              </w:rPr>
            </w:pPr>
            <w:r>
              <w:rPr>
                <w:rFonts w:ascii="Arial" w:cs="Arial" w:eastAsia="Arial" w:hAnsi="Arial"/>
                <w:sz w:val="18"/>
                <w:szCs w:val="18"/>
                <w:color w:val="auto"/>
              </w:rPr>
              <w:t>26,224</w:t>
            </w:r>
          </w:p>
        </w:tc>
      </w:tr>
      <w:tr>
        <w:trPr>
          <w:trHeight w:val="261"/>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 842 - Leases DTA</w:t>
            </w:r>
          </w:p>
        </w:tc>
        <w:tc>
          <w:tcPr>
            <w:tcW w:w="15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11,037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13,112</w:t>
            </w:r>
          </w:p>
        </w:tc>
      </w:tr>
      <w:tr>
        <w:trPr>
          <w:trHeight w:val="252"/>
        </w:trPr>
        <w:tc>
          <w:tcPr>
            <w:tcW w:w="660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1580" w:type="dxa"/>
            <w:vAlign w:val="bottom"/>
          </w:tcPr>
          <w:p>
            <w:pPr>
              <w:spacing w:after="0"/>
              <w:rPr>
                <w:sz w:val="21"/>
                <w:szCs w:val="21"/>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2,341</w:t>
            </w:r>
          </w:p>
        </w:tc>
        <w:tc>
          <w:tcPr>
            <w:tcW w:w="1380" w:type="dxa"/>
            <w:vAlign w:val="bottom"/>
          </w:tcPr>
          <w:p>
            <w:pPr>
              <w:jc w:val="right"/>
              <w:spacing w:after="0"/>
              <w:rPr>
                <w:sz w:val="20"/>
                <w:szCs w:val="20"/>
                <w:color w:val="auto"/>
              </w:rPr>
            </w:pPr>
            <w:r>
              <w:rPr>
                <w:rFonts w:ascii="Arial" w:cs="Arial" w:eastAsia="Arial" w:hAnsi="Arial"/>
                <w:sz w:val="18"/>
                <w:szCs w:val="18"/>
                <w:color w:val="auto"/>
              </w:rPr>
              <w:t>1,914</w:t>
            </w:r>
          </w:p>
        </w:tc>
      </w:tr>
      <w:tr>
        <w:trPr>
          <w:trHeight w:val="261"/>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5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1,510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r>
      <w:tr>
        <w:trPr>
          <w:trHeight w:val="252"/>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w:t>
            </w:r>
          </w:p>
        </w:tc>
      </w:tr>
      <w:tr>
        <w:trPr>
          <w:trHeight w:val="250"/>
        </w:trPr>
        <w:tc>
          <w:tcPr>
            <w:tcW w:w="66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53,381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55,094</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1580" w:type="dxa"/>
            <w:vAlign w:val="bottom"/>
          </w:tcPr>
          <w:p>
            <w:pPr>
              <w:spacing w:after="0"/>
              <w:rPr>
                <w:sz w:val="21"/>
                <w:szCs w:val="21"/>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(25,765)</w:t>
            </w:r>
          </w:p>
        </w:tc>
        <w:tc>
          <w:tcPr>
            <w:tcW w:w="1380" w:type="dxa"/>
            <w:vAlign w:val="bottom"/>
          </w:tcPr>
          <w:p>
            <w:pPr>
              <w:jc w:val="right"/>
              <w:spacing w:after="0"/>
              <w:rPr>
                <w:sz w:val="20"/>
                <w:szCs w:val="20"/>
                <w:color w:val="auto"/>
              </w:rPr>
            </w:pPr>
            <w:r>
              <w:rPr>
                <w:rFonts w:ascii="Arial" w:cs="Arial" w:eastAsia="Arial" w:hAnsi="Arial"/>
                <w:sz w:val="18"/>
                <w:szCs w:val="18"/>
                <w:color w:val="auto"/>
              </w:rPr>
              <w:t>(26,655)</w:t>
            </w:r>
          </w:p>
        </w:tc>
      </w:tr>
      <w:tr>
        <w:trPr>
          <w:trHeight w:val="281"/>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 liabilities</w:t>
            </w:r>
          </w:p>
        </w:tc>
        <w:tc>
          <w:tcPr>
            <w:tcW w:w="158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(41,351)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(42,719)</w:t>
            </w:r>
          </w:p>
        </w:tc>
      </w:tr>
      <w:tr>
        <w:trPr>
          <w:trHeight w:val="20"/>
        </w:trPr>
        <w:tc>
          <w:tcPr>
            <w:tcW w:w="66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All deferred taxes are categorized as non-current.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2023 and 2022 changes in gross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5"/>
        </w:trPr>
        <w:tc>
          <w:tcPr>
            <w:tcW w:w="678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7"/>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3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18,242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18,279</w:t>
            </w:r>
          </w:p>
        </w:tc>
      </w:tr>
      <w:tr>
        <w:trPr>
          <w:trHeight w:val="252"/>
        </w:trPr>
        <w:tc>
          <w:tcPr>
            <w:tcW w:w="6780" w:type="dxa"/>
            <w:vAlign w:val="bottom"/>
          </w:tcPr>
          <w:p>
            <w:pPr>
              <w:ind w:left="20"/>
              <w:spacing w:after="0"/>
              <w:rPr>
                <w:sz w:val="20"/>
                <w:szCs w:val="20"/>
                <w:color w:val="auto"/>
              </w:rPr>
            </w:pPr>
            <w:r>
              <w:rPr>
                <w:rFonts w:ascii="Arial" w:cs="Arial" w:eastAsia="Arial" w:hAnsi="Arial"/>
                <w:sz w:val="18"/>
                <w:szCs w:val="18"/>
                <w:color w:val="auto"/>
              </w:rPr>
              <w:t>Changes in tax positions for prior years</w:t>
            </w:r>
          </w:p>
        </w:tc>
        <w:tc>
          <w:tcPr>
            <w:tcW w:w="3340" w:type="dxa"/>
            <w:vAlign w:val="bottom"/>
          </w:tcPr>
          <w:p>
            <w:pPr>
              <w:jc w:val="right"/>
              <w:ind w:right="390"/>
              <w:spacing w:after="0"/>
              <w:rPr>
                <w:sz w:val="20"/>
                <w:szCs w:val="20"/>
                <w:color w:val="auto"/>
              </w:rPr>
            </w:pPr>
            <w:r>
              <w:rPr>
                <w:rFonts w:ascii="Arial" w:cs="Arial" w:eastAsia="Arial" w:hAnsi="Arial"/>
                <w:sz w:val="18"/>
                <w:szCs w:val="18"/>
                <w:color w:val="auto"/>
              </w:rPr>
              <w:t>(687)</w:t>
            </w:r>
          </w:p>
        </w:tc>
        <w:tc>
          <w:tcPr>
            <w:tcW w:w="112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61"/>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(decrease) in tax positions for the current year</w:t>
            </w:r>
          </w:p>
        </w:tc>
        <w:tc>
          <w:tcPr>
            <w:tcW w:w="33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(347)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52"/>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Lapse in statute of limitations</w:t>
            </w:r>
          </w:p>
        </w:tc>
        <w:tc>
          <w:tcPr>
            <w:tcW w:w="3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(2,294)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r>
      <w:tr>
        <w:trPr>
          <w:trHeight w:val="275"/>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33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14,914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18,242</w:t>
            </w:r>
          </w:p>
        </w:tc>
      </w:tr>
      <w:tr>
        <w:trPr>
          <w:trHeight w:val="20"/>
        </w:trPr>
        <w:tc>
          <w:tcPr>
            <w:tcW w:w="678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Approximately $10.7 million and $11.9 million of the gross unrecognized tax benefit balances for 2023 and 2022, respectively, relate to state net operating losses which are netted against deferred taxes on our Consolidated Balance Sheet. The total amount of unrecognized tax benefits that, if recognized, would impact the effective tax rate was $2.5 million at September 24, 2023. The Company does not expect that unrecognized tax benefits will fluctuate significantly in the next twelve months. We recognize interest and penalties related to unrecognized tax benefits as a component of income tax expense. The amount of accrued interest related to unrecognized tax benefits was, net of tax, $1.2 million at September 24, 2023 and $1.5 million at September 25, 2022. There were no amounts provided for penalties at September 24, 2023 or September 25, 2022.</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At September 24, 2023 and September 25, 2022, we had a deferred tax asset of $9.8 million and $4.8 million, respectively, related to disallowed interest expense.</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current undergoing a New York Franchise Tax audit that includes fiscal year periods 2019 through 2021. Certain of the Company's state income tax returns for the year ended September 25, 2016 are open for examination. The Federal and remaining state returns are open beginning with the September 24, 2017 year.</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September 24, 2023, we have state tax benefits of approximately $43.3 million in net operating loss ("NOL") carryforwards that expire between 2022 and 2040. These NOL carryforwards result in a deferred income tax asset of $34.2 million at September 24, 2023, a portion of which is offset by a valuation allowance.</w:t>
      </w:r>
    </w:p>
    <w:p>
      <w:pPr>
        <w:spacing w:after="0" w:line="13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 value.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because of the short maturity of those instruments. Certain other investments totaling $3.9 million, including our 16.7% ownership of the non-voting common stock and 0.7% of the voting common stock of TCT, which represents 8.7% of total TCT stock, and a private equity investment, are carried at cost. Certain other investments totaling $ 1.7 million, which include securities held in trust under a deferred compensation arrangement, are carried at fair value with gains and losses reported in earnings. These represent Level 2 fair value measurements.</w:t>
      </w:r>
    </w:p>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At September 24, 2023, we had no floating rate debt. Our fixed rate debt consists of $455.7 million principal amount of the Term Note. At September 24, 2023 the fair value is $392.2 million. This represents a Level 2 fair value measurement.</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more fully in Notes 5 and 10, we recorded a liability for the Warrants issued in connection with the Warrant Agreement. The liability was initially measured at its fair value and we re-measure the liability to fair value each reporting period, with changes reported in other non-operating income (expense). The initial fair value of the Warrants was $16.9 million. The fair value of the Warrants at September 24, 2023, September 25, 2022, and September 26, 2021 was zero, $0.1 million and $0.3 million, respectively. In other, net non-operating income (expense) in the Consolidated Statements of Income (loss) and Comprehensive Income (Loss), we recognized income of $0 in 2023, $0.1 million in 2022, and $0.3 million in 2021, for adjustments in the fair value of the Warrants. The Warrants expired in March 2022.</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estimate the fair value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10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tcPr>
          <w:p>
            <w:pPr>
              <w:ind w:left="2560"/>
              <w:spacing w:after="0"/>
              <w:rPr>
                <w:sz w:val="20"/>
                <w:szCs w:val="20"/>
                <w:color w:val="auto"/>
              </w:rPr>
            </w:pPr>
            <w:r>
              <w:rPr>
                <w:rFonts w:ascii="Arial" w:cs="Arial" w:eastAsia="Arial" w:hAnsi="Arial"/>
                <w:sz w:val="18"/>
                <w:szCs w:val="18"/>
                <w:color w:val="auto"/>
              </w:rPr>
              <w:t>2023</w:t>
            </w:r>
          </w:p>
        </w:tc>
        <w:tc>
          <w:tcPr>
            <w:tcW w:w="15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2022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5"/>
        </w:trPr>
        <w:tc>
          <w:tcPr>
            <w:tcW w:w="51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7"/>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(Percent)</w:t>
            </w:r>
          </w:p>
        </w:tc>
        <w:tc>
          <w:tcPr>
            <w:tcW w:w="356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52"/>
        </w:trPr>
        <w:tc>
          <w:tcPr>
            <w:tcW w:w="5100" w:type="dxa"/>
            <w:vAlign w:val="bottom"/>
          </w:tcPr>
          <w:p>
            <w:pPr>
              <w:ind w:left="20"/>
              <w:spacing w:after="0"/>
              <w:rPr>
                <w:sz w:val="20"/>
                <w:szCs w:val="20"/>
                <w:color w:val="auto"/>
              </w:rPr>
            </w:pPr>
            <w:r>
              <w:rPr>
                <w:rFonts w:ascii="Arial" w:cs="Arial" w:eastAsia="Arial" w:hAnsi="Arial"/>
                <w:sz w:val="18"/>
                <w:szCs w:val="18"/>
                <w:color w:val="auto"/>
              </w:rPr>
              <w:t>Risk-free interest rate (Percent)</w:t>
            </w:r>
          </w:p>
        </w:tc>
        <w:tc>
          <w:tcPr>
            <w:tcW w:w="3560" w:type="dxa"/>
            <w:vAlign w:val="bottom"/>
          </w:tcPr>
          <w:p>
            <w:pPr>
              <w:ind w:left="2720"/>
              <w:spacing w:after="0"/>
              <w:rPr>
                <w:sz w:val="20"/>
                <w:szCs w:val="20"/>
                <w:color w:val="auto"/>
              </w:rPr>
            </w:pPr>
            <w:r>
              <w:rPr>
                <w:rFonts w:ascii="Arial" w:cs="Arial" w:eastAsia="Arial" w:hAnsi="Arial"/>
                <w:sz w:val="18"/>
                <w:szCs w:val="18"/>
                <w:color w:val="auto"/>
              </w:rPr>
              <w:t>—</w:t>
            </w:r>
          </w:p>
        </w:tc>
        <w:tc>
          <w:tcPr>
            <w:tcW w:w="1560" w:type="dxa"/>
            <w:vAlign w:val="bottom"/>
          </w:tcPr>
          <w:p>
            <w:pPr>
              <w:ind w:left="7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6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356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52"/>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Estimated fair value (Dollars)</w:t>
            </w:r>
          </w:p>
        </w:tc>
        <w:tc>
          <w:tcPr>
            <w:tcW w:w="3560" w:type="dxa"/>
            <w:vAlign w:val="bottom"/>
            <w:tcBorders>
              <w:bottom w:val="single" w:sz="8" w:color="auto"/>
            </w:tcBorders>
          </w:tcPr>
          <w:p>
            <w:pPr>
              <w:ind w:left="27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r>
      <w:tr>
        <w:trPr>
          <w:trHeight w:val="25"/>
        </w:trPr>
        <w:tc>
          <w:tcPr>
            <w:tcW w:w="51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and Shares, Except Per Common Share Data)</w:t>
            </w:r>
          </w:p>
        </w:tc>
        <w:tc>
          <w:tcPr>
            <w:tcW w:w="23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5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0"/>
        </w:trPr>
        <w:tc>
          <w:tcPr>
            <w:tcW w:w="62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attributable to Lee Enterprises, Incorporated:</w:t>
            </w:r>
          </w:p>
        </w:tc>
        <w:tc>
          <w:tcPr>
            <w:tcW w:w="23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(5,267)</w:t>
            </w:r>
          </w:p>
        </w:tc>
        <w:tc>
          <w:tcPr>
            <w:tcW w:w="15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22,745</w:t>
            </w:r>
          </w:p>
        </w:tc>
      </w:tr>
      <w:tr>
        <w:trPr>
          <w:trHeight w:val="270"/>
        </w:trPr>
        <w:tc>
          <w:tcPr>
            <w:tcW w:w="624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Stock</w:t>
            </w:r>
          </w:p>
        </w:tc>
        <w:tc>
          <w:tcPr>
            <w:tcW w:w="2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6,037</w:t>
            </w:r>
          </w:p>
        </w:tc>
        <w:tc>
          <w:tcPr>
            <w:tcW w:w="15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5,946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w:t>
            </w:r>
          </w:p>
        </w:tc>
      </w:tr>
      <w:tr>
        <w:trPr>
          <w:trHeight w:val="23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non-vested restricted Common Stock</w:t>
            </w:r>
          </w:p>
        </w:tc>
        <w:tc>
          <w:tcPr>
            <w:tcW w:w="2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(170)</w:t>
            </w:r>
          </w:p>
        </w:tc>
        <w:tc>
          <w:tcPr>
            <w:tcW w:w="1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(167)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average Common Stock</w:t>
            </w:r>
          </w:p>
        </w:tc>
        <w:tc>
          <w:tcPr>
            <w:tcW w:w="2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5,867</w:t>
            </w:r>
          </w:p>
        </w:tc>
        <w:tc>
          <w:tcPr>
            <w:tcW w:w="15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5,779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r>
      <w:tr>
        <w:trPr>
          <w:trHeight w:val="23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Dilutive stock options and restricted Common Stock</w:t>
            </w:r>
          </w:p>
        </w:tc>
        <w:tc>
          <w:tcPr>
            <w:tcW w:w="2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48"/>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average Common Stock</w:t>
            </w:r>
          </w:p>
        </w:tc>
        <w:tc>
          <w:tcPr>
            <w:tcW w:w="23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5,867</w:t>
            </w:r>
          </w:p>
        </w:tc>
        <w:tc>
          <w:tcPr>
            <w:tcW w:w="15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5,779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w:t>
            </w:r>
          </w:p>
        </w:tc>
      </w:tr>
      <w:tr>
        <w:trPr>
          <w:trHeight w:val="20"/>
        </w:trPr>
        <w:tc>
          <w:tcPr>
            <w:tcW w:w="624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240" w:type="dxa"/>
            <w:vAlign w:val="bottom"/>
          </w:tcPr>
          <w:p>
            <w:pPr>
              <w:ind w:left="20"/>
              <w:spacing w:after="0" w:line="203" w:lineRule="exact"/>
              <w:rPr>
                <w:sz w:val="20"/>
                <w:szCs w:val="20"/>
                <w:color w:val="auto"/>
              </w:rPr>
            </w:pPr>
            <w:r>
              <w:rPr>
                <w:rFonts w:ascii="Arial" w:cs="Arial" w:eastAsia="Arial" w:hAnsi="Arial"/>
                <w:sz w:val="18"/>
                <w:szCs w:val="18"/>
                <w:color w:val="auto"/>
              </w:rPr>
              <w:t>Earnings per common share:</w:t>
            </w:r>
          </w:p>
        </w:tc>
        <w:tc>
          <w:tcPr>
            <w:tcW w:w="2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3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(0.90)</w:t>
            </w:r>
          </w:p>
        </w:tc>
        <w:tc>
          <w:tcPr>
            <w:tcW w:w="15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(0.35)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30"/>
        </w:trPr>
        <w:tc>
          <w:tcPr>
            <w:tcW w:w="62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2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(0.90)</w:t>
            </w:r>
          </w:p>
        </w:tc>
        <w:tc>
          <w:tcPr>
            <w:tcW w:w="1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(0.35)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2021 we had 600,000 weighted average shares not considered in the computation of diluted earnings per share because the exercise prices of the related stock options and Warrants were in excess of the fair market value of our Common Stock. For 2023 and 2022 we had 48,955 and 74,304 weighted average shares, respectively, not considered in the computation of diluted earnings per share because the Company recorded net losses.</w:t>
      </w:r>
    </w:p>
    <w:p>
      <w:pPr>
        <w:spacing w:after="0" w:line="14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Valuation and qualifying account information related to the allowance for credit losses related to continuing operations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5"/>
        </w:trPr>
        <w:tc>
          <w:tcPr>
            <w:tcW w:w="49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620" w:type="dxa"/>
            <w:vAlign w:val="bottom"/>
            <w:shd w:val="clear" w:color="auto" w:fill="CCEEFF"/>
          </w:tcPr>
          <w:p>
            <w:pPr>
              <w:jc w:val="center"/>
              <w:ind w:left="1970"/>
              <w:spacing w:after="0"/>
              <w:rPr>
                <w:sz w:val="20"/>
                <w:szCs w:val="20"/>
                <w:color w:val="auto"/>
              </w:rPr>
            </w:pPr>
            <w:r>
              <w:rPr>
                <w:rFonts w:ascii="Arial" w:cs="Arial" w:eastAsia="Arial" w:hAnsi="Arial"/>
                <w:sz w:val="18"/>
                <w:szCs w:val="18"/>
                <w:color w:val="auto"/>
                <w:w w:val="97"/>
              </w:rPr>
              <w:t>5,237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6,574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13,431</w:t>
            </w:r>
          </w:p>
        </w:tc>
      </w:tr>
      <w:tr>
        <w:trPr>
          <w:trHeight w:val="252"/>
        </w:trPr>
        <w:tc>
          <w:tcPr>
            <w:tcW w:w="494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3620" w:type="dxa"/>
            <w:vAlign w:val="bottom"/>
          </w:tcPr>
          <w:p>
            <w:pPr>
              <w:jc w:val="center"/>
              <w:ind w:left="1970"/>
              <w:spacing w:after="0"/>
              <w:rPr>
                <w:sz w:val="20"/>
                <w:szCs w:val="20"/>
                <w:color w:val="auto"/>
              </w:rPr>
            </w:pPr>
            <w:r>
              <w:rPr>
                <w:rFonts w:ascii="Arial" w:cs="Arial" w:eastAsia="Arial" w:hAnsi="Arial"/>
                <w:sz w:val="18"/>
                <w:szCs w:val="18"/>
                <w:color w:val="auto"/>
                <w:w w:val="97"/>
              </w:rPr>
              <w:t>6,942</w:t>
            </w:r>
          </w:p>
        </w:tc>
        <w:tc>
          <w:tcPr>
            <w:tcW w:w="1560" w:type="dxa"/>
            <w:vAlign w:val="bottom"/>
          </w:tcPr>
          <w:p>
            <w:pPr>
              <w:jc w:val="center"/>
              <w:spacing w:after="0"/>
              <w:rPr>
                <w:sz w:val="20"/>
                <w:szCs w:val="20"/>
                <w:color w:val="auto"/>
              </w:rPr>
            </w:pPr>
            <w:r>
              <w:rPr>
                <w:rFonts w:ascii="Arial" w:cs="Arial" w:eastAsia="Arial" w:hAnsi="Arial"/>
                <w:sz w:val="18"/>
                <w:szCs w:val="18"/>
                <w:color w:val="auto"/>
                <w:w w:val="97"/>
              </w:rPr>
              <w:t>5,190</w:t>
            </w:r>
          </w:p>
        </w:tc>
        <w:tc>
          <w:tcPr>
            <w:tcW w:w="1120" w:type="dxa"/>
            <w:vAlign w:val="bottom"/>
          </w:tcPr>
          <w:p>
            <w:pPr>
              <w:jc w:val="right"/>
              <w:spacing w:after="0"/>
              <w:rPr>
                <w:sz w:val="20"/>
                <w:szCs w:val="20"/>
                <w:color w:val="auto"/>
              </w:rPr>
            </w:pPr>
            <w:r>
              <w:rPr>
                <w:rFonts w:ascii="Arial" w:cs="Arial" w:eastAsia="Arial" w:hAnsi="Arial"/>
                <w:sz w:val="18"/>
                <w:szCs w:val="18"/>
                <w:color w:val="auto"/>
              </w:rPr>
              <w:t>1,505</w:t>
            </w:r>
          </w:p>
        </w:tc>
      </w:tr>
      <w:tr>
        <w:trPr>
          <w:trHeight w:val="256"/>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Deductions from reserves</w:t>
            </w:r>
          </w:p>
        </w:tc>
        <w:tc>
          <w:tcPr>
            <w:tcW w:w="3620" w:type="dxa"/>
            <w:vAlign w:val="bottom"/>
            <w:tcBorders>
              <w:bottom w:val="single" w:sz="8" w:color="auto"/>
            </w:tcBorders>
            <w:shd w:val="clear" w:color="auto" w:fill="CCEEFF"/>
          </w:tcPr>
          <w:p>
            <w:pPr>
              <w:jc w:val="center"/>
              <w:ind w:left="1950"/>
              <w:spacing w:after="0"/>
              <w:rPr>
                <w:sz w:val="20"/>
                <w:szCs w:val="20"/>
                <w:color w:val="auto"/>
              </w:rPr>
            </w:pPr>
            <w:r>
              <w:rPr>
                <w:rFonts w:ascii="Arial" w:cs="Arial" w:eastAsia="Arial" w:hAnsi="Arial"/>
                <w:sz w:val="18"/>
                <w:szCs w:val="18"/>
                <w:color w:val="auto"/>
              </w:rPr>
              <w:t>(6,919)</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(6,527)</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(8,362)</w:t>
            </w:r>
          </w:p>
        </w:tc>
      </w:tr>
      <w:tr>
        <w:trPr>
          <w:trHeight w:val="25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3620" w:type="dxa"/>
            <w:vAlign w:val="bottom"/>
            <w:tcBorders>
              <w:bottom w:val="single" w:sz="8" w:color="auto"/>
            </w:tcBorders>
          </w:tcPr>
          <w:p>
            <w:pPr>
              <w:jc w:val="center"/>
              <w:ind w:left="1970"/>
              <w:spacing w:after="0"/>
              <w:rPr>
                <w:sz w:val="20"/>
                <w:szCs w:val="20"/>
                <w:color w:val="auto"/>
              </w:rPr>
            </w:pPr>
            <w:r>
              <w:rPr>
                <w:rFonts w:ascii="Arial" w:cs="Arial" w:eastAsia="Arial" w:hAnsi="Arial"/>
                <w:sz w:val="18"/>
                <w:szCs w:val="18"/>
                <w:color w:val="auto"/>
                <w:w w:val="97"/>
              </w:rPr>
              <w:t>5,260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5,237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w:t>
            </w:r>
          </w:p>
        </w:tc>
      </w:tr>
      <w:tr>
        <w:trPr>
          <w:trHeight w:val="25"/>
        </w:trPr>
        <w:tc>
          <w:tcPr>
            <w:tcW w:w="49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other accrued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September 24</w:t>
            </w:r>
          </w:p>
        </w:tc>
        <w:tc>
          <w:tcPr>
            <w:tcW w:w="1380" w:type="dxa"/>
            <w:vAlign w:val="bottom"/>
          </w:tcPr>
          <w:p>
            <w:pPr>
              <w:jc w:val="right"/>
              <w:spacing w:after="0"/>
              <w:rPr>
                <w:sz w:val="20"/>
                <w:szCs w:val="20"/>
                <w:color w:val="auto"/>
              </w:rPr>
            </w:pPr>
            <w:r>
              <w:rPr>
                <w:rFonts w:ascii="Arial" w:cs="Arial" w:eastAsia="Arial" w:hAnsi="Arial"/>
                <w:sz w:val="18"/>
                <w:szCs w:val="18"/>
                <w:color w:val="auto"/>
              </w:rPr>
              <w:t>September 25</w:t>
            </w:r>
          </w:p>
        </w:tc>
      </w:tr>
      <w:tr>
        <w:trPr>
          <w:trHeight w:val="244"/>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5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5"/>
        </w:trPr>
        <w:tc>
          <w:tcPr>
            <w:tcW w:w="66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15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9,114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20,815</w:t>
            </w:r>
          </w:p>
        </w:tc>
      </w:tr>
      <w:tr>
        <w:trPr>
          <w:trHeight w:val="252"/>
        </w:trPr>
        <w:tc>
          <w:tcPr>
            <w:tcW w:w="6680" w:type="dxa"/>
            <w:vAlign w:val="bottom"/>
          </w:tcPr>
          <w:p>
            <w:pPr>
              <w:ind w:left="20"/>
              <w:spacing w:after="0"/>
              <w:rPr>
                <w:sz w:val="20"/>
                <w:szCs w:val="20"/>
                <w:color w:val="auto"/>
              </w:rPr>
            </w:pPr>
            <w:r>
              <w:rPr>
                <w:rFonts w:ascii="Arial" w:cs="Arial" w:eastAsia="Arial" w:hAnsi="Arial"/>
                <w:sz w:val="18"/>
                <w:szCs w:val="18"/>
                <w:color w:val="auto"/>
              </w:rPr>
              <w:t>Retirement plans</w:t>
            </w:r>
          </w:p>
        </w:tc>
        <w:tc>
          <w:tcPr>
            <w:tcW w:w="1500" w:type="dxa"/>
            <w:vAlign w:val="bottom"/>
          </w:tcPr>
          <w:p>
            <w:pPr>
              <w:spacing w:after="0"/>
              <w:rPr>
                <w:sz w:val="21"/>
                <w:szCs w:val="21"/>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327</w:t>
            </w:r>
          </w:p>
        </w:tc>
        <w:tc>
          <w:tcPr>
            <w:tcW w:w="138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57"/>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20,007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23,376</w:t>
            </w:r>
          </w:p>
        </w:tc>
      </w:tr>
      <w:tr>
        <w:trPr>
          <w:trHeight w:val="250"/>
        </w:trPr>
        <w:tc>
          <w:tcPr>
            <w:tcW w:w="66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29,448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44,740</w:t>
            </w:r>
          </w:p>
        </w:tc>
      </w:tr>
      <w:tr>
        <w:trPr>
          <w:trHeight w:val="25"/>
        </w:trPr>
        <w:tc>
          <w:tcPr>
            <w:tcW w:w="6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483"/>
        </w:trPr>
        <w:tc>
          <w:tcPr>
            <w:tcW w:w="6680" w:type="dxa"/>
            <w:vAlign w:val="bottom"/>
          </w:tcPr>
          <w:p>
            <w:pPr>
              <w:spacing w:after="0"/>
              <w:rPr>
                <w:sz w:val="20"/>
                <w:szCs w:val="20"/>
                <w:color w:val="auto"/>
              </w:rPr>
            </w:pPr>
            <w:r>
              <w:rPr>
                <w:rFonts w:ascii="Arial" w:cs="Arial" w:eastAsia="Arial" w:hAnsi="Arial"/>
                <w:sz w:val="18"/>
                <w:szCs w:val="18"/>
                <w:color w:val="auto"/>
              </w:rPr>
              <w:t>Supplemental cash flow information includes the following cash payments:</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8"/>
        </w:trPr>
        <w:tc>
          <w:tcPr>
            <w:tcW w:w="66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45"/>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2023</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5"/>
        </w:trPr>
        <w:tc>
          <w:tcPr>
            <w:tcW w:w="66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7"/>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41,471</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41,770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45,214</w:t>
            </w:r>
          </w:p>
        </w:tc>
      </w:tr>
      <w:tr>
        <w:trPr>
          <w:trHeight w:val="252"/>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payments, net</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3,722</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5,311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7,604</w:t>
            </w: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Accumulated other comprehensive income (loss), net of deferred income taxes at September 24, 2023, and September 25, 2022, is related to pension and postretirement benefits.</w:t>
      </w:r>
    </w:p>
    <w:p>
      <w:pPr>
        <w:spacing w:after="0" w:line="126" w:lineRule="exact"/>
        <w:rPr>
          <w:sz w:val="20"/>
          <w:szCs w:val="20"/>
          <w:color w:val="auto"/>
        </w:rPr>
      </w:pPr>
    </w:p>
    <w:p>
      <w:pPr>
        <w:ind w:right="6660" w:firstLine="8"/>
        <w:spacing w:after="0" w:line="453" w:lineRule="auto"/>
        <w:tabs>
          <w:tab w:leader="none" w:pos="45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Capital Expenditures</w:t>
      </w:r>
    </w:p>
    <w:p>
      <w:pPr>
        <w:spacing w:after="0" w:line="2" w:lineRule="exact"/>
        <w:rPr>
          <w:sz w:val="20"/>
          <w:szCs w:val="20"/>
          <w:color w:val="auto"/>
        </w:rPr>
      </w:pPr>
    </w:p>
    <w:p>
      <w:pPr>
        <w:ind w:right="1720"/>
        <w:spacing w:after="0" w:line="461" w:lineRule="auto"/>
        <w:rPr>
          <w:sz w:val="20"/>
          <w:szCs w:val="20"/>
          <w:color w:val="auto"/>
        </w:rPr>
      </w:pPr>
      <w:r>
        <w:rPr>
          <w:rFonts w:ascii="Arial" w:cs="Arial" w:eastAsia="Arial" w:hAnsi="Arial"/>
          <w:sz w:val="18"/>
          <w:szCs w:val="18"/>
          <w:color w:val="auto"/>
        </w:rPr>
        <w:t xml:space="preserve">At September 24, 2023, we had construction and equipment purchase commitments totaling approximately $3.7 million. </w:t>
      </w:r>
      <w:r>
        <w:rPr>
          <w:rFonts w:ascii="Arial" w:cs="Arial" w:eastAsia="Arial" w:hAnsi="Arial"/>
          <w:sz w:val="18"/>
          <w:szCs w:val="18"/>
          <w:b w:val="1"/>
          <w:bCs w:val="1"/>
          <w:color w:val="auto"/>
        </w:rPr>
        <w:t>Income Taxes</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Commitments exclude unrecognized tax benefits to be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We are unable to reasonably estimate the ultimate amount or timing of cash settlements with the respective taxing authorities for such matters. See Note 12.</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file income tax returns with the Internal Revenue Service and various state tax jurisdictions. From time to time, we are subject to routine audits by those agencies, and those audits may result in proposed adjustments. We have considered the alternative interpretations that may be assumed by the various taxing agencies, believe our positions taken regarding our filings are valid, and that adequate tax liabilities have been recorded to resolve such matters. However, the actual outcome cannot be determined with certainty and the difference could be material, either positively or negatively, to the Consolidated Statements of Income and Comprehensive Income (Loss) in the periods in which such matters are ultimately determined. We do not believe the final resolution of such matters will be material to our consolidated financial position or cash flows.</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various income tax examinations ongoing and at various stages of completion, but generally our income tax returns have been audited or closed to audit through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 Enterprises, Incorporated</w:t>
      </w:r>
    </w:p>
    <w:p>
      <w:pPr>
        <w:spacing w:after="0"/>
        <w:rPr>
          <w:sz w:val="20"/>
          <w:szCs w:val="20"/>
          <w:color w:val="auto"/>
        </w:rPr>
      </w:pPr>
      <w:r>
        <w:rPr>
          <w:rFonts w:ascii="Arial" w:cs="Arial" w:eastAsia="Arial" w:hAnsi="Arial"/>
          <w:sz w:val="18"/>
          <w:szCs w:val="18"/>
          <w:color w:val="auto"/>
        </w:rPr>
        <w:t>Davenport, Iowa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Lee Enterprises, Incorporated (the “Company”) as of September 24, 2023 and September 25, 2022, the related consolidated statements of income (loss) and comprehensive income (loss), stockholders’ equity (deficit), and cash flows for the fiscal years ended September 24, 2023 and September 25, 2022, and the related notes (collectively referred to as the “consolidated financial statements”). In our opinion, the consolidated financial statements present fairly, in all material respects, the financial position of the Company at September 24, 2023, and September 25, 2022, and the results of its operations and its cash flows for the fiscal years ended September 24, 2023, and September 25, 2022</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September 24, 2023,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(“COSO”)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8, 2023, expressed an adverse opinion thereon.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related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indefinite-lived mastheads</w:t>
      </w:r>
    </w:p>
    <w:p>
      <w:pPr>
        <w:spacing w:after="0" w:line="23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described in Notes 1 and 4 to the consolidated financial statements, the Company’s non-amortized intangible assets in mastheads are $18.7 million as of September 24, 2023. The Company reviews the indefinite-lived mastheads for impairment on an annual basis or more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frequently if events or changes in circumstances indicate the assets might be impaired. The impairment test consists of comparing the fair value of each masthead with its carrying amount. The Company determines fair value using the relief from royalty method, which utilizes a discounted cash flow model to determine the fair value of each masthead. The significant assumptions used in the determination of the fair value of indefinite-lived mastheads are the discount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rate (weighted-average cost of capital) and royalty rates. During the year ended September 24, 2023, the Company recognized impairments of $7.7 million on these indefinite-lived mastheads.</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identified the determination of the fair values of the indefinite-lived mastheads as a critical audit matter because of the significant estimates and assumptions the Company makes to calculate their fair value, specifically the discount rate and royalty rates. Auditing the significant assumptions involved a high degree of subjective auditor judgment due to their significant estimation uncertainty, including the extent of specialized skills and knowledge needed.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primary procedures we performed to address this critical audit matter:</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Utilizing personnel with specialized skills and knowledge in valuation, who assisted in:</w:t>
      </w:r>
    </w:p>
    <w:p>
      <w:pPr>
        <w:spacing w:after="0" w:line="238" w:lineRule="exact"/>
        <w:rPr>
          <w:rFonts w:ascii="Arial" w:cs="Arial" w:eastAsia="Arial" w:hAnsi="Arial"/>
          <w:sz w:val="18"/>
          <w:szCs w:val="18"/>
          <w:color w:val="auto"/>
        </w:rPr>
      </w:pPr>
    </w:p>
    <w:p>
      <w:pPr>
        <w:ind w:left="1300" w:hanging="320"/>
        <w:spacing w:after="0" w:line="271" w:lineRule="auto"/>
        <w:tabs>
          <w:tab w:leader="none" w:pos="12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Evaluating the discount rate by developing an independent expectation range using independently obtained market data of guideline public companies and compared to the rate used by the Company; and</w:t>
      </w:r>
    </w:p>
    <w:p>
      <w:pPr>
        <w:spacing w:after="0" w:line="180" w:lineRule="exact"/>
        <w:rPr>
          <w:rFonts w:ascii="Arial" w:cs="Arial" w:eastAsia="Arial" w:hAnsi="Arial"/>
          <w:sz w:val="18"/>
          <w:szCs w:val="18"/>
          <w:color w:val="auto"/>
        </w:rPr>
      </w:pPr>
    </w:p>
    <w:p>
      <w:pPr>
        <w:ind w:left="1300" w:hanging="320"/>
        <w:spacing w:after="0" w:line="271" w:lineRule="auto"/>
        <w:tabs>
          <w:tab w:leader="none" w:pos="12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Evaluating the royalty rates by (i) evaluating management’s profit-split analysis and (ii) comparing them to a range based on publicly available royalty rates.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8, 2023</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Lee Enterprises, Incorporated: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Consolidated Financial Statements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statements of income (loss) and comprehensive income (loss), stockholders’ equity (deficit), and cash flows of Lee Enterprises, Incorporated and subsidiaries (the Company) for the 52-week period ended September 26, 2021, and the related notes (collectively, the consolidated financial statements). In our opinion, the consolidated financial statements present fairly, in all material respects, the results of the Company’s operations and its cash flows for the 52-week period ended September 26, 2021, in conformity with U.S. generally accepted accounting principles.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2008 to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10, 2021</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720" w:type="dxa"/>
            <w:vAlign w:val="bottom"/>
            <w:tcBorders>
              <w:bottom w:val="single" w:sz="8" w:color="auto"/>
            </w:tcBorders>
            <w:gridSpan w:val="18"/>
          </w:tcPr>
          <w:p>
            <w:pPr>
              <w:ind w:left="1180"/>
              <w:spacing w:after="0"/>
              <w:rPr>
                <w:sz w:val="20"/>
                <w:szCs w:val="20"/>
                <w:color w:val="auto"/>
              </w:rPr>
            </w:pPr>
            <w:r>
              <w:rPr>
                <w:rFonts w:ascii="Arial" w:cs="Arial" w:eastAsia="Arial" w:hAnsi="Arial"/>
                <w:sz w:val="18"/>
                <w:szCs w:val="18"/>
                <w:color w:val="auto"/>
              </w:rPr>
              <w:t>Description</w:t>
            </w:r>
          </w:p>
        </w:tc>
      </w:tr>
      <w:tr>
        <w:trPr>
          <w:trHeight w:val="457"/>
        </w:trPr>
        <w:tc>
          <w:tcPr>
            <w:tcW w:w="1260" w:type="dxa"/>
            <w:vAlign w:val="bottom"/>
          </w:tcPr>
          <w:p>
            <w:pPr>
              <w:ind w:left="20"/>
              <w:spacing w:after="0"/>
              <w:rPr>
                <w:sz w:val="20"/>
                <w:szCs w:val="20"/>
                <w:color w:val="auto"/>
              </w:rPr>
            </w:pPr>
            <w:r>
              <w:rPr>
                <w:rFonts w:ascii="Arial" w:cs="Arial" w:eastAsia="Arial" w:hAnsi="Arial"/>
                <w:sz w:val="18"/>
                <w:szCs w:val="18"/>
                <w:color w:val="auto"/>
              </w:rPr>
              <w:t>3.1 *</w:t>
            </w:r>
          </w:p>
        </w:tc>
        <w:tc>
          <w:tcPr>
            <w:tcW w:w="10080" w:type="dxa"/>
            <w:vAlign w:val="bottom"/>
            <w:gridSpan w:val="24"/>
          </w:tcPr>
          <w:p>
            <w:pPr>
              <w:spacing w:after="0"/>
              <w:rPr>
                <w:rFonts w:ascii="Arial" w:cs="Arial" w:eastAsia="Arial" w:hAnsi="Arial"/>
                <w:sz w:val="18"/>
                <w:szCs w:val="18"/>
                <w:color w:val="0000EE"/>
              </w:rPr>
            </w:pPr>
            <w:hyperlink r:id="rId105">
              <w:r>
                <w:rPr>
                  <w:rFonts w:ascii="Arial" w:cs="Arial" w:eastAsia="Arial" w:hAnsi="Arial"/>
                  <w:sz w:val="18"/>
                  <w:szCs w:val="18"/>
                  <w:color w:val="0000EE"/>
                </w:rPr>
                <w:t>Amended and Restated Certificate of Incorporation of Lee Enterprises, Incorporated effective as of January 30, 2012 (Exhibit</w:t>
              </w:r>
            </w:hyperlink>
          </w:p>
        </w:tc>
      </w:tr>
      <w:tr>
        <w:trPr>
          <w:trHeight w:val="183"/>
        </w:trPr>
        <w:tc>
          <w:tcPr>
            <w:tcW w:w="1260" w:type="dxa"/>
            <w:vAlign w:val="bottom"/>
          </w:tcPr>
          <w:p>
            <w:pPr>
              <w:spacing w:after="0"/>
              <w:rPr>
                <w:sz w:val="15"/>
                <w:szCs w:val="15"/>
                <w:color w:val="auto"/>
              </w:rPr>
            </w:pPr>
          </w:p>
        </w:tc>
        <w:tc>
          <w:tcPr>
            <w:tcW w:w="1002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Form 8-K filed on February 3, 2012)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3.2 *</w:t>
            </w:r>
          </w:p>
        </w:tc>
        <w:tc>
          <w:tcPr>
            <w:tcW w:w="10080" w:type="dxa"/>
            <w:vAlign w:val="bottom"/>
            <w:gridSpan w:val="24"/>
          </w:tcPr>
          <w:p>
            <w:pPr>
              <w:spacing w:after="0"/>
              <w:rPr>
                <w:rFonts w:ascii="Arial" w:cs="Arial" w:eastAsia="Arial" w:hAnsi="Arial"/>
                <w:sz w:val="18"/>
                <w:szCs w:val="18"/>
                <w:color w:val="0000EE"/>
              </w:rPr>
            </w:pPr>
            <w:hyperlink r:id="rId106">
              <w:r>
                <w:rPr>
                  <w:rFonts w:ascii="Arial" w:cs="Arial" w:eastAsia="Arial" w:hAnsi="Arial"/>
                  <w:sz w:val="18"/>
                  <w:szCs w:val="18"/>
                  <w:color w:val="0000EE"/>
                </w:rPr>
                <w:t>Second Amended and Restated By-Laws of Lee Enterprises, Incorporated effective as of June 26, 2019 (Exhibit 3.1 to Form</w:t>
              </w:r>
            </w:hyperlink>
          </w:p>
        </w:tc>
      </w:tr>
      <w:tr>
        <w:trPr>
          <w:trHeight w:val="183"/>
        </w:trPr>
        <w:tc>
          <w:tcPr>
            <w:tcW w:w="126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106">
              <w:r>
                <w:rPr>
                  <w:rFonts w:ascii="Arial" w:cs="Arial" w:eastAsia="Arial" w:hAnsi="Arial"/>
                  <w:sz w:val="18"/>
                  <w:szCs w:val="18"/>
                  <w:color w:val="0000EE"/>
                  <w:w w:val="99"/>
                </w:rPr>
                <w:t>8-K filed June 27, 2019)</w:t>
              </w:r>
            </w:hyperlink>
          </w:p>
        </w:tc>
        <w:tc>
          <w:tcPr>
            <w:tcW w:w="8120" w:type="dxa"/>
            <w:vAlign w:val="bottom"/>
            <w:tcBorders>
              <w:top w:val="single" w:sz="8" w:color="0000EE"/>
            </w:tcBorders>
            <w:gridSpan w:val="2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4.1 *</w:t>
            </w:r>
          </w:p>
        </w:tc>
        <w:tc>
          <w:tcPr>
            <w:tcW w:w="10080" w:type="dxa"/>
            <w:vAlign w:val="bottom"/>
            <w:gridSpan w:val="24"/>
          </w:tcPr>
          <w:p>
            <w:pPr>
              <w:spacing w:after="0"/>
              <w:rPr>
                <w:rFonts w:ascii="Arial" w:cs="Arial" w:eastAsia="Arial" w:hAnsi="Arial"/>
                <w:sz w:val="18"/>
                <w:szCs w:val="18"/>
                <w:color w:val="0000EE"/>
              </w:rPr>
            </w:pPr>
            <w:hyperlink r:id="rId107">
              <w:r>
                <w:rPr>
                  <w:rFonts w:ascii="Arial" w:cs="Arial" w:eastAsia="Arial" w:hAnsi="Arial"/>
                  <w:sz w:val="18"/>
                  <w:szCs w:val="18"/>
                  <w:color w:val="0000EE"/>
                </w:rPr>
                <w:t>Form of Indenture of Lee Enterprises, Incorporated (Exhibit 4.3 to Form S-3 Registration Statement filed on February 10,</w:t>
              </w:r>
            </w:hyperlink>
          </w:p>
        </w:tc>
      </w:tr>
      <w:tr>
        <w:trPr>
          <w:trHeight w:val="183"/>
        </w:trPr>
        <w:tc>
          <w:tcPr>
            <w:tcW w:w="126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5"/>
              </w:rPr>
            </w:pPr>
            <w:hyperlink r:id="rId107">
              <w:r>
                <w:rPr>
                  <w:rFonts w:ascii="Arial" w:cs="Arial" w:eastAsia="Arial" w:hAnsi="Arial"/>
                  <w:sz w:val="18"/>
                  <w:szCs w:val="18"/>
                  <w:color w:val="0000EE"/>
                  <w:w w:val="95"/>
                </w:rPr>
                <w:t>2020)</w:t>
              </w:r>
            </w:hyperlink>
          </w:p>
        </w:tc>
        <w:tc>
          <w:tcPr>
            <w:tcW w:w="14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344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4.2 *</w:t>
            </w:r>
          </w:p>
        </w:tc>
        <w:tc>
          <w:tcPr>
            <w:tcW w:w="10080" w:type="dxa"/>
            <w:vAlign w:val="bottom"/>
            <w:gridSpan w:val="24"/>
          </w:tcPr>
          <w:p>
            <w:pPr>
              <w:spacing w:after="0"/>
              <w:rPr>
                <w:rFonts w:ascii="Arial" w:cs="Arial" w:eastAsia="Arial" w:hAnsi="Arial"/>
                <w:sz w:val="18"/>
                <w:szCs w:val="18"/>
                <w:color w:val="0000EE"/>
              </w:rPr>
            </w:pPr>
            <w:hyperlink r:id="rId108">
              <w:r>
                <w:rPr>
                  <w:rFonts w:ascii="Arial" w:cs="Arial" w:eastAsia="Arial" w:hAnsi="Arial"/>
                  <w:sz w:val="18"/>
                  <w:szCs w:val="18"/>
                  <w:color w:val="0000EE"/>
                </w:rPr>
                <w:t>Warrant Agreement dated as of March 31, 2014 between Lee Enterprises, Incorporated and Equiniti Trust Company</w:t>
              </w:r>
            </w:hyperlink>
          </w:p>
        </w:tc>
      </w:tr>
      <w:tr>
        <w:trPr>
          <w:trHeight w:val="183"/>
        </w:trPr>
        <w:tc>
          <w:tcPr>
            <w:tcW w:w="1260" w:type="dxa"/>
            <w:vAlign w:val="bottom"/>
          </w:tcPr>
          <w:p>
            <w:pPr>
              <w:spacing w:after="0"/>
              <w:rPr>
                <w:sz w:val="15"/>
                <w:szCs w:val="15"/>
                <w:color w:val="auto"/>
              </w:rPr>
            </w:pPr>
          </w:p>
        </w:tc>
        <w:tc>
          <w:tcPr>
            <w:tcW w:w="768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r:id="rId108">
              <w:r>
                <w:rPr>
                  <w:rFonts w:ascii="Arial" w:cs="Arial" w:eastAsia="Arial" w:hAnsi="Arial"/>
                  <w:sz w:val="18"/>
                  <w:szCs w:val="18"/>
                  <w:color w:val="0000EE"/>
                  <w:w w:val="99"/>
                </w:rPr>
                <w:t>(formerly Wells Fargo Bank, National Association) (Exhibit 4.2 to Form 8-K filed on April 4, 2014)</w:t>
              </w:r>
            </w:hyperlink>
          </w:p>
        </w:tc>
        <w:tc>
          <w:tcPr>
            <w:tcW w:w="2380" w:type="dxa"/>
            <w:vAlign w:val="bottom"/>
            <w:tcBorders>
              <w:top w:val="single" w:sz="8" w:color="0000EE"/>
            </w:tcBorders>
            <w:gridSpan w:val="14"/>
          </w:tcPr>
          <w:p>
            <w:pPr>
              <w:spacing w:after="0"/>
              <w:rPr>
                <w:sz w:val="15"/>
                <w:szCs w:val="15"/>
                <w:color w:val="auto"/>
              </w:rPr>
            </w:pPr>
          </w:p>
        </w:tc>
        <w:tc>
          <w:tcPr>
            <w:tcW w:w="20" w:type="dxa"/>
            <w:vAlign w:val="bottom"/>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4.3 *</w:t>
            </w:r>
          </w:p>
        </w:tc>
        <w:tc>
          <w:tcPr>
            <w:tcW w:w="10080" w:type="dxa"/>
            <w:vAlign w:val="bottom"/>
            <w:gridSpan w:val="24"/>
          </w:tcPr>
          <w:p>
            <w:pPr>
              <w:spacing w:after="0"/>
              <w:rPr>
                <w:rFonts w:ascii="Arial" w:cs="Arial" w:eastAsia="Arial" w:hAnsi="Arial"/>
                <w:sz w:val="18"/>
                <w:szCs w:val="18"/>
                <w:color w:val="0000EE"/>
              </w:rPr>
            </w:pPr>
            <w:hyperlink r:id="rId109">
              <w:r>
                <w:rPr>
                  <w:rFonts w:ascii="Arial" w:cs="Arial" w:eastAsia="Arial" w:hAnsi="Arial"/>
                  <w:sz w:val="18"/>
                  <w:szCs w:val="18"/>
                  <w:color w:val="0000EE"/>
                </w:rPr>
                <w:t>Registration Rights Agreement dated as of March 31, 2014 among Lee Enterprises, Incorporated, Mudrick Capital</w:t>
              </w:r>
            </w:hyperlink>
          </w:p>
        </w:tc>
      </w:tr>
      <w:tr>
        <w:trPr>
          <w:trHeight w:val="183"/>
        </w:trPr>
        <w:tc>
          <w:tcPr>
            <w:tcW w:w="1260" w:type="dxa"/>
            <w:vAlign w:val="bottom"/>
          </w:tcPr>
          <w:p>
            <w:pPr>
              <w:spacing w:after="0"/>
              <w:rPr>
                <w:sz w:val="15"/>
                <w:szCs w:val="15"/>
                <w:color w:val="auto"/>
              </w:rPr>
            </w:pPr>
          </w:p>
        </w:tc>
        <w:tc>
          <w:tcPr>
            <w:tcW w:w="996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rPr>
            </w:pPr>
            <w:hyperlink r:id="rId109">
              <w:r>
                <w:rPr>
                  <w:rFonts w:ascii="Arial" w:cs="Arial" w:eastAsia="Arial" w:hAnsi="Arial"/>
                  <w:sz w:val="18"/>
                  <w:szCs w:val="18"/>
                  <w:color w:val="0000EE"/>
                </w:rPr>
                <w:t>Management, LP, Hawkeye Capital Management, LLC, Cohanzick Management, LLC, Aristeia Capital, L.L.C., CVC Credit</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r>
      <w:tr>
        <w:trPr>
          <w:trHeight w:val="196"/>
        </w:trPr>
        <w:tc>
          <w:tcPr>
            <w:tcW w:w="126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6" w:lineRule="exact"/>
              <w:rPr>
                <w:rFonts w:ascii="Arial" w:cs="Arial" w:eastAsia="Arial" w:hAnsi="Arial"/>
                <w:sz w:val="18"/>
                <w:szCs w:val="18"/>
                <w:color w:val="0000EE"/>
                <w:w w:val="99"/>
              </w:rPr>
            </w:pPr>
            <w:hyperlink r:id="rId109">
              <w:r>
                <w:rPr>
                  <w:rFonts w:ascii="Arial" w:cs="Arial" w:eastAsia="Arial" w:hAnsi="Arial"/>
                  <w:sz w:val="18"/>
                  <w:szCs w:val="18"/>
                  <w:color w:val="0000EE"/>
                  <w:w w:val="99"/>
                </w:rPr>
                <w:t>Partners, LLC, Franklin Mutual Advisors, LLC and Wingspan Master Fund, LP (Exhibit 4.3 to Form 8-K filed on April 4, 2014)</w:t>
              </w:r>
            </w:hyperlink>
          </w:p>
        </w:tc>
        <w:tc>
          <w:tcPr>
            <w:tcW w:w="180" w:type="dxa"/>
            <w:vAlign w:val="bottom"/>
            <w:gridSpan w:val="8"/>
          </w:tcPr>
          <w:p>
            <w:pPr>
              <w:spacing w:after="0"/>
              <w:rPr>
                <w:sz w:val="17"/>
                <w:szCs w:val="17"/>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4.4 *</w:t>
            </w:r>
          </w:p>
        </w:tc>
        <w:tc>
          <w:tcPr>
            <w:tcW w:w="10080" w:type="dxa"/>
            <w:vAlign w:val="bottom"/>
            <w:gridSpan w:val="24"/>
          </w:tcPr>
          <w:p>
            <w:pPr>
              <w:spacing w:after="0"/>
              <w:rPr>
                <w:rFonts w:ascii="Arial" w:cs="Arial" w:eastAsia="Arial" w:hAnsi="Arial"/>
                <w:sz w:val="18"/>
                <w:szCs w:val="18"/>
                <w:color w:val="0000EE"/>
              </w:rPr>
            </w:pPr>
            <w:hyperlink r:id="rId110">
              <w:r>
                <w:rPr>
                  <w:rFonts w:ascii="Arial" w:cs="Arial" w:eastAsia="Arial" w:hAnsi="Arial"/>
                  <w:sz w:val="18"/>
                  <w:szCs w:val="18"/>
                  <w:color w:val="0000EE"/>
                </w:rPr>
                <w:t>Rights Agreement dated as of November 24, 2021, between Lee Enterprises, Incorporated and Equiniti Trust Company, as</w:t>
              </w:r>
            </w:hyperlink>
          </w:p>
        </w:tc>
      </w:tr>
      <w:tr>
        <w:trPr>
          <w:trHeight w:val="183"/>
        </w:trPr>
        <w:tc>
          <w:tcPr>
            <w:tcW w:w="1260" w:type="dxa"/>
            <w:vAlign w:val="bottom"/>
          </w:tcPr>
          <w:p>
            <w:pPr>
              <w:spacing w:after="0"/>
              <w:rPr>
                <w:sz w:val="15"/>
                <w:szCs w:val="15"/>
                <w:color w:val="auto"/>
              </w:rPr>
            </w:pPr>
          </w:p>
        </w:tc>
        <w:tc>
          <w:tcPr>
            <w:tcW w:w="68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110">
              <w:r>
                <w:rPr>
                  <w:rFonts w:ascii="Arial" w:cs="Arial" w:eastAsia="Arial" w:hAnsi="Arial"/>
                  <w:sz w:val="18"/>
                  <w:szCs w:val="18"/>
                  <w:color w:val="0000EE"/>
                  <w:w w:val="99"/>
                </w:rPr>
                <w:t>Rights Agent (Exhibit 4.1 to Current Report on Form 8-K filed on November 24, 2021)</w:t>
              </w:r>
            </w:hyperlink>
          </w:p>
        </w:tc>
        <w:tc>
          <w:tcPr>
            <w:tcW w:w="2960" w:type="dxa"/>
            <w:vAlign w:val="bottom"/>
            <w:tcBorders>
              <w:top w:val="single" w:sz="8" w:color="0000EE"/>
            </w:tcBorders>
            <w:gridSpan w:val="8"/>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10.1 *</w:t>
            </w:r>
          </w:p>
        </w:tc>
        <w:tc>
          <w:tcPr>
            <w:tcW w:w="10080" w:type="dxa"/>
            <w:vAlign w:val="bottom"/>
            <w:gridSpan w:val="24"/>
          </w:tcPr>
          <w:p>
            <w:pPr>
              <w:spacing w:after="0"/>
              <w:rPr>
                <w:rFonts w:ascii="Arial" w:cs="Arial" w:eastAsia="Arial" w:hAnsi="Arial"/>
                <w:sz w:val="18"/>
                <w:szCs w:val="18"/>
                <w:color w:val="0000EE"/>
              </w:rPr>
            </w:pPr>
            <w:hyperlink r:id="rId111">
              <w:r>
                <w:rPr>
                  <w:rFonts w:ascii="Arial" w:cs="Arial" w:eastAsia="Arial" w:hAnsi="Arial"/>
                  <w:sz w:val="18"/>
                  <w:szCs w:val="18"/>
                  <w:color w:val="0000EE"/>
                </w:rPr>
                <w:t>Asset and Stock Purchase Agreement dated January 29, 2020 by and among Lee Enterprises, Incorporated, Berkshire</w:t>
              </w:r>
            </w:hyperlink>
          </w:p>
        </w:tc>
      </w:tr>
      <w:tr>
        <w:trPr>
          <w:trHeight w:val="183"/>
        </w:trPr>
        <w:tc>
          <w:tcPr>
            <w:tcW w:w="1260" w:type="dxa"/>
            <w:vAlign w:val="bottom"/>
          </w:tcPr>
          <w:p>
            <w:pPr>
              <w:spacing w:after="0"/>
              <w:rPr>
                <w:sz w:val="15"/>
                <w:szCs w:val="15"/>
                <w:color w:val="auto"/>
              </w:rPr>
            </w:pPr>
          </w:p>
        </w:tc>
        <w:tc>
          <w:tcPr>
            <w:tcW w:w="74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111">
              <w:r>
                <w:rPr>
                  <w:rFonts w:ascii="Arial" w:cs="Arial" w:eastAsia="Arial" w:hAnsi="Arial"/>
                  <w:sz w:val="18"/>
                  <w:szCs w:val="18"/>
                  <w:color w:val="0000EE"/>
                  <w:w w:val="99"/>
                </w:rPr>
                <w:t>Hathaway Inc. and BH Media Group, Inc. (Exhibit 10.1 to Form 8-K filed on January 29, 2020)</w:t>
              </w:r>
            </w:hyperlink>
          </w:p>
        </w:tc>
        <w:tc>
          <w:tcPr>
            <w:tcW w:w="2000" w:type="dxa"/>
            <w:vAlign w:val="bottom"/>
            <w:tcBorders>
              <w:top w:val="single" w:sz="8" w:color="0000EE"/>
            </w:tcBorders>
            <w:gridSpan w:val="5"/>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10.2 *</w:t>
            </w:r>
          </w:p>
        </w:tc>
        <w:tc>
          <w:tcPr>
            <w:tcW w:w="10080" w:type="dxa"/>
            <w:vAlign w:val="bottom"/>
            <w:gridSpan w:val="24"/>
          </w:tcPr>
          <w:p>
            <w:pPr>
              <w:spacing w:after="0"/>
              <w:rPr>
                <w:rFonts w:ascii="Arial" w:cs="Arial" w:eastAsia="Arial" w:hAnsi="Arial"/>
                <w:sz w:val="18"/>
                <w:szCs w:val="18"/>
                <w:color w:val="0000EE"/>
              </w:rPr>
            </w:pPr>
            <w:hyperlink r:id="rId112">
              <w:r>
                <w:rPr>
                  <w:rFonts w:ascii="Arial" w:cs="Arial" w:eastAsia="Arial" w:hAnsi="Arial"/>
                  <w:sz w:val="18"/>
                  <w:szCs w:val="18"/>
                  <w:color w:val="0000EE"/>
                </w:rPr>
                <w:t>Credit Agreement dated January 29, 2020 by and between Lee Enterprises, Incorporated and BH Finance LLC (Exhibit 10.2</w:t>
              </w:r>
            </w:hyperlink>
          </w:p>
        </w:tc>
      </w:tr>
      <w:tr>
        <w:trPr>
          <w:trHeight w:val="183"/>
        </w:trPr>
        <w:tc>
          <w:tcPr>
            <w:tcW w:w="1260" w:type="dxa"/>
            <w:vAlign w:val="bottom"/>
          </w:tcPr>
          <w:p>
            <w:pPr>
              <w:spacing w:after="0"/>
              <w:rPr>
                <w:sz w:val="15"/>
                <w:szCs w:val="15"/>
                <w:color w:val="auto"/>
              </w:rPr>
            </w:pPr>
          </w:p>
        </w:tc>
        <w:tc>
          <w:tcPr>
            <w:tcW w:w="1000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12">
              <w:r>
                <w:rPr>
                  <w:rFonts w:ascii="Arial" w:cs="Arial" w:eastAsia="Arial" w:hAnsi="Arial"/>
                  <w:sz w:val="18"/>
                  <w:szCs w:val="18"/>
                  <w:color w:val="0000EE"/>
                </w:rPr>
                <w:t>to Form 8-K filed on January 29, 2020)</w:t>
              </w:r>
            </w:hyperlink>
          </w:p>
        </w:tc>
        <w:tc>
          <w:tcPr>
            <w:tcW w:w="80" w:type="dxa"/>
            <w:vAlign w:val="bottom"/>
            <w:gridSpan w:val="4"/>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10.3 *</w:t>
            </w:r>
          </w:p>
        </w:tc>
        <w:tc>
          <w:tcPr>
            <w:tcW w:w="10080" w:type="dxa"/>
            <w:vAlign w:val="bottom"/>
            <w:gridSpan w:val="24"/>
          </w:tcPr>
          <w:p>
            <w:pPr>
              <w:spacing w:after="0"/>
              <w:rPr>
                <w:rFonts w:ascii="Arial" w:cs="Arial" w:eastAsia="Arial" w:hAnsi="Arial"/>
                <w:sz w:val="18"/>
                <w:szCs w:val="18"/>
                <w:color w:val="0000EE"/>
              </w:rPr>
            </w:pPr>
            <w:hyperlink r:id="rId113">
              <w:r>
                <w:rPr>
                  <w:rFonts w:ascii="Arial" w:cs="Arial" w:eastAsia="Arial" w:hAnsi="Arial"/>
                  <w:sz w:val="18"/>
                  <w:szCs w:val="18"/>
                  <w:color w:val="0000EE"/>
                </w:rPr>
                <w:t>Form of Lease Agreement by and between Lee Enterprises, Incorporated and BH Media Group, Inc. (Exhibit 10.3 to Form 8-</w:t>
              </w:r>
            </w:hyperlink>
          </w:p>
        </w:tc>
      </w:tr>
      <w:tr>
        <w:trPr>
          <w:trHeight w:val="183"/>
        </w:trPr>
        <w:tc>
          <w:tcPr>
            <w:tcW w:w="1260" w:type="dxa"/>
            <w:vAlign w:val="bottom"/>
          </w:tcPr>
          <w:p>
            <w:pPr>
              <w:spacing w:after="0"/>
              <w:rPr>
                <w:sz w:val="15"/>
                <w:szCs w:val="15"/>
                <w:color w:val="auto"/>
              </w:rPr>
            </w:pPr>
          </w:p>
        </w:tc>
        <w:tc>
          <w:tcPr>
            <w:tcW w:w="22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K filed on January 29, 2020)</w:t>
              </w:r>
            </w:hyperlink>
          </w:p>
        </w:tc>
        <w:tc>
          <w:tcPr>
            <w:tcW w:w="7640" w:type="dxa"/>
            <w:vAlign w:val="bottom"/>
            <w:tcBorders>
              <w:top w:val="single" w:sz="8" w:color="0000EE"/>
            </w:tcBorders>
            <w:gridSpan w:val="13"/>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10.4 *</w:t>
            </w:r>
          </w:p>
        </w:tc>
        <w:tc>
          <w:tcPr>
            <w:tcW w:w="10080" w:type="dxa"/>
            <w:vAlign w:val="bottom"/>
            <w:gridSpan w:val="24"/>
          </w:tcPr>
          <w:p>
            <w:pPr>
              <w:spacing w:after="0"/>
              <w:rPr>
                <w:rFonts w:ascii="Arial" w:cs="Arial" w:eastAsia="Arial" w:hAnsi="Arial"/>
                <w:sz w:val="18"/>
                <w:szCs w:val="18"/>
                <w:color w:val="0000EE"/>
              </w:rPr>
            </w:pPr>
            <w:hyperlink r:id="rId114">
              <w:r>
                <w:rPr>
                  <w:rFonts w:ascii="Arial" w:cs="Arial" w:eastAsia="Arial" w:hAnsi="Arial"/>
                  <w:sz w:val="18"/>
                  <w:szCs w:val="18"/>
                  <w:color w:val="0000EE"/>
                </w:rPr>
                <w:t>Operating Agreement of St. Louis Post-Dispatch LLC, dated as of May 1, 2000, as amended by Amendment No. 1 to</w:t>
              </w:r>
            </w:hyperlink>
          </w:p>
        </w:tc>
      </w:tr>
      <w:tr>
        <w:trPr>
          <w:trHeight w:val="20"/>
        </w:trPr>
        <w:tc>
          <w:tcPr>
            <w:tcW w:w="126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5540" w:type="dxa"/>
            <w:vAlign w:val="bottom"/>
            <w:gridSpan w:val="6"/>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56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r:id="rId114">
              <w:r>
                <w:rPr>
                  <w:rFonts w:ascii="Arial" w:cs="Arial" w:eastAsia="Arial" w:hAnsi="Arial"/>
                  <w:sz w:val="18"/>
                  <w:szCs w:val="18"/>
                  <w:color w:val="0000EE"/>
                  <w:w w:val="99"/>
                </w:rPr>
                <w:t>Operating Agreement of St. Louis Post-Dispatch LLC, dated as of June 1, 2001 (Exhibit 10.5 to Form 10-Q for the Fiscal</w:t>
              </w:r>
            </w:hyperlink>
          </w:p>
        </w:tc>
        <w:tc>
          <w:tcPr>
            <w:tcW w:w="520" w:type="dxa"/>
            <w:vAlign w:val="bottom"/>
            <w:gridSpan w:val="10"/>
          </w:tcPr>
          <w:p>
            <w:pPr>
              <w:spacing w:after="0"/>
              <w:rPr>
                <w:sz w:val="15"/>
                <w:szCs w:val="15"/>
                <w:color w:val="auto"/>
              </w:rPr>
            </w:pPr>
          </w:p>
        </w:tc>
      </w:tr>
      <w:tr>
        <w:trPr>
          <w:trHeight w:val="196"/>
        </w:trPr>
        <w:tc>
          <w:tcPr>
            <w:tcW w:w="1260" w:type="dxa"/>
            <w:vAlign w:val="bottom"/>
          </w:tcPr>
          <w:p>
            <w:pPr>
              <w:spacing w:after="0"/>
              <w:rPr>
                <w:sz w:val="17"/>
                <w:szCs w:val="17"/>
                <w:color w:val="auto"/>
              </w:rPr>
            </w:pPr>
          </w:p>
        </w:tc>
        <w:tc>
          <w:tcPr>
            <w:tcW w:w="244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r:id="rId114">
              <w:r>
                <w:rPr>
                  <w:rFonts w:ascii="Arial" w:cs="Arial" w:eastAsia="Arial" w:hAnsi="Arial"/>
                  <w:sz w:val="18"/>
                  <w:szCs w:val="18"/>
                  <w:color w:val="0000EE"/>
                  <w:w w:val="99"/>
                </w:rPr>
                <w:t>Quarter Ended June 30, 2005)</w:t>
              </w:r>
            </w:hyperlink>
          </w:p>
        </w:tc>
        <w:tc>
          <w:tcPr>
            <w:tcW w:w="7640" w:type="dxa"/>
            <w:vAlign w:val="bottom"/>
            <w:gridSpan w:val="20"/>
          </w:tcPr>
          <w:p>
            <w:pPr>
              <w:spacing w:after="0"/>
              <w:rPr>
                <w:sz w:val="17"/>
                <w:szCs w:val="17"/>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10.5 *</w:t>
            </w:r>
          </w:p>
        </w:tc>
        <w:tc>
          <w:tcPr>
            <w:tcW w:w="10080" w:type="dxa"/>
            <w:vAlign w:val="bottom"/>
            <w:gridSpan w:val="24"/>
          </w:tcPr>
          <w:p>
            <w:pPr>
              <w:spacing w:after="0"/>
              <w:rPr>
                <w:rFonts w:ascii="Arial" w:cs="Arial" w:eastAsia="Arial" w:hAnsi="Arial"/>
                <w:sz w:val="18"/>
                <w:szCs w:val="18"/>
                <w:color w:val="0000EE"/>
              </w:rPr>
            </w:pPr>
            <w:hyperlink r:id="rId115">
              <w:r>
                <w:rPr>
                  <w:rFonts w:ascii="Arial" w:cs="Arial" w:eastAsia="Arial" w:hAnsi="Arial"/>
                  <w:sz w:val="18"/>
                  <w:szCs w:val="18"/>
                  <w:color w:val="0000EE"/>
                </w:rPr>
                <w:t>Amendment Number Two to Operating Agreement of St. Louis Post-Dispatch LLC, effective February 18, 2009, between</w:t>
              </w:r>
            </w:hyperlink>
          </w:p>
        </w:tc>
      </w:tr>
      <w:tr>
        <w:trPr>
          <w:trHeight w:val="183"/>
        </w:trPr>
        <w:tc>
          <w:tcPr>
            <w:tcW w:w="1260" w:type="dxa"/>
            <w:vAlign w:val="bottom"/>
          </w:tcPr>
          <w:p>
            <w:pPr>
              <w:spacing w:after="0"/>
              <w:rPr>
                <w:sz w:val="15"/>
                <w:szCs w:val="15"/>
                <w:color w:val="auto"/>
              </w:rPr>
            </w:pPr>
          </w:p>
        </w:tc>
        <w:tc>
          <w:tcPr>
            <w:tcW w:w="93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r:id="rId115">
              <w:r>
                <w:rPr>
                  <w:rFonts w:ascii="Arial" w:cs="Arial" w:eastAsia="Arial" w:hAnsi="Arial"/>
                  <w:sz w:val="18"/>
                  <w:szCs w:val="18"/>
                  <w:color w:val="0000EE"/>
                  <w:w w:val="99"/>
                </w:rPr>
                <w:t>Pulitzer Inc. and Pulitzer Technologies, Inc. (Exhibit 10.13 to Form 10-Q for the Fiscal Quarter Ended March 29, 2009)</w:t>
              </w:r>
            </w:hyperlink>
          </w:p>
        </w:tc>
        <w:tc>
          <w:tcPr>
            <w:tcW w:w="600" w:type="dxa"/>
            <w:vAlign w:val="bottom"/>
            <w:tcBorders>
              <w:top w:val="single" w:sz="8" w:color="0000EE"/>
            </w:tcBorders>
            <w:gridSpan w:val="7"/>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10.6 *</w:t>
            </w:r>
          </w:p>
        </w:tc>
        <w:tc>
          <w:tcPr>
            <w:tcW w:w="10080" w:type="dxa"/>
            <w:vAlign w:val="bottom"/>
            <w:gridSpan w:val="24"/>
          </w:tcPr>
          <w:p>
            <w:pPr>
              <w:spacing w:after="0"/>
              <w:rPr>
                <w:rFonts w:ascii="Arial" w:cs="Arial" w:eastAsia="Arial" w:hAnsi="Arial"/>
                <w:sz w:val="18"/>
                <w:szCs w:val="18"/>
                <w:color w:val="0000EE"/>
              </w:rPr>
            </w:pPr>
            <w:hyperlink r:id="rId116">
              <w:r>
                <w:rPr>
                  <w:rFonts w:ascii="Arial" w:cs="Arial" w:eastAsia="Arial" w:hAnsi="Arial"/>
                  <w:sz w:val="18"/>
                  <w:szCs w:val="18"/>
                  <w:color w:val="0000EE"/>
                </w:rPr>
                <w:t>Amended and Restated Joint Operating Agreement, dated December 22, 1988, between Star Publishing Company and</w:t>
              </w:r>
            </w:hyperlink>
          </w:p>
        </w:tc>
      </w:tr>
      <w:tr>
        <w:trPr>
          <w:trHeight w:val="183"/>
        </w:trPr>
        <w:tc>
          <w:tcPr>
            <w:tcW w:w="1260" w:type="dxa"/>
            <w:vAlign w:val="bottom"/>
          </w:tcPr>
          <w:p>
            <w:pPr>
              <w:spacing w:after="0"/>
              <w:rPr>
                <w:sz w:val="15"/>
                <w:szCs w:val="15"/>
                <w:color w:val="auto"/>
              </w:rPr>
            </w:pPr>
          </w:p>
        </w:tc>
        <w:tc>
          <w:tcPr>
            <w:tcW w:w="99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Citizen Publishing Company (Exhibit 10.2 to Form 10-Q for the Fiscal Quarter Ended June 30, 2005)</w:t>
              </w:r>
            </w:hyperlink>
          </w:p>
        </w:tc>
        <w:tc>
          <w:tcPr>
            <w:tcW w:w="140" w:type="dxa"/>
            <w:vAlign w:val="bottom"/>
            <w:gridSpan w:val="7"/>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46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spacing w:after="0"/>
              <w:rPr>
                <w:sz w:val="21"/>
                <w:szCs w:val="21"/>
                <w:color w:val="auto"/>
              </w:rPr>
            </w:pPr>
          </w:p>
        </w:tc>
        <w:tc>
          <w:tcPr>
            <w:tcW w:w="5540" w:type="dxa"/>
            <w:vAlign w:val="bottom"/>
            <w:tcBorders>
              <w:bottom w:val="single" w:sz="8" w:color="auto"/>
            </w:tcBorders>
            <w:gridSpan w:val="22"/>
          </w:tcPr>
          <w:p>
            <w:pPr>
              <w:ind w:left="10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01"/>
        </w:trPr>
        <w:tc>
          <w:tcPr>
            <w:tcW w:w="1260" w:type="dxa"/>
            <w:vAlign w:val="bottom"/>
          </w:tcPr>
          <w:p>
            <w:pPr>
              <w:ind w:left="20"/>
              <w:spacing w:after="0" w:line="201" w:lineRule="exact"/>
              <w:rPr>
                <w:sz w:val="20"/>
                <w:szCs w:val="20"/>
                <w:color w:val="auto"/>
              </w:rPr>
            </w:pPr>
            <w:r>
              <w:rPr>
                <w:rFonts w:ascii="Arial" w:cs="Arial" w:eastAsia="Arial" w:hAnsi="Arial"/>
                <w:sz w:val="18"/>
                <w:szCs w:val="18"/>
                <w:color w:val="auto"/>
              </w:rPr>
              <w:t>10.7 *</w:t>
            </w:r>
          </w:p>
        </w:tc>
        <w:tc>
          <w:tcPr>
            <w:tcW w:w="9960" w:type="dxa"/>
            <w:vAlign w:val="bottom"/>
            <w:tcBorders>
              <w:bottom w:val="single" w:sz="8" w:color="0000EE"/>
            </w:tcBorders>
            <w:gridSpan w:val="23"/>
          </w:tcPr>
          <w:p>
            <w:pPr>
              <w:spacing w:after="0" w:line="201" w:lineRule="exact"/>
              <w:rPr>
                <w:rFonts w:ascii="Arial" w:cs="Arial" w:eastAsia="Arial" w:hAnsi="Arial"/>
                <w:sz w:val="18"/>
                <w:szCs w:val="18"/>
                <w:color w:val="0000EE"/>
              </w:rPr>
            </w:pPr>
            <w:hyperlink r:id="rId119">
              <w:r>
                <w:rPr>
                  <w:rFonts w:ascii="Arial" w:cs="Arial" w:eastAsia="Arial" w:hAnsi="Arial"/>
                  <w:sz w:val="18"/>
                  <w:szCs w:val="18"/>
                  <w:color w:val="0000EE"/>
                </w:rPr>
                <w:t>Amended and Restated Partnership Agreement, dated as of November 30, 2009, between Star Publishing Company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4"/>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Citizen Publishing Company (Exhibit 10.2 to Form 10-Q for the Fiscal Quarter Ended December 27, 2009)</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260" w:type="dxa"/>
            <w:vAlign w:val="bottom"/>
          </w:tcPr>
          <w:p>
            <w:pPr>
              <w:ind w:left="20"/>
              <w:spacing w:after="0"/>
              <w:rPr>
                <w:sz w:val="20"/>
                <w:szCs w:val="20"/>
                <w:color w:val="auto"/>
              </w:rPr>
            </w:pPr>
            <w:r>
              <w:rPr>
                <w:rFonts w:ascii="Arial" w:cs="Arial" w:eastAsia="Arial" w:hAnsi="Arial"/>
                <w:sz w:val="18"/>
                <w:szCs w:val="18"/>
                <w:color w:val="auto"/>
              </w:rPr>
              <w:t>10.8 *</w:t>
            </w:r>
          </w:p>
        </w:tc>
        <w:tc>
          <w:tcPr>
            <w:tcW w:w="9960" w:type="dxa"/>
            <w:vAlign w:val="bottom"/>
            <w:tcBorders>
              <w:bottom w:val="single" w:sz="8" w:color="0000EE"/>
            </w:tcBorders>
            <w:gridSpan w:val="23"/>
          </w:tcPr>
          <w:p>
            <w:pPr>
              <w:spacing w:after="0"/>
              <w:rPr>
                <w:rFonts w:ascii="Arial" w:cs="Arial" w:eastAsia="Arial" w:hAnsi="Arial"/>
                <w:sz w:val="18"/>
                <w:szCs w:val="18"/>
                <w:color w:val="0000EE"/>
              </w:rPr>
            </w:pPr>
            <w:hyperlink r:id="rId120">
              <w:r>
                <w:rPr>
                  <w:rFonts w:ascii="Arial" w:cs="Arial" w:eastAsia="Arial" w:hAnsi="Arial"/>
                  <w:sz w:val="18"/>
                  <w:szCs w:val="18"/>
                  <w:color w:val="0000EE"/>
                </w:rPr>
                <w:t>Amended and Restated Management Agreement, dated as of November 30, 2009, between Star Publishing Company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4"/>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Citizen Publishing Company (Exhibit 10.1 to Form 10-Q for the Fiscal Quarter Ended December 27, 2009)</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260" w:type="dxa"/>
            <w:vAlign w:val="bottom"/>
          </w:tcPr>
          <w:p>
            <w:pPr>
              <w:ind w:left="20"/>
              <w:spacing w:after="0"/>
              <w:rPr>
                <w:sz w:val="20"/>
                <w:szCs w:val="20"/>
                <w:color w:val="auto"/>
              </w:rPr>
            </w:pPr>
            <w:r>
              <w:rPr>
                <w:rFonts w:ascii="Arial" w:cs="Arial" w:eastAsia="Arial" w:hAnsi="Arial"/>
                <w:sz w:val="18"/>
                <w:szCs w:val="18"/>
                <w:color w:val="auto"/>
              </w:rPr>
              <w:t>10.9 *</w:t>
            </w:r>
          </w:p>
        </w:tc>
        <w:tc>
          <w:tcPr>
            <w:tcW w:w="9380" w:type="dxa"/>
            <w:vAlign w:val="bottom"/>
            <w:tcBorders>
              <w:bottom w:val="single" w:sz="8" w:color="0000EE"/>
            </w:tcBorders>
            <w:gridSpan w:val="13"/>
          </w:tcPr>
          <w:p>
            <w:pPr>
              <w:spacing w:after="0"/>
              <w:rPr>
                <w:rFonts w:ascii="Arial" w:cs="Arial" w:eastAsia="Arial" w:hAnsi="Arial"/>
                <w:sz w:val="18"/>
                <w:szCs w:val="18"/>
                <w:color w:val="0000EE"/>
                <w:w w:val="99"/>
              </w:rPr>
            </w:pPr>
            <w:hyperlink r:id="rId121">
              <w:r>
                <w:rPr>
                  <w:rFonts w:ascii="Arial" w:cs="Arial" w:eastAsia="Arial" w:hAnsi="Arial"/>
                  <w:sz w:val="18"/>
                  <w:szCs w:val="18"/>
                  <w:color w:val="0000EE"/>
                  <w:w w:val="99"/>
                </w:rPr>
                <w:t>License Agreement (Star), as amended and restated November 30, 2009, between Star Publishing Company and TNI</w:t>
              </w:r>
            </w:hyperlink>
          </w:p>
        </w:tc>
        <w:tc>
          <w:tcPr>
            <w:tcW w:w="6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86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r:id="rId121">
              <w:r>
                <w:rPr>
                  <w:rFonts w:ascii="Arial" w:cs="Arial" w:eastAsia="Arial" w:hAnsi="Arial"/>
                  <w:sz w:val="18"/>
                  <w:szCs w:val="18"/>
                  <w:color w:val="0000EE"/>
                  <w:w w:val="99"/>
                </w:rPr>
                <w:t>Partners (Exhibit 10.3 to Form 10-Q for the Fiscal Quarter Ended December 27, 2009)</w:t>
              </w:r>
            </w:hyperlink>
          </w:p>
        </w:tc>
        <w:tc>
          <w:tcPr>
            <w:tcW w:w="31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10.10 *</w:t>
            </w:r>
          </w:p>
        </w:tc>
        <w:tc>
          <w:tcPr>
            <w:tcW w:w="9820" w:type="dxa"/>
            <w:vAlign w:val="bottom"/>
            <w:tcBorders>
              <w:bottom w:val="single" w:sz="8" w:color="0000EE"/>
            </w:tcBorders>
            <w:gridSpan w:val="17"/>
          </w:tcPr>
          <w:p>
            <w:pPr>
              <w:spacing w:after="0"/>
              <w:rPr>
                <w:rFonts w:ascii="Arial" w:cs="Arial" w:eastAsia="Arial" w:hAnsi="Arial"/>
                <w:sz w:val="18"/>
                <w:szCs w:val="18"/>
                <w:color w:val="0000EE"/>
                <w:w w:val="99"/>
              </w:rPr>
            </w:pPr>
            <w:hyperlink r:id="rId122">
              <w:r>
                <w:rPr>
                  <w:rFonts w:ascii="Arial" w:cs="Arial" w:eastAsia="Arial" w:hAnsi="Arial"/>
                  <w:sz w:val="18"/>
                  <w:szCs w:val="18"/>
                  <w:color w:val="0000EE"/>
                  <w:w w:val="99"/>
                </w:rPr>
                <w:t>License Agreement (Citizen), as amended and restated November 30, 2009, between Citizen Publishing Company and TNI</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86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r:id="rId122">
              <w:r>
                <w:rPr>
                  <w:rFonts w:ascii="Arial" w:cs="Arial" w:eastAsia="Arial" w:hAnsi="Arial"/>
                  <w:sz w:val="18"/>
                  <w:szCs w:val="18"/>
                  <w:color w:val="0000EE"/>
                  <w:w w:val="99"/>
                </w:rPr>
                <w:t>Partners (Exhibit 10.4 to Form 10-Q for the Fiscal Quarter Ended December 27, 2009)</w:t>
              </w:r>
            </w:hyperlink>
          </w:p>
        </w:tc>
        <w:tc>
          <w:tcPr>
            <w:tcW w:w="31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10.11 *</w:t>
            </w:r>
          </w:p>
        </w:tc>
        <w:tc>
          <w:tcPr>
            <w:tcW w:w="9860" w:type="dxa"/>
            <w:vAlign w:val="bottom"/>
            <w:tcBorders>
              <w:bottom w:val="single" w:sz="8" w:color="0000EE"/>
            </w:tcBorders>
            <w:gridSpan w:val="19"/>
          </w:tcPr>
          <w:p>
            <w:pPr>
              <w:spacing w:after="0"/>
              <w:rPr>
                <w:rFonts w:ascii="Arial" w:cs="Arial" w:eastAsia="Arial" w:hAnsi="Arial"/>
                <w:sz w:val="18"/>
                <w:szCs w:val="18"/>
                <w:color w:val="0000EE"/>
                <w:w w:val="99"/>
              </w:rPr>
            </w:pPr>
            <w:hyperlink r:id="rId123">
              <w:r>
                <w:rPr>
                  <w:rFonts w:ascii="Arial" w:cs="Arial" w:eastAsia="Arial" w:hAnsi="Arial"/>
                  <w:sz w:val="18"/>
                  <w:szCs w:val="18"/>
                  <w:color w:val="0000EE"/>
                  <w:w w:val="99"/>
                </w:rPr>
                <w:t>License Agreement, dated as of May 1, 2000, by and between Pulitzer Inc. and St. Louis Post-Dispatch LLC (Exhibit 10.7 to</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44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r:id="rId123">
              <w:r>
                <w:rPr>
                  <w:rFonts w:ascii="Arial" w:cs="Arial" w:eastAsia="Arial" w:hAnsi="Arial"/>
                  <w:sz w:val="18"/>
                  <w:szCs w:val="18"/>
                  <w:color w:val="0000EE"/>
                  <w:w w:val="99"/>
                </w:rPr>
                <w:t>Form 10-Q for the Fiscal Quarter Ended June 30, 2005)</w:t>
              </w:r>
            </w:hyperlink>
          </w:p>
        </w:tc>
        <w:tc>
          <w:tcPr>
            <w:tcW w:w="55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260" w:type="dxa"/>
            <w:vAlign w:val="bottom"/>
            <w:vMerge w:val="restart"/>
          </w:tcPr>
          <w:p>
            <w:pPr>
              <w:ind w:left="20"/>
              <w:spacing w:after="0"/>
              <w:rPr>
                <w:sz w:val="20"/>
                <w:szCs w:val="20"/>
                <w:color w:val="auto"/>
              </w:rPr>
            </w:pPr>
            <w:r>
              <w:rPr>
                <w:rFonts w:ascii="Arial" w:cs="Arial" w:eastAsia="Arial" w:hAnsi="Arial"/>
                <w:sz w:val="18"/>
                <w:szCs w:val="18"/>
                <w:color w:val="auto"/>
              </w:rPr>
              <w:t>10.12 *</w:t>
            </w:r>
          </w:p>
        </w:tc>
        <w:tc>
          <w:tcPr>
            <w:tcW w:w="9980" w:type="dxa"/>
            <w:vAlign w:val="bottom"/>
            <w:gridSpan w:val="24"/>
          </w:tcPr>
          <w:p>
            <w:pPr>
              <w:spacing w:after="0"/>
              <w:rPr>
                <w:rFonts w:ascii="Arial" w:cs="Arial" w:eastAsia="Arial" w:hAnsi="Arial"/>
                <w:sz w:val="18"/>
                <w:szCs w:val="18"/>
                <w:color w:val="0000EE"/>
              </w:rPr>
            </w:pPr>
            <w:hyperlink r:id="rId124">
              <w:r>
                <w:rPr>
                  <w:rFonts w:ascii="Arial" w:cs="Arial" w:eastAsia="Arial" w:hAnsi="Arial"/>
                  <w:sz w:val="18"/>
                  <w:szCs w:val="18"/>
                  <w:color w:val="0000EE"/>
                </w:rPr>
                <w:t>Non-Confidentiality Agreement, dated as of May 1, 2000 (Exhibit 10.10 to Form 10-Q for the Fiscal Quarter Ended June 30,</w:t>
              </w:r>
            </w:hyperlink>
          </w:p>
        </w:tc>
        <w:tc>
          <w:tcPr>
            <w:tcW w:w="0" w:type="dxa"/>
            <w:vAlign w:val="bottom"/>
          </w:tcPr>
          <w:p>
            <w:pPr>
              <w:spacing w:after="0"/>
              <w:rPr>
                <w:sz w:val="1"/>
                <w:szCs w:val="1"/>
                <w:color w:val="auto"/>
              </w:rPr>
            </w:pPr>
          </w:p>
        </w:tc>
      </w:tr>
      <w:tr>
        <w:trPr>
          <w:trHeight w:val="196"/>
        </w:trPr>
        <w:tc>
          <w:tcPr>
            <w:tcW w:w="1260" w:type="dxa"/>
            <w:vAlign w:val="bottom"/>
            <w:vMerge w:val="continue"/>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r:id="rId124">
              <w:r>
                <w:rPr>
                  <w:rFonts w:ascii="Arial" w:cs="Arial" w:eastAsia="Arial" w:hAnsi="Arial"/>
                  <w:sz w:val="18"/>
                  <w:szCs w:val="18"/>
                  <w:color w:val="0000EE"/>
                  <w:w w:val="95"/>
                </w:rPr>
                <w:t>2005)</w:t>
              </w:r>
            </w:hyperlink>
          </w:p>
        </w:tc>
        <w:tc>
          <w:tcPr>
            <w:tcW w:w="39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10.13.1+ *</w:t>
            </w:r>
          </w:p>
        </w:tc>
        <w:tc>
          <w:tcPr>
            <w:tcW w:w="9980" w:type="dxa"/>
            <w:vAlign w:val="bottom"/>
            <w:gridSpan w:val="24"/>
          </w:tcPr>
          <w:p>
            <w:pPr>
              <w:spacing w:after="0"/>
              <w:rPr>
                <w:rFonts w:ascii="Arial" w:cs="Arial" w:eastAsia="Arial" w:hAnsi="Arial"/>
                <w:sz w:val="18"/>
                <w:szCs w:val="18"/>
                <w:color w:val="0000EE"/>
              </w:rPr>
            </w:pPr>
            <w:hyperlink r:id="rId125">
              <w:r>
                <w:rPr>
                  <w:rFonts w:ascii="Arial" w:cs="Arial" w:eastAsia="Arial" w:hAnsi="Arial"/>
                  <w:sz w:val="18"/>
                  <w:szCs w:val="18"/>
                  <w:color w:val="0000EE"/>
                </w:rPr>
                <w:t>Lee Enterprises, Incorporated 2020 Long-Term Incentive Plan (effective February 19, 2020) (Exhibit 4.2 to Registration</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Statement on Form S-8 (Reference No. 333-237605) filed on April 8, 2020)</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10.13.2+*</w:t>
            </w:r>
          </w:p>
        </w:tc>
        <w:tc>
          <w:tcPr>
            <w:tcW w:w="9980" w:type="dxa"/>
            <w:vAlign w:val="bottom"/>
            <w:gridSpan w:val="24"/>
          </w:tcPr>
          <w:p>
            <w:pPr>
              <w:spacing w:after="0"/>
              <w:rPr>
                <w:rFonts w:ascii="Arial" w:cs="Arial" w:eastAsia="Arial" w:hAnsi="Arial"/>
                <w:sz w:val="18"/>
                <w:szCs w:val="18"/>
                <w:color w:val="0000EE"/>
              </w:rPr>
            </w:pPr>
            <w:hyperlink r:id="rId126">
              <w:r>
                <w:rPr>
                  <w:rFonts w:ascii="Arial" w:cs="Arial" w:eastAsia="Arial" w:hAnsi="Arial"/>
                  <w:sz w:val="18"/>
                  <w:szCs w:val="18"/>
                  <w:color w:val="0000EE"/>
                </w:rPr>
                <w:t>Form of Restricted Stock Agreement related to Lee Enterprises, Incorporated 2020 Long-Term Incentive Plan (Effective</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9"/>
              </w:rPr>
            </w:pPr>
            <w:hyperlink r:id="rId126">
              <w:r>
                <w:rPr>
                  <w:rFonts w:ascii="Arial" w:cs="Arial" w:eastAsia="Arial" w:hAnsi="Arial"/>
                  <w:sz w:val="18"/>
                  <w:szCs w:val="18"/>
                  <w:color w:val="0000EE"/>
                  <w:w w:val="99"/>
                </w:rPr>
                <w:t>February 19, 2020) (Exhibit 10.2 to Form 8-K filed on February 23, 2016)</w:t>
              </w:r>
            </w:hyperlink>
          </w:p>
        </w:tc>
        <w:tc>
          <w:tcPr>
            <w:tcW w:w="4160" w:type="dxa"/>
            <w:vAlign w:val="bottom"/>
            <w:tcBorders>
              <w:top w:val="single" w:sz="8" w:color="0000EE"/>
            </w:tcBorders>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10.13.3+ *</w:t>
            </w:r>
          </w:p>
        </w:tc>
        <w:tc>
          <w:tcPr>
            <w:tcW w:w="9980" w:type="dxa"/>
            <w:vAlign w:val="bottom"/>
            <w:gridSpan w:val="24"/>
          </w:tcPr>
          <w:p>
            <w:pPr>
              <w:spacing w:after="0"/>
              <w:rPr>
                <w:rFonts w:ascii="Arial" w:cs="Arial" w:eastAsia="Arial" w:hAnsi="Arial"/>
                <w:sz w:val="18"/>
                <w:szCs w:val="18"/>
                <w:color w:val="0000EE"/>
              </w:rPr>
            </w:pPr>
            <w:hyperlink r:id="rId127">
              <w:r>
                <w:rPr>
                  <w:rFonts w:ascii="Arial" w:cs="Arial" w:eastAsia="Arial" w:hAnsi="Arial"/>
                  <w:sz w:val="18"/>
                  <w:szCs w:val="18"/>
                  <w:color w:val="0000EE"/>
                </w:rPr>
                <w:t>Form of Incentive Stock Option Agreement related to Lee Enterprises, Incorporated 2020 Long-Term Incentive Plan</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9"/>
              </w:rPr>
            </w:pPr>
            <w:hyperlink r:id="rId127">
              <w:r>
                <w:rPr>
                  <w:rFonts w:ascii="Arial" w:cs="Arial" w:eastAsia="Arial" w:hAnsi="Arial"/>
                  <w:sz w:val="18"/>
                  <w:szCs w:val="18"/>
                  <w:color w:val="0000EE"/>
                  <w:w w:val="99"/>
                </w:rPr>
                <w:t>(Effective February 19, 2020) (Exhibit 10.3 to Form 8-K filed on February 23, 2016)</w:t>
              </w:r>
            </w:hyperlink>
          </w:p>
        </w:tc>
        <w:tc>
          <w:tcPr>
            <w:tcW w:w="2560" w:type="dxa"/>
            <w:vAlign w:val="bottom"/>
            <w:tcBorders>
              <w:top w:val="single" w:sz="8" w:color="0000EE"/>
            </w:tcBorders>
            <w:gridSpan w:val="4"/>
          </w:tcPr>
          <w:p>
            <w:pPr>
              <w:spacing w:after="0"/>
              <w:rPr>
                <w:sz w:val="17"/>
                <w:szCs w:val="17"/>
                <w:color w:val="auto"/>
              </w:rPr>
            </w:pPr>
          </w:p>
        </w:tc>
        <w:tc>
          <w:tcPr>
            <w:tcW w:w="8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10.13.4+ *</w:t>
            </w:r>
          </w:p>
        </w:tc>
        <w:tc>
          <w:tcPr>
            <w:tcW w:w="9980" w:type="dxa"/>
            <w:vAlign w:val="bottom"/>
            <w:gridSpan w:val="24"/>
          </w:tcPr>
          <w:p>
            <w:pPr>
              <w:spacing w:after="0"/>
              <w:rPr>
                <w:rFonts w:ascii="Arial" w:cs="Arial" w:eastAsia="Arial" w:hAnsi="Arial"/>
                <w:sz w:val="18"/>
                <w:szCs w:val="18"/>
                <w:color w:val="0000EE"/>
              </w:rPr>
            </w:pPr>
            <w:hyperlink r:id="rId128">
              <w:r>
                <w:rPr>
                  <w:rFonts w:ascii="Arial" w:cs="Arial" w:eastAsia="Arial" w:hAnsi="Arial"/>
                  <w:sz w:val="18"/>
                  <w:szCs w:val="18"/>
                  <w:color w:val="0000EE"/>
                </w:rPr>
                <w:t>Form of Non-Qualified Stock Option Agreement related to Lee Enterprises, Incorporated 2020 Long-Term Incentive Plan</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9"/>
              </w:rPr>
            </w:pPr>
            <w:hyperlink r:id="rId128">
              <w:r>
                <w:rPr>
                  <w:rFonts w:ascii="Arial" w:cs="Arial" w:eastAsia="Arial" w:hAnsi="Arial"/>
                  <w:sz w:val="18"/>
                  <w:szCs w:val="18"/>
                  <w:color w:val="0000EE"/>
                  <w:w w:val="99"/>
                </w:rPr>
                <w:t>(Effective February 19, 2020) (Exhibit 10.4 to Form 8-K filed on February 23, 2016)</w:t>
              </w:r>
            </w:hyperlink>
          </w:p>
        </w:tc>
        <w:tc>
          <w:tcPr>
            <w:tcW w:w="2940" w:type="dxa"/>
            <w:vAlign w:val="bottom"/>
            <w:tcBorders>
              <w:top w:val="single" w:sz="8" w:color="0000EE"/>
            </w:tcBorders>
            <w:gridSpan w:val="6"/>
          </w:tcPr>
          <w:p>
            <w:pPr>
              <w:spacing w:after="0"/>
              <w:rPr>
                <w:sz w:val="17"/>
                <w:szCs w:val="17"/>
                <w:color w:val="auto"/>
              </w:rPr>
            </w:pPr>
          </w:p>
        </w:tc>
        <w:tc>
          <w:tcPr>
            <w:tcW w:w="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1260" w:type="dxa"/>
            <w:vAlign w:val="bottom"/>
          </w:tcPr>
          <w:p>
            <w:pPr>
              <w:ind w:left="20"/>
              <w:spacing w:after="0"/>
              <w:rPr>
                <w:sz w:val="20"/>
                <w:szCs w:val="20"/>
                <w:color w:val="auto"/>
              </w:rPr>
            </w:pPr>
            <w:r>
              <w:rPr>
                <w:rFonts w:ascii="Arial" w:cs="Arial" w:eastAsia="Arial" w:hAnsi="Arial"/>
                <w:sz w:val="18"/>
                <w:szCs w:val="18"/>
                <w:color w:val="auto"/>
              </w:rPr>
              <w:t>10.14 +*</w:t>
            </w:r>
          </w:p>
        </w:tc>
        <w:tc>
          <w:tcPr>
            <w:tcW w:w="9980" w:type="dxa"/>
            <w:vAlign w:val="bottom"/>
            <w:gridSpan w:val="24"/>
          </w:tcPr>
          <w:p>
            <w:pPr>
              <w:spacing w:after="0"/>
              <w:rPr>
                <w:rFonts w:ascii="Arial" w:cs="Arial" w:eastAsia="Arial" w:hAnsi="Arial"/>
                <w:sz w:val="18"/>
                <w:szCs w:val="18"/>
                <w:color w:val="0000EE"/>
              </w:rPr>
            </w:pPr>
            <w:hyperlink r:id="rId129">
              <w:r>
                <w:rPr>
                  <w:rFonts w:ascii="Arial" w:cs="Arial" w:eastAsia="Arial" w:hAnsi="Arial"/>
                  <w:sz w:val="18"/>
                  <w:szCs w:val="18"/>
                  <w:color w:val="0000EE"/>
                </w:rPr>
                <w:t>Lee Enterprises, Incorporated Supplementary Benefit Plan, Amended and Restated as of January 1, 2008 (Exhibit 10.25 to</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7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Form 10-K for the Fiscal Year Ended September 28, 2008)</w:t>
              </w:r>
            </w:hyperlink>
          </w:p>
        </w:tc>
        <w:tc>
          <w:tcPr>
            <w:tcW w:w="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260" w:type="dxa"/>
            <w:vAlign w:val="bottom"/>
          </w:tcPr>
          <w:p>
            <w:pPr>
              <w:ind w:left="20"/>
              <w:spacing w:after="0"/>
              <w:rPr>
                <w:sz w:val="20"/>
                <w:szCs w:val="20"/>
                <w:color w:val="auto"/>
              </w:rPr>
            </w:pPr>
            <w:r>
              <w:rPr>
                <w:rFonts w:ascii="Arial" w:cs="Arial" w:eastAsia="Arial" w:hAnsi="Arial"/>
                <w:sz w:val="18"/>
                <w:szCs w:val="18"/>
                <w:color w:val="auto"/>
              </w:rPr>
              <w:t>10.15+ *</w:t>
            </w:r>
          </w:p>
        </w:tc>
        <w:tc>
          <w:tcPr>
            <w:tcW w:w="9840" w:type="dxa"/>
            <w:vAlign w:val="bottom"/>
            <w:tcBorders>
              <w:bottom w:val="single" w:sz="8" w:color="0000EE"/>
            </w:tcBorders>
            <w:gridSpan w:val="18"/>
          </w:tcPr>
          <w:p>
            <w:pPr>
              <w:spacing w:after="0"/>
              <w:rPr>
                <w:rFonts w:ascii="Arial" w:cs="Arial" w:eastAsia="Arial" w:hAnsi="Arial"/>
                <w:sz w:val="18"/>
                <w:szCs w:val="18"/>
                <w:color w:val="0000EE"/>
                <w:w w:val="99"/>
              </w:rPr>
            </w:pPr>
            <w:hyperlink r:id="rId130">
              <w:r>
                <w:rPr>
                  <w:rFonts w:ascii="Arial" w:cs="Arial" w:eastAsia="Arial" w:hAnsi="Arial"/>
                  <w:sz w:val="18"/>
                  <w:szCs w:val="18"/>
                  <w:color w:val="0000EE"/>
                  <w:w w:val="99"/>
                </w:rPr>
                <w:t>Lee Enterprises, Incorporated Outside Directors Deferral Plan, Amended and Restated as of January 1, 2008 (Exhibit 10.26</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4"/>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to Form 10-K for the Fiscal Year Ended September 28, 2008)</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86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3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260" w:type="dxa"/>
            <w:vAlign w:val="bottom"/>
          </w:tcPr>
          <w:p>
            <w:pPr>
              <w:ind w:left="20"/>
              <w:spacing w:after="0"/>
              <w:rPr>
                <w:sz w:val="20"/>
                <w:szCs w:val="20"/>
                <w:color w:val="auto"/>
              </w:rPr>
            </w:pPr>
            <w:r>
              <w:rPr>
                <w:rFonts w:ascii="Arial" w:cs="Arial" w:eastAsia="Arial" w:hAnsi="Arial"/>
                <w:sz w:val="18"/>
                <w:szCs w:val="18"/>
                <w:color w:val="auto"/>
              </w:rPr>
              <w:t>10.16.1+*</w:t>
            </w:r>
          </w:p>
        </w:tc>
        <w:tc>
          <w:tcPr>
            <w:tcW w:w="9980" w:type="dxa"/>
            <w:vAlign w:val="bottom"/>
            <w:gridSpan w:val="24"/>
          </w:tcPr>
          <w:p>
            <w:pPr>
              <w:spacing w:after="0"/>
              <w:rPr>
                <w:rFonts w:ascii="Arial" w:cs="Arial" w:eastAsia="Arial" w:hAnsi="Arial"/>
                <w:sz w:val="18"/>
                <w:szCs w:val="18"/>
                <w:color w:val="0000EE"/>
              </w:rPr>
            </w:pPr>
            <w:hyperlink r:id="rId131">
              <w:r>
                <w:rPr>
                  <w:rFonts w:ascii="Arial" w:cs="Arial" w:eastAsia="Arial" w:hAnsi="Arial"/>
                  <w:sz w:val="18"/>
                  <w:szCs w:val="18"/>
                  <w:color w:val="0000EE"/>
                </w:rPr>
                <w:t>Form of Amended and Restated Employment Agreement between Lee Enterprises, Incorporated and its President and Chief</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9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Executive Officer (Exhibit 10.31.2 to Form 10-K for the Fiscal Year Ended September 30, 2018)</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520" w:type="dxa"/>
            <w:vAlign w:val="bottom"/>
            <w:gridSpan w:val="5"/>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232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10.16.2+*</w:t>
            </w:r>
          </w:p>
        </w:tc>
        <w:tc>
          <w:tcPr>
            <w:tcW w:w="9980" w:type="dxa"/>
            <w:vAlign w:val="bottom"/>
            <w:gridSpan w:val="24"/>
          </w:tcPr>
          <w:p>
            <w:pPr>
              <w:spacing w:after="0"/>
              <w:rPr>
                <w:rFonts w:ascii="Arial" w:cs="Arial" w:eastAsia="Arial" w:hAnsi="Arial"/>
                <w:sz w:val="18"/>
                <w:szCs w:val="18"/>
                <w:color w:val="0000EE"/>
              </w:rPr>
            </w:pPr>
            <w:hyperlink r:id="rId132">
              <w:r>
                <w:rPr>
                  <w:rFonts w:ascii="Arial" w:cs="Arial" w:eastAsia="Arial" w:hAnsi="Arial"/>
                  <w:sz w:val="18"/>
                  <w:szCs w:val="18"/>
                  <w:color w:val="0000EE"/>
                </w:rPr>
                <w:t>Form of Employment Agreement between Lee Enterprises, Incorporated and Certain of its Senior Executive Officers (Exhibit</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9"/>
              </w:rPr>
            </w:pPr>
            <w:hyperlink r:id="rId132">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31.3</w:t>
              </w:r>
              <w:r>
                <w:rPr>
                  <w:rFonts w:ascii="Arial" w:cs="Arial" w:eastAsia="Arial" w:hAnsi="Arial"/>
                  <w:sz w:val="18"/>
                  <w:szCs w:val="18"/>
                  <w:color w:val="0000EE"/>
                  <w:w w:val="99"/>
                </w:rPr>
                <w:t xml:space="preserve"> to Form 10-K for the Fiscal Year Ended September 30, 2018)</w:t>
              </w:r>
            </w:hyperlink>
          </w:p>
        </w:tc>
        <w:tc>
          <w:tcPr>
            <w:tcW w:w="4360" w:type="dxa"/>
            <w:vAlign w:val="bottom"/>
            <w:tcBorders>
              <w:top w:val="single" w:sz="8" w:color="0000EE"/>
            </w:tcBorders>
            <w:gridSpan w:val="15"/>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9980" w:type="dxa"/>
            <w:vAlign w:val="bottom"/>
            <w:tcBorders>
              <w:bottom w:val="single" w:sz="8" w:color="auto"/>
            </w:tcBorders>
            <w:gridSpan w:val="5"/>
          </w:tcPr>
          <w:p>
            <w:pPr>
              <w:ind w:left="4540"/>
              <w:spacing w:after="0"/>
              <w:rPr>
                <w:sz w:val="20"/>
                <w:szCs w:val="20"/>
                <w:color w:val="auto"/>
              </w:rPr>
            </w:pPr>
            <w:r>
              <w:rPr>
                <w:rFonts w:ascii="Arial" w:cs="Arial" w:eastAsia="Arial" w:hAnsi="Arial"/>
                <w:sz w:val="18"/>
                <w:szCs w:val="18"/>
                <w:color w:val="auto"/>
              </w:rPr>
              <w:t>Description</w:t>
            </w:r>
          </w:p>
        </w:tc>
      </w:tr>
      <w:tr>
        <w:trPr>
          <w:trHeight w:val="201"/>
        </w:trPr>
        <w:tc>
          <w:tcPr>
            <w:tcW w:w="1260" w:type="dxa"/>
            <w:vAlign w:val="bottom"/>
          </w:tcPr>
          <w:p>
            <w:pPr>
              <w:ind w:left="20"/>
              <w:spacing w:after="0" w:line="201" w:lineRule="exact"/>
              <w:rPr>
                <w:sz w:val="20"/>
                <w:szCs w:val="20"/>
                <w:color w:val="auto"/>
              </w:rPr>
            </w:pPr>
            <w:r>
              <w:rPr>
                <w:rFonts w:ascii="Arial" w:cs="Arial" w:eastAsia="Arial" w:hAnsi="Arial"/>
                <w:sz w:val="18"/>
                <w:szCs w:val="18"/>
                <w:color w:val="auto"/>
              </w:rPr>
              <w:t>10.17+*</w:t>
            </w:r>
          </w:p>
        </w:tc>
        <w:tc>
          <w:tcPr>
            <w:tcW w:w="9820" w:type="dxa"/>
            <w:vAlign w:val="bottom"/>
            <w:tcBorders>
              <w:bottom w:val="single" w:sz="8" w:color="0000EE"/>
            </w:tcBorders>
            <w:gridSpan w:val="4"/>
          </w:tcPr>
          <w:p>
            <w:pPr>
              <w:spacing w:after="0" w:line="201" w:lineRule="exact"/>
              <w:rPr>
                <w:rFonts w:ascii="Arial" w:cs="Arial" w:eastAsia="Arial" w:hAnsi="Arial"/>
                <w:sz w:val="18"/>
                <w:szCs w:val="18"/>
                <w:color w:val="0000EE"/>
                <w:w w:val="99"/>
              </w:rPr>
            </w:pPr>
            <w:hyperlink r:id="rId135">
              <w:r>
                <w:rPr>
                  <w:rFonts w:ascii="Arial" w:cs="Arial" w:eastAsia="Arial" w:hAnsi="Arial"/>
                  <w:sz w:val="18"/>
                  <w:szCs w:val="18"/>
                  <w:color w:val="0000EE"/>
                  <w:w w:val="99"/>
                </w:rPr>
                <w:t>Form of Indemnification Agreement for Lee Enterprises, Incorporated Directors and Executive Officers Group (Exhibit 10.32</w:t>
              </w:r>
            </w:hyperlink>
          </w:p>
        </w:tc>
        <w:tc>
          <w:tcPr>
            <w:tcW w:w="1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5"/>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to Form 10-K for the Fiscal Year Ended September 30, 2018)</w:t>
              </w:r>
            </w:hyperlink>
          </w:p>
        </w:tc>
      </w:tr>
      <w:tr>
        <w:trPr>
          <w:trHeight w:val="20"/>
        </w:trPr>
        <w:tc>
          <w:tcPr>
            <w:tcW w:w="1260" w:type="dxa"/>
            <w:vAlign w:val="bottom"/>
          </w:tcPr>
          <w:p>
            <w:pPr>
              <w:spacing w:after="0" w:line="20" w:lineRule="exact"/>
              <w:rPr>
                <w:sz w:val="1"/>
                <w:szCs w:val="1"/>
                <w:color w:val="auto"/>
              </w:rPr>
            </w:pPr>
          </w:p>
        </w:tc>
        <w:tc>
          <w:tcPr>
            <w:tcW w:w="48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10.18+*</w:t>
            </w:r>
          </w:p>
        </w:tc>
        <w:tc>
          <w:tcPr>
            <w:tcW w:w="9420" w:type="dxa"/>
            <w:vAlign w:val="bottom"/>
            <w:tcBorders>
              <w:bottom w:val="single" w:sz="8" w:color="0000EE"/>
            </w:tcBorders>
            <w:gridSpan w:val="3"/>
          </w:tcPr>
          <w:p>
            <w:pPr>
              <w:spacing w:after="0"/>
              <w:rPr>
                <w:rFonts w:ascii="Arial" w:cs="Arial" w:eastAsia="Arial" w:hAnsi="Arial"/>
                <w:sz w:val="18"/>
                <w:szCs w:val="18"/>
                <w:color w:val="0000EE"/>
                <w:w w:val="99"/>
              </w:rPr>
            </w:pPr>
            <w:hyperlink r:id="rId136">
              <w:r>
                <w:rPr>
                  <w:rFonts w:ascii="Arial" w:cs="Arial" w:eastAsia="Arial" w:hAnsi="Arial"/>
                  <w:sz w:val="18"/>
                  <w:szCs w:val="18"/>
                  <w:color w:val="0000EE"/>
                  <w:w w:val="99"/>
                </w:rPr>
                <w:t>Lee Enterprises, Incorporated Amended and Restated Incentive Compensation Program (Effective February 22, 2017)</w:t>
              </w:r>
            </w:hyperlink>
          </w:p>
        </w:tc>
        <w:tc>
          <w:tcPr>
            <w:tcW w:w="56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30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r:id="rId136">
              <w:r>
                <w:rPr>
                  <w:rFonts w:ascii="Arial" w:cs="Arial" w:eastAsia="Arial" w:hAnsi="Arial"/>
                  <w:sz w:val="18"/>
                  <w:szCs w:val="18"/>
                  <w:color w:val="0000EE"/>
                  <w:w w:val="99"/>
                </w:rPr>
                <w:t>(Appendix B to Schedule 14A Definitive Proxy Statement for 2017)</w:t>
              </w:r>
            </w:hyperlink>
          </w:p>
        </w:tc>
        <w:tc>
          <w:tcPr>
            <w:tcW w:w="4680" w:type="dxa"/>
            <w:vAlign w:val="bottom"/>
            <w:gridSpan w:val="3"/>
          </w:tcPr>
          <w:p>
            <w:pPr>
              <w:spacing w:after="0"/>
              <w:rPr>
                <w:sz w:val="17"/>
                <w:szCs w:val="17"/>
                <w:color w:val="auto"/>
              </w:rPr>
            </w:pPr>
          </w:p>
        </w:tc>
      </w:tr>
    </w:tbl>
    <w:p>
      <w:pPr>
        <w:spacing w:after="0" w:line="319" w:lineRule="exact"/>
        <w:rPr>
          <w:sz w:val="20"/>
          <w:szCs w:val="20"/>
          <w:color w:val="auto"/>
        </w:rPr>
      </w:pPr>
    </w:p>
    <w:p>
      <w:pPr>
        <w:ind w:left="1260" w:hanging="1234"/>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0000FF"/>
        </w:rPr>
        <w:t>Lee Enterprises, Incorporated Insider Trading Policy effective as of September 21, 2023</w:t>
      </w:r>
    </w:p>
    <w:p>
      <w:pPr>
        <w:spacing w:after="0" w:line="320" w:lineRule="exact"/>
        <w:rPr>
          <w:sz w:val="20"/>
          <w:szCs w:val="20"/>
          <w:color w:val="auto"/>
        </w:rPr>
      </w:pPr>
    </w:p>
    <w:p>
      <w:pPr>
        <w:ind w:left="1260" w:hanging="1234"/>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0000FF"/>
        </w:rPr>
        <w:t>Subsidiaries and associated companies</w:t>
      </w:r>
    </w:p>
    <w:p>
      <w:pPr>
        <w:spacing w:after="0" w:line="320" w:lineRule="exact"/>
        <w:rPr>
          <w:sz w:val="20"/>
          <w:szCs w:val="20"/>
          <w:color w:val="auto"/>
        </w:rPr>
      </w:pPr>
    </w:p>
    <w:p>
      <w:pPr>
        <w:ind w:left="1260" w:hanging="1234"/>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0000FF"/>
        </w:rPr>
        <w:t>Consent of KPMG LLP,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60" w:hanging="1234"/>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0000FF"/>
        </w:rPr>
        <w:t>Power of Attorney</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790"/>
              <w:spacing w:after="0"/>
              <w:rPr>
                <w:sz w:val="20"/>
                <w:szCs w:val="20"/>
                <w:color w:val="auto"/>
              </w:rPr>
            </w:pPr>
            <w:r>
              <w:rPr>
                <w:rFonts w:ascii="Arial" w:cs="Arial" w:eastAsia="Arial" w:hAnsi="Arial"/>
                <w:sz w:val="18"/>
                <w:szCs w:val="18"/>
                <w:color w:val="auto"/>
                <w:w w:val="96"/>
              </w:rPr>
              <w:t>31.1</w:t>
            </w:r>
          </w:p>
        </w:tc>
        <w:tc>
          <w:tcPr>
            <w:tcW w:w="78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Certification of Chief Executive Officer Pursuant to Section 302 of the Sarbanes-Oxley Act of 2002</w:t>
            </w:r>
          </w:p>
        </w:tc>
      </w:tr>
      <w:tr>
        <w:trPr>
          <w:trHeight w:val="507"/>
        </w:trPr>
        <w:tc>
          <w:tcPr>
            <w:tcW w:w="1240" w:type="dxa"/>
            <w:vAlign w:val="bottom"/>
          </w:tcPr>
          <w:p>
            <w:pPr>
              <w:jc w:val="right"/>
              <w:ind w:right="790"/>
              <w:spacing w:after="0"/>
              <w:rPr>
                <w:sz w:val="20"/>
                <w:szCs w:val="20"/>
                <w:color w:val="auto"/>
              </w:rPr>
            </w:pPr>
            <w:r>
              <w:rPr>
                <w:rFonts w:ascii="Arial" w:cs="Arial" w:eastAsia="Arial" w:hAnsi="Arial"/>
                <w:sz w:val="18"/>
                <w:szCs w:val="18"/>
                <w:color w:val="auto"/>
                <w:w w:val="96"/>
              </w:rPr>
              <w:t>31.2</w:t>
            </w:r>
          </w:p>
        </w:tc>
        <w:tc>
          <w:tcPr>
            <w:tcW w:w="7800" w:type="dxa"/>
            <w:vAlign w:val="bottom"/>
            <w:gridSpan w:val="2"/>
          </w:tcPr>
          <w:p>
            <w:pPr>
              <w:spacing w:after="0"/>
              <w:rPr>
                <w:sz w:val="20"/>
                <w:szCs w:val="20"/>
                <w:color w:val="auto"/>
              </w:rPr>
            </w:pPr>
            <w:r>
              <w:rPr>
                <w:rFonts w:ascii="Arial" w:cs="Arial" w:eastAsia="Arial" w:hAnsi="Arial"/>
                <w:sz w:val="18"/>
                <w:szCs w:val="18"/>
                <w:color w:val="0000FF"/>
              </w:rPr>
              <w:t>Certification of Chief Financial Officer Pursuant to Section 302 of the Sarbanes-Oxley Act of 2002</w:t>
            </w:r>
          </w:p>
        </w:tc>
      </w:tr>
      <w:tr>
        <w:trPr>
          <w:trHeight w:val="20"/>
        </w:trPr>
        <w:tc>
          <w:tcPr>
            <w:tcW w:w="1240" w:type="dxa"/>
            <w:vAlign w:val="bottom"/>
          </w:tcPr>
          <w:p>
            <w:pPr>
              <w:spacing w:after="0" w:line="20" w:lineRule="exact"/>
              <w:rPr>
                <w:sz w:val="1"/>
                <w:szCs w:val="1"/>
                <w:color w:val="auto"/>
              </w:rPr>
            </w:pPr>
          </w:p>
        </w:tc>
        <w:tc>
          <w:tcPr>
            <w:tcW w:w="7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60" w:right="20" w:hanging="1234"/>
        <w:spacing w:after="0" w:line="287" w:lineRule="auto"/>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0000FF"/>
        </w:rPr>
        <w:t>Certification of Chief Executive Officer and Chief Financial Officer Pursuant to Section 906 of the Sarbanes-Oxley Act of 2002</w:t>
      </w:r>
    </w:p>
    <w:p>
      <w:pPr>
        <w:spacing w:after="0" w:line="247" w:lineRule="exact"/>
        <w:rPr>
          <w:sz w:val="20"/>
          <w:szCs w:val="20"/>
          <w:color w:val="auto"/>
        </w:rPr>
      </w:pPr>
    </w:p>
    <w:p>
      <w:pPr>
        <w:ind w:left="1260" w:right="160" w:hanging="1234"/>
        <w:spacing w:after="0" w:line="287"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Lee Enterprises, Incorporated Recovery of Erroneously Awarded Executive Compensation Policy effective as of September 21, 2023</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120" w:type="dxa"/>
            <w:vAlign w:val="bottom"/>
          </w:tcPr>
          <w:p>
            <w:pPr>
              <w:ind w:left="240"/>
              <w:spacing w:after="0"/>
              <w:rPr>
                <w:sz w:val="20"/>
                <w:szCs w:val="20"/>
                <w:color w:val="auto"/>
              </w:rPr>
            </w:pPr>
            <w:r>
              <w:rPr>
                <w:rFonts w:ascii="Arial" w:cs="Arial" w:eastAsia="Arial" w:hAnsi="Arial"/>
                <w:sz w:val="18"/>
                <w:szCs w:val="18"/>
                <w:color w:val="auto"/>
                <w:w w:val="99"/>
              </w:rPr>
              <w:t>Inline XBRL Instance Document (the Instance Document does not appear in the Interactive Data File because its XBRL tags</w:t>
            </w:r>
          </w:p>
        </w:tc>
      </w:tr>
      <w:tr>
        <w:trPr>
          <w:trHeight w:val="239"/>
        </w:trPr>
        <w:tc>
          <w:tcPr>
            <w:tcW w:w="1000" w:type="dxa"/>
            <w:vAlign w:val="bottom"/>
          </w:tcPr>
          <w:p>
            <w:pPr>
              <w:spacing w:after="0"/>
              <w:rPr>
                <w:sz w:val="20"/>
                <w:szCs w:val="20"/>
                <w:color w:val="auto"/>
              </w:rPr>
            </w:pPr>
          </w:p>
        </w:tc>
        <w:tc>
          <w:tcPr>
            <w:tcW w:w="10120" w:type="dxa"/>
            <w:vAlign w:val="bottom"/>
          </w:tcPr>
          <w:p>
            <w:pPr>
              <w:ind w:left="240"/>
              <w:spacing w:after="0"/>
              <w:rPr>
                <w:sz w:val="20"/>
                <w:szCs w:val="20"/>
                <w:color w:val="auto"/>
              </w:rPr>
            </w:pPr>
            <w:r>
              <w:rPr>
                <w:rFonts w:ascii="Arial" w:cs="Arial" w:eastAsia="Arial" w:hAnsi="Arial"/>
                <w:sz w:val="18"/>
                <w:szCs w:val="18"/>
                <w:color w:val="auto"/>
              </w:rPr>
              <w:t>are embedded within the Inline XBRL document)</w:t>
            </w:r>
          </w:p>
        </w:tc>
      </w:tr>
      <w:tr>
        <w:trPr>
          <w:trHeight w:val="513"/>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tcPr>
          <w:p>
            <w:pPr>
              <w:ind w:left="240"/>
              <w:spacing w:after="0"/>
              <w:rPr>
                <w:sz w:val="20"/>
                <w:szCs w:val="20"/>
                <w:color w:val="auto"/>
              </w:rPr>
            </w:pPr>
            <w:r>
              <w:rPr>
                <w:rFonts w:ascii="Arial" w:cs="Arial" w:eastAsia="Arial" w:hAnsi="Arial"/>
                <w:sz w:val="18"/>
                <w:szCs w:val="18"/>
                <w:color w:val="auto"/>
              </w:rPr>
              <w:t>Inline XBRL Taxonomy Extension Schema Document</w:t>
            </w:r>
          </w:p>
        </w:tc>
      </w:tr>
      <w:tr>
        <w:trPr>
          <w:trHeight w:val="527"/>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120" w:type="dxa"/>
            <w:vAlign w:val="bottom"/>
          </w:tcPr>
          <w:p>
            <w:pPr>
              <w:ind w:left="2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526"/>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12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527"/>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12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527"/>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12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88" w:lineRule="exact"/>
        <w:rPr>
          <w:sz w:val="20"/>
          <w:szCs w:val="20"/>
          <w:color w:val="auto"/>
        </w:rPr>
      </w:pPr>
    </w:p>
    <w:p>
      <w:pPr>
        <w:ind w:left="1260" w:hanging="1234"/>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the 8</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day of December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20" w:type="dxa"/>
            <w:vAlign w:val="bottom"/>
          </w:tcPr>
          <w:p>
            <w:pPr>
              <w:spacing w:after="0"/>
              <w:rPr>
                <w:sz w:val="20"/>
                <w:szCs w:val="20"/>
                <w:color w:val="auto"/>
              </w:rPr>
            </w:pPr>
            <w:r>
              <w:rPr>
                <w:rFonts w:ascii="Arial" w:cs="Arial" w:eastAsia="Arial" w:hAnsi="Arial"/>
                <w:sz w:val="18"/>
                <w:szCs w:val="18"/>
                <w:color w:val="auto"/>
              </w:rPr>
              <w:t>LEE ENTERPRISES, INCORPORATED</w:t>
            </w:r>
          </w:p>
        </w:tc>
        <w:tc>
          <w:tcPr>
            <w:tcW w:w="580" w:type="dxa"/>
            <w:vAlign w:val="bottom"/>
          </w:tcPr>
          <w:p>
            <w:pPr>
              <w:spacing w:after="0"/>
              <w:rPr>
                <w:sz w:val="20"/>
                <w:szCs w:val="20"/>
                <w:color w:val="auto"/>
              </w:rPr>
            </w:pPr>
          </w:p>
        </w:tc>
        <w:tc>
          <w:tcPr>
            <w:tcW w:w="5340" w:type="dxa"/>
            <w:vAlign w:val="bottom"/>
          </w:tcPr>
          <w:p>
            <w:pPr>
              <w:spacing w:after="0"/>
              <w:rPr>
                <w:sz w:val="20"/>
                <w:szCs w:val="20"/>
                <w:color w:val="auto"/>
              </w:rPr>
            </w:pPr>
          </w:p>
        </w:tc>
      </w:tr>
      <w:tr>
        <w:trPr>
          <w:trHeight w:val="45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D. Mowbray</w:t>
            </w:r>
          </w:p>
        </w:tc>
        <w:tc>
          <w:tcPr>
            <w:tcW w:w="580" w:type="dxa"/>
            <w:vAlign w:val="bottom"/>
          </w:tcPr>
          <w:p>
            <w:pPr>
              <w:spacing w:after="0"/>
              <w:rPr>
                <w:sz w:val="24"/>
                <w:szCs w:val="24"/>
                <w:color w:val="auto"/>
              </w:rPr>
            </w:pPr>
          </w:p>
        </w:tc>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Millage</w:t>
            </w:r>
          </w:p>
        </w:tc>
      </w:tr>
      <w:tr>
        <w:trPr>
          <w:trHeight w:val="245"/>
        </w:trPr>
        <w:tc>
          <w:tcPr>
            <w:tcW w:w="5320" w:type="dxa"/>
            <w:vAlign w:val="bottom"/>
          </w:tcPr>
          <w:p>
            <w:pPr>
              <w:ind w:left="20"/>
              <w:spacing w:after="0"/>
              <w:rPr>
                <w:sz w:val="20"/>
                <w:szCs w:val="20"/>
                <w:color w:val="auto"/>
              </w:rPr>
            </w:pPr>
            <w:r>
              <w:rPr>
                <w:rFonts w:ascii="Arial" w:cs="Arial" w:eastAsia="Arial" w:hAnsi="Arial"/>
                <w:sz w:val="18"/>
                <w:szCs w:val="18"/>
                <w:color w:val="auto"/>
              </w:rPr>
              <w:t>Kevin D. Mowbray</w:t>
            </w:r>
          </w:p>
        </w:tc>
        <w:tc>
          <w:tcPr>
            <w:tcW w:w="58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Timothy R. Millage</w:t>
            </w: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580" w:type="dxa"/>
            <w:vAlign w:val="bottom"/>
          </w:tcPr>
          <w:p>
            <w:pPr>
              <w:spacing w:after="0"/>
              <w:rPr>
                <w:sz w:val="22"/>
                <w:szCs w:val="22"/>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Vice President, Chief Financial Officer and Treasurer</w:t>
            </w:r>
          </w:p>
        </w:tc>
      </w:tr>
      <w:tr>
        <w:trPr>
          <w:trHeight w:val="256"/>
        </w:trPr>
        <w:tc>
          <w:tcPr>
            <w:tcW w:w="53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580" w:type="dxa"/>
            <w:vAlign w:val="bottom"/>
          </w:tcPr>
          <w:p>
            <w:pPr>
              <w:spacing w:after="0"/>
              <w:rPr>
                <w:sz w:val="22"/>
                <w:szCs w:val="22"/>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932"/>
        </w:trPr>
        <w:tc>
          <w:tcPr>
            <w:tcW w:w="5320" w:type="dxa"/>
            <w:vAlign w:val="bottom"/>
          </w:tcPr>
          <w:p>
            <w:pPr>
              <w:spacing w:after="0"/>
              <w:rPr>
                <w:sz w:val="24"/>
                <w:szCs w:val="24"/>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75</w:t>
            </w:r>
          </w:p>
        </w:tc>
        <w:tc>
          <w:tcPr>
            <w:tcW w:w="5340" w:type="dxa"/>
            <w:vAlign w:val="bottom"/>
          </w:tcPr>
          <w:p>
            <w:pPr>
              <w:spacing w:after="0"/>
              <w:rPr>
                <w:sz w:val="24"/>
                <w:szCs w:val="24"/>
                <w:color w:val="auto"/>
              </w:rPr>
            </w:pPr>
          </w:p>
        </w:tc>
      </w:tr>
      <w:tr>
        <w:trPr>
          <w:trHeight w:val="98"/>
        </w:trPr>
        <w:tc>
          <w:tcPr>
            <w:tcW w:w="5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their respective capacities on the 8</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day of December 2023.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60" w:type="dxa"/>
            <w:vAlign w:val="bottom"/>
          </w:tcPr>
          <w:p>
            <w:pPr>
              <w:spacing w:after="0"/>
              <w:rPr>
                <w:sz w:val="20"/>
                <w:szCs w:val="20"/>
                <w:color w:val="auto"/>
              </w:rPr>
            </w:pPr>
          </w:p>
        </w:tc>
        <w:tc>
          <w:tcPr>
            <w:tcW w:w="7960" w:type="dxa"/>
            <w:vAlign w:val="bottom"/>
            <w:gridSpan w:val="2"/>
          </w:tcPr>
          <w:p>
            <w:pPr>
              <w:jc w:val="right"/>
              <w:ind w:right="6970"/>
              <w:spacing w:after="0"/>
              <w:rPr>
                <w:sz w:val="20"/>
                <w:szCs w:val="20"/>
                <w:color w:val="auto"/>
              </w:rPr>
            </w:pPr>
            <w:r>
              <w:rPr>
                <w:rFonts w:ascii="Arial" w:cs="Arial" w:eastAsia="Arial" w:hAnsi="Arial"/>
                <w:sz w:val="18"/>
                <w:szCs w:val="18"/>
                <w:color w:val="auto"/>
              </w:rPr>
              <w:t>Signature</w:t>
            </w: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C. Fletcher</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Steven C. Fletcher</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Margaret R. Liberman</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Margaret R. Liberman</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Mary E. Junck</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Mary E. Junck</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Brent M. Magid</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Brent M. Magid</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Shaun E. McAlmont</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Shaun E. McAlmont</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Herbert W. Moloney III</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Herbert W. Moloney III</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T. Pearson</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David T. Pearson</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P. Schermer</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Gregory P. Schermer</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D. Mowbray</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President and Chief Executive Officer, and 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Kevin D. Mowbray</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Millage</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w w:val="99"/>
              </w:rPr>
              <w:t>Vice President, Chief Financial Officer and Treasurer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918"/>
        </w:trPr>
        <w:tc>
          <w:tcPr>
            <w:tcW w:w="2160" w:type="dxa"/>
            <w:vAlign w:val="bottom"/>
          </w:tcPr>
          <w:p>
            <w:pPr>
              <w:spacing w:after="0"/>
              <w:rPr>
                <w:sz w:val="24"/>
                <w:szCs w:val="24"/>
                <w:color w:val="auto"/>
              </w:rPr>
            </w:pPr>
          </w:p>
        </w:tc>
        <w:tc>
          <w:tcPr>
            <w:tcW w:w="7960" w:type="dxa"/>
            <w:vAlign w:val="bottom"/>
            <w:gridSpan w:val="2"/>
          </w:tcPr>
          <w:p>
            <w:pPr>
              <w:jc w:val="right"/>
              <w:ind w:right="431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220"/>
          </w:cols>
          <w:pgMar w:left="320" w:top="121" w:right="359" w:bottom="1440" w:gutter="0" w:footer="0" w:header="0"/>
        </w:sectPr>
      </w:pPr>
    </w:p>
    <w:bookmarkStart w:id="78" w:name="page79"/>
    <w:bookmarkEnd w:id="78"/>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50D08"/>
        </w:rPr>
        <w:t>LEE ENTERPRISES, INCORPORATED INSIDER TRADING POLICY</w:t>
      </w:r>
    </w:p>
    <w:p>
      <w:pPr>
        <w:spacing w:after="0" w:line="2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50D08"/>
        </w:rPr>
        <w:t xml:space="preserve">This Insider Trading Policy describes the standards for Lee Enterprises, Incorporated and its subsidiaries (the </w:t>
      </w:r>
      <w:r>
        <w:rPr>
          <w:rFonts w:ascii="Arial" w:cs="Arial" w:eastAsia="Arial" w:hAnsi="Arial"/>
          <w:sz w:val="18"/>
          <w:szCs w:val="18"/>
          <w:b w:val="1"/>
          <w:bCs w:val="1"/>
          <w:color w:val="050D08"/>
        </w:rPr>
        <w:t>"Company")</w:t>
      </w:r>
      <w:r>
        <w:rPr>
          <w:rFonts w:ascii="Arial" w:cs="Arial" w:eastAsia="Arial" w:hAnsi="Arial"/>
          <w:sz w:val="18"/>
          <w:szCs w:val="18"/>
          <w:color w:val="050D08"/>
        </w:rPr>
        <w:t xml:space="preserve"> on trading, and causing the trading of, the Company's securities or securities of certain other publicly traded companies while in possession of confidential information. This Policy is divided into two parts: the first part prohibits trading in certain circumstances and applies to all directors, officers and employees and their respective immediate family members of the Company, and the second part imposes special additional trading restrictions applicable to all (i) directors of the Company, (ii) executive officers of the Company (together with the directors, </w:t>
      </w:r>
      <w:r>
        <w:rPr>
          <w:rFonts w:ascii="Arial" w:cs="Arial" w:eastAsia="Arial" w:hAnsi="Arial"/>
          <w:sz w:val="18"/>
          <w:szCs w:val="18"/>
          <w:b w:val="1"/>
          <w:bCs w:val="1"/>
          <w:color w:val="050D08"/>
        </w:rPr>
        <w:t>"Company</w:t>
      </w:r>
      <w:r>
        <w:rPr>
          <w:rFonts w:ascii="Arial" w:cs="Arial" w:eastAsia="Arial" w:hAnsi="Arial"/>
          <w:sz w:val="18"/>
          <w:szCs w:val="18"/>
          <w:color w:val="050D08"/>
        </w:rPr>
        <w:t xml:space="preserve"> </w:t>
      </w:r>
      <w:r>
        <w:rPr>
          <w:rFonts w:ascii="Arial" w:cs="Arial" w:eastAsia="Arial" w:hAnsi="Arial"/>
          <w:sz w:val="18"/>
          <w:szCs w:val="18"/>
          <w:b w:val="1"/>
          <w:bCs w:val="1"/>
          <w:color w:val="050D08"/>
        </w:rPr>
        <w:t xml:space="preserve">Insiders") </w:t>
      </w:r>
      <w:r>
        <w:rPr>
          <w:rFonts w:ascii="Arial" w:cs="Arial" w:eastAsia="Arial" w:hAnsi="Arial"/>
          <w:sz w:val="18"/>
          <w:szCs w:val="18"/>
          <w:color w:val="050D08"/>
        </w:rPr>
        <w:t>and (iii) certain other employees that the Company may designate from time to time because of their position, responsibilities or</w:t>
      </w:r>
      <w:r>
        <w:rPr>
          <w:rFonts w:ascii="Arial" w:cs="Arial" w:eastAsia="Arial" w:hAnsi="Arial"/>
          <w:sz w:val="18"/>
          <w:szCs w:val="18"/>
          <w:b w:val="1"/>
          <w:bCs w:val="1"/>
          <w:color w:val="050D08"/>
        </w:rPr>
        <w:t xml:space="preserve"> </w:t>
      </w:r>
      <w:r>
        <w:rPr>
          <w:rFonts w:ascii="Arial" w:cs="Arial" w:eastAsia="Arial" w:hAnsi="Arial"/>
          <w:sz w:val="18"/>
          <w:szCs w:val="18"/>
          <w:color w:val="050D08"/>
        </w:rPr>
        <w:t xml:space="preserve">their actual or potential access to material information (collectively, </w:t>
      </w:r>
      <w:r>
        <w:rPr>
          <w:rFonts w:ascii="Arial" w:cs="Arial" w:eastAsia="Arial" w:hAnsi="Arial"/>
          <w:sz w:val="18"/>
          <w:szCs w:val="18"/>
          <w:b w:val="1"/>
          <w:bCs w:val="1"/>
          <w:color w:val="050D08"/>
        </w:rPr>
        <w:t>"Covered Persons").</w:t>
      </w:r>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050D08"/>
        </w:rPr>
        <w:t xml:space="preserve">One of the principal purposes of the federal securities laws is to prohibit "insider trading." Insider trading occurs when a person uses </w:t>
      </w:r>
      <w:r>
        <w:rPr>
          <w:rFonts w:ascii="Arial" w:cs="Arial" w:eastAsia="Arial" w:hAnsi="Arial"/>
          <w:sz w:val="18"/>
          <w:szCs w:val="18"/>
          <w:i w:val="1"/>
          <w:iCs w:val="1"/>
          <w:color w:val="050D08"/>
        </w:rPr>
        <w:t>material</w:t>
      </w:r>
      <w:r>
        <w:rPr>
          <w:rFonts w:ascii="Arial" w:cs="Arial" w:eastAsia="Arial" w:hAnsi="Arial"/>
          <w:sz w:val="18"/>
          <w:szCs w:val="18"/>
          <w:color w:val="050D08"/>
        </w:rPr>
        <w:t xml:space="preserve"> </w:t>
      </w:r>
      <w:r>
        <w:rPr>
          <w:rFonts w:ascii="Arial" w:cs="Arial" w:eastAsia="Arial" w:hAnsi="Arial"/>
          <w:sz w:val="18"/>
          <w:szCs w:val="18"/>
          <w:i w:val="1"/>
          <w:iCs w:val="1"/>
          <w:color w:val="050D08"/>
        </w:rPr>
        <w:t xml:space="preserve">nonpublic information </w:t>
      </w:r>
      <w:r>
        <w:rPr>
          <w:rFonts w:ascii="Arial" w:cs="Arial" w:eastAsia="Arial" w:hAnsi="Arial"/>
          <w:sz w:val="18"/>
          <w:szCs w:val="18"/>
          <w:color w:val="050D08"/>
        </w:rPr>
        <w:t>obtained through involvement with the Company to make decisions to trade Company securities or the securities or to</w:t>
      </w:r>
      <w:r>
        <w:rPr>
          <w:rFonts w:ascii="Arial" w:cs="Arial" w:eastAsia="Arial" w:hAnsi="Arial"/>
          <w:sz w:val="18"/>
          <w:szCs w:val="18"/>
          <w:i w:val="1"/>
          <w:iCs w:val="1"/>
          <w:color w:val="050D08"/>
        </w:rPr>
        <w:t xml:space="preserve"> </w:t>
      </w:r>
      <w:r>
        <w:rPr>
          <w:rFonts w:ascii="Arial" w:cs="Arial" w:eastAsia="Arial" w:hAnsi="Arial"/>
          <w:sz w:val="18"/>
          <w:szCs w:val="18"/>
          <w:color w:val="050D08"/>
        </w:rPr>
        <w:t>provide that information to others outside the Company. The prohibitions against insider trading apply to trades, tips and recommendations by any person, if the information involved is "material" and "nonpublic." These terms are defined below. These prohibitions apply to any director, officer or employee who buys or sells securities on the basis of material nonpublic information that he or she obtained about the Company, its customers, suppliers, partners, competitors or other companies with which the Company has contractual relationships or may be negotiating transactions.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50D08"/>
        </w:rPr>
        <w:t xml:space="preserve">PART I — </w:t>
      </w:r>
      <w:r>
        <w:rPr>
          <w:rFonts w:ascii="Arial" w:cs="Arial" w:eastAsia="Arial" w:hAnsi="Arial"/>
          <w:sz w:val="18"/>
          <w:szCs w:val="18"/>
          <w:b w:val="1"/>
          <w:bCs w:val="1"/>
          <w:u w:val="single" w:color="auto"/>
          <w:color w:val="050D08"/>
        </w:rPr>
        <w:t>General Rule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50D08"/>
        </w:rPr>
        <w:t>1. Applicability</w:t>
      </w:r>
    </w:p>
    <w:p>
      <w:pPr>
        <w:spacing w:after="0" w:line="266" w:lineRule="exact"/>
        <w:rPr>
          <w:sz w:val="20"/>
          <w:szCs w:val="20"/>
          <w:color w:val="auto"/>
        </w:rPr>
      </w:pPr>
    </w:p>
    <w:p>
      <w:pPr>
        <w:jc w:val="both"/>
        <w:ind w:right="340"/>
        <w:spacing w:after="0" w:line="276" w:lineRule="auto"/>
        <w:rPr>
          <w:sz w:val="20"/>
          <w:szCs w:val="20"/>
          <w:color w:val="auto"/>
        </w:rPr>
      </w:pPr>
      <w:r>
        <w:rPr>
          <w:rFonts w:ascii="Arial" w:cs="Arial" w:eastAsia="Arial" w:hAnsi="Arial"/>
          <w:sz w:val="18"/>
          <w:szCs w:val="18"/>
          <w:color w:val="050D08"/>
        </w:rPr>
        <w:t>This Policy applies to all trading or other transactions in (i) the Company's securities as well as derivative securities relating to any of the Company's securities, and (ii) the securities of other companies where the person trading used information obtained while working for the Company.</w:t>
      </w:r>
    </w:p>
    <w:p>
      <w:pPr>
        <w:spacing w:after="0" w:line="20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050D08"/>
        </w:rPr>
        <w:t>This Policy applies to all employees and officers of the Company, all members of the Company's board of directors, and each of their respective family members.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50D08"/>
        </w:rPr>
        <w:t>2. General Policy: No Trading or Causing Trading While in Possession of Material Nonpublic Information</w:t>
      </w:r>
    </w:p>
    <w:p>
      <w:pPr>
        <w:spacing w:after="0" w:line="266" w:lineRule="exact"/>
        <w:rPr>
          <w:sz w:val="20"/>
          <w:szCs w:val="20"/>
          <w:color w:val="auto"/>
        </w:rPr>
      </w:pPr>
    </w:p>
    <w:p>
      <w:pPr>
        <w:jc w:val="both"/>
        <w:ind w:firstLine="8"/>
        <w:spacing w:after="0" w:line="276" w:lineRule="auto"/>
        <w:tabs>
          <w:tab w:leader="none" w:pos="270" w:val="left"/>
        </w:tabs>
        <w:numPr>
          <w:ilvl w:val="0"/>
          <w:numId w:val="43"/>
        </w:numPr>
        <w:rPr>
          <w:rFonts w:ascii="Arial" w:cs="Arial" w:eastAsia="Arial" w:hAnsi="Arial"/>
          <w:sz w:val="18"/>
          <w:szCs w:val="18"/>
          <w:color w:val="050D08"/>
        </w:rPr>
      </w:pPr>
      <w:r>
        <w:rPr>
          <w:rFonts w:ascii="Arial" w:cs="Arial" w:eastAsia="Arial" w:hAnsi="Arial"/>
          <w:sz w:val="18"/>
          <w:szCs w:val="18"/>
          <w:color w:val="050D08"/>
        </w:rPr>
        <w:t>No director, officer or employee or any of their immediate family members may purchase or sell, or offer to purchase or sell, any Company security, whether or not issued by the Company, while in possession of material nonpublic information about the Company. (The terms "material" and "nonpublic" are defined below.)</w:t>
      </w:r>
    </w:p>
    <w:p>
      <w:pPr>
        <w:spacing w:after="0" w:line="203" w:lineRule="exact"/>
        <w:rPr>
          <w:rFonts w:ascii="Arial" w:cs="Arial" w:eastAsia="Arial" w:hAnsi="Arial"/>
          <w:sz w:val="18"/>
          <w:szCs w:val="18"/>
          <w:color w:val="050D08"/>
        </w:rPr>
      </w:pPr>
    </w:p>
    <w:p>
      <w:pPr>
        <w:jc w:val="both"/>
        <w:ind w:firstLine="8"/>
        <w:spacing w:after="0" w:line="276" w:lineRule="auto"/>
        <w:tabs>
          <w:tab w:leader="none" w:pos="288" w:val="left"/>
        </w:tabs>
        <w:numPr>
          <w:ilvl w:val="0"/>
          <w:numId w:val="43"/>
        </w:numPr>
        <w:rPr>
          <w:rFonts w:ascii="Arial" w:cs="Arial" w:eastAsia="Arial" w:hAnsi="Arial"/>
          <w:sz w:val="18"/>
          <w:szCs w:val="18"/>
          <w:color w:val="050D08"/>
        </w:rPr>
      </w:pPr>
      <w:r>
        <w:rPr>
          <w:rFonts w:ascii="Arial" w:cs="Arial" w:eastAsia="Arial" w:hAnsi="Arial"/>
          <w:sz w:val="18"/>
          <w:szCs w:val="18"/>
          <w:color w:val="050D08"/>
        </w:rPr>
        <w:t xml:space="preserve">No director, officer or employee or any of their immediate family members who knows of any material nonpublic information about the Company may communicate that information to </w:t>
      </w:r>
      <w:r>
        <w:rPr>
          <w:rFonts w:ascii="Arial" w:cs="Arial" w:eastAsia="Arial" w:hAnsi="Arial"/>
          <w:sz w:val="18"/>
          <w:szCs w:val="18"/>
          <w:b w:val="1"/>
          <w:bCs w:val="1"/>
          <w:color w:val="050D08"/>
        </w:rPr>
        <w:t>("tip")</w:t>
      </w:r>
      <w:r>
        <w:rPr>
          <w:rFonts w:ascii="Arial" w:cs="Arial" w:eastAsia="Arial" w:hAnsi="Arial"/>
          <w:sz w:val="18"/>
          <w:szCs w:val="18"/>
          <w:color w:val="050D08"/>
        </w:rPr>
        <w:t xml:space="preserve"> any other person, including family members and friends, or otherwise disclose such information without the Company's authorization.</w:t>
      </w:r>
    </w:p>
    <w:p>
      <w:pPr>
        <w:spacing w:after="0" w:line="203" w:lineRule="exact"/>
        <w:rPr>
          <w:rFonts w:ascii="Arial" w:cs="Arial" w:eastAsia="Arial" w:hAnsi="Arial"/>
          <w:sz w:val="18"/>
          <w:szCs w:val="18"/>
          <w:color w:val="050D08"/>
        </w:rPr>
      </w:pPr>
    </w:p>
    <w:p>
      <w:pPr>
        <w:jc w:val="both"/>
        <w:ind w:firstLine="8"/>
        <w:spacing w:after="0" w:line="276" w:lineRule="auto"/>
        <w:tabs>
          <w:tab w:leader="none" w:pos="267" w:val="left"/>
        </w:tabs>
        <w:numPr>
          <w:ilvl w:val="0"/>
          <w:numId w:val="43"/>
        </w:numPr>
        <w:rPr>
          <w:rFonts w:ascii="Arial" w:cs="Arial" w:eastAsia="Arial" w:hAnsi="Arial"/>
          <w:sz w:val="18"/>
          <w:szCs w:val="18"/>
          <w:color w:val="0A0E0B"/>
        </w:rPr>
      </w:pPr>
      <w:r>
        <w:rPr>
          <w:rFonts w:ascii="Arial" w:cs="Arial" w:eastAsia="Arial" w:hAnsi="Arial"/>
          <w:sz w:val="18"/>
          <w:szCs w:val="18"/>
          <w:color w:val="0A0E0B"/>
        </w:rPr>
        <w:t>No director, officer or employee or any of their immediate family members may purchase or sell any security of any other company while in possession of material nonpublic information that was obtained in the course of his or her involvement with the Company. No director, officer or employee or any of their immediate family members who knows of any such material nonpublic information may communicate that</w:t>
      </w:r>
    </w:p>
    <w:p>
      <w:pPr>
        <w:sectPr>
          <w:pgSz w:w="11900" w:h="16838" w:orient="portrait"/>
          <w:cols w:equalWidth="0" w:num="1">
            <w:col w:w="11240"/>
          </w:cols>
          <w:pgMar w:left="320" w:top="1440" w:right="339" w:bottom="1440" w:gutter="0" w:footer="0" w:header="0"/>
        </w:sectPr>
      </w:pPr>
    </w:p>
    <w:bookmarkStart w:id="79" w:name="page80"/>
    <w:bookmarkEnd w:id="79"/>
    <w:p>
      <w:pPr>
        <w:ind w:right="20"/>
        <w:spacing w:after="0" w:line="268" w:lineRule="auto"/>
        <w:rPr>
          <w:sz w:val="20"/>
          <w:szCs w:val="20"/>
          <w:color w:val="auto"/>
        </w:rPr>
      </w:pPr>
      <w:r>
        <w:rPr>
          <w:rFonts w:ascii="Arial" w:cs="Arial" w:eastAsia="Arial" w:hAnsi="Arial"/>
          <w:sz w:val="18"/>
          <w:szCs w:val="18"/>
          <w:color w:val="0A0E0B"/>
        </w:rPr>
        <w:t>information to, or tip, any other person, including family members and friends, or otherwise disclose such information without the Company's authorization.</w:t>
      </w:r>
    </w:p>
    <w:p>
      <w:pPr>
        <w:spacing w:after="0" w:line="1" w:lineRule="exact"/>
        <w:rPr>
          <w:sz w:val="20"/>
          <w:szCs w:val="20"/>
          <w:color w:val="auto"/>
        </w:rPr>
      </w:pPr>
    </w:p>
    <w:p>
      <w:pPr>
        <w:ind w:firstLine="8"/>
        <w:spacing w:after="0" w:line="282" w:lineRule="auto"/>
        <w:tabs>
          <w:tab w:leader="none" w:pos="306" w:val="left"/>
        </w:tabs>
        <w:numPr>
          <w:ilvl w:val="0"/>
          <w:numId w:val="44"/>
        </w:numPr>
        <w:rPr>
          <w:rFonts w:ascii="Arial" w:cs="Arial" w:eastAsia="Arial" w:hAnsi="Arial"/>
          <w:sz w:val="18"/>
          <w:szCs w:val="18"/>
          <w:color w:val="0A0E0B"/>
        </w:rPr>
      </w:pPr>
      <w:r>
        <w:rPr>
          <w:rFonts w:ascii="Arial" w:cs="Arial" w:eastAsia="Arial" w:hAnsi="Arial"/>
          <w:sz w:val="18"/>
          <w:szCs w:val="18"/>
          <w:color w:val="0A0E0B"/>
        </w:rPr>
        <w:t>Covered persons should never trade, tip or recommend securities (or otherwise cause the purchase or sale of securities) while in possession of information they have reason to believe is material and nonpublic without approval of the Compliance Officer (defined below).</w:t>
      </w:r>
    </w:p>
    <w:p>
      <w:pPr>
        <w:spacing w:after="0" w:line="197" w:lineRule="exact"/>
        <w:rPr>
          <w:rFonts w:ascii="Arial" w:cs="Arial" w:eastAsia="Arial" w:hAnsi="Arial"/>
          <w:sz w:val="18"/>
          <w:szCs w:val="18"/>
          <w:color w:val="0A0E0B"/>
        </w:rPr>
      </w:pPr>
    </w:p>
    <w:p>
      <w:pPr>
        <w:ind w:firstLine="8"/>
        <w:spacing w:after="0" w:line="287" w:lineRule="auto"/>
        <w:tabs>
          <w:tab w:leader="none" w:pos="271" w:val="left"/>
        </w:tabs>
        <w:numPr>
          <w:ilvl w:val="0"/>
          <w:numId w:val="44"/>
        </w:numPr>
        <w:rPr>
          <w:rFonts w:ascii="Arial" w:cs="Arial" w:eastAsia="Arial" w:hAnsi="Arial"/>
          <w:sz w:val="18"/>
          <w:szCs w:val="18"/>
          <w:color w:val="0A0E0B"/>
        </w:rPr>
      </w:pPr>
      <w:r>
        <w:rPr>
          <w:rFonts w:ascii="Arial" w:cs="Arial" w:eastAsia="Arial" w:hAnsi="Arial"/>
          <w:sz w:val="18"/>
          <w:szCs w:val="18"/>
          <w:color w:val="0A0E0B"/>
        </w:rPr>
        <w:t xml:space="preserve">Covered Persons must "pre-clear" all trading in securities of the Company in accordance with the procedures set forth in Part </w:t>
      </w:r>
      <w:r>
        <w:rPr>
          <w:rFonts w:ascii="Arial" w:cs="Arial" w:eastAsia="Arial" w:hAnsi="Arial"/>
          <w:sz w:val="18"/>
          <w:szCs w:val="18"/>
          <w:b w:val="1"/>
          <w:bCs w:val="1"/>
          <w:color w:val="0A0E0B"/>
        </w:rPr>
        <w:t>II,</w:t>
      </w:r>
      <w:r>
        <w:rPr>
          <w:rFonts w:ascii="Arial" w:cs="Arial" w:eastAsia="Arial" w:hAnsi="Arial"/>
          <w:sz w:val="18"/>
          <w:szCs w:val="18"/>
          <w:color w:val="0A0E0B"/>
        </w:rPr>
        <w:t xml:space="preserve"> Section 3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A0E0B"/>
        </w:rPr>
        <w:t>3. Definitions</w:t>
      </w:r>
    </w:p>
    <w:p>
      <w:pPr>
        <w:spacing w:after="0" w:line="252" w:lineRule="exact"/>
        <w:rPr>
          <w:sz w:val="20"/>
          <w:szCs w:val="20"/>
          <w:color w:val="auto"/>
        </w:rPr>
      </w:pPr>
    </w:p>
    <w:p>
      <w:pPr>
        <w:jc w:val="both"/>
        <w:ind w:firstLine="8"/>
        <w:spacing w:after="0" w:line="273" w:lineRule="auto"/>
        <w:tabs>
          <w:tab w:leader="none" w:pos="270" w:val="left"/>
        </w:tabs>
        <w:numPr>
          <w:ilvl w:val="0"/>
          <w:numId w:val="45"/>
        </w:numPr>
        <w:rPr>
          <w:rFonts w:ascii="Arial" w:cs="Arial" w:eastAsia="Arial" w:hAnsi="Arial"/>
          <w:sz w:val="18"/>
          <w:szCs w:val="18"/>
          <w:b w:val="1"/>
          <w:bCs w:val="1"/>
          <w:color w:val="0A0E0B"/>
        </w:rPr>
      </w:pPr>
      <w:r>
        <w:rPr>
          <w:rFonts w:ascii="Arial" w:cs="Arial" w:eastAsia="Arial" w:hAnsi="Arial"/>
          <w:sz w:val="18"/>
          <w:szCs w:val="18"/>
          <w:b w:val="1"/>
          <w:bCs w:val="1"/>
          <w:color w:val="0A0E0B"/>
        </w:rPr>
        <w:t xml:space="preserve">Material. </w:t>
      </w:r>
      <w:r>
        <w:rPr>
          <w:rFonts w:ascii="Arial" w:cs="Arial" w:eastAsia="Arial" w:hAnsi="Arial"/>
          <w:sz w:val="18"/>
          <w:szCs w:val="18"/>
          <w:color w:val="0A0E0B"/>
        </w:rPr>
        <w:t>Insider trading restrictions come into play only if the Covered Persons possess "material information." However, "materiality" is a</w:t>
      </w:r>
      <w:r>
        <w:rPr>
          <w:rFonts w:ascii="Arial" w:cs="Arial" w:eastAsia="Arial" w:hAnsi="Arial"/>
          <w:sz w:val="18"/>
          <w:szCs w:val="18"/>
          <w:b w:val="1"/>
          <w:bCs w:val="1"/>
          <w:color w:val="0A0E0B"/>
        </w:rPr>
        <w:t xml:space="preserve"> </w:t>
      </w:r>
      <w:r>
        <w:rPr>
          <w:rFonts w:ascii="Arial" w:cs="Arial" w:eastAsia="Arial" w:hAnsi="Arial"/>
          <w:sz w:val="18"/>
          <w:szCs w:val="18"/>
          <w:color w:val="0A0E0B"/>
        </w:rPr>
        <w:t>relatively low threshold in this instance. Information is generally regarded as "material" if it has market significance, i.e., if its public dissemination is likely to affect the market price of securities, or if it otherwise is information that a reasonable investor would want to know before making an investment decision.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0A0E0B"/>
        </w:rPr>
        <w:t>Examples of information likely to be considered material includes, but is not limited to:</w:t>
      </w:r>
    </w:p>
    <w:p>
      <w:pPr>
        <w:spacing w:after="0" w:line="252"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0A0E0B"/>
        </w:rPr>
        <w:t>significant changes in the Company's prospects;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0A0E0B"/>
        </w:rPr>
        <w:t>significant write-downs in assets or increases in reserves;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0A0E0B"/>
        </w:rPr>
        <w:t>developments regarding significant litigation or government agency investigations;</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0A0E0B"/>
        </w:rPr>
        <w:t>liquidity problems;</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0A0E0B"/>
        </w:rPr>
        <w:t>changes in earnings estimates or unusual gains or losses in major operations;</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0A0E0B"/>
        </w:rPr>
        <w:t>major changes in the Company's management or the board of directors;</w:t>
      </w:r>
    </w:p>
    <w:p>
      <w:pPr>
        <w:spacing w:after="0" w:line="265" w:lineRule="exact"/>
        <w:rPr>
          <w:rFonts w:ascii="Arial" w:cs="Arial" w:eastAsia="Arial" w:hAnsi="Arial"/>
          <w:sz w:val="18"/>
          <w:szCs w:val="18"/>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0A0E0B"/>
        </w:rPr>
        <w:t>changes in dividends;</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0A0E0B"/>
        </w:rPr>
        <w:t>extraordinary borrowings;</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0A0E0B"/>
        </w:rPr>
        <w:t>major changes in accounting methods or policies;</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0A0E0B"/>
        </w:rPr>
        <w:t>award or loss of a significant contract;</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0A0E0B"/>
        </w:rPr>
        <w:t>cybersecurity risks and incidents, including vulnerabilities and breaches;</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0A0E0B"/>
        </w:rPr>
        <w:t>changes in debt ratings;</w:t>
      </w:r>
    </w:p>
    <w:p>
      <w:pPr>
        <w:spacing w:after="0" w:line="252" w:lineRule="exact"/>
        <w:rPr>
          <w:rFonts w:ascii="Arial" w:cs="Arial" w:eastAsia="Arial" w:hAnsi="Arial"/>
          <w:sz w:val="18"/>
          <w:szCs w:val="18"/>
          <w:color w:val="auto"/>
        </w:rPr>
      </w:pPr>
    </w:p>
    <w:p>
      <w:pPr>
        <w:ind w:left="660" w:hanging="328"/>
        <w:spacing w:after="0" w:line="303" w:lineRule="auto"/>
        <w:tabs>
          <w:tab w:leader="none" w:pos="650" w:val="left"/>
        </w:tabs>
        <w:numPr>
          <w:ilvl w:val="0"/>
          <w:numId w:val="46"/>
        </w:numPr>
        <w:rPr>
          <w:rFonts w:ascii="Arial" w:cs="Arial" w:eastAsia="Arial" w:hAnsi="Arial"/>
          <w:sz w:val="18"/>
          <w:szCs w:val="18"/>
          <w:color w:val="auto"/>
        </w:rPr>
      </w:pPr>
      <w:r>
        <w:rPr>
          <w:rFonts w:ascii="Arial" w:cs="Arial" w:eastAsia="Arial" w:hAnsi="Arial"/>
          <w:sz w:val="18"/>
          <w:szCs w:val="18"/>
          <w:color w:val="090E0B"/>
        </w:rPr>
        <w:t>proposals, plans or agreements, even if preliminary in nature, involving mergers, acquisitions, divestitures, recapitalizations, strategic alliances, licensing arrangements, or purchases or sales of substantial assets; and</w:t>
      </w:r>
    </w:p>
    <w:p>
      <w:pPr>
        <w:spacing w:after="0" w:line="179" w:lineRule="exact"/>
        <w:rPr>
          <w:rFonts w:ascii="Arial" w:cs="Arial" w:eastAsia="Arial" w:hAnsi="Arial"/>
          <w:sz w:val="18"/>
          <w:szCs w:val="18"/>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090E0B"/>
        </w:rPr>
        <w:t>offerings of Company securities.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090E0B"/>
        </w:rPr>
        <w:t>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w:t>
      </w:r>
    </w:p>
    <w:p>
      <w:pPr>
        <w:sectPr>
          <w:pgSz w:w="11900" w:h="16838" w:orient="portrait"/>
          <w:cols w:equalWidth="0" w:num="1">
            <w:col w:w="11240"/>
          </w:cols>
          <w:pgMar w:left="320" w:top="1417" w:right="339" w:bottom="1440" w:gutter="0" w:footer="0" w:header="0"/>
        </w:sectPr>
      </w:pPr>
    </w:p>
    <w:bookmarkStart w:id="80" w:name="page81"/>
    <w:bookmarkEnd w:id="80"/>
    <w:p>
      <w:pPr>
        <w:jc w:val="both"/>
        <w:spacing w:after="0" w:line="276" w:lineRule="auto"/>
        <w:rPr>
          <w:sz w:val="20"/>
          <w:szCs w:val="20"/>
          <w:color w:val="auto"/>
        </w:rPr>
      </w:pPr>
      <w:r>
        <w:rPr>
          <w:rFonts w:ascii="Arial" w:cs="Arial" w:eastAsia="Arial" w:hAnsi="Arial"/>
          <w:sz w:val="18"/>
          <w:szCs w:val="18"/>
          <w:color w:val="090E0B"/>
        </w:rPr>
        <w:t>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w:t>
      </w:r>
    </w:p>
    <w:p>
      <w:pPr>
        <w:spacing w:after="0" w:line="204" w:lineRule="exact"/>
        <w:rPr>
          <w:sz w:val="20"/>
          <w:szCs w:val="20"/>
          <w:color w:val="auto"/>
        </w:rPr>
      </w:pPr>
    </w:p>
    <w:p>
      <w:pPr>
        <w:ind w:right="300"/>
        <w:spacing w:after="0" w:line="344" w:lineRule="auto"/>
        <w:rPr>
          <w:sz w:val="20"/>
          <w:szCs w:val="20"/>
          <w:color w:val="auto"/>
        </w:rPr>
      </w:pPr>
      <w:r>
        <w:rPr>
          <w:rFonts w:ascii="Arial" w:cs="Arial" w:eastAsia="Arial" w:hAnsi="Arial"/>
          <w:sz w:val="17"/>
          <w:szCs w:val="17"/>
          <w:b w:val="1"/>
          <w:bCs w:val="1"/>
          <w:color w:val="090E0B"/>
        </w:rPr>
        <w:t>If you are uncertain whether information is material, you should consult the Compliance Officer before making any decision to disclose such information (other than to persons who need to know it) or to trade in securities to which that information relates.</w:t>
      </w:r>
    </w:p>
    <w:p>
      <w:pPr>
        <w:spacing w:after="0" w:line="128" w:lineRule="exact"/>
        <w:rPr>
          <w:sz w:val="20"/>
          <w:szCs w:val="20"/>
          <w:color w:val="auto"/>
        </w:rPr>
      </w:pPr>
    </w:p>
    <w:p>
      <w:pPr>
        <w:jc w:val="both"/>
        <w:ind w:firstLine="8"/>
        <w:spacing w:after="0" w:line="273" w:lineRule="auto"/>
        <w:tabs>
          <w:tab w:leader="none" w:pos="320" w:val="left"/>
        </w:tabs>
        <w:numPr>
          <w:ilvl w:val="0"/>
          <w:numId w:val="47"/>
        </w:numPr>
        <w:rPr>
          <w:rFonts w:ascii="Arial" w:cs="Arial" w:eastAsia="Arial" w:hAnsi="Arial"/>
          <w:sz w:val="18"/>
          <w:szCs w:val="18"/>
          <w:b w:val="1"/>
          <w:bCs w:val="1"/>
          <w:color w:val="090E0B"/>
        </w:rPr>
      </w:pPr>
      <w:r>
        <w:rPr>
          <w:rFonts w:ascii="Arial" w:cs="Arial" w:eastAsia="Arial" w:hAnsi="Arial"/>
          <w:sz w:val="18"/>
          <w:szCs w:val="18"/>
          <w:b w:val="1"/>
          <w:bCs w:val="1"/>
          <w:color w:val="090E0B"/>
        </w:rPr>
        <w:t xml:space="preserve">Nonpublic. </w:t>
      </w:r>
      <w:r>
        <w:rPr>
          <w:rFonts w:ascii="Arial" w:cs="Arial" w:eastAsia="Arial" w:hAnsi="Arial"/>
          <w:sz w:val="18"/>
          <w:szCs w:val="18"/>
          <w:color w:val="090E0B"/>
        </w:rPr>
        <w:t>Insider trading prohibitions come into play only when the information is material and "nonpublic." To be "public" the</w:t>
      </w:r>
      <w:r>
        <w:rPr>
          <w:rFonts w:ascii="Arial" w:cs="Arial" w:eastAsia="Arial" w:hAnsi="Arial"/>
          <w:sz w:val="18"/>
          <w:szCs w:val="18"/>
          <w:b w:val="1"/>
          <w:bCs w:val="1"/>
          <w:color w:val="090E0B"/>
        </w:rPr>
        <w:t xml:space="preserve"> </w:t>
      </w:r>
      <w:r>
        <w:rPr>
          <w:rFonts w:ascii="Arial" w:cs="Arial" w:eastAsia="Arial" w:hAnsi="Arial"/>
          <w:sz w:val="18"/>
          <w:szCs w:val="18"/>
          <w:color w:val="090E0B"/>
        </w:rPr>
        <w:t>information must have been disseminated in a manner designed to reach investors generally. Even after public disclosure of information about the Company, Covered Persons shall wait until the close of business on the second trading day after the information was publicly disclosed before the information can be treated as public.</w:t>
      </w:r>
    </w:p>
    <w:p>
      <w:pPr>
        <w:spacing w:after="0" w:line="206" w:lineRule="exact"/>
        <w:rPr>
          <w:sz w:val="20"/>
          <w:szCs w:val="20"/>
          <w:color w:val="auto"/>
        </w:rPr>
      </w:pPr>
    </w:p>
    <w:p>
      <w:pPr>
        <w:spacing w:after="0" w:line="312" w:lineRule="auto"/>
        <w:rPr>
          <w:sz w:val="20"/>
          <w:szCs w:val="20"/>
          <w:color w:val="auto"/>
        </w:rPr>
      </w:pPr>
      <w:r>
        <w:rPr>
          <w:rFonts w:ascii="Arial" w:cs="Arial" w:eastAsia="Arial" w:hAnsi="Arial"/>
          <w:sz w:val="18"/>
          <w:szCs w:val="18"/>
          <w:b w:val="1"/>
          <w:bCs w:val="1"/>
          <w:color w:val="090E0B"/>
        </w:rPr>
        <w:t>If you are uncertain whether information is considered public, you should consult with the Compliance Officer before making any decision to disclose such information or trade in securities to which that information relates.</w:t>
      </w:r>
    </w:p>
    <w:p>
      <w:pPr>
        <w:spacing w:after="0" w:line="150" w:lineRule="exact"/>
        <w:rPr>
          <w:sz w:val="20"/>
          <w:szCs w:val="20"/>
          <w:color w:val="auto"/>
        </w:rPr>
      </w:pPr>
    </w:p>
    <w:p>
      <w:pPr>
        <w:ind w:firstLine="8"/>
        <w:spacing w:after="0" w:line="303" w:lineRule="auto"/>
        <w:tabs>
          <w:tab w:leader="none" w:pos="274" w:val="left"/>
        </w:tabs>
        <w:numPr>
          <w:ilvl w:val="0"/>
          <w:numId w:val="48"/>
        </w:numPr>
        <w:rPr>
          <w:rFonts w:ascii="Arial" w:cs="Arial" w:eastAsia="Arial" w:hAnsi="Arial"/>
          <w:sz w:val="18"/>
          <w:szCs w:val="18"/>
          <w:b w:val="1"/>
          <w:bCs w:val="1"/>
          <w:color w:val="090E0B"/>
        </w:rPr>
      </w:pPr>
      <w:r>
        <w:rPr>
          <w:rFonts w:ascii="Arial" w:cs="Arial" w:eastAsia="Arial" w:hAnsi="Arial"/>
          <w:sz w:val="18"/>
          <w:szCs w:val="18"/>
          <w:b w:val="1"/>
          <w:bCs w:val="1"/>
          <w:color w:val="090E0B"/>
        </w:rPr>
        <w:t xml:space="preserve">Compliance Officer. </w:t>
      </w:r>
      <w:r>
        <w:rPr>
          <w:rFonts w:ascii="Arial" w:cs="Arial" w:eastAsia="Arial" w:hAnsi="Arial"/>
          <w:sz w:val="18"/>
          <w:szCs w:val="18"/>
          <w:color w:val="090E0B"/>
        </w:rPr>
        <w:t>The Company has appointed the Chief Financial Officer as the Compliance Officer for this Policy. The duties of the</w:t>
      </w:r>
      <w:r>
        <w:rPr>
          <w:rFonts w:ascii="Arial" w:cs="Arial" w:eastAsia="Arial" w:hAnsi="Arial"/>
          <w:sz w:val="18"/>
          <w:szCs w:val="18"/>
          <w:b w:val="1"/>
          <w:bCs w:val="1"/>
          <w:color w:val="090E0B"/>
        </w:rPr>
        <w:t xml:space="preserve"> </w:t>
      </w:r>
      <w:r>
        <w:rPr>
          <w:rFonts w:ascii="Arial" w:cs="Arial" w:eastAsia="Arial" w:hAnsi="Arial"/>
          <w:sz w:val="18"/>
          <w:szCs w:val="18"/>
          <w:color w:val="090E0B"/>
        </w:rPr>
        <w:t>Compliance Officer include, but are not limited to, the following:</w:t>
      </w:r>
    </w:p>
    <w:p>
      <w:pPr>
        <w:spacing w:after="0" w:line="179" w:lineRule="exact"/>
        <w:rPr>
          <w:rFonts w:ascii="Arial" w:cs="Arial" w:eastAsia="Arial" w:hAnsi="Arial"/>
          <w:sz w:val="18"/>
          <w:szCs w:val="18"/>
          <w:b w:val="1"/>
          <w:bCs w:val="1"/>
          <w:color w:val="090E0B"/>
        </w:rPr>
      </w:pPr>
    </w:p>
    <w:p>
      <w:pPr>
        <w:ind w:left="660" w:hanging="328"/>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090E0B"/>
        </w:rPr>
        <w:t>assisting with implementation and enforcement of this Policy;</w:t>
      </w:r>
    </w:p>
    <w:p>
      <w:pPr>
        <w:spacing w:after="0" w:line="27" w:lineRule="exact"/>
        <w:rPr>
          <w:rFonts w:ascii="Arial" w:cs="Arial" w:eastAsia="Arial" w:hAnsi="Arial"/>
          <w:sz w:val="18"/>
          <w:szCs w:val="18"/>
          <w:color w:val="auto"/>
        </w:rPr>
      </w:pPr>
    </w:p>
    <w:p>
      <w:pPr>
        <w:ind w:left="660" w:hanging="328"/>
        <w:spacing w:after="0" w:line="253" w:lineRule="auto"/>
        <w:tabs>
          <w:tab w:leader="none" w:pos="655" w:val="left"/>
        </w:tabs>
        <w:numPr>
          <w:ilvl w:val="1"/>
          <w:numId w:val="48"/>
        </w:numPr>
        <w:rPr>
          <w:rFonts w:ascii="Arial" w:cs="Arial" w:eastAsia="Arial" w:hAnsi="Arial"/>
          <w:sz w:val="18"/>
          <w:szCs w:val="18"/>
          <w:color w:val="auto"/>
        </w:rPr>
      </w:pPr>
      <w:r>
        <w:rPr>
          <w:rFonts w:ascii="Arial" w:cs="Arial" w:eastAsia="Arial" w:hAnsi="Arial"/>
          <w:sz w:val="18"/>
          <w:szCs w:val="18"/>
          <w:color w:val="090E0B"/>
        </w:rPr>
        <w:t>circulating this Policy to all employees and ensuring that this Policy is amended as necessary to remain up-to-date with insider trading laws;</w:t>
      </w:r>
    </w:p>
    <w:p>
      <w:pPr>
        <w:ind w:left="660" w:hanging="328"/>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090E0B"/>
        </w:rPr>
        <w:t>pre-clearing all trading in securities of the Company by Covered Persons in accordance with the procedures set forth below; and</w:t>
      </w:r>
    </w:p>
    <w:p>
      <w:pPr>
        <w:spacing w:after="0" w:line="22" w:lineRule="exact"/>
        <w:rPr>
          <w:rFonts w:ascii="Arial" w:cs="Arial" w:eastAsia="Arial" w:hAnsi="Arial"/>
          <w:sz w:val="18"/>
          <w:szCs w:val="18"/>
          <w:color w:val="auto"/>
        </w:rPr>
      </w:pPr>
    </w:p>
    <w:p>
      <w:pPr>
        <w:ind w:left="640" w:hanging="308"/>
        <w:spacing w:after="0"/>
        <w:tabs>
          <w:tab w:leader="none" w:pos="640" w:val="left"/>
        </w:tabs>
        <w:numPr>
          <w:ilvl w:val="1"/>
          <w:numId w:val="48"/>
        </w:numPr>
        <w:rPr>
          <w:rFonts w:ascii="Arial" w:cs="Arial" w:eastAsia="Arial" w:hAnsi="Arial"/>
          <w:sz w:val="18"/>
          <w:szCs w:val="18"/>
          <w:color w:val="090E0B"/>
        </w:rPr>
      </w:pPr>
      <w:r>
        <w:rPr>
          <w:rFonts w:ascii="Arial" w:cs="Arial" w:eastAsia="Arial" w:hAnsi="Arial"/>
          <w:sz w:val="18"/>
          <w:szCs w:val="18"/>
          <w:color w:val="090E0B"/>
        </w:rPr>
        <w:t>providing a reporting system with an effective whistleblower protection mechanism.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90E0B"/>
        </w:rPr>
        <w:t>4. Violations of Insider Trading Laws</w:t>
      </w:r>
    </w:p>
    <w:p>
      <w:pPr>
        <w:spacing w:after="0" w:line="266" w:lineRule="exact"/>
        <w:rPr>
          <w:sz w:val="20"/>
          <w:szCs w:val="20"/>
          <w:color w:val="auto"/>
        </w:rPr>
      </w:pPr>
    </w:p>
    <w:p>
      <w:pPr>
        <w:spacing w:after="0" w:line="271" w:lineRule="auto"/>
        <w:rPr>
          <w:sz w:val="20"/>
          <w:szCs w:val="20"/>
          <w:color w:val="auto"/>
        </w:rPr>
      </w:pPr>
      <w:r>
        <w:rPr>
          <w:rFonts w:ascii="Arial" w:cs="Arial" w:eastAsia="Arial" w:hAnsi="Arial"/>
          <w:sz w:val="18"/>
          <w:szCs w:val="18"/>
          <w:color w:val="090E0B"/>
        </w:rPr>
        <w:t>Penalties for trading on or communicating material nonpublic information can be severe, both for individuals involved in such unlawful conduct and their employers and supervisors, and may</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8"/>
          <w:szCs w:val="18"/>
          <w:color w:val="06110B"/>
        </w:rPr>
        <w:t>include jail terms, criminal fines, civil penalties and civil enforcement injunctions. Given the severity of the potential penalties, compliance with this Policy is mandatory.</w:t>
      </w:r>
    </w:p>
    <w:p>
      <w:pPr>
        <w:spacing w:after="0" w:line="203" w:lineRule="exact"/>
        <w:rPr>
          <w:sz w:val="20"/>
          <w:szCs w:val="20"/>
          <w:color w:val="auto"/>
        </w:rPr>
      </w:pPr>
    </w:p>
    <w:p>
      <w:pPr>
        <w:jc w:val="both"/>
        <w:ind w:firstLine="8"/>
        <w:spacing w:after="0" w:line="276" w:lineRule="auto"/>
        <w:tabs>
          <w:tab w:leader="none" w:pos="279" w:val="left"/>
        </w:tabs>
        <w:numPr>
          <w:ilvl w:val="0"/>
          <w:numId w:val="49"/>
        </w:numPr>
        <w:rPr>
          <w:rFonts w:ascii="Arial" w:cs="Arial" w:eastAsia="Arial" w:hAnsi="Arial"/>
          <w:sz w:val="18"/>
          <w:szCs w:val="18"/>
          <w:b w:val="1"/>
          <w:bCs w:val="1"/>
          <w:color w:val="06110B"/>
        </w:rPr>
      </w:pPr>
      <w:r>
        <w:rPr>
          <w:rFonts w:ascii="Arial" w:cs="Arial" w:eastAsia="Arial" w:hAnsi="Arial"/>
          <w:sz w:val="18"/>
          <w:szCs w:val="18"/>
          <w:b w:val="1"/>
          <w:bCs w:val="1"/>
          <w:color w:val="06110B"/>
        </w:rPr>
        <w:t xml:space="preserve">Legal Penalties. </w:t>
      </w:r>
      <w:r>
        <w:rPr>
          <w:rFonts w:ascii="Arial" w:cs="Arial" w:eastAsia="Arial" w:hAnsi="Arial"/>
          <w:sz w:val="18"/>
          <w:szCs w:val="18"/>
          <w:color w:val="06110B"/>
        </w:rPr>
        <w:t>A person who violates insider trading laws by engaging in transactions in a company's securities when he or she has</w:t>
      </w:r>
      <w:r>
        <w:rPr>
          <w:rFonts w:ascii="Arial" w:cs="Arial" w:eastAsia="Arial" w:hAnsi="Arial"/>
          <w:sz w:val="18"/>
          <w:szCs w:val="18"/>
          <w:b w:val="1"/>
          <w:bCs w:val="1"/>
          <w:color w:val="06110B"/>
        </w:rPr>
        <w:t xml:space="preserve"> </w:t>
      </w:r>
      <w:r>
        <w:rPr>
          <w:rFonts w:ascii="Arial" w:cs="Arial" w:eastAsia="Arial" w:hAnsi="Arial"/>
          <w:sz w:val="18"/>
          <w:szCs w:val="18"/>
          <w:color w:val="06110B"/>
        </w:rPr>
        <w:t>material nonpublic information can be sentenced to a substantial jail term and required to pay a criminal penalty of several times the amount of profits gained or losses avoided.</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06110B"/>
        </w:rPr>
        <w:t>In addition, a person who tips others may also be liable for transactions by the person(s) to whom he or she has disclosed material nonpublic information. Tippers can be subject to the same penalties and sanctions as the tippees, and the SEC has imposed large penalties even when the tipper did not profit from the transaction.</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06110B"/>
        </w:rPr>
        <w:t>The SEC can also seek substantial civil penalties from any person who, at the time of an insider trading violation, "directly or indirectly controlled the person who committed such violation," which would apply to the Company and/or management and supervisory personnel. These control persons may be held liable for up to the greater of $2,301,065 (annually adjusted for inflation) or three times the amount of the profits gained or losses avoided. The SEC can seek penalties from a company and/or its management and supervisory personnel as control persons, even if the violation results in little or no profit.</w:t>
      </w:r>
    </w:p>
    <w:p>
      <w:pPr>
        <w:sectPr>
          <w:pgSz w:w="11900" w:h="16838" w:orient="portrait"/>
          <w:cols w:equalWidth="0" w:num="1">
            <w:col w:w="11240"/>
          </w:cols>
          <w:pgMar w:left="320" w:top="1417" w:right="339" w:bottom="1440" w:gutter="0" w:footer="0" w:header="0"/>
        </w:sectPr>
      </w:pPr>
    </w:p>
    <w:bookmarkStart w:id="81" w:name="page82"/>
    <w:bookmarkEnd w:id="81"/>
    <w:p>
      <w:pPr>
        <w:jc w:val="both"/>
        <w:ind w:firstLine="8"/>
        <w:spacing w:after="0" w:line="276" w:lineRule="auto"/>
        <w:tabs>
          <w:tab w:leader="none" w:pos="311" w:val="left"/>
        </w:tabs>
        <w:numPr>
          <w:ilvl w:val="0"/>
          <w:numId w:val="50"/>
        </w:numPr>
        <w:rPr>
          <w:rFonts w:ascii="Arial" w:cs="Arial" w:eastAsia="Arial" w:hAnsi="Arial"/>
          <w:sz w:val="18"/>
          <w:szCs w:val="18"/>
          <w:b w:val="1"/>
          <w:bCs w:val="1"/>
          <w:color w:val="06110B"/>
        </w:rPr>
      </w:pPr>
      <w:r>
        <w:rPr>
          <w:rFonts w:ascii="Arial" w:cs="Arial" w:eastAsia="Arial" w:hAnsi="Arial"/>
          <w:sz w:val="18"/>
          <w:szCs w:val="18"/>
          <w:b w:val="1"/>
          <w:bCs w:val="1"/>
          <w:color w:val="06110B"/>
        </w:rPr>
        <w:t xml:space="preserve">Company-Imposed Penalties. </w:t>
      </w:r>
      <w:r>
        <w:rPr>
          <w:rFonts w:ascii="Arial" w:cs="Arial" w:eastAsia="Arial" w:hAnsi="Arial"/>
          <w:sz w:val="18"/>
          <w:szCs w:val="18"/>
          <w:color w:val="06110B"/>
        </w:rPr>
        <w:t>Employees who violate this Policy may be subject to disciplinary action by the Company, including</w:t>
      </w:r>
      <w:r>
        <w:rPr>
          <w:rFonts w:ascii="Arial" w:cs="Arial" w:eastAsia="Arial" w:hAnsi="Arial"/>
          <w:sz w:val="18"/>
          <w:szCs w:val="18"/>
          <w:b w:val="1"/>
          <w:bCs w:val="1"/>
          <w:color w:val="06110B"/>
        </w:rPr>
        <w:t xml:space="preserve"> </w:t>
      </w:r>
      <w:r>
        <w:rPr>
          <w:rFonts w:ascii="Arial" w:cs="Arial" w:eastAsia="Arial" w:hAnsi="Arial"/>
          <w:sz w:val="18"/>
          <w:szCs w:val="18"/>
          <w:color w:val="06110B"/>
        </w:rPr>
        <w:t>dismissal for cause and ineligibility for future participation in our 2020 Long-Term Incentive Plan (Effective February 19, 2020) (the "2020 Plan") or termination.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6110B"/>
        </w:rPr>
        <w:t xml:space="preserve">PART II — </w:t>
      </w:r>
      <w:r>
        <w:rPr>
          <w:rFonts w:ascii="Arial" w:cs="Arial" w:eastAsia="Arial" w:hAnsi="Arial"/>
          <w:sz w:val="18"/>
          <w:szCs w:val="18"/>
          <w:b w:val="1"/>
          <w:bCs w:val="1"/>
          <w:u w:val="single" w:color="auto"/>
          <w:color w:val="06110B"/>
        </w:rPr>
        <w:t>Company Restrictions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6110B"/>
        </w:rPr>
        <w:t>1. Blackout Periods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6110B"/>
        </w:rPr>
        <w:t>All Covered Persons are prohibited from trading in the Company's securities during blackout periods as defined below.</w:t>
      </w:r>
    </w:p>
    <w:p>
      <w:pPr>
        <w:spacing w:after="0" w:line="266" w:lineRule="exact"/>
        <w:rPr>
          <w:sz w:val="20"/>
          <w:szCs w:val="20"/>
          <w:color w:val="auto"/>
        </w:rPr>
      </w:pPr>
    </w:p>
    <w:p>
      <w:pPr>
        <w:jc w:val="both"/>
        <w:ind w:firstLine="8"/>
        <w:spacing w:after="0" w:line="273" w:lineRule="auto"/>
        <w:tabs>
          <w:tab w:leader="none" w:pos="273" w:val="left"/>
        </w:tabs>
        <w:numPr>
          <w:ilvl w:val="0"/>
          <w:numId w:val="51"/>
        </w:numPr>
        <w:rPr>
          <w:rFonts w:ascii="Arial" w:cs="Arial" w:eastAsia="Arial" w:hAnsi="Arial"/>
          <w:sz w:val="18"/>
          <w:szCs w:val="18"/>
          <w:b w:val="1"/>
          <w:bCs w:val="1"/>
          <w:color w:val="06110B"/>
        </w:rPr>
      </w:pPr>
      <w:r>
        <w:rPr>
          <w:rFonts w:ascii="Arial" w:cs="Arial" w:eastAsia="Arial" w:hAnsi="Arial"/>
          <w:sz w:val="18"/>
          <w:szCs w:val="18"/>
          <w:b w:val="1"/>
          <w:bCs w:val="1"/>
          <w:color w:val="06110B"/>
        </w:rPr>
        <w:t xml:space="preserve">Quarterly Blackout Periods. </w:t>
      </w:r>
      <w:r>
        <w:rPr>
          <w:rFonts w:ascii="Arial" w:cs="Arial" w:eastAsia="Arial" w:hAnsi="Arial"/>
          <w:sz w:val="18"/>
          <w:szCs w:val="18"/>
          <w:color w:val="06110B"/>
        </w:rPr>
        <w:t>Trading in the Company's securities is prohibited during the period beginning at the close of the market on</w:t>
      </w:r>
      <w:r>
        <w:rPr>
          <w:rFonts w:ascii="Arial" w:cs="Arial" w:eastAsia="Arial" w:hAnsi="Arial"/>
          <w:sz w:val="18"/>
          <w:szCs w:val="18"/>
          <w:b w:val="1"/>
          <w:bCs w:val="1"/>
          <w:color w:val="06110B"/>
        </w:rPr>
        <w:t xml:space="preserve"> </w:t>
      </w:r>
      <w:r>
        <w:rPr>
          <w:rFonts w:ascii="Arial" w:cs="Arial" w:eastAsia="Arial" w:hAnsi="Arial"/>
          <w:sz w:val="18"/>
          <w:szCs w:val="18"/>
          <w:color w:val="06110B"/>
        </w:rPr>
        <w:t>two weeks before the end of each fiscal quarter and ending at the close of business on the second trading day following the date the Company's financial results are publicly disclosed. Covered Persons generally possess or are presumed to possess material nonpublic information about the Company's financial results during this period.</w:t>
      </w:r>
    </w:p>
    <w:p>
      <w:pPr>
        <w:spacing w:after="0" w:line="205" w:lineRule="exact"/>
        <w:rPr>
          <w:rFonts w:ascii="Arial" w:cs="Arial" w:eastAsia="Arial" w:hAnsi="Arial"/>
          <w:sz w:val="18"/>
          <w:szCs w:val="18"/>
          <w:b w:val="1"/>
          <w:bCs w:val="1"/>
          <w:color w:val="06110B"/>
        </w:rPr>
      </w:pPr>
    </w:p>
    <w:p>
      <w:pPr>
        <w:jc w:val="both"/>
        <w:ind w:firstLine="8"/>
        <w:spacing w:after="0" w:line="267" w:lineRule="auto"/>
        <w:tabs>
          <w:tab w:leader="none" w:pos="280" w:val="left"/>
        </w:tabs>
        <w:numPr>
          <w:ilvl w:val="0"/>
          <w:numId w:val="51"/>
        </w:numPr>
        <w:rPr>
          <w:rFonts w:ascii="Arial" w:cs="Arial" w:eastAsia="Arial" w:hAnsi="Arial"/>
          <w:sz w:val="18"/>
          <w:szCs w:val="18"/>
          <w:b w:val="1"/>
          <w:bCs w:val="1"/>
          <w:color w:val="06110B"/>
        </w:rPr>
      </w:pPr>
      <w:r>
        <w:rPr>
          <w:rFonts w:ascii="Arial" w:cs="Arial" w:eastAsia="Arial" w:hAnsi="Arial"/>
          <w:sz w:val="18"/>
          <w:szCs w:val="18"/>
          <w:b w:val="1"/>
          <w:bCs w:val="1"/>
          <w:color w:val="06110B"/>
        </w:rPr>
        <w:t xml:space="preserve">Other Blackout Periods. </w:t>
      </w:r>
      <w:r>
        <w:rPr>
          <w:rFonts w:ascii="Arial" w:cs="Arial" w:eastAsia="Arial" w:hAnsi="Arial"/>
          <w:sz w:val="18"/>
          <w:szCs w:val="18"/>
          <w:color w:val="06110B"/>
        </w:rPr>
        <w:t>From time to time, other types of material nonpublic information regarding the Company (such as negotiation of</w:t>
      </w:r>
      <w:r>
        <w:rPr>
          <w:rFonts w:ascii="Arial" w:cs="Arial" w:eastAsia="Arial" w:hAnsi="Arial"/>
          <w:sz w:val="18"/>
          <w:szCs w:val="18"/>
          <w:b w:val="1"/>
          <w:bCs w:val="1"/>
          <w:color w:val="06110B"/>
        </w:rPr>
        <w:t xml:space="preserve"> </w:t>
      </w:r>
      <w:r>
        <w:rPr>
          <w:rFonts w:ascii="Arial" w:cs="Arial" w:eastAsia="Arial" w:hAnsi="Arial"/>
          <w:sz w:val="18"/>
          <w:szCs w:val="18"/>
          <w:color w:val="06110B"/>
        </w:rPr>
        <w:t>mergers, acquisitions or dispositions, investigation and assessment of cybersecurity incidents or new product developments) may be pending and not be publicly disclosed. While such material nonpublic information is pending, the Company may impose special blackout periods during which Covered Persons are prohibited from trading in the Company's securities. If the Company imposes a special blackout period, it will notify the Covered Persons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6110B"/>
        </w:rPr>
        <w:t>2. Trading Window</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040E08"/>
        </w:rPr>
        <w:t xml:space="preserve">Covered Persons are permitted to trade in the Company's securities when no blackout period is in effect. However, even during this trading window, a Covered Person who is in possession of any material nonpublic information should not trade in the Company's securities until the information has been made publicly available or is no longer material. In addition, the Company may close this trading window if a special blackout period under Part </w:t>
      </w:r>
      <w:r>
        <w:rPr>
          <w:rFonts w:ascii="Arial" w:cs="Arial" w:eastAsia="Arial" w:hAnsi="Arial"/>
          <w:sz w:val="18"/>
          <w:szCs w:val="18"/>
          <w:b w:val="1"/>
          <w:bCs w:val="1"/>
          <w:color w:val="040E08"/>
        </w:rPr>
        <w:t>II,</w:t>
      </w:r>
      <w:r>
        <w:rPr>
          <w:rFonts w:ascii="Arial" w:cs="Arial" w:eastAsia="Arial" w:hAnsi="Arial"/>
          <w:sz w:val="18"/>
          <w:szCs w:val="18"/>
          <w:color w:val="040E08"/>
        </w:rPr>
        <w:t xml:space="preserve"> Section 1(b) above is imposed and will re-open the trading window once the special blackout period has ended.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40E08"/>
        </w:rPr>
        <w:t>3. Pre-Clearance of Securities Transactions</w:t>
      </w:r>
    </w:p>
    <w:p>
      <w:pPr>
        <w:spacing w:after="0" w:line="252" w:lineRule="exact"/>
        <w:rPr>
          <w:sz w:val="20"/>
          <w:szCs w:val="20"/>
          <w:color w:val="auto"/>
        </w:rPr>
      </w:pPr>
    </w:p>
    <w:p>
      <w:pPr>
        <w:ind w:firstLine="8"/>
        <w:spacing w:after="0" w:line="303" w:lineRule="auto"/>
        <w:tabs>
          <w:tab w:leader="none" w:pos="275" w:val="left"/>
        </w:tabs>
        <w:numPr>
          <w:ilvl w:val="0"/>
          <w:numId w:val="52"/>
        </w:numPr>
        <w:rPr>
          <w:rFonts w:ascii="Arial" w:cs="Arial" w:eastAsia="Arial" w:hAnsi="Arial"/>
          <w:sz w:val="18"/>
          <w:szCs w:val="18"/>
          <w:color w:val="040E08"/>
        </w:rPr>
      </w:pPr>
      <w:r>
        <w:rPr>
          <w:rFonts w:ascii="Arial" w:cs="Arial" w:eastAsia="Arial" w:hAnsi="Arial"/>
          <w:sz w:val="18"/>
          <w:szCs w:val="18"/>
          <w:color w:val="040E08"/>
        </w:rPr>
        <w:t>Because Company Insiders are likely to obtain material nonpublic information on a regular basis, the Company requires all such persons to refrain from trading, even during a trading window, without first pre-clearing all transactions in the Company's securities.</w:t>
      </w:r>
    </w:p>
    <w:p>
      <w:pPr>
        <w:spacing w:after="0" w:line="165" w:lineRule="exact"/>
        <w:rPr>
          <w:rFonts w:ascii="Arial" w:cs="Arial" w:eastAsia="Arial" w:hAnsi="Arial"/>
          <w:sz w:val="18"/>
          <w:szCs w:val="18"/>
          <w:color w:val="040E08"/>
        </w:rPr>
      </w:pPr>
    </w:p>
    <w:p>
      <w:pPr>
        <w:jc w:val="both"/>
        <w:ind w:firstLine="8"/>
        <w:spacing w:after="0" w:line="273" w:lineRule="auto"/>
        <w:tabs>
          <w:tab w:leader="none" w:pos="287" w:val="left"/>
        </w:tabs>
        <w:numPr>
          <w:ilvl w:val="0"/>
          <w:numId w:val="52"/>
        </w:numPr>
        <w:rPr>
          <w:rFonts w:ascii="Arial" w:cs="Arial" w:eastAsia="Arial" w:hAnsi="Arial"/>
          <w:sz w:val="18"/>
          <w:szCs w:val="18"/>
          <w:color w:val="040E08"/>
        </w:rPr>
      </w:pPr>
      <w:r>
        <w:rPr>
          <w:rFonts w:ascii="Arial" w:cs="Arial" w:eastAsia="Arial" w:hAnsi="Arial"/>
          <w:sz w:val="18"/>
          <w:szCs w:val="18"/>
          <w:color w:val="040E08"/>
        </w:rPr>
        <w:t>No Company Insider may, directly or indirectly, purchase or sell (or otherwise make any transfer, gift, pledge or loan of) any Company security at any time without first obtaining prior approval from the Compliance Officer. These procedures also apply to transactions by such person's spouse, other persons living in such person's household and minor children and to transactions by entities over which such person exercises control.</w:t>
      </w:r>
    </w:p>
    <w:p>
      <w:pPr>
        <w:spacing w:after="0" w:line="205" w:lineRule="exact"/>
        <w:rPr>
          <w:rFonts w:ascii="Arial" w:cs="Arial" w:eastAsia="Arial" w:hAnsi="Arial"/>
          <w:sz w:val="18"/>
          <w:szCs w:val="18"/>
          <w:color w:val="040E08"/>
        </w:rPr>
      </w:pPr>
    </w:p>
    <w:p>
      <w:pPr>
        <w:jc w:val="both"/>
        <w:ind w:firstLine="8"/>
        <w:spacing w:after="0" w:line="276" w:lineRule="auto"/>
        <w:tabs>
          <w:tab w:leader="none" w:pos="271" w:val="left"/>
        </w:tabs>
        <w:numPr>
          <w:ilvl w:val="0"/>
          <w:numId w:val="52"/>
        </w:numPr>
        <w:rPr>
          <w:rFonts w:ascii="Arial" w:cs="Arial" w:eastAsia="Arial" w:hAnsi="Arial"/>
          <w:sz w:val="18"/>
          <w:szCs w:val="18"/>
          <w:color w:val="040E08"/>
        </w:rPr>
      </w:pPr>
      <w:r>
        <w:rPr>
          <w:rFonts w:ascii="Arial" w:cs="Arial" w:eastAsia="Arial" w:hAnsi="Arial"/>
          <w:sz w:val="18"/>
          <w:szCs w:val="18"/>
          <w:color w:val="040E08"/>
        </w:rPr>
        <w:t>The Compliance Officer shall record the date each request is received and the date and time each request is approved or disapproved. Unless revoked, a grant of permission will normally remain valid until the close of trading two business days following the day on which it was granted. If the transaction does not occur during the two-day period, pre-clearance of the transaction must be re-requested.</w:t>
      </w:r>
    </w:p>
    <w:p>
      <w:pPr>
        <w:sectPr>
          <w:pgSz w:w="11900" w:h="16838" w:orient="portrait"/>
          <w:cols w:equalWidth="0" w:num="1">
            <w:col w:w="11240"/>
          </w:cols>
          <w:pgMar w:left="320" w:top="141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040E08"/>
        </w:rPr>
        <w:t>4. Prohibited Transactions</w:t>
      </w:r>
    </w:p>
    <w:p>
      <w:pPr>
        <w:spacing w:after="0" w:line="252" w:lineRule="exact"/>
        <w:rPr>
          <w:sz w:val="20"/>
          <w:szCs w:val="20"/>
          <w:color w:val="auto"/>
        </w:rPr>
      </w:pPr>
    </w:p>
    <w:p>
      <w:pPr>
        <w:jc w:val="both"/>
        <w:ind w:firstLine="8"/>
        <w:spacing w:after="0" w:line="273" w:lineRule="auto"/>
        <w:tabs>
          <w:tab w:leader="none" w:pos="283" w:val="left"/>
        </w:tabs>
        <w:numPr>
          <w:ilvl w:val="0"/>
          <w:numId w:val="53"/>
        </w:numPr>
        <w:rPr>
          <w:rFonts w:ascii="Arial" w:cs="Arial" w:eastAsia="Arial" w:hAnsi="Arial"/>
          <w:sz w:val="18"/>
          <w:szCs w:val="18"/>
          <w:color w:val="040E08"/>
        </w:rPr>
      </w:pPr>
      <w:r>
        <w:rPr>
          <w:rFonts w:ascii="Arial" w:cs="Arial" w:eastAsia="Arial" w:hAnsi="Arial"/>
          <w:sz w:val="18"/>
          <w:szCs w:val="18"/>
          <w:color w:val="040E08"/>
        </w:rPr>
        <w:t>Company Insiders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spacing w:after="0" w:line="205" w:lineRule="exact"/>
        <w:rPr>
          <w:rFonts w:ascii="Arial" w:cs="Arial" w:eastAsia="Arial" w:hAnsi="Arial"/>
          <w:sz w:val="18"/>
          <w:szCs w:val="18"/>
          <w:color w:val="040E08"/>
        </w:rPr>
      </w:pPr>
    </w:p>
    <w:p>
      <w:pPr>
        <w:jc w:val="both"/>
        <w:ind w:firstLine="8"/>
        <w:spacing w:after="0" w:line="276" w:lineRule="auto"/>
        <w:tabs>
          <w:tab w:leader="none" w:pos="284" w:val="left"/>
        </w:tabs>
        <w:numPr>
          <w:ilvl w:val="0"/>
          <w:numId w:val="53"/>
        </w:numPr>
        <w:rPr>
          <w:rFonts w:ascii="Arial" w:cs="Arial" w:eastAsia="Arial" w:hAnsi="Arial"/>
          <w:sz w:val="18"/>
          <w:szCs w:val="18"/>
          <w:color w:val="040E08"/>
        </w:rPr>
      </w:pPr>
      <w:r>
        <w:rPr>
          <w:rFonts w:ascii="Arial" w:cs="Arial" w:eastAsia="Arial" w:hAnsi="Arial"/>
          <w:sz w:val="18"/>
          <w:szCs w:val="18"/>
          <w:color w:val="040E08"/>
        </w:rPr>
        <w:t>Covered Persons, including any person's spouse, other persons living in such person's household and minor children and entities over which such person exercises control, are prohibited from engaging in the following transactions in the Company's securities unless advance approval is obtained from the Compliance Officer:</w:t>
      </w:r>
    </w:p>
    <w:p>
      <w:pPr>
        <w:spacing w:after="0" w:line="204" w:lineRule="exact"/>
        <w:rPr>
          <w:sz w:val="20"/>
          <w:szCs w:val="20"/>
          <w:color w:val="auto"/>
        </w:rPr>
      </w:pPr>
    </w:p>
    <w:p>
      <w:pPr>
        <w:jc w:val="both"/>
        <w:ind w:firstLine="8"/>
        <w:spacing w:after="0" w:line="276" w:lineRule="auto"/>
        <w:tabs>
          <w:tab w:leader="none" w:pos="229" w:val="left"/>
        </w:tabs>
        <w:numPr>
          <w:ilvl w:val="0"/>
          <w:numId w:val="54"/>
        </w:numPr>
        <w:rPr>
          <w:rFonts w:ascii="Arial" w:cs="Arial" w:eastAsia="Arial" w:hAnsi="Arial"/>
          <w:sz w:val="18"/>
          <w:szCs w:val="18"/>
          <w:b w:val="1"/>
          <w:bCs w:val="1"/>
          <w:color w:val="040E08"/>
        </w:rPr>
      </w:pPr>
      <w:r>
        <w:rPr>
          <w:rFonts w:ascii="Arial" w:cs="Arial" w:eastAsia="Arial" w:hAnsi="Arial"/>
          <w:sz w:val="18"/>
          <w:szCs w:val="18"/>
          <w:b w:val="1"/>
          <w:bCs w:val="1"/>
          <w:color w:val="040E08"/>
        </w:rPr>
        <w:t xml:space="preserve">Short-term trading. </w:t>
      </w:r>
      <w:r>
        <w:rPr>
          <w:rFonts w:ascii="Arial" w:cs="Arial" w:eastAsia="Arial" w:hAnsi="Arial"/>
          <w:sz w:val="18"/>
          <w:szCs w:val="18"/>
          <w:color w:val="040E08"/>
        </w:rPr>
        <w:t>Company Insiders who purchase Company securities may not sell any Company securities of the same class for at</w:t>
      </w:r>
      <w:r>
        <w:rPr>
          <w:rFonts w:ascii="Arial" w:cs="Arial" w:eastAsia="Arial" w:hAnsi="Arial"/>
          <w:sz w:val="18"/>
          <w:szCs w:val="18"/>
          <w:b w:val="1"/>
          <w:bCs w:val="1"/>
          <w:color w:val="040E08"/>
        </w:rPr>
        <w:t xml:space="preserve"> </w:t>
      </w:r>
      <w:r>
        <w:rPr>
          <w:rFonts w:ascii="Arial" w:cs="Arial" w:eastAsia="Arial" w:hAnsi="Arial"/>
          <w:sz w:val="18"/>
          <w:szCs w:val="18"/>
          <w:color w:val="040E08"/>
        </w:rPr>
        <w:t>least six months after the purchase, including those securities purchased or acquired pursuant to the 2020 Plan. This prohibition includes, but is not limited to:</w:t>
      </w:r>
    </w:p>
    <w:p>
      <w:pPr>
        <w:spacing w:after="0" w:line="203" w:lineRule="exact"/>
        <w:rPr>
          <w:rFonts w:ascii="Arial" w:cs="Arial" w:eastAsia="Arial" w:hAnsi="Arial"/>
          <w:sz w:val="18"/>
          <w:szCs w:val="18"/>
          <w:b w:val="1"/>
          <w:bCs w:val="1"/>
          <w:color w:val="040E08"/>
        </w:rPr>
      </w:pPr>
    </w:p>
    <w:p>
      <w:pPr>
        <w:ind w:left="660" w:right="20" w:hanging="328"/>
        <w:spacing w:after="0" w:line="303" w:lineRule="auto"/>
        <w:tabs>
          <w:tab w:leader="none" w:pos="655" w:val="left"/>
        </w:tabs>
        <w:numPr>
          <w:ilvl w:val="1"/>
          <w:numId w:val="54"/>
        </w:numPr>
        <w:rPr>
          <w:rFonts w:ascii="Arial" w:cs="Arial" w:eastAsia="Arial" w:hAnsi="Arial"/>
          <w:sz w:val="18"/>
          <w:szCs w:val="18"/>
          <w:color w:val="auto"/>
        </w:rPr>
      </w:pPr>
      <w:r>
        <w:rPr>
          <w:rFonts w:ascii="Arial" w:cs="Arial" w:eastAsia="Arial" w:hAnsi="Arial"/>
          <w:sz w:val="18"/>
          <w:szCs w:val="18"/>
          <w:color w:val="040E08"/>
        </w:rPr>
        <w:t>Increasing the amount of a 2020 Plan election to purchase Company stock within six months of a decrease in the amount of an election to purchase stock.</w:t>
      </w:r>
    </w:p>
    <w:p>
      <w:pPr>
        <w:spacing w:after="0" w:line="165" w:lineRule="exact"/>
        <w:rPr>
          <w:rFonts w:ascii="Arial" w:cs="Arial" w:eastAsia="Arial" w:hAnsi="Arial"/>
          <w:sz w:val="18"/>
          <w:szCs w:val="18"/>
          <w:color w:val="auto"/>
        </w:rPr>
      </w:pPr>
    </w:p>
    <w:p>
      <w:pPr>
        <w:ind w:left="660" w:hanging="328"/>
        <w:spacing w:after="0" w:line="303" w:lineRule="auto"/>
        <w:tabs>
          <w:tab w:leader="none" w:pos="655" w:val="left"/>
        </w:tabs>
        <w:numPr>
          <w:ilvl w:val="1"/>
          <w:numId w:val="54"/>
        </w:numPr>
        <w:rPr>
          <w:rFonts w:ascii="Arial" w:cs="Arial" w:eastAsia="Arial" w:hAnsi="Arial"/>
          <w:sz w:val="18"/>
          <w:szCs w:val="18"/>
          <w:color w:val="auto"/>
        </w:rPr>
      </w:pPr>
      <w:r>
        <w:rPr>
          <w:rFonts w:ascii="Arial" w:cs="Arial" w:eastAsia="Arial" w:hAnsi="Arial"/>
          <w:sz w:val="18"/>
          <w:szCs w:val="18"/>
          <w:color w:val="040E08"/>
        </w:rPr>
        <w:t>Instructing the administrator of the 2020 Plan to dispose of shares if they have made a new election to increase their investment in Company stock in the 2020 Plan within the prior six months.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0A0E0A"/>
        </w:rPr>
        <w:t>Provided Company Insiders do not decrease the amount of the elections to purchase stock, they can continue to increase the amounts of funds they invest in Company stock more frequently than six months. After six months has elapsed since the last increase, executive officers can then begin to decrease the amounts invested in Company stock or dispose of the stock if the 2020 Plan permits and continue to elect to decrease their elections or dispose of the stock more frequently than six months.</w:t>
      </w:r>
    </w:p>
    <w:p>
      <w:pPr>
        <w:spacing w:after="0" w:line="192"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8"/>
          <w:szCs w:val="18"/>
          <w:b w:val="1"/>
          <w:bCs w:val="1"/>
          <w:color w:val="0A0E0A"/>
        </w:rPr>
      </w:pPr>
      <w:r>
        <w:rPr>
          <w:rFonts w:ascii="Arial" w:cs="Arial" w:eastAsia="Arial" w:hAnsi="Arial"/>
          <w:sz w:val="18"/>
          <w:szCs w:val="18"/>
          <w:b w:val="1"/>
          <w:bCs w:val="1"/>
          <w:color w:val="0A0E0A"/>
        </w:rPr>
        <w:t>Short sales.</w:t>
      </w:r>
    </w:p>
    <w:p>
      <w:pPr>
        <w:spacing w:after="0" w:line="265" w:lineRule="exact"/>
        <w:rPr>
          <w:rFonts w:ascii="Arial" w:cs="Arial" w:eastAsia="Arial" w:hAnsi="Arial"/>
          <w:sz w:val="18"/>
          <w:szCs w:val="18"/>
          <w:b w:val="1"/>
          <w:bCs w:val="1"/>
          <w:color w:val="0A0E0A"/>
        </w:rPr>
      </w:pPr>
    </w:p>
    <w:p>
      <w:pPr>
        <w:ind w:left="320" w:hanging="312"/>
        <w:spacing w:after="0"/>
        <w:tabs>
          <w:tab w:leader="none" w:pos="320" w:val="left"/>
        </w:tabs>
        <w:numPr>
          <w:ilvl w:val="0"/>
          <w:numId w:val="55"/>
        </w:numPr>
        <w:rPr>
          <w:rFonts w:ascii="Arial" w:cs="Arial" w:eastAsia="Arial" w:hAnsi="Arial"/>
          <w:sz w:val="18"/>
          <w:szCs w:val="18"/>
          <w:b w:val="1"/>
          <w:bCs w:val="1"/>
          <w:color w:val="0A0E0A"/>
        </w:rPr>
      </w:pPr>
      <w:r>
        <w:rPr>
          <w:rFonts w:ascii="Arial" w:cs="Arial" w:eastAsia="Arial" w:hAnsi="Arial"/>
          <w:sz w:val="18"/>
          <w:szCs w:val="18"/>
          <w:b w:val="1"/>
          <w:bCs w:val="1"/>
          <w:color w:val="0A0E0A"/>
        </w:rPr>
        <w:t xml:space="preserve">Options trading. </w:t>
      </w:r>
      <w:r>
        <w:rPr>
          <w:rFonts w:ascii="Arial" w:cs="Arial" w:eastAsia="Arial" w:hAnsi="Arial"/>
          <w:sz w:val="18"/>
          <w:szCs w:val="18"/>
          <w:color w:val="0A0E0A"/>
        </w:rPr>
        <w:t>Covered Persons may not buy or sell puts or calls or other derivative securities on the Company's securities;</w:t>
      </w:r>
    </w:p>
    <w:p>
      <w:pPr>
        <w:spacing w:after="0" w:line="252" w:lineRule="exact"/>
        <w:rPr>
          <w:rFonts w:ascii="Arial" w:cs="Arial" w:eastAsia="Arial" w:hAnsi="Arial"/>
          <w:sz w:val="18"/>
          <w:szCs w:val="18"/>
          <w:b w:val="1"/>
          <w:bCs w:val="1"/>
          <w:color w:val="0A0E0A"/>
        </w:rPr>
      </w:pPr>
    </w:p>
    <w:p>
      <w:pPr>
        <w:ind w:firstLine="8"/>
        <w:spacing w:after="0" w:line="303" w:lineRule="auto"/>
        <w:tabs>
          <w:tab w:leader="none" w:pos="322" w:val="left"/>
        </w:tabs>
        <w:numPr>
          <w:ilvl w:val="0"/>
          <w:numId w:val="55"/>
        </w:numPr>
        <w:rPr>
          <w:rFonts w:ascii="Arial" w:cs="Arial" w:eastAsia="Arial" w:hAnsi="Arial"/>
          <w:sz w:val="18"/>
          <w:szCs w:val="18"/>
          <w:b w:val="1"/>
          <w:bCs w:val="1"/>
          <w:color w:val="0A0E0A"/>
        </w:rPr>
      </w:pPr>
      <w:r>
        <w:rPr>
          <w:rFonts w:ascii="Arial" w:cs="Arial" w:eastAsia="Arial" w:hAnsi="Arial"/>
          <w:sz w:val="18"/>
          <w:szCs w:val="18"/>
          <w:b w:val="1"/>
          <w:bCs w:val="1"/>
          <w:color w:val="0A0E0A"/>
        </w:rPr>
        <w:t xml:space="preserve">Trading on margin or pledging. </w:t>
      </w:r>
      <w:r>
        <w:rPr>
          <w:rFonts w:ascii="Arial" w:cs="Arial" w:eastAsia="Arial" w:hAnsi="Arial"/>
          <w:sz w:val="18"/>
          <w:szCs w:val="18"/>
          <w:color w:val="0A0E0A"/>
        </w:rPr>
        <w:t>Covered Persons may not hold Company securities in a margin account or pledge Company securities</w:t>
      </w:r>
      <w:r>
        <w:rPr>
          <w:rFonts w:ascii="Arial" w:cs="Arial" w:eastAsia="Arial" w:hAnsi="Arial"/>
          <w:sz w:val="18"/>
          <w:szCs w:val="18"/>
          <w:b w:val="1"/>
          <w:bCs w:val="1"/>
          <w:color w:val="0A0E0A"/>
        </w:rPr>
        <w:t xml:space="preserve"> </w:t>
      </w:r>
      <w:r>
        <w:rPr>
          <w:rFonts w:ascii="Arial" w:cs="Arial" w:eastAsia="Arial" w:hAnsi="Arial"/>
          <w:sz w:val="18"/>
          <w:szCs w:val="18"/>
          <w:color w:val="0A0E0A"/>
        </w:rPr>
        <w:t>as collateral for a loan; and</w:t>
      </w:r>
    </w:p>
    <w:p>
      <w:pPr>
        <w:spacing w:after="0" w:line="179" w:lineRule="exact"/>
        <w:rPr>
          <w:rFonts w:ascii="Arial" w:cs="Arial" w:eastAsia="Arial" w:hAnsi="Arial"/>
          <w:sz w:val="18"/>
          <w:szCs w:val="18"/>
          <w:b w:val="1"/>
          <w:bCs w:val="1"/>
          <w:color w:val="0A0E0A"/>
        </w:rPr>
      </w:pPr>
    </w:p>
    <w:p>
      <w:pPr>
        <w:ind w:firstLine="8"/>
        <w:spacing w:after="0" w:line="303" w:lineRule="auto"/>
        <w:tabs>
          <w:tab w:leader="none" w:pos="283" w:val="left"/>
        </w:tabs>
        <w:numPr>
          <w:ilvl w:val="0"/>
          <w:numId w:val="55"/>
        </w:numPr>
        <w:rPr>
          <w:rFonts w:ascii="Arial" w:cs="Arial" w:eastAsia="Arial" w:hAnsi="Arial"/>
          <w:sz w:val="18"/>
          <w:szCs w:val="18"/>
          <w:b w:val="1"/>
          <w:bCs w:val="1"/>
          <w:color w:val="0A0E0A"/>
        </w:rPr>
      </w:pPr>
      <w:r>
        <w:rPr>
          <w:rFonts w:ascii="Arial" w:cs="Arial" w:eastAsia="Arial" w:hAnsi="Arial"/>
          <w:sz w:val="18"/>
          <w:szCs w:val="18"/>
          <w:b w:val="1"/>
          <w:bCs w:val="1"/>
          <w:color w:val="0A0E0A"/>
        </w:rPr>
        <w:t xml:space="preserve">Hedging. </w:t>
      </w:r>
      <w:r>
        <w:rPr>
          <w:rFonts w:ascii="Arial" w:cs="Arial" w:eastAsia="Arial" w:hAnsi="Arial"/>
          <w:sz w:val="18"/>
          <w:szCs w:val="18"/>
          <w:color w:val="0A0E0A"/>
        </w:rPr>
        <w:t>Covered Persons may not enter into hedging or monetization transactions or similar arrangements with respect to Company</w:t>
      </w:r>
      <w:r>
        <w:rPr>
          <w:rFonts w:ascii="Arial" w:cs="Arial" w:eastAsia="Arial" w:hAnsi="Arial"/>
          <w:sz w:val="18"/>
          <w:szCs w:val="18"/>
          <w:b w:val="1"/>
          <w:bCs w:val="1"/>
          <w:color w:val="0A0E0A"/>
        </w:rPr>
        <w:t xml:space="preserve"> </w:t>
      </w:r>
      <w:r>
        <w:rPr>
          <w:rFonts w:ascii="Arial" w:cs="Arial" w:eastAsia="Arial" w:hAnsi="Arial"/>
          <w:sz w:val="18"/>
          <w:szCs w:val="18"/>
          <w:color w:val="0A0E0A"/>
        </w:rPr>
        <w:t>securities.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A0E0A"/>
        </w:rPr>
        <w:t>5. Acknowledgment and 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A0E0A"/>
        </w:rPr>
        <w:t>All Covered Persons are required to sign the attached acknowledgment and certification.</w:t>
      </w:r>
    </w:p>
    <w:p>
      <w:pPr>
        <w:sectPr>
          <w:pgSz w:w="11900" w:h="16838" w:orient="portrait"/>
          <w:cols w:equalWidth="0" w:num="1">
            <w:col w:w="11240"/>
          </w:cols>
          <w:pgMar w:left="320" w:top="1417" w:right="339" w:bottom="1440" w:gutter="0" w:footer="0" w:header="0"/>
        </w:sectPr>
      </w:pPr>
    </w:p>
    <w:bookmarkStart w:id="83" w:name="page84"/>
    <w:bookmarkEnd w:id="83"/>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ACKNOWLEDGMENT AND CERTIFICATION</w:t>
      </w:r>
    </w:p>
    <w:p>
      <w:pPr>
        <w:spacing w:after="0" w:line="4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undersigned does hereby acknowledge receipt of the Company's Insider Trading Policy. The undersigned has read and understands (or has had explained) such Policy and agrees to be governed by such Policy at all times in connection with the purchase and sale of securities and the confidentiality of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________________________________</w:t>
      </w:r>
    </w:p>
    <w:p>
      <w:pPr>
        <w:spacing w:after="0" w:line="3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(Signature)</w:t>
      </w:r>
    </w:p>
    <w:p>
      <w:pPr>
        <w:spacing w:after="0" w:line="2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________________________________</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(Please print name)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w:t>
      </w:r>
    </w:p>
    <w:p>
      <w:pPr>
        <w:sectPr>
          <w:pgSz w:w="11900" w:h="16838" w:orient="portrait"/>
          <w:cols w:equalWidth="0" w:num="1">
            <w:col w:w="11240"/>
          </w:cols>
          <w:pgMar w:left="320" w:top="1440"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20" w:type="dxa"/>
            <w:vAlign w:val="bottom"/>
            <w:gridSpan w:val="3"/>
          </w:tcPr>
          <w:p>
            <w:pPr>
              <w:jc w:val="center"/>
              <w:ind w:right="2500"/>
              <w:spacing w:after="0"/>
              <w:rPr>
                <w:sz w:val="20"/>
                <w:szCs w:val="20"/>
                <w:color w:val="auto"/>
              </w:rPr>
            </w:pPr>
            <w:r>
              <w:rPr>
                <w:rFonts w:ascii="Arial" w:cs="Arial" w:eastAsia="Arial" w:hAnsi="Arial"/>
                <w:sz w:val="18"/>
                <w:szCs w:val="18"/>
                <w:b w:val="1"/>
                <w:bCs w:val="1"/>
                <w:color w:val="auto"/>
                <w:w w:val="99"/>
              </w:rPr>
              <w:t>LEE ENTERPRISES, INCORPORATED</w:t>
            </w:r>
          </w:p>
        </w:tc>
      </w:tr>
      <w:tr>
        <w:trPr>
          <w:trHeight w:val="247"/>
        </w:trPr>
        <w:tc>
          <w:tcPr>
            <w:tcW w:w="2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160" w:type="dxa"/>
            <w:vAlign w:val="bottom"/>
            <w:gridSpan w:val="2"/>
          </w:tcPr>
          <w:p>
            <w:pPr>
              <w:jc w:val="center"/>
              <w:ind w:right="3280"/>
              <w:spacing w:after="0"/>
              <w:rPr>
                <w:sz w:val="20"/>
                <w:szCs w:val="20"/>
                <w:color w:val="auto"/>
              </w:rPr>
            </w:pPr>
            <w:r>
              <w:rPr>
                <w:rFonts w:ascii="Arial" w:cs="Arial" w:eastAsia="Arial" w:hAnsi="Arial"/>
                <w:sz w:val="18"/>
                <w:szCs w:val="18"/>
                <w:b w:val="1"/>
                <w:bCs w:val="1"/>
                <w:color w:val="auto"/>
                <w:w w:val="99"/>
              </w:rPr>
              <w:t>AND SUBSIDIARIES</w:t>
            </w:r>
          </w:p>
        </w:tc>
      </w:tr>
      <w:tr>
        <w:trPr>
          <w:trHeight w:val="393"/>
        </w:trPr>
        <w:tc>
          <w:tcPr>
            <w:tcW w:w="2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gridSpan w:val="3"/>
          </w:tcPr>
          <w:p>
            <w:pPr>
              <w:jc w:val="center"/>
              <w:ind w:right="2500"/>
              <w:spacing w:after="0"/>
              <w:rPr>
                <w:sz w:val="20"/>
                <w:szCs w:val="20"/>
                <w:color w:val="auto"/>
              </w:rPr>
            </w:pPr>
            <w:r>
              <w:rPr>
                <w:rFonts w:ascii="Arial" w:cs="Arial" w:eastAsia="Arial" w:hAnsi="Arial"/>
                <w:sz w:val="18"/>
                <w:szCs w:val="18"/>
                <w:b w:val="1"/>
                <w:bCs w:val="1"/>
                <w:color w:val="auto"/>
                <w:w w:val="99"/>
              </w:rPr>
              <w:t>2023 OFFICERS AND DIRECTORS</w:t>
            </w:r>
          </w:p>
        </w:tc>
      </w:tr>
      <w:tr>
        <w:trPr>
          <w:trHeight w:val="668"/>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LEE ENTERPRISES, INCORPORATED</w:t>
            </w:r>
          </w:p>
        </w:tc>
        <w:tc>
          <w:tcPr>
            <w:tcW w:w="760" w:type="dxa"/>
            <w:vAlign w:val="bottom"/>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r>
      <w:tr>
        <w:trPr>
          <w:trHeight w:val="272"/>
        </w:trPr>
        <w:tc>
          <w:tcPr>
            <w:tcW w:w="32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Mary E. Junck</w:t>
            </w:r>
          </w:p>
        </w:tc>
        <w:tc>
          <w:tcPr>
            <w:tcW w:w="200" w:type="dxa"/>
            <w:vAlign w:val="bottom"/>
          </w:tcPr>
          <w:p>
            <w:pPr>
              <w:spacing w:after="0"/>
              <w:rPr>
                <w:sz w:val="23"/>
                <w:szCs w:val="23"/>
                <w:color w:val="auto"/>
              </w:rPr>
            </w:pP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Chairman and Director (E)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Kevin D. Mowbray</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President, Chief Executive Officer and Director (E)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Timothy R. Millage</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Vice President, Chief Financial Officer and Treasurer (E)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Nathan E. Bekke</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Operating Vice President; Vice President – Audience Strategy (A)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Joseph J. Battistoni</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Vice President - Sales and Marketing (A)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Jolene Sherman</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Vice President - Business Development and Market Strategies (A)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Astrid Garcia</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Vice President – Human Resources and Legal, Chief Legal Officer (A)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Jason Adrians</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Vice President - Local News (A)</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Michele Fennelly White</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Vice President – Information Technology and Chief Information Officer (A)</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C. D. Waterman III</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Secretary and General Counsel (E)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Cynthia Herndon</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w w:val="99"/>
              </w:rPr>
              <w:t>Vice President-Finance &amp; Controller, Assistant Secretary and Assistant Treasurer (A)</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Josh Rinehults</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Vice President-Financial Planning &amp; Analysis (A)</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Daniel Lemke</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Assistant Secretary and Assistant Treasurer (A)</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Steven C. Fletcher</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Margaret R. Liberman</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Brent M. Magid</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Dr. Shaun McAlmont</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Herbert W. Moloney III</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David T. Pearson</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3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Gregory P. Schermer</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490"/>
        </w:trPr>
        <w:tc>
          <w:tcPr>
            <w:tcW w:w="3420" w:type="dxa"/>
            <w:vAlign w:val="bottom"/>
            <w:gridSpan w:val="3"/>
          </w:tcPr>
          <w:p>
            <w:pPr>
              <w:spacing w:after="0"/>
              <w:rPr>
                <w:sz w:val="20"/>
                <w:szCs w:val="20"/>
                <w:color w:val="auto"/>
              </w:rPr>
            </w:pPr>
            <w:r>
              <w:rPr>
                <w:rFonts w:ascii="Arial" w:cs="Arial" w:eastAsia="Arial" w:hAnsi="Arial"/>
                <w:sz w:val="18"/>
                <w:szCs w:val="18"/>
                <w:color w:val="auto"/>
              </w:rPr>
              <w:t>(A) - Appointed Officer</w:t>
            </w: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03"/>
        </w:trPr>
        <w:tc>
          <w:tcPr>
            <w:tcW w:w="3420" w:type="dxa"/>
            <w:vAlign w:val="bottom"/>
            <w:gridSpan w:val="3"/>
          </w:tcPr>
          <w:p>
            <w:pPr>
              <w:spacing w:after="0" w:line="202" w:lineRule="exact"/>
              <w:rPr>
                <w:sz w:val="20"/>
                <w:szCs w:val="20"/>
                <w:color w:val="auto"/>
              </w:rPr>
            </w:pPr>
            <w:r>
              <w:rPr>
                <w:rFonts w:ascii="Arial" w:cs="Arial" w:eastAsia="Arial" w:hAnsi="Arial"/>
                <w:sz w:val="18"/>
                <w:szCs w:val="18"/>
                <w:color w:val="auto"/>
              </w:rPr>
              <w:t>(E) - Elected Officer</w:t>
            </w:r>
          </w:p>
        </w:tc>
        <w:tc>
          <w:tcPr>
            <w:tcW w:w="7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39"/>
        </w:trPr>
        <w:tc>
          <w:tcPr>
            <w:tcW w:w="3420" w:type="dxa"/>
            <w:vAlign w:val="bottom"/>
            <w:gridSpan w:val="3"/>
          </w:tcPr>
          <w:p>
            <w:pPr>
              <w:spacing w:after="0"/>
              <w:rPr>
                <w:sz w:val="20"/>
                <w:szCs w:val="20"/>
                <w:color w:val="auto"/>
              </w:rPr>
            </w:pPr>
            <w:r>
              <w:rPr>
                <w:rFonts w:ascii="Arial" w:cs="Arial" w:eastAsia="Arial" w:hAnsi="Arial"/>
                <w:sz w:val="18"/>
                <w:szCs w:val="18"/>
                <w:color w:val="auto"/>
              </w:rPr>
              <w:t>(SEC Filer)</w:t>
            </w:r>
          </w:p>
        </w:tc>
        <w:tc>
          <w:tcPr>
            <w:tcW w:w="7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01"/>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LEE PUBLICATIONS, INC.</w:t>
            </w: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72"/>
        </w:trPr>
        <w:tc>
          <w:tcPr>
            <w:tcW w:w="2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Kevin D. Mowbray</w:t>
            </w:r>
          </w:p>
        </w:tc>
        <w:tc>
          <w:tcPr>
            <w:tcW w:w="1220" w:type="dxa"/>
            <w:vAlign w:val="bottom"/>
            <w:gridSpan w:val="2"/>
          </w:tcPr>
          <w:p>
            <w:pPr>
              <w:spacing w:after="0"/>
              <w:rPr>
                <w:sz w:val="23"/>
                <w:szCs w:val="23"/>
                <w:color w:val="auto"/>
              </w:rPr>
            </w:pP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President and Director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Timothy R. Millage</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C. D. Waterman III</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Secretary and Director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Cynthia Herndon</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Assistant Secretary and Assistant Treasurer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Daniel Lemke</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Assistant Treasurer</w:t>
            </w:r>
          </w:p>
        </w:tc>
      </w:tr>
      <w:tr>
        <w:trPr>
          <w:trHeight w:val="23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Astrid Garcia</w:t>
            </w:r>
          </w:p>
        </w:tc>
        <w:tc>
          <w:tcPr>
            <w:tcW w:w="6920" w:type="dxa"/>
            <w:vAlign w:val="bottom"/>
            <w:gridSpan w:val="3"/>
          </w:tcPr>
          <w:p>
            <w:pPr>
              <w:ind w:left="180"/>
              <w:spacing w:after="0"/>
              <w:rPr>
                <w:sz w:val="20"/>
                <w:szCs w:val="20"/>
                <w:color w:val="auto"/>
              </w:rPr>
            </w:pPr>
            <w:r>
              <w:rPr>
                <w:rFonts w:ascii="Arial" w:cs="Arial" w:eastAsia="Arial" w:hAnsi="Arial"/>
                <w:sz w:val="18"/>
                <w:szCs w:val="18"/>
                <w:color w:val="auto"/>
              </w:rPr>
              <w:t>Vice President - Legal</w:t>
            </w:r>
          </w:p>
        </w:tc>
      </w:tr>
    </w:tbl>
    <w:p>
      <w:pPr>
        <w:sectPr>
          <w:pgSz w:w="11900" w:h="16838" w:orient="portrait"/>
          <w:cols w:equalWidth="0" w:num="1">
            <w:col w:w="10340"/>
          </w:cols>
          <w:pgMar w:left="320" w:top="1399" w:right="12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gridSpan w:val="3"/>
          </w:tcPr>
          <w:p>
            <w:pPr>
              <w:spacing w:after="0"/>
              <w:rPr>
                <w:sz w:val="20"/>
                <w:szCs w:val="20"/>
                <w:color w:val="auto"/>
              </w:rPr>
            </w:pPr>
            <w:r>
              <w:rPr>
                <w:rFonts w:ascii="Arial" w:cs="Arial" w:eastAsia="Arial" w:hAnsi="Arial"/>
                <w:sz w:val="18"/>
                <w:szCs w:val="18"/>
                <w:b w:val="1"/>
                <w:bCs w:val="1"/>
                <w:color w:val="auto"/>
              </w:rPr>
              <w:t>THE LEE FOUNDATION</w:t>
            </w:r>
          </w:p>
        </w:tc>
        <w:tc>
          <w:tcPr>
            <w:tcW w:w="4300" w:type="dxa"/>
            <w:vAlign w:val="bottom"/>
          </w:tcPr>
          <w:p>
            <w:pPr>
              <w:spacing w:after="0"/>
              <w:rPr>
                <w:sz w:val="17"/>
                <w:szCs w:val="17"/>
                <w:color w:val="auto"/>
              </w:rPr>
            </w:pPr>
          </w:p>
        </w:tc>
      </w:tr>
      <w:tr>
        <w:trPr>
          <w:trHeight w:val="272"/>
        </w:trPr>
        <w:tc>
          <w:tcPr>
            <w:tcW w:w="20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800" w:type="dxa"/>
            <w:vAlign w:val="bottom"/>
          </w:tcPr>
          <w:p>
            <w:pPr>
              <w:spacing w:after="0"/>
              <w:rPr>
                <w:sz w:val="23"/>
                <w:szCs w:val="23"/>
                <w:color w:val="auto"/>
              </w:rPr>
            </w:pPr>
          </w:p>
        </w:tc>
        <w:tc>
          <w:tcPr>
            <w:tcW w:w="4300" w:type="dxa"/>
            <w:vAlign w:val="bottom"/>
          </w:tcPr>
          <w:p>
            <w:pPr>
              <w:ind w:left="800"/>
              <w:spacing w:after="0"/>
              <w:rPr>
                <w:sz w:val="20"/>
                <w:szCs w:val="20"/>
                <w:color w:val="auto"/>
              </w:rPr>
            </w:pPr>
            <w:r>
              <w:rPr>
                <w:rFonts w:ascii="Arial" w:cs="Arial" w:eastAsia="Arial" w:hAnsi="Arial"/>
                <w:sz w:val="18"/>
                <w:szCs w:val="18"/>
                <w:color w:val="auto"/>
              </w:rPr>
              <w:t>President and Director</w:t>
            </w:r>
          </w:p>
        </w:tc>
      </w:tr>
      <w:tr>
        <w:trPr>
          <w:trHeight w:val="229"/>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Nathan E. Bekke</w:t>
            </w:r>
          </w:p>
        </w:tc>
        <w:tc>
          <w:tcPr>
            <w:tcW w:w="4300" w:type="dxa"/>
            <w:vAlign w:val="bottom"/>
          </w:tcPr>
          <w:p>
            <w:pPr>
              <w:ind w:left="800"/>
              <w:spacing w:after="0"/>
              <w:rPr>
                <w:sz w:val="20"/>
                <w:szCs w:val="20"/>
                <w:color w:val="auto"/>
              </w:rPr>
            </w:pPr>
            <w:r>
              <w:rPr>
                <w:rFonts w:ascii="Arial" w:cs="Arial" w:eastAsia="Arial" w:hAnsi="Arial"/>
                <w:sz w:val="18"/>
                <w:szCs w:val="18"/>
                <w:color w:val="auto"/>
              </w:rPr>
              <w:t>Vice President and Director</w:t>
            </w:r>
          </w:p>
        </w:tc>
      </w:tr>
      <w:tr>
        <w:trPr>
          <w:trHeight w:val="230"/>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Timothy R. Millage</w:t>
            </w:r>
          </w:p>
        </w:tc>
        <w:tc>
          <w:tcPr>
            <w:tcW w:w="4300" w:type="dxa"/>
            <w:vAlign w:val="bottom"/>
          </w:tcPr>
          <w:p>
            <w:pPr>
              <w:ind w:left="800"/>
              <w:spacing w:after="0"/>
              <w:rPr>
                <w:sz w:val="20"/>
                <w:szCs w:val="20"/>
                <w:color w:val="auto"/>
              </w:rPr>
            </w:pPr>
            <w:r>
              <w:rPr>
                <w:rFonts w:ascii="Arial" w:cs="Arial" w:eastAsia="Arial" w:hAnsi="Arial"/>
                <w:sz w:val="18"/>
                <w:szCs w:val="18"/>
                <w:color w:val="auto"/>
              </w:rPr>
              <w:t>Secretary, Treasurer and Director</w:t>
            </w:r>
          </w:p>
        </w:tc>
      </w:tr>
      <w:tr>
        <w:trPr>
          <w:trHeight w:val="239"/>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Astrid Garcia</w:t>
            </w:r>
          </w:p>
        </w:tc>
        <w:tc>
          <w:tcPr>
            <w:tcW w:w="4300" w:type="dxa"/>
            <w:vAlign w:val="bottom"/>
          </w:tcPr>
          <w:p>
            <w:pPr>
              <w:ind w:left="800"/>
              <w:spacing w:after="0"/>
              <w:rPr>
                <w:sz w:val="20"/>
                <w:szCs w:val="20"/>
                <w:color w:val="auto"/>
              </w:rPr>
            </w:pPr>
            <w:r>
              <w:rPr>
                <w:rFonts w:ascii="Arial" w:cs="Arial" w:eastAsia="Arial" w:hAnsi="Arial"/>
                <w:sz w:val="18"/>
                <w:szCs w:val="18"/>
                <w:color w:val="auto"/>
              </w:rPr>
              <w:t>Director</w:t>
            </w:r>
          </w:p>
        </w:tc>
      </w:tr>
      <w:tr>
        <w:trPr>
          <w:trHeight w:val="495"/>
        </w:trPr>
        <w:tc>
          <w:tcPr>
            <w:tcW w:w="2800" w:type="dxa"/>
            <w:vAlign w:val="bottom"/>
            <w:gridSpan w:val="3"/>
          </w:tcPr>
          <w:p>
            <w:pPr>
              <w:spacing w:after="0"/>
              <w:rPr>
                <w:sz w:val="20"/>
                <w:szCs w:val="20"/>
                <w:color w:val="auto"/>
              </w:rPr>
            </w:pPr>
            <w:r>
              <w:rPr>
                <w:rFonts w:ascii="Arial" w:cs="Arial" w:eastAsia="Arial" w:hAnsi="Arial"/>
                <w:sz w:val="18"/>
                <w:szCs w:val="18"/>
                <w:b w:val="1"/>
                <w:bCs w:val="1"/>
                <w:color w:val="auto"/>
              </w:rPr>
              <w:t>ACCUDATA, INC.</w:t>
            </w:r>
          </w:p>
        </w:tc>
        <w:tc>
          <w:tcPr>
            <w:tcW w:w="4300" w:type="dxa"/>
            <w:vAlign w:val="bottom"/>
          </w:tcPr>
          <w:p>
            <w:pPr>
              <w:spacing w:after="0"/>
              <w:rPr>
                <w:sz w:val="24"/>
                <w:szCs w:val="24"/>
                <w:color w:val="auto"/>
              </w:rPr>
            </w:pPr>
          </w:p>
        </w:tc>
      </w:tr>
      <w:tr>
        <w:trPr>
          <w:trHeight w:val="272"/>
        </w:trPr>
        <w:tc>
          <w:tcPr>
            <w:tcW w:w="1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Nathan E. Bekke</w:t>
            </w:r>
          </w:p>
        </w:tc>
        <w:tc>
          <w:tcPr>
            <w:tcW w:w="1340" w:type="dxa"/>
            <w:vAlign w:val="bottom"/>
            <w:gridSpan w:val="2"/>
          </w:tcPr>
          <w:p>
            <w:pPr>
              <w:spacing w:after="0"/>
              <w:rPr>
                <w:sz w:val="23"/>
                <w:szCs w:val="23"/>
                <w:color w:val="auto"/>
              </w:rPr>
            </w:pPr>
          </w:p>
        </w:tc>
        <w:tc>
          <w:tcPr>
            <w:tcW w:w="4300" w:type="dxa"/>
            <w:vAlign w:val="bottom"/>
          </w:tcPr>
          <w:p>
            <w:pPr>
              <w:ind w:left="800"/>
              <w:spacing w:after="0"/>
              <w:rPr>
                <w:sz w:val="20"/>
                <w:szCs w:val="20"/>
                <w:color w:val="auto"/>
              </w:rPr>
            </w:pPr>
            <w:r>
              <w:rPr>
                <w:rFonts w:ascii="Arial" w:cs="Arial" w:eastAsia="Arial" w:hAnsi="Arial"/>
                <w:sz w:val="18"/>
                <w:szCs w:val="18"/>
                <w:color w:val="auto"/>
              </w:rPr>
              <w:t>President and Director</w:t>
            </w:r>
          </w:p>
        </w:tc>
      </w:tr>
      <w:tr>
        <w:trPr>
          <w:trHeight w:val="229"/>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Timothy R. Millage</w:t>
            </w:r>
          </w:p>
        </w:tc>
        <w:tc>
          <w:tcPr>
            <w:tcW w:w="4300" w:type="dxa"/>
            <w:vAlign w:val="bottom"/>
          </w:tcPr>
          <w:p>
            <w:pPr>
              <w:ind w:left="80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C. D. Waterman III</w:t>
            </w:r>
          </w:p>
        </w:tc>
        <w:tc>
          <w:tcPr>
            <w:tcW w:w="4300" w:type="dxa"/>
            <w:vAlign w:val="bottom"/>
          </w:tcPr>
          <w:p>
            <w:pPr>
              <w:ind w:left="800"/>
              <w:spacing w:after="0"/>
              <w:rPr>
                <w:sz w:val="20"/>
                <w:szCs w:val="20"/>
                <w:color w:val="auto"/>
              </w:rPr>
            </w:pPr>
            <w:r>
              <w:rPr>
                <w:rFonts w:ascii="Arial" w:cs="Arial" w:eastAsia="Arial" w:hAnsi="Arial"/>
                <w:sz w:val="18"/>
                <w:szCs w:val="18"/>
                <w:color w:val="auto"/>
              </w:rPr>
              <w:t>Secretary and Director</w:t>
            </w:r>
          </w:p>
        </w:tc>
      </w:tr>
      <w:tr>
        <w:trPr>
          <w:trHeight w:val="230"/>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Cynthia Herndon</w:t>
            </w:r>
          </w:p>
        </w:tc>
        <w:tc>
          <w:tcPr>
            <w:tcW w:w="4300" w:type="dxa"/>
            <w:vAlign w:val="bottom"/>
          </w:tcPr>
          <w:p>
            <w:pPr>
              <w:ind w:left="8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Astrid Garcia</w:t>
            </w:r>
          </w:p>
        </w:tc>
        <w:tc>
          <w:tcPr>
            <w:tcW w:w="4300" w:type="dxa"/>
            <w:vAlign w:val="bottom"/>
          </w:tcPr>
          <w:p>
            <w:pPr>
              <w:ind w:left="800"/>
              <w:spacing w:after="0"/>
              <w:rPr>
                <w:sz w:val="20"/>
                <w:szCs w:val="20"/>
                <w:color w:val="auto"/>
              </w:rPr>
            </w:pPr>
            <w:r>
              <w:rPr>
                <w:rFonts w:ascii="Arial" w:cs="Arial" w:eastAsia="Arial" w:hAnsi="Arial"/>
                <w:sz w:val="18"/>
                <w:szCs w:val="18"/>
                <w:color w:val="auto"/>
              </w:rPr>
              <w:t>Vice President - Legal</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INN PARTNERS, L.C. (82.46%)</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Accudata, Inc., Manager and Majority Member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gridSpan w:val="4"/>
          </w:tcPr>
          <w:p>
            <w:pPr>
              <w:spacing w:after="0"/>
              <w:rPr>
                <w:sz w:val="20"/>
                <w:szCs w:val="20"/>
                <w:color w:val="auto"/>
              </w:rPr>
            </w:pPr>
            <w:r>
              <w:rPr>
                <w:rFonts w:ascii="Arial" w:cs="Arial" w:eastAsia="Arial" w:hAnsi="Arial"/>
                <w:sz w:val="18"/>
                <w:szCs w:val="18"/>
                <w:b w:val="1"/>
                <w:bCs w:val="1"/>
                <w:color w:val="auto"/>
              </w:rPr>
              <w:t>LEE PROCUREMENT SOLUTIONS CO.</w:t>
            </w:r>
          </w:p>
        </w:tc>
        <w:tc>
          <w:tcPr>
            <w:tcW w:w="3660" w:type="dxa"/>
            <w:vAlign w:val="bottom"/>
          </w:tcPr>
          <w:p>
            <w:pPr>
              <w:spacing w:after="0"/>
              <w:rPr>
                <w:sz w:val="17"/>
                <w:szCs w:val="17"/>
                <w:color w:val="auto"/>
              </w:rPr>
            </w:pPr>
          </w:p>
        </w:tc>
      </w:tr>
      <w:tr>
        <w:trPr>
          <w:trHeight w:val="272"/>
        </w:trPr>
        <w:tc>
          <w:tcPr>
            <w:tcW w:w="32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Timothy R. Millage</w:t>
            </w:r>
          </w:p>
        </w:tc>
        <w:tc>
          <w:tcPr>
            <w:tcW w:w="160" w:type="dxa"/>
            <w:vAlign w:val="bottom"/>
          </w:tcPr>
          <w:p>
            <w:pPr>
              <w:spacing w:after="0"/>
              <w:rPr>
                <w:sz w:val="23"/>
                <w:szCs w:val="23"/>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President, Treasurer and Director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C. D. Waterman III</w:t>
            </w:r>
          </w:p>
        </w:tc>
        <w:tc>
          <w:tcPr>
            <w:tcW w:w="3660" w:type="dxa"/>
            <w:vAlign w:val="bottom"/>
          </w:tcPr>
          <w:p>
            <w:pPr>
              <w:ind w:left="160"/>
              <w:spacing w:after="0"/>
              <w:rPr>
                <w:sz w:val="20"/>
                <w:szCs w:val="20"/>
                <w:color w:val="auto"/>
              </w:rPr>
            </w:pPr>
            <w:r>
              <w:rPr>
                <w:rFonts w:ascii="Arial" w:cs="Arial" w:eastAsia="Arial" w:hAnsi="Arial"/>
                <w:sz w:val="18"/>
                <w:szCs w:val="18"/>
                <w:color w:val="auto"/>
              </w:rPr>
              <w:t>Secretary and Director</w:t>
            </w:r>
          </w:p>
        </w:tc>
      </w:tr>
      <w:tr>
        <w:trPr>
          <w:trHeight w:val="22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Cynthia Herndon</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Astrid Garcia</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 Legal</w:t>
            </w:r>
          </w:p>
        </w:tc>
      </w:tr>
      <w:tr>
        <w:trPr>
          <w:trHeight w:val="495"/>
        </w:trPr>
        <w:tc>
          <w:tcPr>
            <w:tcW w:w="3440" w:type="dxa"/>
            <w:vAlign w:val="bottom"/>
            <w:gridSpan w:val="4"/>
          </w:tcPr>
          <w:p>
            <w:pPr>
              <w:spacing w:after="0"/>
              <w:rPr>
                <w:sz w:val="20"/>
                <w:szCs w:val="20"/>
                <w:color w:val="auto"/>
              </w:rPr>
            </w:pPr>
            <w:r>
              <w:rPr>
                <w:rFonts w:ascii="Arial" w:cs="Arial" w:eastAsia="Arial" w:hAnsi="Arial"/>
                <w:sz w:val="18"/>
                <w:szCs w:val="18"/>
                <w:b w:val="1"/>
                <w:bCs w:val="1"/>
                <w:color w:val="auto"/>
              </w:rPr>
              <w:t>SIOUX CITY NEWSPAPERS, INC.</w:t>
            </w:r>
          </w:p>
        </w:tc>
        <w:tc>
          <w:tcPr>
            <w:tcW w:w="3660" w:type="dxa"/>
            <w:vAlign w:val="bottom"/>
          </w:tcPr>
          <w:p>
            <w:pPr>
              <w:spacing w:after="0"/>
              <w:rPr>
                <w:sz w:val="24"/>
                <w:szCs w:val="24"/>
                <w:color w:val="auto"/>
              </w:rPr>
            </w:pPr>
          </w:p>
        </w:tc>
      </w:tr>
      <w:tr>
        <w:trPr>
          <w:trHeight w:val="272"/>
        </w:trPr>
        <w:tc>
          <w:tcPr>
            <w:tcW w:w="2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640" w:type="dxa"/>
            <w:vAlign w:val="bottom"/>
            <w:gridSpan w:val="2"/>
          </w:tcPr>
          <w:p>
            <w:pPr>
              <w:spacing w:after="0"/>
              <w:rPr>
                <w:sz w:val="23"/>
                <w:szCs w:val="23"/>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President and Director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Timothy R. Millage</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C. D. Waterman III</w:t>
            </w:r>
          </w:p>
        </w:tc>
        <w:tc>
          <w:tcPr>
            <w:tcW w:w="3660" w:type="dxa"/>
            <w:vAlign w:val="bottom"/>
          </w:tcPr>
          <w:p>
            <w:pPr>
              <w:ind w:left="160"/>
              <w:spacing w:after="0"/>
              <w:rPr>
                <w:sz w:val="20"/>
                <w:szCs w:val="20"/>
                <w:color w:val="auto"/>
              </w:rPr>
            </w:pPr>
            <w:r>
              <w:rPr>
                <w:rFonts w:ascii="Arial" w:cs="Arial" w:eastAsia="Arial" w:hAnsi="Arial"/>
                <w:sz w:val="18"/>
                <w:szCs w:val="18"/>
                <w:color w:val="auto"/>
              </w:rPr>
              <w:t>Secretary and Director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Cynthia Herndon</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Astrid Garcia</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 Legal</w:t>
            </w:r>
          </w:p>
        </w:tc>
      </w:tr>
      <w:tr>
        <w:trPr>
          <w:trHeight w:val="482"/>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JOURNAL-STAR PRINTING CO.</w:t>
            </w:r>
          </w:p>
        </w:tc>
        <w:tc>
          <w:tcPr>
            <w:tcW w:w="740" w:type="dxa"/>
            <w:vAlign w:val="bottom"/>
            <w:gridSpan w:val="3"/>
          </w:tcPr>
          <w:p>
            <w:pPr>
              <w:spacing w:after="0"/>
              <w:rPr>
                <w:sz w:val="24"/>
                <w:szCs w:val="24"/>
                <w:color w:val="auto"/>
              </w:rPr>
            </w:pPr>
          </w:p>
        </w:tc>
        <w:tc>
          <w:tcPr>
            <w:tcW w:w="3660" w:type="dxa"/>
            <w:vAlign w:val="bottom"/>
          </w:tcPr>
          <w:p>
            <w:pPr>
              <w:spacing w:after="0"/>
              <w:rPr>
                <w:sz w:val="24"/>
                <w:szCs w:val="24"/>
                <w:color w:val="auto"/>
              </w:rPr>
            </w:pPr>
          </w:p>
        </w:tc>
      </w:tr>
      <w:tr>
        <w:trPr>
          <w:trHeight w:val="272"/>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Kevin D. Mowbray</w:t>
            </w:r>
          </w:p>
        </w:tc>
        <w:tc>
          <w:tcPr>
            <w:tcW w:w="3660" w:type="dxa"/>
            <w:vAlign w:val="bottom"/>
          </w:tcPr>
          <w:p>
            <w:pPr>
              <w:ind w:left="160"/>
              <w:spacing w:after="0"/>
              <w:rPr>
                <w:sz w:val="20"/>
                <w:szCs w:val="20"/>
                <w:color w:val="auto"/>
              </w:rPr>
            </w:pPr>
            <w:r>
              <w:rPr>
                <w:rFonts w:ascii="Arial" w:cs="Arial" w:eastAsia="Arial" w:hAnsi="Arial"/>
                <w:sz w:val="18"/>
                <w:szCs w:val="18"/>
                <w:color w:val="auto"/>
              </w:rPr>
              <w:t>President and Director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Timothy R. Millage</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C. D. Waterman III</w:t>
            </w:r>
          </w:p>
        </w:tc>
        <w:tc>
          <w:tcPr>
            <w:tcW w:w="3660" w:type="dxa"/>
            <w:vAlign w:val="bottom"/>
          </w:tcPr>
          <w:p>
            <w:pPr>
              <w:ind w:left="160"/>
              <w:spacing w:after="0"/>
              <w:rPr>
                <w:sz w:val="20"/>
                <w:szCs w:val="20"/>
                <w:color w:val="auto"/>
              </w:rPr>
            </w:pPr>
            <w:r>
              <w:rPr>
                <w:rFonts w:ascii="Arial" w:cs="Arial" w:eastAsia="Arial" w:hAnsi="Arial"/>
                <w:sz w:val="18"/>
                <w:szCs w:val="18"/>
                <w:color w:val="auto"/>
              </w:rPr>
              <w:t>Secretary and Director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Cynthia Herndon</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Astrid Garcia</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 Legal</w:t>
            </w:r>
          </w:p>
        </w:tc>
      </w:tr>
    </w:tbl>
    <w:p>
      <w:pPr>
        <w:sectPr>
          <w:pgSz w:w="11900" w:h="16838" w:orient="portrait"/>
          <w:cols w:equalWidth="0" w:num="1">
            <w:col w:w="10139"/>
          </w:cols>
          <w:pgMar w:left="320" w:top="1391" w:right="1440"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LEE BHM CORP.</w:t>
            </w:r>
          </w:p>
        </w:tc>
        <w:tc>
          <w:tcPr>
            <w:tcW w:w="1980" w:type="dxa"/>
            <w:vAlign w:val="bottom"/>
            <w:gridSpan w:val="5"/>
          </w:tcPr>
          <w:p>
            <w:pPr>
              <w:spacing w:after="0"/>
              <w:rPr>
                <w:sz w:val="17"/>
                <w:szCs w:val="17"/>
                <w:color w:val="auto"/>
              </w:rPr>
            </w:pPr>
          </w:p>
        </w:tc>
        <w:tc>
          <w:tcPr>
            <w:tcW w:w="3700" w:type="dxa"/>
            <w:vAlign w:val="bottom"/>
          </w:tcPr>
          <w:p>
            <w:pPr>
              <w:spacing w:after="0"/>
              <w:rPr>
                <w:sz w:val="17"/>
                <w:szCs w:val="17"/>
                <w:color w:val="auto"/>
              </w:rPr>
            </w:pPr>
          </w:p>
        </w:tc>
      </w:tr>
      <w:tr>
        <w:trPr>
          <w:trHeight w:val="272"/>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700" w:type="dxa"/>
            <w:vAlign w:val="bottom"/>
          </w:tcPr>
          <w:p>
            <w:pPr>
              <w:ind w:left="200"/>
              <w:spacing w:after="0"/>
              <w:rPr>
                <w:sz w:val="20"/>
                <w:szCs w:val="20"/>
                <w:color w:val="auto"/>
              </w:rPr>
            </w:pPr>
            <w:r>
              <w:rPr>
                <w:rFonts w:ascii="Arial" w:cs="Arial" w:eastAsia="Arial" w:hAnsi="Arial"/>
                <w:sz w:val="18"/>
                <w:szCs w:val="18"/>
                <w:color w:val="auto"/>
              </w:rPr>
              <w:t>President and Director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Nathan E. Bekke</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700" w:type="dxa"/>
            <w:vAlign w:val="bottom"/>
          </w:tcPr>
          <w:p>
            <w:pPr>
              <w:ind w:left="200"/>
              <w:spacing w:after="0"/>
              <w:rPr>
                <w:sz w:val="20"/>
                <w:szCs w:val="20"/>
                <w:color w:val="auto"/>
              </w:rPr>
            </w:pPr>
            <w:r>
              <w:rPr>
                <w:rFonts w:ascii="Arial" w:cs="Arial" w:eastAsia="Arial" w:hAnsi="Arial"/>
                <w:sz w:val="18"/>
                <w:szCs w:val="18"/>
                <w:color w:val="auto"/>
              </w:rPr>
              <w:t>Secretary and Director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Josh Rinehults</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 Legal</w:t>
            </w:r>
          </w:p>
        </w:tc>
      </w:tr>
      <w:tr>
        <w:trPr>
          <w:trHeight w:val="495"/>
        </w:trPr>
        <w:tc>
          <w:tcPr>
            <w:tcW w:w="3400" w:type="dxa"/>
            <w:vAlign w:val="bottom"/>
            <w:gridSpan w:val="6"/>
          </w:tcPr>
          <w:p>
            <w:pPr>
              <w:spacing w:after="0"/>
              <w:rPr>
                <w:sz w:val="20"/>
                <w:szCs w:val="20"/>
                <w:color w:val="auto"/>
              </w:rPr>
            </w:pPr>
            <w:r>
              <w:rPr>
                <w:rFonts w:ascii="Arial" w:cs="Arial" w:eastAsia="Arial" w:hAnsi="Arial"/>
                <w:sz w:val="18"/>
                <w:szCs w:val="18"/>
                <w:b w:val="1"/>
                <w:bCs w:val="1"/>
                <w:color w:val="auto"/>
              </w:rPr>
              <w:t>LEE CONSOLIDATED HOLDINGS CO.</w:t>
            </w:r>
          </w:p>
        </w:tc>
        <w:tc>
          <w:tcPr>
            <w:tcW w:w="3700" w:type="dxa"/>
            <w:vAlign w:val="bottom"/>
          </w:tcPr>
          <w:p>
            <w:pPr>
              <w:spacing w:after="0"/>
              <w:rPr>
                <w:sz w:val="24"/>
                <w:szCs w:val="24"/>
                <w:color w:val="auto"/>
              </w:rPr>
            </w:pPr>
          </w:p>
        </w:tc>
      </w:tr>
      <w:tr>
        <w:trPr>
          <w:trHeight w:val="272"/>
        </w:trPr>
        <w:tc>
          <w:tcPr>
            <w:tcW w:w="32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color w:val="auto"/>
              </w:rPr>
              <w:t>Kevin D. Mowbray</w:t>
            </w:r>
          </w:p>
        </w:tc>
        <w:tc>
          <w:tcPr>
            <w:tcW w:w="200" w:type="dxa"/>
            <w:vAlign w:val="bottom"/>
          </w:tcPr>
          <w:p>
            <w:pPr>
              <w:spacing w:after="0"/>
              <w:rPr>
                <w:sz w:val="23"/>
                <w:szCs w:val="23"/>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President and Director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700" w:type="dxa"/>
            <w:vAlign w:val="bottom"/>
          </w:tcPr>
          <w:p>
            <w:pPr>
              <w:ind w:left="200"/>
              <w:spacing w:after="0"/>
              <w:rPr>
                <w:sz w:val="20"/>
                <w:szCs w:val="20"/>
                <w:color w:val="auto"/>
              </w:rPr>
            </w:pPr>
            <w:r>
              <w:rPr>
                <w:rFonts w:ascii="Arial" w:cs="Arial" w:eastAsia="Arial" w:hAnsi="Arial"/>
                <w:sz w:val="18"/>
                <w:szCs w:val="18"/>
                <w:color w:val="auto"/>
              </w:rPr>
              <w:t>Secretary and Director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 Legal</w:t>
            </w:r>
          </w:p>
        </w:tc>
      </w:tr>
      <w:tr>
        <w:trPr>
          <w:trHeight w:val="482"/>
        </w:trPr>
        <w:tc>
          <w:tcPr>
            <w:tcW w:w="3400" w:type="dxa"/>
            <w:vAlign w:val="bottom"/>
            <w:gridSpan w:val="6"/>
          </w:tcPr>
          <w:p>
            <w:pPr>
              <w:spacing w:after="0"/>
              <w:rPr>
                <w:sz w:val="20"/>
                <w:szCs w:val="20"/>
                <w:color w:val="auto"/>
              </w:rPr>
            </w:pPr>
            <w:r>
              <w:rPr>
                <w:rFonts w:ascii="Arial" w:cs="Arial" w:eastAsia="Arial" w:hAnsi="Arial"/>
                <w:sz w:val="18"/>
                <w:szCs w:val="18"/>
                <w:b w:val="1"/>
                <w:bCs w:val="1"/>
                <w:color w:val="auto"/>
              </w:rPr>
              <w:t>MADISON NEWSPAPERS, INC. (50%)</w:t>
            </w:r>
          </w:p>
        </w:tc>
        <w:tc>
          <w:tcPr>
            <w:tcW w:w="3700" w:type="dxa"/>
            <w:vAlign w:val="bottom"/>
          </w:tcPr>
          <w:p>
            <w:pPr>
              <w:spacing w:after="0"/>
              <w:rPr>
                <w:sz w:val="24"/>
                <w:szCs w:val="24"/>
                <w:color w:val="auto"/>
              </w:rPr>
            </w:pPr>
          </w:p>
        </w:tc>
      </w:tr>
      <w:tr>
        <w:trPr>
          <w:trHeight w:val="272"/>
        </w:trPr>
        <w:tc>
          <w:tcPr>
            <w:tcW w:w="316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Clayton Frink</w:t>
            </w:r>
          </w:p>
        </w:tc>
        <w:tc>
          <w:tcPr>
            <w:tcW w:w="240" w:type="dxa"/>
            <w:vAlign w:val="bottom"/>
            <w:gridSpan w:val="2"/>
          </w:tcPr>
          <w:p>
            <w:pPr>
              <w:spacing w:after="0"/>
              <w:rPr>
                <w:sz w:val="23"/>
                <w:szCs w:val="23"/>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Chairman and Director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Ian Caso</w:t>
            </w:r>
          </w:p>
        </w:tc>
        <w:tc>
          <w:tcPr>
            <w:tcW w:w="3700" w:type="dxa"/>
            <w:vAlign w:val="bottom"/>
          </w:tcPr>
          <w:p>
            <w:pPr>
              <w:ind w:left="200"/>
              <w:spacing w:after="0"/>
              <w:rPr>
                <w:sz w:val="20"/>
                <w:szCs w:val="20"/>
                <w:color w:val="auto"/>
              </w:rPr>
            </w:pPr>
            <w:r>
              <w:rPr>
                <w:rFonts w:ascii="Arial" w:cs="Arial" w:eastAsia="Arial" w:hAnsi="Arial"/>
                <w:sz w:val="18"/>
                <w:szCs w:val="18"/>
                <w:color w:val="auto"/>
              </w:rPr>
              <w:t>President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James Lussier</w:t>
            </w:r>
          </w:p>
        </w:tc>
        <w:tc>
          <w:tcPr>
            <w:tcW w:w="3700" w:type="dxa"/>
            <w:vAlign w:val="bottom"/>
          </w:tcPr>
          <w:p>
            <w:pPr>
              <w:ind w:left="200"/>
              <w:spacing w:after="0"/>
              <w:rPr>
                <w:sz w:val="20"/>
                <w:szCs w:val="20"/>
                <w:color w:val="auto"/>
              </w:rPr>
            </w:pPr>
            <w:r>
              <w:rPr>
                <w:rFonts w:ascii="Arial" w:cs="Arial" w:eastAsia="Arial" w:hAnsi="Arial"/>
                <w:sz w:val="18"/>
                <w:szCs w:val="18"/>
                <w:color w:val="auto"/>
              </w:rPr>
              <w:t>Secretary and Director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Josh Rinehults</w:t>
            </w:r>
          </w:p>
        </w:tc>
        <w:tc>
          <w:tcPr>
            <w:tcW w:w="3700" w:type="dxa"/>
            <w:vAlign w:val="bottom"/>
          </w:tcPr>
          <w:p>
            <w:pPr>
              <w:ind w:left="200"/>
              <w:spacing w:after="0"/>
              <w:rPr>
                <w:sz w:val="20"/>
                <w:szCs w:val="20"/>
                <w:color w:val="auto"/>
              </w:rPr>
            </w:pPr>
            <w:r>
              <w:rPr>
                <w:rFonts w:ascii="Arial" w:cs="Arial" w:eastAsia="Arial" w:hAnsi="Arial"/>
                <w:sz w:val="18"/>
                <w:szCs w:val="18"/>
                <w:color w:val="auto"/>
              </w:rPr>
              <w:t>Treasurer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Nancy Gage</w:t>
            </w:r>
          </w:p>
        </w:tc>
        <w:tc>
          <w:tcPr>
            <w:tcW w:w="370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Nathan Bekke</w:t>
            </w:r>
          </w:p>
        </w:tc>
        <w:tc>
          <w:tcPr>
            <w:tcW w:w="370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3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Mary E. Hoffmann</w:t>
            </w:r>
          </w:p>
        </w:tc>
        <w:tc>
          <w:tcPr>
            <w:tcW w:w="3700" w:type="dxa"/>
            <w:vAlign w:val="bottom"/>
          </w:tcPr>
          <w:p>
            <w:pPr>
              <w:ind w:left="200"/>
              <w:spacing w:after="0"/>
              <w:rPr>
                <w:sz w:val="20"/>
                <w:szCs w:val="20"/>
                <w:color w:val="auto"/>
              </w:rPr>
            </w:pPr>
            <w:r>
              <w:rPr>
                <w:rFonts w:ascii="Arial" w:cs="Arial" w:eastAsia="Arial" w:hAnsi="Arial"/>
                <w:sz w:val="18"/>
                <w:szCs w:val="18"/>
                <w:color w:val="auto"/>
              </w:rPr>
              <w:t>Assistant Secretary, Assistant Treasurer</w:t>
            </w:r>
          </w:p>
        </w:tc>
      </w:tr>
      <w:tr>
        <w:trPr>
          <w:trHeight w:val="495"/>
        </w:trPr>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FLAGSTAFF PUBLISHING CO.</w:t>
            </w:r>
          </w:p>
        </w:tc>
        <w:tc>
          <w:tcPr>
            <w:tcW w:w="800" w:type="dxa"/>
            <w:vAlign w:val="bottom"/>
            <w:gridSpan w:val="3"/>
          </w:tcPr>
          <w:p>
            <w:pPr>
              <w:spacing w:after="0"/>
              <w:rPr>
                <w:sz w:val="24"/>
                <w:szCs w:val="24"/>
                <w:color w:val="auto"/>
              </w:rPr>
            </w:pPr>
          </w:p>
        </w:tc>
        <w:tc>
          <w:tcPr>
            <w:tcW w:w="3700" w:type="dxa"/>
            <w:vAlign w:val="bottom"/>
          </w:tcPr>
          <w:p>
            <w:pPr>
              <w:spacing w:after="0"/>
              <w:rPr>
                <w:sz w:val="24"/>
                <w:szCs w:val="24"/>
                <w:color w:val="auto"/>
              </w:rPr>
            </w:pPr>
          </w:p>
        </w:tc>
      </w:tr>
      <w:tr>
        <w:trPr>
          <w:trHeight w:val="272"/>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700" w:type="dxa"/>
            <w:vAlign w:val="bottom"/>
          </w:tcPr>
          <w:p>
            <w:pPr>
              <w:ind w:left="200"/>
              <w:spacing w:after="0"/>
              <w:rPr>
                <w:sz w:val="20"/>
                <w:szCs w:val="20"/>
                <w:color w:val="auto"/>
              </w:rPr>
            </w:pPr>
            <w:r>
              <w:rPr>
                <w:rFonts w:ascii="Arial" w:cs="Arial" w:eastAsia="Arial" w:hAnsi="Arial"/>
                <w:sz w:val="18"/>
                <w:szCs w:val="18"/>
                <w:color w:val="auto"/>
              </w:rPr>
              <w:t>President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700" w:type="dxa"/>
            <w:vAlign w:val="bottom"/>
          </w:tcPr>
          <w:p>
            <w:pPr>
              <w:ind w:left="200"/>
              <w:spacing w:after="0"/>
              <w:rPr>
                <w:sz w:val="20"/>
                <w:szCs w:val="20"/>
                <w:color w:val="auto"/>
              </w:rPr>
            </w:pPr>
            <w:r>
              <w:rPr>
                <w:rFonts w:ascii="Arial" w:cs="Arial" w:eastAsia="Arial" w:hAnsi="Arial"/>
                <w:sz w:val="18"/>
                <w:szCs w:val="18"/>
                <w:color w:val="auto"/>
              </w:rPr>
              <w:t>Secretary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 Legal</w:t>
            </w:r>
          </w:p>
        </w:tc>
      </w:tr>
      <w:tr>
        <w:trPr>
          <w:trHeight w:val="482"/>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HANFORD LIQUIDATION, INC.</w:t>
            </w:r>
          </w:p>
        </w:tc>
        <w:tc>
          <w:tcPr>
            <w:tcW w:w="820" w:type="dxa"/>
            <w:vAlign w:val="bottom"/>
            <w:gridSpan w:val="4"/>
          </w:tcPr>
          <w:p>
            <w:pPr>
              <w:spacing w:after="0"/>
              <w:rPr>
                <w:sz w:val="24"/>
                <w:szCs w:val="24"/>
                <w:color w:val="auto"/>
              </w:rPr>
            </w:pPr>
          </w:p>
        </w:tc>
        <w:tc>
          <w:tcPr>
            <w:tcW w:w="3700" w:type="dxa"/>
            <w:vAlign w:val="bottom"/>
          </w:tcPr>
          <w:p>
            <w:pPr>
              <w:spacing w:after="0"/>
              <w:rPr>
                <w:sz w:val="24"/>
                <w:szCs w:val="24"/>
                <w:color w:val="auto"/>
              </w:rPr>
            </w:pPr>
          </w:p>
        </w:tc>
      </w:tr>
      <w:tr>
        <w:trPr>
          <w:trHeight w:val="272"/>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700" w:type="dxa"/>
            <w:vAlign w:val="bottom"/>
          </w:tcPr>
          <w:p>
            <w:pPr>
              <w:ind w:left="200"/>
              <w:spacing w:after="0"/>
              <w:rPr>
                <w:sz w:val="20"/>
                <w:szCs w:val="20"/>
                <w:color w:val="auto"/>
              </w:rPr>
            </w:pPr>
            <w:r>
              <w:rPr>
                <w:rFonts w:ascii="Arial" w:cs="Arial" w:eastAsia="Arial" w:hAnsi="Arial"/>
                <w:sz w:val="18"/>
                <w:szCs w:val="18"/>
                <w:color w:val="auto"/>
              </w:rPr>
              <w:t>President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700" w:type="dxa"/>
            <w:vAlign w:val="bottom"/>
          </w:tcPr>
          <w:p>
            <w:pPr>
              <w:ind w:left="200"/>
              <w:spacing w:after="0"/>
              <w:rPr>
                <w:sz w:val="20"/>
                <w:szCs w:val="20"/>
                <w:color w:val="auto"/>
              </w:rPr>
            </w:pPr>
            <w:r>
              <w:rPr>
                <w:rFonts w:ascii="Arial" w:cs="Arial" w:eastAsia="Arial" w:hAnsi="Arial"/>
                <w:sz w:val="18"/>
                <w:szCs w:val="18"/>
                <w:color w:val="auto"/>
              </w:rPr>
              <w:t>Secretary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 Legal</w:t>
            </w:r>
          </w:p>
        </w:tc>
      </w:tr>
    </w:tbl>
    <w:p>
      <w:pPr>
        <w:sectPr>
          <w:pgSz w:w="11900" w:h="16838" w:orient="portrait"/>
          <w:cols w:equalWidth="0" w:num="1">
            <w:col w:w="10139"/>
          </w:cols>
          <w:pgMar w:left="320" w:top="1391" w:right="1440"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9"/>
              </w:rPr>
              <w:t>NAPA VALLEY PUBLISHING CO.</w:t>
            </w:r>
          </w:p>
        </w:tc>
        <w:tc>
          <w:tcPr>
            <w:tcW w:w="800" w:type="dxa"/>
            <w:vAlign w:val="bottom"/>
            <w:gridSpan w:val="2"/>
          </w:tcPr>
          <w:p>
            <w:pPr>
              <w:spacing w:after="0"/>
              <w:rPr>
                <w:sz w:val="17"/>
                <w:szCs w:val="17"/>
                <w:color w:val="auto"/>
              </w:rPr>
            </w:pPr>
          </w:p>
        </w:tc>
        <w:tc>
          <w:tcPr>
            <w:tcW w:w="3500" w:type="dxa"/>
            <w:vAlign w:val="bottom"/>
          </w:tcPr>
          <w:p>
            <w:pPr>
              <w:spacing w:after="0"/>
              <w:rPr>
                <w:sz w:val="17"/>
                <w:szCs w:val="17"/>
                <w:color w:val="auto"/>
              </w:rPr>
            </w:pPr>
          </w:p>
        </w:tc>
      </w:tr>
      <w:tr>
        <w:trPr>
          <w:trHeight w:val="272"/>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5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29"/>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50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500" w:type="dxa"/>
            <w:vAlign w:val="bottom"/>
          </w:tcPr>
          <w:p>
            <w:pPr>
              <w:spacing w:after="0"/>
              <w:rPr>
                <w:sz w:val="20"/>
                <w:szCs w:val="20"/>
                <w:color w:val="auto"/>
              </w:rPr>
            </w:pPr>
            <w:r>
              <w:rPr>
                <w:rFonts w:ascii="Arial" w:cs="Arial" w:eastAsia="Arial" w:hAnsi="Arial"/>
                <w:sz w:val="18"/>
                <w:szCs w:val="18"/>
                <w:color w:val="auto"/>
              </w:rPr>
              <w:t>Secretary and Director</w:t>
            </w:r>
          </w:p>
        </w:tc>
      </w:tr>
      <w:tr>
        <w:trPr>
          <w:trHeight w:val="229"/>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500" w:type="dxa"/>
            <w:vAlign w:val="bottom"/>
          </w:tcPr>
          <w:p>
            <w:pPr>
              <w:spacing w:after="0"/>
              <w:rPr>
                <w:sz w:val="20"/>
                <w:szCs w:val="20"/>
                <w:color w:val="auto"/>
              </w:rPr>
            </w:pPr>
            <w:r>
              <w:rPr>
                <w:rFonts w:ascii="Arial" w:cs="Arial" w:eastAsia="Arial" w:hAnsi="Arial"/>
                <w:sz w:val="18"/>
                <w:szCs w:val="18"/>
                <w:color w:val="auto"/>
              </w:rPr>
              <w:t>Vice President - Legal</w:t>
            </w:r>
          </w:p>
        </w:tc>
      </w:tr>
      <w:tr>
        <w:trPr>
          <w:trHeight w:val="495"/>
        </w:trPr>
        <w:tc>
          <w:tcPr>
            <w:tcW w:w="3600" w:type="dxa"/>
            <w:vAlign w:val="bottom"/>
            <w:gridSpan w:val="6"/>
          </w:tcPr>
          <w:p>
            <w:pPr>
              <w:spacing w:after="0"/>
              <w:rPr>
                <w:sz w:val="20"/>
                <w:szCs w:val="20"/>
                <w:color w:val="auto"/>
              </w:rPr>
            </w:pPr>
            <w:r>
              <w:rPr>
                <w:rFonts w:ascii="Arial" w:cs="Arial" w:eastAsia="Arial" w:hAnsi="Arial"/>
                <w:sz w:val="18"/>
                <w:szCs w:val="18"/>
                <w:b w:val="1"/>
                <w:bCs w:val="1"/>
                <w:color w:val="auto"/>
              </w:rPr>
              <w:t>PANTAGRAPH PUBLISHING CO.</w:t>
            </w:r>
          </w:p>
        </w:tc>
        <w:tc>
          <w:tcPr>
            <w:tcW w:w="3500" w:type="dxa"/>
            <w:vAlign w:val="bottom"/>
          </w:tcPr>
          <w:p>
            <w:pPr>
              <w:spacing w:after="0"/>
              <w:rPr>
                <w:sz w:val="24"/>
                <w:szCs w:val="24"/>
                <w:color w:val="auto"/>
              </w:rPr>
            </w:pPr>
          </w:p>
        </w:tc>
      </w:tr>
      <w:tr>
        <w:trPr>
          <w:trHeight w:val="272"/>
        </w:trPr>
        <w:tc>
          <w:tcPr>
            <w:tcW w:w="27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Kevin D. Mowbray</w:t>
            </w:r>
          </w:p>
        </w:tc>
        <w:tc>
          <w:tcPr>
            <w:tcW w:w="820" w:type="dxa"/>
            <w:vAlign w:val="bottom"/>
            <w:gridSpan w:val="3"/>
          </w:tcPr>
          <w:p>
            <w:pPr>
              <w:spacing w:after="0"/>
              <w:rPr>
                <w:sz w:val="23"/>
                <w:szCs w:val="23"/>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30"/>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50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500" w:type="dxa"/>
            <w:vAlign w:val="bottom"/>
          </w:tcPr>
          <w:p>
            <w:pPr>
              <w:spacing w:after="0"/>
              <w:rPr>
                <w:sz w:val="20"/>
                <w:szCs w:val="20"/>
                <w:color w:val="auto"/>
              </w:rPr>
            </w:pPr>
            <w:r>
              <w:rPr>
                <w:rFonts w:ascii="Arial" w:cs="Arial" w:eastAsia="Arial" w:hAnsi="Arial"/>
                <w:sz w:val="18"/>
                <w:szCs w:val="18"/>
                <w:color w:val="auto"/>
              </w:rPr>
              <w:t>Secretary and Director</w:t>
            </w:r>
          </w:p>
        </w:tc>
      </w:tr>
      <w:tr>
        <w:trPr>
          <w:trHeight w:val="229"/>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500" w:type="dxa"/>
            <w:vAlign w:val="bottom"/>
          </w:tcPr>
          <w:p>
            <w:pPr>
              <w:spacing w:after="0"/>
              <w:rPr>
                <w:sz w:val="20"/>
                <w:szCs w:val="20"/>
                <w:color w:val="auto"/>
              </w:rPr>
            </w:pPr>
            <w:r>
              <w:rPr>
                <w:rFonts w:ascii="Arial" w:cs="Arial" w:eastAsia="Arial" w:hAnsi="Arial"/>
                <w:sz w:val="18"/>
                <w:szCs w:val="18"/>
                <w:color w:val="auto"/>
              </w:rPr>
              <w:t>Vice President - Legal</w:t>
            </w:r>
          </w:p>
        </w:tc>
      </w:tr>
      <w:tr>
        <w:trPr>
          <w:trHeight w:val="482"/>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PULITZER INC.</w:t>
            </w:r>
          </w:p>
        </w:tc>
        <w:tc>
          <w:tcPr>
            <w:tcW w:w="2300" w:type="dxa"/>
            <w:vAlign w:val="bottom"/>
            <w:gridSpan w:val="5"/>
          </w:tcPr>
          <w:p>
            <w:pPr>
              <w:spacing w:after="0"/>
              <w:rPr>
                <w:sz w:val="24"/>
                <w:szCs w:val="24"/>
                <w:color w:val="auto"/>
              </w:rPr>
            </w:pPr>
          </w:p>
        </w:tc>
        <w:tc>
          <w:tcPr>
            <w:tcW w:w="3500" w:type="dxa"/>
            <w:vAlign w:val="bottom"/>
          </w:tcPr>
          <w:p>
            <w:pPr>
              <w:spacing w:after="0"/>
              <w:rPr>
                <w:sz w:val="24"/>
                <w:szCs w:val="24"/>
                <w:color w:val="auto"/>
              </w:rPr>
            </w:pPr>
          </w:p>
        </w:tc>
      </w:tr>
      <w:tr>
        <w:trPr>
          <w:trHeight w:val="272"/>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5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30"/>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500" w:type="dxa"/>
            <w:vAlign w:val="bottom"/>
          </w:tcPr>
          <w:p>
            <w:pPr>
              <w:spacing w:after="0"/>
              <w:rPr>
                <w:sz w:val="20"/>
                <w:szCs w:val="20"/>
                <w:color w:val="auto"/>
              </w:rPr>
            </w:pPr>
            <w:r>
              <w:rPr>
                <w:rFonts w:ascii="Arial" w:cs="Arial" w:eastAsia="Arial" w:hAnsi="Arial"/>
                <w:sz w:val="18"/>
                <w:szCs w:val="18"/>
                <w:color w:val="auto"/>
              </w:rPr>
              <w:t>Vice President and Director</w:t>
            </w:r>
          </w:p>
        </w:tc>
      </w:tr>
      <w:tr>
        <w:trPr>
          <w:trHeight w:val="229"/>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500" w:type="dxa"/>
            <w:vAlign w:val="bottom"/>
          </w:tcPr>
          <w:p>
            <w:pPr>
              <w:spacing w:after="0"/>
              <w:rPr>
                <w:sz w:val="20"/>
                <w:szCs w:val="20"/>
                <w:color w:val="auto"/>
              </w:rPr>
            </w:pPr>
            <w:r>
              <w:rPr>
                <w:rFonts w:ascii="Arial" w:cs="Arial" w:eastAsia="Arial" w:hAnsi="Arial"/>
                <w:sz w:val="18"/>
                <w:szCs w:val="18"/>
                <w:color w:val="auto"/>
              </w:rPr>
              <w:t>Secretary and Director</w:t>
            </w:r>
          </w:p>
        </w:tc>
      </w:tr>
      <w:tr>
        <w:trPr>
          <w:trHeight w:val="229"/>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500" w:type="dxa"/>
            <w:vAlign w:val="bottom"/>
          </w:tcPr>
          <w:p>
            <w:pPr>
              <w:spacing w:after="0"/>
              <w:rPr>
                <w:sz w:val="20"/>
                <w:szCs w:val="20"/>
                <w:color w:val="auto"/>
              </w:rPr>
            </w:pPr>
            <w:r>
              <w:rPr>
                <w:rFonts w:ascii="Arial" w:cs="Arial" w:eastAsia="Arial" w:hAnsi="Arial"/>
                <w:sz w:val="18"/>
                <w:szCs w:val="18"/>
                <w:color w:val="auto"/>
              </w:rPr>
              <w:t>Treasurer and Director</w:t>
            </w:r>
          </w:p>
        </w:tc>
      </w:tr>
      <w:tr>
        <w:trPr>
          <w:trHeight w:val="230"/>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Nathan E. Bekke</w:t>
            </w:r>
          </w:p>
        </w:tc>
        <w:tc>
          <w:tcPr>
            <w:tcW w:w="3500" w:type="dxa"/>
            <w:vAlign w:val="bottom"/>
          </w:tcPr>
          <w:p>
            <w:pPr>
              <w:spacing w:after="0"/>
              <w:rPr>
                <w:sz w:val="20"/>
                <w:szCs w:val="20"/>
                <w:color w:val="auto"/>
              </w:rPr>
            </w:pPr>
            <w:r>
              <w:rPr>
                <w:rFonts w:ascii="Arial" w:cs="Arial" w:eastAsia="Arial" w:hAnsi="Arial"/>
                <w:sz w:val="18"/>
                <w:szCs w:val="18"/>
                <w:color w:val="auto"/>
              </w:rPr>
              <w:t>Director</w:t>
            </w:r>
          </w:p>
        </w:tc>
      </w:tr>
      <w:tr>
        <w:trPr>
          <w:trHeight w:val="239"/>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495"/>
        </w:trPr>
        <w:tc>
          <w:tcPr>
            <w:tcW w:w="360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9"/>
              </w:rPr>
              <w:t>PULITZER MISSOURI NEWSPAPERS, INC.</w:t>
            </w:r>
          </w:p>
        </w:tc>
        <w:tc>
          <w:tcPr>
            <w:tcW w:w="3500" w:type="dxa"/>
            <w:vAlign w:val="bottom"/>
          </w:tcPr>
          <w:p>
            <w:pPr>
              <w:spacing w:after="0"/>
              <w:rPr>
                <w:sz w:val="24"/>
                <w:szCs w:val="24"/>
                <w:color w:val="auto"/>
              </w:rPr>
            </w:pPr>
          </w:p>
        </w:tc>
      </w:tr>
      <w:tr>
        <w:trPr>
          <w:trHeight w:val="272"/>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5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29"/>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50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500" w:type="dxa"/>
            <w:vAlign w:val="bottom"/>
          </w:tcPr>
          <w:p>
            <w:pPr>
              <w:spacing w:after="0"/>
              <w:rPr>
                <w:sz w:val="20"/>
                <w:szCs w:val="20"/>
                <w:color w:val="auto"/>
              </w:rPr>
            </w:pPr>
            <w:r>
              <w:rPr>
                <w:rFonts w:ascii="Arial" w:cs="Arial" w:eastAsia="Arial" w:hAnsi="Arial"/>
                <w:sz w:val="18"/>
                <w:szCs w:val="18"/>
                <w:color w:val="auto"/>
              </w:rPr>
              <w:t>Secretary and Director</w:t>
            </w:r>
          </w:p>
        </w:tc>
      </w:tr>
      <w:tr>
        <w:trPr>
          <w:trHeight w:val="230"/>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500" w:type="dxa"/>
            <w:vAlign w:val="bottom"/>
          </w:tcPr>
          <w:p>
            <w:pPr>
              <w:spacing w:after="0"/>
              <w:rPr>
                <w:sz w:val="20"/>
                <w:szCs w:val="20"/>
                <w:color w:val="auto"/>
              </w:rPr>
            </w:pPr>
            <w:r>
              <w:rPr>
                <w:rFonts w:ascii="Arial" w:cs="Arial" w:eastAsia="Arial" w:hAnsi="Arial"/>
                <w:sz w:val="18"/>
                <w:szCs w:val="18"/>
                <w:color w:val="auto"/>
              </w:rPr>
              <w:t>Vice President - Legal</w:t>
            </w:r>
          </w:p>
        </w:tc>
      </w:tr>
      <w:tr>
        <w:trPr>
          <w:trHeight w:val="482"/>
        </w:trPr>
        <w:tc>
          <w:tcPr>
            <w:tcW w:w="3600" w:type="dxa"/>
            <w:vAlign w:val="bottom"/>
            <w:gridSpan w:val="6"/>
          </w:tcPr>
          <w:p>
            <w:pPr>
              <w:spacing w:after="0"/>
              <w:rPr>
                <w:sz w:val="20"/>
                <w:szCs w:val="20"/>
                <w:color w:val="auto"/>
              </w:rPr>
            </w:pPr>
            <w:r>
              <w:rPr>
                <w:rFonts w:ascii="Arial" w:cs="Arial" w:eastAsia="Arial" w:hAnsi="Arial"/>
                <w:sz w:val="18"/>
                <w:szCs w:val="18"/>
                <w:b w:val="1"/>
                <w:bCs w:val="1"/>
                <w:color w:val="auto"/>
              </w:rPr>
              <w:t>PULITZER NEWSPAPERS, INC.</w:t>
            </w:r>
          </w:p>
        </w:tc>
        <w:tc>
          <w:tcPr>
            <w:tcW w:w="3500" w:type="dxa"/>
            <w:vAlign w:val="bottom"/>
          </w:tcPr>
          <w:p>
            <w:pPr>
              <w:spacing w:after="0"/>
              <w:rPr>
                <w:sz w:val="24"/>
                <w:szCs w:val="24"/>
                <w:color w:val="auto"/>
              </w:rPr>
            </w:pPr>
          </w:p>
        </w:tc>
      </w:tr>
      <w:tr>
        <w:trPr>
          <w:trHeight w:val="272"/>
        </w:trPr>
        <w:tc>
          <w:tcPr>
            <w:tcW w:w="2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940" w:type="dxa"/>
            <w:vAlign w:val="bottom"/>
            <w:gridSpan w:val="4"/>
          </w:tcPr>
          <w:p>
            <w:pPr>
              <w:spacing w:after="0"/>
              <w:rPr>
                <w:sz w:val="23"/>
                <w:szCs w:val="23"/>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29"/>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50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500" w:type="dxa"/>
            <w:vAlign w:val="bottom"/>
          </w:tcPr>
          <w:p>
            <w:pPr>
              <w:spacing w:after="0"/>
              <w:rPr>
                <w:sz w:val="20"/>
                <w:szCs w:val="20"/>
                <w:color w:val="auto"/>
              </w:rPr>
            </w:pPr>
            <w:r>
              <w:rPr>
                <w:rFonts w:ascii="Arial" w:cs="Arial" w:eastAsia="Arial" w:hAnsi="Arial"/>
                <w:sz w:val="18"/>
                <w:szCs w:val="18"/>
                <w:color w:val="auto"/>
              </w:rPr>
              <w:t>Secretary and Director</w:t>
            </w:r>
          </w:p>
        </w:tc>
      </w:tr>
      <w:tr>
        <w:trPr>
          <w:trHeight w:val="230"/>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500" w:type="dxa"/>
            <w:vAlign w:val="bottom"/>
          </w:tcPr>
          <w:p>
            <w:pPr>
              <w:spacing w:after="0"/>
              <w:rPr>
                <w:sz w:val="20"/>
                <w:szCs w:val="20"/>
                <w:color w:val="auto"/>
              </w:rPr>
            </w:pPr>
            <w:r>
              <w:rPr>
                <w:rFonts w:ascii="Arial" w:cs="Arial" w:eastAsia="Arial" w:hAnsi="Arial"/>
                <w:sz w:val="18"/>
                <w:szCs w:val="18"/>
                <w:color w:val="auto"/>
              </w:rPr>
              <w:t>Vice President - Legal</w:t>
            </w:r>
          </w:p>
        </w:tc>
      </w:tr>
      <w:tr>
        <w:trPr>
          <w:trHeight w:val="495"/>
        </w:trPr>
        <w:tc>
          <w:tcPr>
            <w:tcW w:w="28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9"/>
              </w:rPr>
              <w:t>PULITZER TECHNOLOGIES, INC.</w:t>
            </w:r>
          </w:p>
        </w:tc>
        <w:tc>
          <w:tcPr>
            <w:tcW w:w="7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72"/>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5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30"/>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50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500" w:type="dxa"/>
            <w:vAlign w:val="bottom"/>
          </w:tcPr>
          <w:p>
            <w:pPr>
              <w:spacing w:after="0"/>
              <w:rPr>
                <w:sz w:val="20"/>
                <w:szCs w:val="20"/>
                <w:color w:val="auto"/>
              </w:rPr>
            </w:pPr>
            <w:r>
              <w:rPr>
                <w:rFonts w:ascii="Arial" w:cs="Arial" w:eastAsia="Arial" w:hAnsi="Arial"/>
                <w:sz w:val="18"/>
                <w:szCs w:val="18"/>
                <w:color w:val="auto"/>
              </w:rPr>
              <w:t>Secretary and Director</w:t>
            </w:r>
          </w:p>
        </w:tc>
      </w:tr>
      <w:tr>
        <w:trPr>
          <w:trHeight w:val="229"/>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6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500" w:type="dxa"/>
            <w:vAlign w:val="bottom"/>
          </w:tcPr>
          <w:p>
            <w:pPr>
              <w:spacing w:after="0"/>
              <w:rPr>
                <w:sz w:val="20"/>
                <w:szCs w:val="20"/>
                <w:color w:val="auto"/>
              </w:rPr>
            </w:pPr>
            <w:r>
              <w:rPr>
                <w:rFonts w:ascii="Arial" w:cs="Arial" w:eastAsia="Arial" w:hAnsi="Arial"/>
                <w:sz w:val="18"/>
                <w:szCs w:val="18"/>
                <w:color w:val="auto"/>
              </w:rPr>
              <w:t>Vice President - Legal</w:t>
            </w:r>
          </w:p>
        </w:tc>
      </w:tr>
    </w:tbl>
    <w:p>
      <w:pPr>
        <w:sectPr>
          <w:pgSz w:w="11900" w:h="16838" w:orient="portrait"/>
          <w:cols w:equalWidth="0" w:num="1">
            <w:col w:w="10139"/>
          </w:cols>
          <w:pgMar w:left="320" w:top="1391" w:right="1440" w:bottom="1440" w:gutter="0" w:footer="0" w:header="0"/>
        </w:sectPr>
      </w:pPr>
    </w:p>
    <w:bookmarkStart w:id="88" w:name="page89"/>
    <w:bookmarkEnd w:id="88"/>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SMT LIQUIDATION, INC.</w:t>
            </w:r>
          </w:p>
        </w:tc>
        <w:tc>
          <w:tcPr>
            <w:tcW w:w="104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272"/>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President and Director</w:t>
            </w:r>
          </w:p>
        </w:tc>
      </w:tr>
      <w:tr>
        <w:trPr>
          <w:trHeight w:val="229"/>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C. D. Waterman III</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Secretary and Director</w:t>
            </w:r>
          </w:p>
        </w:tc>
      </w:tr>
      <w:tr>
        <w:trPr>
          <w:trHeight w:val="230"/>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Cynthia Herndon</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Vice President - Legal</w:t>
            </w:r>
          </w:p>
        </w:tc>
      </w:tr>
      <w:tr>
        <w:trPr>
          <w:trHeight w:val="495"/>
        </w:trPr>
        <w:tc>
          <w:tcPr>
            <w:tcW w:w="39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9"/>
              </w:rPr>
              <w:t>SOUTHWESTERN OREGON PUBLISHING CO.</w:t>
            </w:r>
          </w:p>
        </w:tc>
        <w:tc>
          <w:tcPr>
            <w:tcW w:w="3180" w:type="dxa"/>
            <w:vAlign w:val="bottom"/>
          </w:tcPr>
          <w:p>
            <w:pPr>
              <w:spacing w:after="0"/>
              <w:rPr>
                <w:sz w:val="24"/>
                <w:szCs w:val="24"/>
                <w:color w:val="auto"/>
              </w:rPr>
            </w:pPr>
          </w:p>
        </w:tc>
      </w:tr>
      <w:tr>
        <w:trPr>
          <w:trHeight w:val="272"/>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President and Director</w:t>
            </w:r>
          </w:p>
        </w:tc>
      </w:tr>
      <w:tr>
        <w:trPr>
          <w:trHeight w:val="229"/>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Vice President and Treasurer and Director</w:t>
            </w:r>
          </w:p>
        </w:tc>
      </w:tr>
      <w:tr>
        <w:trPr>
          <w:trHeight w:val="230"/>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C. D. Waterman III</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Secretary and Director</w:t>
            </w:r>
          </w:p>
        </w:tc>
      </w:tr>
      <w:tr>
        <w:trPr>
          <w:trHeight w:val="229"/>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Cynthia Herndon</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Vice President - Legal</w:t>
            </w:r>
          </w:p>
        </w:tc>
      </w:tr>
      <w:tr>
        <w:trPr>
          <w:trHeight w:val="495"/>
        </w:trPr>
        <w:tc>
          <w:tcPr>
            <w:tcW w:w="3100" w:type="dxa"/>
            <w:vAlign w:val="bottom"/>
            <w:gridSpan w:val="5"/>
          </w:tcPr>
          <w:p>
            <w:pPr>
              <w:spacing w:after="0"/>
              <w:rPr>
                <w:sz w:val="20"/>
                <w:szCs w:val="20"/>
                <w:color w:val="auto"/>
              </w:rPr>
            </w:pPr>
            <w:r>
              <w:rPr>
                <w:rFonts w:ascii="Arial" w:cs="Arial" w:eastAsia="Arial" w:hAnsi="Arial"/>
                <w:sz w:val="18"/>
                <w:szCs w:val="18"/>
                <w:b w:val="1"/>
                <w:bCs w:val="1"/>
                <w:color w:val="auto"/>
              </w:rPr>
              <w:t>STAR PUBLISHING COMPANY</w:t>
            </w:r>
          </w:p>
        </w:tc>
        <w:tc>
          <w:tcPr>
            <w:tcW w:w="8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58"/>
        </w:trPr>
        <w:tc>
          <w:tcPr>
            <w:tcW w:w="260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Kevin D. Mowbray</w:t>
            </w:r>
          </w:p>
        </w:tc>
        <w:tc>
          <w:tcPr>
            <w:tcW w:w="500" w:type="dxa"/>
            <w:vAlign w:val="bottom"/>
          </w:tcPr>
          <w:p>
            <w:pPr>
              <w:spacing w:after="0"/>
              <w:rPr>
                <w:sz w:val="22"/>
                <w:szCs w:val="22"/>
                <w:color w:val="auto"/>
              </w:rPr>
            </w:pP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President and Director</w:t>
            </w:r>
          </w:p>
        </w:tc>
      </w:tr>
      <w:tr>
        <w:trPr>
          <w:trHeight w:val="229"/>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C. D. Waterman III</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Secretary and Director</w:t>
            </w:r>
          </w:p>
        </w:tc>
      </w:tr>
      <w:tr>
        <w:trPr>
          <w:trHeight w:val="229"/>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Cynthia Herndon</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Vice President - Legal</w:t>
            </w:r>
          </w:p>
        </w:tc>
      </w:tr>
      <w:tr>
        <w:trPr>
          <w:trHeight w:val="495"/>
        </w:trPr>
        <w:tc>
          <w:tcPr>
            <w:tcW w:w="2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THE BUFFALO NEWS, INC.</w:t>
            </w:r>
          </w:p>
        </w:tc>
        <w:tc>
          <w:tcPr>
            <w:tcW w:w="7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72"/>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President and Director</w:t>
            </w:r>
          </w:p>
        </w:tc>
      </w:tr>
      <w:tr>
        <w:trPr>
          <w:trHeight w:val="230"/>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Vice President - Legal</w:t>
            </w:r>
          </w:p>
        </w:tc>
      </w:tr>
      <w:tr>
        <w:trPr>
          <w:trHeight w:val="229"/>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C. D. Waterman III</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Secretary and Director</w:t>
            </w:r>
          </w:p>
        </w:tc>
      </w:tr>
      <w:tr>
        <w:trPr>
          <w:trHeight w:val="230"/>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Cynthia Herndon</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Josh Rinehults</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95"/>
        </w:trPr>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YNEZ CORPORATION</w:t>
            </w:r>
          </w:p>
        </w:tc>
        <w:tc>
          <w:tcPr>
            <w:tcW w:w="122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72"/>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President and Director</w:t>
            </w:r>
          </w:p>
        </w:tc>
      </w:tr>
      <w:tr>
        <w:trPr>
          <w:trHeight w:val="230"/>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Vice President, Treasurer, and Director</w:t>
            </w:r>
          </w:p>
        </w:tc>
      </w:tr>
      <w:tr>
        <w:trPr>
          <w:trHeight w:val="230"/>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C. D. Waterman III</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Secretary and Director</w:t>
            </w:r>
          </w:p>
        </w:tc>
      </w:tr>
      <w:tr>
        <w:trPr>
          <w:trHeight w:val="230"/>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Cynthia Herndon</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10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4000" w:type="dxa"/>
            <w:vAlign w:val="bottom"/>
            <w:gridSpan w:val="2"/>
          </w:tcPr>
          <w:p>
            <w:pPr>
              <w:ind w:left="500"/>
              <w:spacing w:after="0"/>
              <w:rPr>
                <w:sz w:val="20"/>
                <w:szCs w:val="20"/>
                <w:color w:val="auto"/>
              </w:rPr>
            </w:pPr>
            <w:r>
              <w:rPr>
                <w:rFonts w:ascii="Arial" w:cs="Arial" w:eastAsia="Arial" w:hAnsi="Arial"/>
                <w:sz w:val="18"/>
                <w:szCs w:val="18"/>
                <w:color w:val="auto"/>
              </w:rPr>
              <w:t>Vice President - Legal</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AMPLIFIED DIGITAL, LLC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Member: Pulitzer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FAIRGROVE LLC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 St. Louis Post-Dispatch LLC</w:t>
      </w:r>
    </w:p>
    <w:p>
      <w:pPr>
        <w:sectPr>
          <w:pgSz w:w="11900" w:h="16838" w:orient="portrait"/>
          <w:cols w:equalWidth="0" w:num="1">
            <w:col w:w="10139"/>
          </w:cols>
          <w:pgMar w:left="320" w:top="1440" w:right="1440"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auto"/>
        </w:rPr>
        <w:t>PULITZER NETWORK SYSTEMS LLC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Member: Pulitzer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gridSpan w:val="5"/>
          </w:tcPr>
          <w:p>
            <w:pPr>
              <w:spacing w:after="0"/>
              <w:rPr>
                <w:sz w:val="20"/>
                <w:szCs w:val="20"/>
                <w:color w:val="auto"/>
              </w:rPr>
            </w:pPr>
            <w:r>
              <w:rPr>
                <w:rFonts w:ascii="Arial" w:cs="Arial" w:eastAsia="Arial" w:hAnsi="Arial"/>
                <w:sz w:val="18"/>
                <w:szCs w:val="18"/>
                <w:color w:val="auto"/>
              </w:rPr>
              <w:t>Managers and Officers:</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2"/>
        </w:trPr>
        <w:tc>
          <w:tcPr>
            <w:tcW w:w="18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1360" w:type="dxa"/>
            <w:vAlign w:val="bottom"/>
            <w:gridSpan w:val="3"/>
          </w:tcPr>
          <w:p>
            <w:pPr>
              <w:spacing w:after="0"/>
              <w:rPr>
                <w:sz w:val="23"/>
                <w:szCs w:val="23"/>
                <w:color w:val="auto"/>
              </w:rPr>
            </w:pP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President and Manager</w:t>
            </w:r>
          </w:p>
        </w:tc>
      </w:tr>
      <w:tr>
        <w:trPr>
          <w:trHeight w:val="22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C. D. Waterman III</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Secretary and Manager</w:t>
            </w:r>
          </w:p>
        </w:tc>
      </w:tr>
      <w:tr>
        <w:trPr>
          <w:trHeight w:val="22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Treasurer and Manager</w:t>
            </w:r>
          </w:p>
        </w:tc>
      </w:tr>
      <w:tr>
        <w:trPr>
          <w:trHeight w:val="23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Vice President - Legal</w:t>
            </w:r>
          </w:p>
        </w:tc>
      </w:tr>
      <w:tr>
        <w:trPr>
          <w:trHeight w:val="482"/>
        </w:trPr>
        <w:tc>
          <w:tcPr>
            <w:tcW w:w="3180" w:type="dxa"/>
            <w:vAlign w:val="bottom"/>
            <w:gridSpan w:val="5"/>
          </w:tcPr>
          <w:p>
            <w:pPr>
              <w:spacing w:after="0"/>
              <w:rPr>
                <w:sz w:val="20"/>
                <w:szCs w:val="20"/>
                <w:color w:val="auto"/>
              </w:rPr>
            </w:pPr>
            <w:r>
              <w:rPr>
                <w:rFonts w:ascii="Arial" w:cs="Arial" w:eastAsia="Arial" w:hAnsi="Arial"/>
                <w:sz w:val="18"/>
                <w:szCs w:val="18"/>
                <w:b w:val="1"/>
                <w:bCs w:val="1"/>
                <w:color w:val="auto"/>
              </w:rPr>
              <w:t>ST. LOUIS POST-DISPATCH LLC</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2"/>
        </w:trPr>
        <w:tc>
          <w:tcPr>
            <w:tcW w:w="27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Managing Member: Pulitzer Inc.</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96"/>
        </w:trPr>
        <w:tc>
          <w:tcPr>
            <w:tcW w:w="3180" w:type="dxa"/>
            <w:vAlign w:val="bottom"/>
            <w:gridSpan w:val="5"/>
          </w:tcPr>
          <w:p>
            <w:pPr>
              <w:spacing w:after="0"/>
              <w:rPr>
                <w:sz w:val="20"/>
                <w:szCs w:val="20"/>
                <w:color w:val="auto"/>
              </w:rPr>
            </w:pPr>
            <w:r>
              <w:rPr>
                <w:rFonts w:ascii="Arial" w:cs="Arial" w:eastAsia="Arial" w:hAnsi="Arial"/>
                <w:sz w:val="18"/>
                <w:szCs w:val="18"/>
                <w:color w:val="auto"/>
              </w:rPr>
              <w:t>Officers: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2"/>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Ian Caso</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President</w:t>
            </w:r>
          </w:p>
        </w:tc>
      </w:tr>
      <w:tr>
        <w:trPr>
          <w:trHeight w:val="22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John Grove</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w w:val="99"/>
              </w:rPr>
              <w:t>Vice President of Circulation</w:t>
            </w:r>
          </w:p>
        </w:tc>
      </w:tr>
      <w:tr>
        <w:trPr>
          <w:trHeight w:val="22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C. D. Waterman III</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Secretary</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Treasurer</w:t>
            </w:r>
          </w:p>
        </w:tc>
      </w:tr>
      <w:tr>
        <w:trPr>
          <w:trHeight w:val="23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Vice President - Legal</w:t>
            </w:r>
          </w:p>
        </w:tc>
      </w:tr>
      <w:tr>
        <w:trPr>
          <w:trHeight w:val="495"/>
        </w:trPr>
        <w:tc>
          <w:tcPr>
            <w:tcW w:w="5860" w:type="dxa"/>
            <w:vAlign w:val="bottom"/>
            <w:gridSpan w:val="7"/>
          </w:tcPr>
          <w:p>
            <w:pPr>
              <w:spacing w:after="0"/>
              <w:rPr>
                <w:sz w:val="20"/>
                <w:szCs w:val="20"/>
                <w:color w:val="auto"/>
              </w:rPr>
            </w:pPr>
            <w:r>
              <w:rPr>
                <w:rFonts w:ascii="Arial" w:cs="Arial" w:eastAsia="Arial" w:hAnsi="Arial"/>
                <w:sz w:val="18"/>
                <w:szCs w:val="18"/>
                <w:b w:val="1"/>
                <w:bCs w:val="1"/>
                <w:color w:val="auto"/>
              </w:rPr>
              <w:t>SUBURBAN JOURNALS OF GREATER ST. LOUIS LLC</w:t>
            </w:r>
          </w:p>
        </w:tc>
      </w:tr>
      <w:tr>
        <w:trPr>
          <w:trHeight w:val="232"/>
        </w:trPr>
        <w:tc>
          <w:tcPr>
            <w:tcW w:w="31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Member: Pulitzer Inc.</w:t>
            </w:r>
          </w:p>
        </w:tc>
        <w:tc>
          <w:tcPr>
            <w:tcW w:w="1420" w:type="dxa"/>
            <w:vAlign w:val="bottom"/>
            <w:tcBorders>
              <w:top w:val="single" w:sz="8" w:color="auto"/>
            </w:tcBorders>
          </w:tcPr>
          <w:p>
            <w:pPr>
              <w:spacing w:after="0"/>
              <w:rPr>
                <w:sz w:val="20"/>
                <w:szCs w:val="20"/>
                <w:color w:val="auto"/>
              </w:rPr>
            </w:pPr>
          </w:p>
        </w:tc>
        <w:tc>
          <w:tcPr>
            <w:tcW w:w="1260" w:type="dxa"/>
            <w:vAlign w:val="bottom"/>
          </w:tcPr>
          <w:p>
            <w:pPr>
              <w:spacing w:after="0"/>
              <w:rPr>
                <w:sz w:val="20"/>
                <w:szCs w:val="20"/>
                <w:color w:val="auto"/>
              </w:rPr>
            </w:pPr>
          </w:p>
        </w:tc>
      </w:tr>
      <w:tr>
        <w:trPr>
          <w:trHeight w:val="396"/>
        </w:trPr>
        <w:tc>
          <w:tcPr>
            <w:tcW w:w="3180" w:type="dxa"/>
            <w:vAlign w:val="bottom"/>
            <w:gridSpan w:val="5"/>
          </w:tcPr>
          <w:p>
            <w:pPr>
              <w:spacing w:after="0"/>
              <w:rPr>
                <w:sz w:val="20"/>
                <w:szCs w:val="20"/>
                <w:color w:val="auto"/>
              </w:rPr>
            </w:pPr>
            <w:r>
              <w:rPr>
                <w:rFonts w:ascii="Arial" w:cs="Arial" w:eastAsia="Arial" w:hAnsi="Arial"/>
                <w:sz w:val="18"/>
                <w:szCs w:val="18"/>
                <w:color w:val="auto"/>
              </w:rPr>
              <w:t>Managers and Officers: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2"/>
        </w:trPr>
        <w:tc>
          <w:tcPr>
            <w:tcW w:w="18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1360" w:type="dxa"/>
            <w:vAlign w:val="bottom"/>
            <w:gridSpan w:val="3"/>
          </w:tcPr>
          <w:p>
            <w:pPr>
              <w:spacing w:after="0"/>
              <w:rPr>
                <w:sz w:val="23"/>
                <w:szCs w:val="23"/>
                <w:color w:val="auto"/>
              </w:rPr>
            </w:pP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Manager</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C. D. Waterman III</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Secretary and Manager</w:t>
            </w:r>
          </w:p>
        </w:tc>
      </w:tr>
      <w:tr>
        <w:trPr>
          <w:trHeight w:val="22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Treasurer and Manager</w:t>
            </w:r>
          </w:p>
        </w:tc>
      </w:tr>
      <w:tr>
        <w:trPr>
          <w:trHeight w:val="23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Vice President - Legal</w:t>
            </w:r>
          </w:p>
        </w:tc>
      </w:tr>
      <w:tr>
        <w:trPr>
          <w:trHeight w:val="482"/>
        </w:trPr>
        <w:tc>
          <w:tcPr>
            <w:tcW w:w="1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TNI PARTNERS (50%)</w:t>
            </w:r>
          </w:p>
        </w:tc>
        <w:tc>
          <w:tcPr>
            <w:tcW w:w="132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2"/>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Nathan E. Bekke</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r>
        <w:trPr>
          <w:trHeight w:val="23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Ian Caso</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344" w:lineRule="exact"/>
        <w:rPr>
          <w:sz w:val="20"/>
          <w:szCs w:val="20"/>
          <w:color w:val="auto"/>
        </w:rPr>
      </w:pPr>
    </w:p>
    <w:p>
      <w:pPr>
        <w:jc w:val="right"/>
        <w:ind w:right="2859"/>
        <w:spacing w:after="0"/>
        <w:rPr>
          <w:sz w:val="20"/>
          <w:szCs w:val="20"/>
          <w:color w:val="auto"/>
        </w:rPr>
      </w:pPr>
      <w:r>
        <w:rPr>
          <w:rFonts w:ascii="Arial" w:cs="Arial" w:eastAsia="Arial" w:hAnsi="Arial"/>
          <w:sz w:val="18"/>
          <w:szCs w:val="18"/>
          <w:b w:val="1"/>
          <w:bCs w:val="1"/>
          <w:u w:val="single" w:color="auto"/>
          <w:color w:val="auto"/>
        </w:rPr>
        <w:t>ADMINISTRATION OF BENEFIT PLANS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LEE EMPLOYEES’ RETIREMENT ACCOUNT PLAN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Committee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Astrid Garcia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P. Hall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Nathan E. Bekke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PULITZER INC. (“PULITZER”)</w:t>
      </w:r>
    </w:p>
    <w:p>
      <w:pPr>
        <w:sectPr>
          <w:pgSz w:w="11900" w:h="16838" w:orient="portrait"/>
          <w:cols w:equalWidth="0" w:num="1">
            <w:col w:w="10139"/>
          </w:cols>
          <w:pgMar w:left="320" w:top="1403" w:right="1440" w:bottom="1440" w:gutter="0" w:footer="0" w:header="0"/>
        </w:sectPr>
      </w:pPr>
    </w:p>
    <w:bookmarkStart w:id="90" w:name="page91"/>
    <w:bookmarkEnd w:id="90"/>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PULITZER EMPLOYEE BENEFITS TRUST (VEBA)</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Astrid Garcia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P. Hall</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Committee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Astrid Garcia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P. Hall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Cynthia Herndon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LEE ENTERPRISES, INCORPORATED PENSION PLAN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Trustee: State Street Corporation and Principal Financial Group</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Committee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Astrid Garcia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P. Hall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Cynthia Herndon</w:t>
      </w:r>
    </w:p>
    <w:p>
      <w:pPr>
        <w:sectPr>
          <w:pgSz w:w="11900" w:h="16838" w:orient="portrait"/>
          <w:cols w:equalWidth="0" w:num="1">
            <w:col w:w="10139"/>
          </w:cols>
          <w:pgMar w:left="320" w:top="1440" w:right="1440"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consent to the incorporation by reference in the registration statements (No. 333-06435, No 333-132768, and No. 333-237605) on Form S-8 of our report dated December 10, 2021, with respect to the consolidated financial statements of Lee Enterprises, Incorporated and subsidiaries.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December 8, 2023</w:t>
      </w:r>
    </w:p>
    <w:p>
      <w:pPr>
        <w:sectPr>
          <w:pgSz w:w="11900" w:h="16838" w:orient="portrait"/>
          <w:cols w:equalWidth="0" w:num="1">
            <w:col w:w="11240"/>
          </w:cols>
          <w:pgMar w:left="320" w:top="1403" w:right="3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Lee Enterprises, Incorporated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Davenport, Iowa</w:t>
      </w:r>
    </w:p>
    <w:p>
      <w:pPr>
        <w:spacing w:after="0" w:line="22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333-06435, No. 333-132768, and No. 333-237605) of Lee Enterprises, Incorporated (the Company) of our reports dated December 8, 2023, relating to the consolidated financial statements, and the effectiveness of the Company’s internal control over financial reporting, which appear in this Form 10-K. Our report on</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effectiveness of internal control over financial reporting expresses an adverse opinion on the effectiveness of the Company’s internal control over financial reporting as of September 24, 2023.</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December 8, 2023</w:t>
      </w:r>
    </w:p>
    <w:p>
      <w:pPr>
        <w:sectPr>
          <w:pgSz w:w="11900" w:h="16838" w:orient="portrait"/>
          <w:cols w:equalWidth="0" w:num="1">
            <w:col w:w="11240"/>
          </w:cols>
          <w:pgMar w:left="320" w:top="1403"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24</w:t>
      </w: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KNOW ALL MEN BY THESE PRESENTS that the undersigned directors of Lee Enterprises, Incorporated, a Delaware corporation (the “Company”), hereby severally constitute and appoint each of Kevin D. Mowbray and Timothy R. Millage, and each of them, to be our true</w:t>
      </w:r>
    </w:p>
    <w:p>
      <w:pPr>
        <w:jc w:val="both"/>
        <w:spacing w:after="0" w:line="226" w:lineRule="auto"/>
        <w:rPr>
          <w:sz w:val="20"/>
          <w:szCs w:val="20"/>
          <w:color w:val="auto"/>
        </w:rPr>
      </w:pPr>
      <w:r>
        <w:rPr>
          <w:rFonts w:ascii="Arial" w:cs="Arial" w:eastAsia="Arial" w:hAnsi="Arial"/>
          <w:sz w:val="18"/>
          <w:szCs w:val="18"/>
          <w:color w:val="auto"/>
        </w:rPr>
        <w:t>and lawful attorneys-in-fact and agents, with full power of substitution and resubstitution, for each of them and in their name, place and stead, in any and all capacities, to sign the Company’s Annual Report on Form 10-K for the fiscal year ended September 24, 2023 (and any</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amendments thereto); granting unto such attorneys-in-fact and agents full power and authority to do and perform each and every act and thing requisite and necessary to be done, as fully for all intents and purposes as each of them might or could do in person, hereby ratifying and confirming all that such attorneys-in-fact and agents, or each of their substitute or substitutes, shall lawfully do or cause to be done by virtue hereof.</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December 8, 2023</w:t>
      </w:r>
    </w:p>
    <w:p>
      <w:pPr>
        <w:sectPr>
          <w:pgSz w:w="11900" w:h="16838" w:orient="portrait"/>
          <w:cols w:equalWidth="0" w:num="1">
            <w:col w:w="11240"/>
          </w:cols>
          <w:pgMar w:left="320" w:top="14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658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Kevin D. Mowbray, President and Chief</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Steven C.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658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Steven C. Fletcher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Margaret R.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658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Margaret R. Liberman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Shaun E. McAlmont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658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Shaun E. McAlmont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T.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658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T. Pearson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32658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right="480"/>
        <w:spacing w:after="0" w:line="303" w:lineRule="auto"/>
        <w:rPr>
          <w:sz w:val="20"/>
          <w:szCs w:val="20"/>
          <w:color w:val="auto"/>
        </w:rPr>
      </w:pPr>
      <w:r>
        <w:rPr>
          <w:rFonts w:ascii="Arial" w:cs="Arial" w:eastAsia="Arial" w:hAnsi="Arial"/>
          <w:sz w:val="18"/>
          <w:szCs w:val="18"/>
          <w:color w:val="auto"/>
        </w:rPr>
        <w:t>Timothy R. Millage, Vice President, Chief Executive Officer (Principal Financial and Accounting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 Mary E. Junck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32658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Mary E. Junck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 Brent M. Magid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32658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Brent M. Magid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 Herbert W. Moloney lll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32658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Herbert W. Moloney III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 Gregory P. Schermer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32658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Gregory P. Schermer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360" w:space="720"/>
            <w:col w:w="5160"/>
          </w:cols>
          <w:pgMar w:left="320" w:top="1403"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85"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("Annual Report") of Lee Enterprises, Incorporated ("Registrant");</w:t>
      </w:r>
    </w:p>
    <w:p>
      <w:pPr>
        <w:spacing w:after="0" w:line="198" w:lineRule="exact"/>
        <w:rPr>
          <w:sz w:val="20"/>
          <w:szCs w:val="20"/>
          <w:color w:val="auto"/>
        </w:rPr>
      </w:pPr>
    </w:p>
    <w:p>
      <w:pPr>
        <w:jc w:val="both"/>
        <w:ind w:left="1300" w:right="480" w:hanging="644"/>
        <w:spacing w:after="0" w:line="268" w:lineRule="auto"/>
        <w:tabs>
          <w:tab w:leader="none" w:pos="1292"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30" w:lineRule="exact"/>
        <w:rPr>
          <w:sz w:val="20"/>
          <w:szCs w:val="20"/>
          <w:color w:val="auto"/>
        </w:rPr>
      </w:pPr>
    </w:p>
    <w:p>
      <w:pPr>
        <w:ind w:left="1300" w:right="40" w:hanging="644"/>
        <w:spacing w:after="0" w:line="268" w:lineRule="auto"/>
        <w:tabs>
          <w:tab w:leader="none" w:pos="1292"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0" w:lineRule="exact"/>
        <w:rPr>
          <w:sz w:val="20"/>
          <w:szCs w:val="20"/>
          <w:color w:val="auto"/>
        </w:rPr>
      </w:pPr>
    </w:p>
    <w:p>
      <w:pPr>
        <w:ind w:left="1300" w:right="380" w:hanging="644"/>
        <w:spacing w:after="0" w:line="268" w:lineRule="auto"/>
        <w:tabs>
          <w:tab w:leader="none" w:pos="12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2600" w:hanging="648"/>
        <w:spacing w:after="0" w:line="262" w:lineRule="auto"/>
        <w:tabs>
          <w:tab w:leader="none" w:pos="259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35" w:lineRule="exact"/>
        <w:rPr>
          <w:rFonts w:ascii="Arial" w:cs="Arial" w:eastAsia="Arial" w:hAnsi="Arial"/>
          <w:sz w:val="18"/>
          <w:szCs w:val="18"/>
          <w:color w:val="auto"/>
        </w:rPr>
      </w:pPr>
    </w:p>
    <w:p>
      <w:pPr>
        <w:ind w:left="2600" w:right="100" w:hanging="648"/>
        <w:spacing w:after="0" w:line="262" w:lineRule="auto"/>
        <w:tabs>
          <w:tab w:leader="none" w:pos="259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left="2600" w:right="180" w:hanging="648"/>
        <w:spacing w:after="0" w:line="268" w:lineRule="auto"/>
        <w:tabs>
          <w:tab w:leader="none" w:pos="2588"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43" w:lineRule="exact"/>
        <w:rPr>
          <w:rFonts w:ascii="Arial" w:cs="Arial" w:eastAsia="Arial" w:hAnsi="Arial"/>
          <w:sz w:val="18"/>
          <w:szCs w:val="18"/>
          <w:color w:val="auto"/>
        </w:rPr>
      </w:pPr>
    </w:p>
    <w:p>
      <w:pPr>
        <w:ind w:left="2600" w:right="120" w:hanging="648"/>
        <w:spacing w:after="0" w:line="262" w:lineRule="auto"/>
        <w:tabs>
          <w:tab w:leader="none" w:pos="259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sz w:val="20"/>
          <w:szCs w:val="20"/>
          <w:color w:val="auto"/>
        </w:rPr>
      </w:pPr>
    </w:p>
    <w:p>
      <w:pPr>
        <w:ind w:left="1300" w:right="300" w:hanging="644"/>
        <w:spacing w:after="0" w:line="268" w:lineRule="auto"/>
        <w:tabs>
          <w:tab w:leader="none" w:pos="12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0" w:lineRule="exact"/>
        <w:rPr>
          <w:rFonts w:ascii="Arial" w:cs="Arial" w:eastAsia="Arial" w:hAnsi="Arial"/>
          <w:sz w:val="18"/>
          <w:szCs w:val="18"/>
          <w:color w:val="auto"/>
        </w:rPr>
      </w:pPr>
    </w:p>
    <w:p>
      <w:pPr>
        <w:ind w:left="2600" w:right="120" w:hanging="648"/>
        <w:spacing w:after="0" w:line="268" w:lineRule="auto"/>
        <w:tabs>
          <w:tab w:leader="none" w:pos="259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2600" w:right="300" w:hanging="648"/>
        <w:spacing w:after="0" w:line="287" w:lineRule="auto"/>
        <w:tabs>
          <w:tab w:leader="none" w:pos="259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00"/>
          </w:cols>
          <w:pgMar w:left="320" w:top="1106" w:right="37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Date: December 8, 2023</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34925</wp:posOffset>
            </wp:positionV>
            <wp:extent cx="3566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Kevin D. Mowbray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0139"/>
          </w:cols>
          <w:pgMar w:left="320" w:top="1106" w:right="1440"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85"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("Annual Report") of Lee Enterprises, Incorporated ("Registrant");</w:t>
      </w:r>
    </w:p>
    <w:p>
      <w:pPr>
        <w:spacing w:after="0" w:line="198" w:lineRule="exact"/>
        <w:rPr>
          <w:sz w:val="20"/>
          <w:szCs w:val="20"/>
          <w:color w:val="auto"/>
        </w:rPr>
      </w:pPr>
    </w:p>
    <w:p>
      <w:pPr>
        <w:jc w:val="both"/>
        <w:ind w:left="1300" w:right="480" w:hanging="644"/>
        <w:spacing w:after="0" w:line="268" w:lineRule="auto"/>
        <w:tabs>
          <w:tab w:leader="none" w:pos="1292"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30" w:lineRule="exact"/>
        <w:rPr>
          <w:sz w:val="20"/>
          <w:szCs w:val="20"/>
          <w:color w:val="auto"/>
        </w:rPr>
      </w:pPr>
    </w:p>
    <w:p>
      <w:pPr>
        <w:ind w:left="1300" w:right="40" w:hanging="644"/>
        <w:spacing w:after="0" w:line="268" w:lineRule="auto"/>
        <w:tabs>
          <w:tab w:leader="none" w:pos="12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0" w:lineRule="exact"/>
        <w:rPr>
          <w:sz w:val="20"/>
          <w:szCs w:val="20"/>
          <w:color w:val="auto"/>
        </w:rPr>
      </w:pPr>
    </w:p>
    <w:p>
      <w:pPr>
        <w:ind w:left="1300" w:right="380" w:hanging="644"/>
        <w:spacing w:after="0" w:line="268" w:lineRule="auto"/>
        <w:tabs>
          <w:tab w:leader="none" w:pos="12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2600" w:hanging="648"/>
        <w:spacing w:after="0" w:line="262" w:lineRule="auto"/>
        <w:tabs>
          <w:tab w:leader="none" w:pos="259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35" w:lineRule="exact"/>
        <w:rPr>
          <w:rFonts w:ascii="Arial" w:cs="Arial" w:eastAsia="Arial" w:hAnsi="Arial"/>
          <w:sz w:val="18"/>
          <w:szCs w:val="18"/>
          <w:color w:val="auto"/>
        </w:rPr>
      </w:pPr>
    </w:p>
    <w:p>
      <w:pPr>
        <w:ind w:left="2600" w:right="100" w:hanging="648"/>
        <w:spacing w:after="0" w:line="262" w:lineRule="auto"/>
        <w:tabs>
          <w:tab w:leader="none" w:pos="259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left="2600" w:right="180" w:hanging="648"/>
        <w:spacing w:after="0" w:line="268" w:lineRule="auto"/>
        <w:tabs>
          <w:tab w:leader="none" w:pos="2588"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43" w:lineRule="exact"/>
        <w:rPr>
          <w:rFonts w:ascii="Arial" w:cs="Arial" w:eastAsia="Arial" w:hAnsi="Arial"/>
          <w:sz w:val="18"/>
          <w:szCs w:val="18"/>
          <w:color w:val="auto"/>
        </w:rPr>
      </w:pPr>
    </w:p>
    <w:p>
      <w:pPr>
        <w:ind w:left="2600" w:right="120" w:hanging="648"/>
        <w:spacing w:after="0" w:line="262" w:lineRule="auto"/>
        <w:tabs>
          <w:tab w:leader="none" w:pos="259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sz w:val="20"/>
          <w:szCs w:val="20"/>
          <w:color w:val="auto"/>
        </w:rPr>
      </w:pPr>
    </w:p>
    <w:p>
      <w:pPr>
        <w:ind w:left="1300" w:right="300" w:hanging="644"/>
        <w:spacing w:after="0" w:line="268" w:lineRule="auto"/>
        <w:tabs>
          <w:tab w:leader="none" w:pos="12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0" w:lineRule="exact"/>
        <w:rPr>
          <w:rFonts w:ascii="Arial" w:cs="Arial" w:eastAsia="Arial" w:hAnsi="Arial"/>
          <w:sz w:val="18"/>
          <w:szCs w:val="18"/>
          <w:color w:val="auto"/>
        </w:rPr>
      </w:pPr>
    </w:p>
    <w:p>
      <w:pPr>
        <w:ind w:left="2600" w:right="120" w:hanging="648"/>
        <w:spacing w:after="0" w:line="268" w:lineRule="auto"/>
        <w:tabs>
          <w:tab w:leader="none" w:pos="259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2600" w:right="300" w:hanging="648"/>
        <w:spacing w:after="0" w:line="287" w:lineRule="auto"/>
        <w:tabs>
          <w:tab w:leader="none" w:pos="259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00"/>
          </w:cols>
          <w:pgMar w:left="320" w:top="1106" w:right="37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Date: December 8, 2023</w:t>
      </w:r>
    </w:p>
    <w:p>
      <w:pPr>
        <w:spacing w:after="0" w:line="25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34925</wp:posOffset>
            </wp:positionV>
            <wp:extent cx="49720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5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Timothy R. Millage</w:t>
      </w:r>
    </w:p>
    <w:p>
      <w:pPr>
        <w:spacing w:after="0" w:line="63"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Vice President, Chief Financial Officer and Treasurer</w:t>
      </w:r>
    </w:p>
    <w:p>
      <w:pPr>
        <w:sectPr>
          <w:pgSz w:w="11900" w:h="16838" w:orient="portrait"/>
          <w:cols w:equalWidth="0" w:num="1">
            <w:col w:w="10139"/>
          </w:cols>
          <w:pgMar w:left="320" w:top="1106" w:right="1440"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Exhibit 32</w:t>
      </w:r>
    </w:p>
    <w:p>
      <w:pPr>
        <w:spacing w:after="0" w:line="198"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each of the undersigned hereby certifies that to our knowledge:</w:t>
      </w:r>
    </w:p>
    <w:p>
      <w:pPr>
        <w:spacing w:after="0" w:line="112" w:lineRule="exact"/>
        <w:rPr>
          <w:sz w:val="20"/>
          <w:szCs w:val="20"/>
          <w:color w:val="auto"/>
        </w:rPr>
      </w:pPr>
    </w:p>
    <w:p>
      <w:pPr>
        <w:ind w:left="660" w:right="80" w:hanging="652"/>
        <w:spacing w:after="0" w:line="287" w:lineRule="auto"/>
        <w:tabs>
          <w:tab w:leader="none" w:pos="65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Annual report on Form 10-K for the period ended September 24, 2023 ("Annual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660" w:right="820" w:hanging="652"/>
        <w:spacing w:after="0" w:line="287" w:lineRule="auto"/>
        <w:tabs>
          <w:tab w:leader="none" w:pos="65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this Annual Report fairly presents, in all material respects, the financial condition and results of operations of Lee Enterprises, Incorporated for the periods presented in the Annual Report.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60" w:type="dxa"/>
            <w:vAlign w:val="bottom"/>
            <w:gridSpan w:val="2"/>
          </w:tcPr>
          <w:p>
            <w:pPr>
              <w:spacing w:after="0"/>
              <w:rPr>
                <w:sz w:val="20"/>
                <w:szCs w:val="20"/>
                <w:color w:val="auto"/>
              </w:rPr>
            </w:pPr>
            <w:r>
              <w:rPr>
                <w:rFonts w:ascii="Arial" w:cs="Arial" w:eastAsia="Arial" w:hAnsi="Arial"/>
                <w:sz w:val="18"/>
                <w:szCs w:val="18"/>
                <w:color w:val="auto"/>
              </w:rPr>
              <w:t>Date: December 8, 2023</w:t>
            </w:r>
          </w:p>
        </w:tc>
        <w:tc>
          <w:tcPr>
            <w:tcW w:w="5580" w:type="dxa"/>
            <w:vAlign w:val="bottom"/>
          </w:tcPr>
          <w:p>
            <w:pPr>
              <w:spacing w:after="0"/>
              <w:rPr>
                <w:sz w:val="20"/>
                <w:szCs w:val="20"/>
                <w:color w:val="auto"/>
              </w:rPr>
            </w:pPr>
          </w:p>
        </w:tc>
      </w:tr>
      <w:tr>
        <w:trPr>
          <w:trHeight w:val="445"/>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 Kevin D. Mowbray</w:t>
            </w:r>
          </w:p>
        </w:tc>
        <w:tc>
          <w:tcPr>
            <w:tcW w:w="5580" w:type="dxa"/>
            <w:vAlign w:val="bottom"/>
          </w:tcPr>
          <w:p>
            <w:pPr>
              <w:ind w:left="20"/>
              <w:spacing w:after="0"/>
              <w:rPr>
                <w:sz w:val="20"/>
                <w:szCs w:val="20"/>
                <w:color w:val="auto"/>
              </w:rPr>
            </w:pPr>
            <w:r>
              <w:rPr>
                <w:rFonts w:ascii="Arial" w:cs="Arial" w:eastAsia="Arial" w:hAnsi="Arial"/>
                <w:sz w:val="18"/>
                <w:szCs w:val="18"/>
                <w:color w:val="auto"/>
              </w:rPr>
              <w:t>/s/ Timothy R. Millage</w:t>
            </w:r>
          </w:p>
        </w:tc>
      </w:tr>
      <w:tr>
        <w:trPr>
          <w:trHeight w:val="23"/>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41"/>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Kevin D. Mowbray</w:t>
            </w:r>
          </w:p>
        </w:tc>
        <w:tc>
          <w:tcPr>
            <w:tcW w:w="5580" w:type="dxa"/>
            <w:vAlign w:val="bottom"/>
          </w:tcPr>
          <w:p>
            <w:pPr>
              <w:ind w:left="20"/>
              <w:spacing w:after="0"/>
              <w:rPr>
                <w:sz w:val="20"/>
                <w:szCs w:val="20"/>
                <w:color w:val="auto"/>
              </w:rPr>
            </w:pPr>
            <w:r>
              <w:rPr>
                <w:rFonts w:ascii="Arial" w:cs="Arial" w:eastAsia="Arial" w:hAnsi="Arial"/>
                <w:sz w:val="18"/>
                <w:szCs w:val="18"/>
                <w:color w:val="auto"/>
              </w:rPr>
              <w:t>Timothy R. Millage</w:t>
            </w:r>
          </w:p>
        </w:tc>
      </w:tr>
      <w:tr>
        <w:trPr>
          <w:trHeight w:val="27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5580" w:type="dxa"/>
            <w:vAlign w:val="bottom"/>
          </w:tcPr>
          <w:p>
            <w:pPr>
              <w:ind w:left="20"/>
              <w:spacing w:after="0"/>
              <w:rPr>
                <w:sz w:val="20"/>
                <w:szCs w:val="20"/>
                <w:color w:val="auto"/>
              </w:rPr>
            </w:pPr>
            <w:r>
              <w:rPr>
                <w:rFonts w:ascii="Arial" w:cs="Arial" w:eastAsia="Arial" w:hAnsi="Arial"/>
                <w:sz w:val="18"/>
                <w:szCs w:val="18"/>
                <w:color w:val="auto"/>
              </w:rPr>
              <w:t>Vice President, Chief Financial Officer and Treasurer</w:t>
            </w:r>
          </w:p>
        </w:tc>
      </w:tr>
    </w:tbl>
    <w:p>
      <w:pPr>
        <w:spacing w:after="0" w:line="2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06" w:right="339" w:bottom="1440" w:gutter="0" w:footer="0" w:header="0"/>
        </w:sectPr>
      </w:pPr>
    </w:p>
    <w:bookmarkStart w:id="99" w:name="page100"/>
    <w:bookmarkEnd w:id="99"/>
    <w:p>
      <w:pPr>
        <w:jc w:val="center"/>
        <w:spacing w:after="0" w:line="274" w:lineRule="auto"/>
        <w:rPr>
          <w:sz w:val="20"/>
          <w:szCs w:val="20"/>
          <w:color w:val="auto"/>
        </w:rPr>
      </w:pPr>
      <w:r>
        <w:rPr>
          <w:rFonts w:ascii="Arial" w:cs="Arial" w:eastAsia="Arial" w:hAnsi="Arial"/>
          <w:sz w:val="18"/>
          <w:szCs w:val="18"/>
          <w:b w:val="1"/>
          <w:bCs w:val="1"/>
          <w:color w:val="auto"/>
        </w:rPr>
        <w:t>LEE ENTERPRISES, INCORPORATED RECOVERY OF ERRONEOUSLY AWARDED EXECUTIVE COMPENSATION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of Lee Enterprises Incorporated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believes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Arial" w:cs="Arial" w:eastAsia="Arial" w:hAnsi="Arial"/>
          <w:sz w:val="18"/>
          <w:szCs w:val="18"/>
          <w:b w:val="1"/>
          <w:bCs w:val="1"/>
          <w:color w:val="auto"/>
        </w:rPr>
        <w:t>"Policy").</w:t>
      </w:r>
      <w:r>
        <w:rPr>
          <w:rFonts w:ascii="Arial" w:cs="Arial" w:eastAsia="Arial" w:hAnsi="Arial"/>
          <w:sz w:val="18"/>
          <w:szCs w:val="18"/>
          <w:color w:val="auto"/>
        </w:rPr>
        <w:t xml:space="preserve"> This Policy is designed to comply with Section 10D of the Securities Exchange Act of 1934 (the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25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This Policy shall be administered by the Executive Compensation Committee of the Board ("ECC"). Any determinations made by the ECC shall be final and binding on all affected individuals.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Covered Executives</w:t>
      </w:r>
    </w:p>
    <w:p>
      <w:pPr>
        <w:spacing w:after="0" w:line="26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 xml:space="preserve">This Policy applies to the Company's current and former executive officers, as determined by the ECC in accordance with the Exchange Act and the listing standards of the Nasdaq Stock Market, LLC ("NASDAQ"), and such other employees who may from time to time be deemed subject to the Policy by the ECC </w:t>
      </w:r>
      <w:r>
        <w:rPr>
          <w:rFonts w:ascii="Arial" w:cs="Arial" w:eastAsia="Arial" w:hAnsi="Arial"/>
          <w:sz w:val="18"/>
          <w:szCs w:val="18"/>
          <w:b w:val="1"/>
          <w:bCs w:val="1"/>
          <w:color w:val="auto"/>
        </w:rPr>
        <w:t>("Covered Executives").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Recoupment; Accounting Restatement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the event the Company is required to prepare an accounting restatement of its financial statements due to the Company's material noncompliance with any financial reporting requirement under applicable securities law, the ECC shall require reimbursement or forfeiture of any Excess Incentive Compensation received by any Covered Executive during the three completed fiscal years immediately preceding the date on which the Company is required to prepare such accounting restatement.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Incentive Compensation</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purposes of this Policy, Incentive Compensation means all compensation granted, earned, or vested based wholly or in part on the attainment of a financial reporting measure, including but not limited to annual bonuses and other short- and long-term cash incentives; stock options; stock appreciation rights; restricted stock; restricted stock units; performance shares; and, performance units.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Financial reporting measures include, but are not limited to, company stock price; total shareholder return; revenues; net income; earnings before interest, taxes, depreciation, and amortization (EBITDA); funds from operations; liquidity measures such as return on invested capital or operating cash flow; return measures such as working capital or operating cash flow; </w:t>
      </w:r>
      <w:r>
        <w:rPr>
          <w:rFonts w:ascii="Arial" w:cs="Arial" w:eastAsia="Arial" w:hAnsi="Arial"/>
          <w:sz w:val="18"/>
          <w:szCs w:val="18"/>
          <w:color w:val="0A0E0B"/>
        </w:rPr>
        <w:t>return measures such as return on invested capital</w:t>
      </w:r>
      <w:r>
        <w:rPr>
          <w:rFonts w:ascii="Arial" w:cs="Arial" w:eastAsia="Arial" w:hAnsi="Arial"/>
          <w:sz w:val="18"/>
          <w:szCs w:val="18"/>
          <w:color w:val="auto"/>
        </w:rPr>
        <w:t xml:space="preserve"> </w:t>
      </w:r>
      <w:r>
        <w:rPr>
          <w:rFonts w:ascii="Arial" w:cs="Arial" w:eastAsia="Arial" w:hAnsi="Arial"/>
          <w:sz w:val="18"/>
          <w:szCs w:val="18"/>
          <w:color w:val="0A0E0B"/>
        </w:rPr>
        <w:t>or return on assets; and, earnings measurers such as earnings per share.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A0E0B"/>
        </w:rPr>
        <w:t>Excess Incentive Compensation: Amount Subject to Recovery</w:t>
      </w:r>
    </w:p>
    <w:p>
      <w:pPr>
        <w:spacing w:after="0" w:line="25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0A0E0B"/>
        </w:rPr>
        <w:t>The amount to be recovered will be the excess of the Incentive Compensation paid to the Covered Executive prior to the accounting reinstatement over the Incentive Compensation that would have been paid to the Covered Executive had it been based on the restated results, as determined by the ECC.</w:t>
      </w:r>
    </w:p>
    <w:p>
      <w:pPr>
        <w:sectPr>
          <w:pgSz w:w="11900" w:h="16838" w:orient="portrait"/>
          <w:cols w:equalWidth="0" w:num="1">
            <w:col w:w="11240"/>
          </w:cols>
          <w:pgMar w:left="320" w:top="1417" w:right="339" w:bottom="1440" w:gutter="0" w:footer="0" w:header="0"/>
        </w:sectPr>
      </w:pPr>
    </w:p>
    <w:bookmarkStart w:id="100" w:name="page101"/>
    <w:bookmarkEnd w:id="100"/>
    <w:p>
      <w:pPr>
        <w:jc w:val="both"/>
        <w:spacing w:after="0" w:line="276" w:lineRule="auto"/>
        <w:rPr>
          <w:sz w:val="20"/>
          <w:szCs w:val="20"/>
          <w:color w:val="auto"/>
        </w:rPr>
      </w:pPr>
      <w:r>
        <w:rPr>
          <w:rFonts w:ascii="Arial" w:cs="Arial" w:eastAsia="Arial" w:hAnsi="Arial"/>
          <w:sz w:val="18"/>
          <w:szCs w:val="18"/>
          <w:color w:val="0A0E0B"/>
        </w:rPr>
        <w:t>If the ECC cannot determine the amount of Excess Incentive Compensation received by the Covered Executive directly from the information in the accounting restatement, then it will make its determination based on a reasonable estimate of the effect of the accounting restatement by the Company's audit firm.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A0E0B"/>
        </w:rPr>
        <w:t>Method of Recoupment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A0E0B"/>
        </w:rPr>
        <w:t>The ECC will determine, in its reasonable discretion, the method for recouping Incentive Compensation hereunder which may include, without limitation:</w:t>
      </w:r>
    </w:p>
    <w:p>
      <w:pPr>
        <w:spacing w:after="0" w:line="1" w:lineRule="exact"/>
        <w:rPr>
          <w:sz w:val="20"/>
          <w:szCs w:val="20"/>
          <w:color w:val="auto"/>
        </w:rPr>
      </w:pPr>
    </w:p>
    <w:p>
      <w:pPr>
        <w:ind w:left="640" w:hanging="308"/>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0A0E0B"/>
        </w:rPr>
        <w:t>requiring reimbursement of cash Incentive Compensation previously paid;</w:t>
      </w:r>
    </w:p>
    <w:p>
      <w:pPr>
        <w:spacing w:after="0" w:line="17" w:lineRule="exact"/>
        <w:rPr>
          <w:rFonts w:ascii="Arial" w:cs="Arial" w:eastAsia="Arial" w:hAnsi="Arial"/>
          <w:sz w:val="18"/>
          <w:szCs w:val="18"/>
          <w:color w:val="auto"/>
        </w:rPr>
      </w:pPr>
    </w:p>
    <w:p>
      <w:pPr>
        <w:ind w:left="660" w:hanging="328"/>
        <w:spacing w:after="0" w:line="258" w:lineRule="auto"/>
        <w:tabs>
          <w:tab w:leader="none" w:pos="648" w:val="left"/>
        </w:tabs>
        <w:numPr>
          <w:ilvl w:val="0"/>
          <w:numId w:val="67"/>
        </w:numPr>
        <w:rPr>
          <w:rFonts w:ascii="Arial" w:cs="Arial" w:eastAsia="Arial" w:hAnsi="Arial"/>
          <w:sz w:val="18"/>
          <w:szCs w:val="18"/>
          <w:color w:val="auto"/>
        </w:rPr>
      </w:pPr>
      <w:r>
        <w:rPr>
          <w:rFonts w:ascii="Arial" w:cs="Arial" w:eastAsia="Arial" w:hAnsi="Arial"/>
          <w:sz w:val="18"/>
          <w:szCs w:val="18"/>
          <w:color w:val="0A0E0B"/>
        </w:rPr>
        <w:t>seeking recovery of any gain realized on the vesting, exercise, settlement, sale, transfer, or other disposition of any equity-based awards;</w:t>
      </w:r>
    </w:p>
    <w:p>
      <w:pPr>
        <w:ind w:left="640" w:hanging="308"/>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0A0E0B"/>
        </w:rPr>
        <w:t>offsetting the recouped amount from any compensation otherwise owed by the Company to the Covered Executive;</w:t>
      </w:r>
    </w:p>
    <w:p>
      <w:pPr>
        <w:spacing w:after="0" w:line="13" w:lineRule="exact"/>
        <w:rPr>
          <w:rFonts w:ascii="Arial" w:cs="Arial" w:eastAsia="Arial" w:hAnsi="Arial"/>
          <w:sz w:val="18"/>
          <w:szCs w:val="18"/>
          <w:color w:val="auto"/>
        </w:rPr>
      </w:pPr>
    </w:p>
    <w:p>
      <w:pPr>
        <w:ind w:left="640" w:hanging="308"/>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0A0E0B"/>
        </w:rPr>
        <w:t>cancelling outstanding vested or unvested equity awards; and</w:t>
      </w:r>
    </w:p>
    <w:p>
      <w:pPr>
        <w:spacing w:after="0" w:line="53" w:lineRule="exact"/>
        <w:rPr>
          <w:rFonts w:ascii="Arial" w:cs="Arial" w:eastAsia="Arial" w:hAnsi="Arial"/>
          <w:sz w:val="18"/>
          <w:szCs w:val="18"/>
          <w:color w:val="auto"/>
        </w:rPr>
      </w:pPr>
    </w:p>
    <w:p>
      <w:pPr>
        <w:ind w:left="640" w:hanging="308"/>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0A0E0B"/>
        </w:rPr>
        <w:t xml:space="preserve">taking any other remedial and recovery action permitted by law, as determined by the ECC. </w:t>
      </w:r>
      <w:r>
        <w:rPr>
          <w:rFonts w:ascii="Arial" w:cs="Arial" w:eastAsia="Arial" w:hAnsi="Arial"/>
          <w:sz w:val="18"/>
          <w:szCs w:val="18"/>
          <w:b w:val="1"/>
          <w:bCs w:val="1"/>
          <w:u w:val="single" w:color="auto"/>
          <w:color w:val="0A0E0B"/>
        </w:rPr>
        <w:t>No Indemnification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A0E0B"/>
        </w:rPr>
        <w:t>The Company shall not indemnify any Covered Executives against the loss of any incorrectly awarded Incentive Compensation.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A0E0B"/>
        </w:rPr>
        <w:t>Interpretation</w:t>
      </w:r>
    </w:p>
    <w:p>
      <w:pPr>
        <w:spacing w:after="0" w:line="25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0A0E0B"/>
        </w:rPr>
        <w:t>The ECC is authorized to interpret and construe this Policy and to make all determinations necessary, appropriate, or advisable for the administration of this Policy. It is intended that this Policy be interpreted in a manner that is consistent with the requirements of the Exchange Act and any applicable rules or standards adopted by the Securities and Exchange Commission or NASDAQ.</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A0E0B"/>
        </w:rPr>
        <w:t>Effective Date</w:t>
      </w:r>
    </w:p>
    <w:p>
      <w:pPr>
        <w:spacing w:after="0" w:line="252"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color w:val="0A0E0B"/>
        </w:rPr>
        <w:t xml:space="preserve">This Policy shall be effective as of the date it is adopted by the Board (the </w:t>
      </w:r>
      <w:r>
        <w:rPr>
          <w:rFonts w:ascii="Arial" w:cs="Arial" w:eastAsia="Arial" w:hAnsi="Arial"/>
          <w:sz w:val="18"/>
          <w:szCs w:val="18"/>
          <w:b w:val="1"/>
          <w:bCs w:val="1"/>
          <w:color w:val="0A0E0B"/>
        </w:rPr>
        <w:t>"Effective Date")</w:t>
      </w:r>
      <w:r>
        <w:rPr>
          <w:rFonts w:ascii="Arial" w:cs="Arial" w:eastAsia="Arial" w:hAnsi="Arial"/>
          <w:sz w:val="18"/>
          <w:szCs w:val="18"/>
          <w:color w:val="0A0E0B"/>
        </w:rPr>
        <w:t xml:space="preserve"> and shall apply to Incentive Compensation that is approved, awarded or granted to Covered Executives on or after that 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A0E0B"/>
        </w:rPr>
        <w:t>Amendment; Termination</w:t>
      </w:r>
    </w:p>
    <w:p>
      <w:pPr>
        <w:spacing w:after="0" w:line="25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0A0E0B"/>
        </w:rPr>
        <w:t xml:space="preserve">The ECC may amend this Policy from time to time in its discretion and shall amend this Policy as it deems necessary to reflect final regulations adopted by the Securities and Exchange Commission under the Exchange Act and to comply with any rules or standards adopted by a </w:t>
      </w:r>
      <w:r>
        <w:rPr>
          <w:rFonts w:ascii="Arial" w:cs="Arial" w:eastAsia="Arial" w:hAnsi="Arial"/>
          <w:sz w:val="18"/>
          <w:szCs w:val="18"/>
          <w:color w:val="000000"/>
        </w:rPr>
        <w:t>national securities exchange on which the Company's securities are listed. The ECC may terminate this Policy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Recoupment Rights</w:t>
      </w:r>
    </w:p>
    <w:p>
      <w:pPr>
        <w:spacing w:after="0" w:line="26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Board intends that this Policy will be applied to the fullest extent of the law. The ECC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ectPr>
          <w:pgSz w:w="11900" w:h="16838" w:orient="portrait"/>
          <w:cols w:equalWidth="0" w:num="1">
            <w:col w:w="11240"/>
          </w:cols>
          <w:pgMar w:left="320" w:top="1417"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auto"/>
        </w:rPr>
        <w:t>Impracticability</w:t>
      </w:r>
    </w:p>
    <w:p>
      <w:pPr>
        <w:spacing w:after="0" w:line="252"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color w:val="auto"/>
        </w:rPr>
        <w:t>The ECC shall recover any Excess Incentive Compensation in accordance with this Policy unless such recovery would be impracticable, as determined by the ECC in accordance with Rule 10D-1 of the Exchange Act and NASDAQ listing standards.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Successors</w:t>
      </w:r>
    </w:p>
    <w:p>
      <w:pPr>
        <w:spacing w:after="0" w:line="252"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This Policy shall be binding and enforceable against all Covered Executives and their beneficiaries, heirs, executors, administrators or other legal representatives.</w:t>
      </w:r>
    </w:p>
    <w:p>
      <w:pPr>
        <w:sectPr>
          <w:pgSz w:w="11900" w:h="16838" w:orient="portrait"/>
          <w:cols w:equalWidth="0" w:num="1">
            <w:col w:w="11240"/>
          </w:cols>
          <w:pgMar w:left="320" w:top="1417" w:right="33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Adopted by the Lee Enterprises, Incorporated Board of Directors effective September 21, 2023.</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1)"/>
      <w:numFmt w:val="decimal"/>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1."/>
      <w:numFmt w:val="lowerLetter"/>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1."/>
      <w:numFmt w:val="decimal"/>
      <w:start w:val="2"/>
    </w:lvl>
  </w:abstractNum>
  <w:abstractNum w:abstractNumId="18">
    <w:nsid w:val="2A487CB0"/>
    <w:multiLevelType w:val="hybridMultilevel"/>
    <w:lvl w:ilvl="0">
      <w:lvlJc w:val="left"/>
      <w:lvlText w:val="%1."/>
      <w:numFmt w:val="decimal"/>
      <w:start w:val="5"/>
    </w:lvl>
  </w:abstractNum>
  <w:abstractNum w:abstractNumId="19">
    <w:nsid w:val="1D4ED43B"/>
    <w:multiLevelType w:val="hybridMultilevel"/>
    <w:lvl w:ilvl="0">
      <w:lvlJc w:val="left"/>
      <w:lvlText w:val="(%1)"/>
      <w:numFmt w:val="lowerRoman"/>
      <w:start w:val="2"/>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1."/>
      <w:numFmt w:val="decimal"/>
      <w:start w:val="6"/>
    </w:lvl>
  </w:abstractNum>
  <w:abstractNum w:abstractNumId="22">
    <w:nsid w:val="57E4CCAF"/>
    <w:multiLevelType w:val="hybridMultilevel"/>
    <w:lvl w:ilvl="0">
      <w:lvlJc w:val="left"/>
      <w:lvlText w:val="%1."/>
      <w:numFmt w:val="decimal"/>
      <w:start w:val="7"/>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1."/>
      <w:numFmt w:val="decimal"/>
      <w:start w:val="8"/>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1."/>
      <w:numFmt w:val="decimal"/>
      <w:start w:val="9"/>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1."/>
      <w:numFmt w:val="decimal"/>
      <w:start w:val="10"/>
    </w:lvl>
  </w:abstractNum>
  <w:abstractNum w:abstractNumId="29">
    <w:nsid w:val="32FFF902"/>
    <w:multiLevelType w:val="hybridMultilevel"/>
    <w:lvl w:ilvl="0">
      <w:lvlJc w:val="left"/>
      <w:lvlText w:val="%1."/>
      <w:numFmt w:val="decimal"/>
      <w:start w:val="11"/>
    </w:lvl>
  </w:abstractNum>
  <w:abstractNum w:abstractNumId="30">
    <w:nsid w:val="684A481A"/>
    <w:multiLevelType w:val="hybridMultilevel"/>
    <w:lvl w:ilvl="0">
      <w:lvlJc w:val="left"/>
      <w:lvlText w:val="%1."/>
      <w:numFmt w:val="decimal"/>
      <w:start w:val="13"/>
    </w:lvl>
  </w:abstractNum>
  <w:abstractNum w:abstractNumId="31">
    <w:nsid w:val="579478FE"/>
    <w:multiLevelType w:val="hybridMultilevel"/>
    <w:lvl w:ilvl="0">
      <w:lvlJc w:val="left"/>
      <w:lvlText w:val="%1."/>
      <w:numFmt w:val="decimal"/>
      <w:start w:val="14"/>
    </w:lvl>
  </w:abstractNum>
  <w:abstractNum w:abstractNumId="32">
    <w:nsid w:val="749ABB43"/>
    <w:multiLevelType w:val="hybridMultilevel"/>
    <w:lvl w:ilvl="0">
      <w:lvlJc w:val="left"/>
      <w:lvlText w:val="%1."/>
      <w:numFmt w:val="decimal"/>
      <w:start w:val="15"/>
    </w:lvl>
  </w:abstractNum>
  <w:abstractNum w:abstractNumId="33">
    <w:nsid w:val="3DC240FB"/>
    <w:multiLevelType w:val="hybridMultilevel"/>
    <w:lvl w:ilvl="0">
      <w:lvlJc w:val="left"/>
      <w:lvlText w:val="%1."/>
      <w:numFmt w:val="decimal"/>
      <w:start w:val="17"/>
    </w:lvl>
  </w:abstractNum>
  <w:abstractNum w:abstractNumId="34">
    <w:nsid w:val="1BA026FA"/>
    <w:multiLevelType w:val="hybridMultilevel"/>
    <w:lvl w:ilvl="0">
      <w:lvlJc w:val="left"/>
      <w:lvlText w:val="•"/>
      <w:numFmt w:val="bullet"/>
      <w:start w:val="1"/>
    </w:lvl>
    <w:lvl w:ilvl="1">
      <w:lvlJc w:val="left"/>
      <w:lvlText w:val="•"/>
      <w:numFmt w:val="bullet"/>
      <w:start w:val="1"/>
    </w:lvl>
  </w:abstractNum>
  <w:abstractNum w:abstractNumId="35">
    <w:nsid w:val="79A1DEAA"/>
    <w:multiLevelType w:val="hybridMultilevel"/>
    <w:lvl w:ilvl="0">
      <w:lvlJc w:val="left"/>
      <w:lvlText w:val="%1"/>
      <w:numFmt w:val="decimal"/>
      <w:start w:val="19"/>
    </w:lvl>
  </w:abstractNum>
  <w:abstractNum w:abstractNumId="36">
    <w:nsid w:val="75C6C33A"/>
    <w:multiLevelType w:val="hybridMultilevel"/>
    <w:lvl w:ilvl="0">
      <w:lvlJc w:val="left"/>
      <w:lvlText w:val="%1"/>
      <w:numFmt w:val="decimal"/>
      <w:start w:val="21"/>
    </w:lvl>
  </w:abstractNum>
  <w:abstractNum w:abstractNumId="37">
    <w:nsid w:val="12E685FB"/>
    <w:multiLevelType w:val="hybridMultilevel"/>
    <w:lvl w:ilvl="0">
      <w:lvlJc w:val="left"/>
      <w:lvlText w:val="%1"/>
      <w:numFmt w:val="decimal"/>
      <w:start w:val="23"/>
    </w:lvl>
  </w:abstractNum>
  <w:abstractNum w:abstractNumId="38">
    <w:nsid w:val="70C6A529"/>
    <w:multiLevelType w:val="hybridMultilevel"/>
    <w:lvl w:ilvl="0">
      <w:lvlJc w:val="left"/>
      <w:lvlText w:val="%1"/>
      <w:numFmt w:val="decimal"/>
      <w:start w:val="24"/>
    </w:lvl>
  </w:abstractNum>
  <w:abstractNum w:abstractNumId="39">
    <w:nsid w:val="520EEDD1"/>
    <w:multiLevelType w:val="hybridMultilevel"/>
    <w:lvl w:ilvl="0">
      <w:lvlJc w:val="left"/>
      <w:lvlText w:val="%1"/>
      <w:numFmt w:val="decimal"/>
      <w:start w:val="32"/>
    </w:lvl>
  </w:abstractNum>
  <w:abstractNum w:abstractNumId="40">
    <w:nsid w:val="374A3FE6"/>
    <w:multiLevelType w:val="hybridMultilevel"/>
    <w:lvl w:ilvl="0">
      <w:lvlJc w:val="left"/>
      <w:lvlText w:val="%1"/>
      <w:numFmt w:val="decimal"/>
      <w:start w:val="97"/>
    </w:lvl>
  </w:abstractNum>
  <w:abstractNum w:abstractNumId="41">
    <w:nsid w:val="4F4EF005"/>
    <w:multiLevelType w:val="hybridMultilevel"/>
    <w:lvl w:ilvl="0">
      <w:lvlJc w:val="left"/>
      <w:lvlText w:val="%1"/>
      <w:numFmt w:val="decimal"/>
      <w:start w:val="104"/>
    </w:lvl>
  </w:abstractNum>
  <w:abstractNum w:abstractNumId="42">
    <w:nsid w:val="23F9C13C"/>
    <w:multiLevelType w:val="hybridMultilevel"/>
    <w:lvl w:ilvl="0">
      <w:lvlJc w:val="left"/>
      <w:lvlText w:val="(%1)"/>
      <w:numFmt w:val="lowerLetter"/>
      <w:start w:val="1"/>
    </w:lvl>
  </w:abstractNum>
  <w:abstractNum w:abstractNumId="43">
    <w:nsid w:val="649BB77C"/>
    <w:multiLevelType w:val="hybridMultilevel"/>
    <w:lvl w:ilvl="0">
      <w:lvlJc w:val="left"/>
      <w:lvlText w:val="(%1)"/>
      <w:numFmt w:val="lowerLetter"/>
      <w:start w:val="4"/>
    </w:lvl>
  </w:abstractNum>
  <w:abstractNum w:abstractNumId="44">
    <w:nsid w:val="275AC794"/>
    <w:multiLevelType w:val="hybridMultilevel"/>
    <w:lvl w:ilvl="0">
      <w:lvlJc w:val="left"/>
      <w:lvlText w:val="(%1)"/>
      <w:numFmt w:val="lowerLetter"/>
      <w:start w:val="1"/>
    </w:lvl>
  </w:abstractNum>
  <w:abstractNum w:abstractNumId="45">
    <w:nsid w:val="39386575"/>
    <w:multiLevelType w:val="hybridMultilevel"/>
    <w:lvl w:ilvl="0">
      <w:lvlJc w:val="left"/>
      <w:lvlText w:val="%1."/>
      <w:numFmt w:val="lowerRoman"/>
      <w:start w:val="1"/>
    </w:lvl>
  </w:abstractNum>
  <w:abstractNum w:abstractNumId="46">
    <w:nsid w:val="1CF10FD8"/>
    <w:multiLevelType w:val="hybridMultilevel"/>
    <w:lvl w:ilvl="0">
      <w:lvlJc w:val="left"/>
      <w:lvlText w:val="(%1)"/>
      <w:numFmt w:val="lowerLetter"/>
      <w:start w:val="2"/>
    </w:lvl>
  </w:abstractNum>
  <w:abstractNum w:abstractNumId="47">
    <w:nsid w:val="180115BE"/>
    <w:multiLevelType w:val="hybridMultilevel"/>
    <w:lvl w:ilvl="0">
      <w:lvlJc w:val="left"/>
      <w:lvlText w:val="(%1)"/>
      <w:numFmt w:val="lowerLetter"/>
      <w:start w:val="3"/>
    </w:lvl>
    <w:lvl w:ilvl="1">
      <w:lvlJc w:val="left"/>
      <w:lvlText w:val="%2."/>
      <w:numFmt w:val="lowerRoman"/>
      <w:start w:val="1"/>
    </w:lvl>
  </w:abstractNum>
  <w:abstractNum w:abstractNumId="48">
    <w:nsid w:val="235BA861"/>
    <w:multiLevelType w:val="hybridMultilevel"/>
    <w:lvl w:ilvl="0">
      <w:lvlJc w:val="left"/>
      <w:lvlText w:val="(%1)"/>
      <w:numFmt w:val="lowerLetter"/>
      <w:start w:val="1"/>
    </w:lvl>
  </w:abstractNum>
  <w:abstractNum w:abstractNumId="49">
    <w:nsid w:val="47398C89"/>
    <w:multiLevelType w:val="hybridMultilevel"/>
    <w:lvl w:ilvl="0">
      <w:lvlJc w:val="left"/>
      <w:lvlText w:val="(%1)"/>
      <w:numFmt w:val="lowerLetter"/>
      <w:start w:val="2"/>
    </w:lvl>
  </w:abstractNum>
  <w:abstractNum w:abstractNumId="50">
    <w:nsid w:val="354FE9F9"/>
    <w:multiLevelType w:val="hybridMultilevel"/>
    <w:lvl w:ilvl="0">
      <w:lvlJc w:val="left"/>
      <w:lvlText w:val="(%1)"/>
      <w:numFmt w:val="lowerLetter"/>
      <w:start w:val="1"/>
    </w:lvl>
  </w:abstractNum>
  <w:abstractNum w:abstractNumId="51">
    <w:nsid w:val="15B5AF5C"/>
    <w:multiLevelType w:val="hybridMultilevel"/>
    <w:lvl w:ilvl="0">
      <w:lvlJc w:val="left"/>
      <w:lvlText w:val="(%1)"/>
      <w:numFmt w:val="lowerLetter"/>
      <w:start w:val="1"/>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lowerRoman"/>
      <w:start w:val="1"/>
    </w:lvl>
    <w:lvl w:ilvl="1">
      <w:lvlJc w:val="left"/>
      <w:lvlText w:val="•"/>
      <w:numFmt w:val="bullet"/>
      <w:start w:val="1"/>
    </w:lvl>
  </w:abstractNum>
  <w:abstractNum w:abstractNumId="54">
    <w:nsid w:val="10233C99"/>
    <w:multiLevelType w:val="hybridMultilevel"/>
    <w:lvl w:ilvl="0">
      <w:lvlJc w:val="left"/>
      <w:lvlText w:val="(%1)"/>
      <w:numFmt w:val="lowerRoman"/>
      <w:start w:val="2"/>
    </w:lvl>
  </w:abstractNum>
  <w:abstractNum w:abstractNumId="55">
    <w:nsid w:val="3F6AB60F"/>
    <w:multiLevelType w:val="hybridMultilevel"/>
    <w:lvl w:ilvl="0">
      <w:lvlJc w:val="left"/>
      <w:lvlText w:val="1"/>
      <w:numFmt w:val="bullet"/>
      <w:start w:val="1"/>
    </w:lvl>
  </w:abstractNum>
  <w:abstractNum w:abstractNumId="56">
    <w:nsid w:val="61574095"/>
    <w:multiLevelType w:val="hybridMultilevel"/>
    <w:lvl w:ilvl="0">
      <w:lvlJc w:val="left"/>
      <w:lvlText w:val="2"/>
      <w:numFmt w:val="bullet"/>
      <w:start w:val="1"/>
    </w:lvl>
  </w:abstractNum>
  <w:abstractNum w:abstractNumId="57">
    <w:nsid w:val="7E0C57B1"/>
    <w:multiLevelType w:val="hybridMultilevel"/>
    <w:lvl w:ilvl="0">
      <w:lvlJc w:val="left"/>
      <w:lvlText w:val="3"/>
      <w:numFmt w:val="bullet"/>
      <w:start w:val="1"/>
    </w:lvl>
  </w:abstractNum>
  <w:abstractNum w:abstractNumId="58">
    <w:nsid w:val="77AE35EB"/>
    <w:multiLevelType w:val="hybridMultilevel"/>
    <w:lvl w:ilvl="0">
      <w:lvlJc w:val="left"/>
      <w:lvlText w:val="4"/>
      <w:numFmt w:val="bullet"/>
      <w:start w:val="1"/>
    </w:lvl>
    <w:lvl w:ilvl="1">
      <w:lvlJc w:val="left"/>
      <w:lvlText w:val="%2)"/>
      <w:numFmt w:val="lowerLetter"/>
      <w:start w:val="1"/>
    </w:lvl>
  </w:abstractNum>
  <w:abstractNum w:abstractNumId="59">
    <w:nsid w:val="579BE4F1"/>
    <w:multiLevelType w:val="hybridMultilevel"/>
    <w:lvl w:ilvl="0">
      <w:lvlJc w:val="left"/>
      <w:lvlText w:val="5"/>
      <w:numFmt w:val="bullet"/>
      <w:start w:val="1"/>
    </w:lvl>
    <w:lvl w:ilvl="1">
      <w:lvlJc w:val="left"/>
      <w:lvlText w:val="%2)"/>
      <w:numFmt w:val="lowerLetter"/>
      <w:start w:val="1"/>
    </w:lvl>
  </w:abstractNum>
  <w:abstractNum w:abstractNumId="60">
    <w:nsid w:val="310C50B3"/>
    <w:multiLevelType w:val="hybridMultilevel"/>
    <w:lvl w:ilvl="0">
      <w:lvlJc w:val="left"/>
      <w:lvlText w:val="1"/>
      <w:numFmt w:val="bullet"/>
      <w:start w:val="1"/>
    </w:lvl>
  </w:abstractNum>
  <w:abstractNum w:abstractNumId="61">
    <w:nsid w:val="5FF87E05"/>
    <w:multiLevelType w:val="hybridMultilevel"/>
    <w:lvl w:ilvl="0">
      <w:lvlJc w:val="left"/>
      <w:lvlText w:val="2"/>
      <w:numFmt w:val="bullet"/>
      <w:start w:val="1"/>
    </w:lvl>
  </w:abstractNum>
  <w:abstractNum w:abstractNumId="62">
    <w:nsid w:val="2F305DEF"/>
    <w:multiLevelType w:val="hybridMultilevel"/>
    <w:lvl w:ilvl="0">
      <w:lvlJc w:val="left"/>
      <w:lvlText w:val="3"/>
      <w:numFmt w:val="bullet"/>
      <w:start w:val="1"/>
    </w:lvl>
  </w:abstractNum>
  <w:abstractNum w:abstractNumId="63">
    <w:nsid w:val="25A70BF7"/>
    <w:multiLevelType w:val="hybridMultilevel"/>
    <w:lvl w:ilvl="0">
      <w:lvlJc w:val="left"/>
      <w:lvlText w:val="4"/>
      <w:numFmt w:val="bullet"/>
      <w:start w:val="1"/>
    </w:lvl>
    <w:lvl w:ilvl="1">
      <w:lvlJc w:val="left"/>
      <w:lvlText w:val="%2)"/>
      <w:numFmt w:val="lowerLetter"/>
      <w:start w:val="1"/>
    </w:lvl>
  </w:abstractNum>
  <w:abstractNum w:abstractNumId="64">
    <w:nsid w:val="1DBABF00"/>
    <w:multiLevelType w:val="hybridMultilevel"/>
    <w:lvl w:ilvl="0">
      <w:lvlJc w:val="left"/>
      <w:lvlText w:val="5"/>
      <w:numFmt w:val="bullet"/>
      <w:start w:val="1"/>
    </w:lvl>
    <w:lvl w:ilvl="1">
      <w:lvlJc w:val="left"/>
      <w:lvlText w:val="%2)"/>
      <w:numFmt w:val="lowerLetter"/>
      <w:start w:val="1"/>
    </w:lvl>
  </w:abstractNum>
  <w:abstractNum w:abstractNumId="65">
    <w:nsid w:val="4AD084E9"/>
    <w:multiLevelType w:val="hybridMultilevel"/>
    <w:lvl w:ilvl="0">
      <w:lvlJc w:val="left"/>
      <w:lvlText w:val="(%1)"/>
      <w:numFmt w:val="lowerRoman"/>
      <w:start w:val="1"/>
    </w:lvl>
  </w:abstractNum>
  <w:abstractNum w:abstractNumId="66">
    <w:nsid w:val="1F48EA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05" Type="http://schemas.openxmlformats.org/officeDocument/2006/relationships/hyperlink" Target="http://www.sec.gov/Archives/edgar/data/58361/000119312512039041/d291240dex31.htm" TargetMode="External"/><Relationship Id="rId106" Type="http://schemas.openxmlformats.org/officeDocument/2006/relationships/hyperlink" Target="http://www.sec.gov/Archives/edgar/data/58361/000118301019000005/bylaws.htm" TargetMode="External"/><Relationship Id="rId107" Type="http://schemas.openxmlformats.org/officeDocument/2006/relationships/hyperlink" Target="http://www.sec.gov/Archives/edgar/data/58361/000114036120002731/nt10008295x1_ex4-3.htm" TargetMode="External"/><Relationship Id="rId108" Type="http://schemas.openxmlformats.org/officeDocument/2006/relationships/hyperlink" Target="http://www.sec.gov/Archives/edgar/data/58361/000119312514131853/d701009dex42.htm" TargetMode="External"/><Relationship Id="rId109" Type="http://schemas.openxmlformats.org/officeDocument/2006/relationships/hyperlink" Target="http://www.sec.gov/Archives/edgar/data/58361/000119312514131853/d701009dex43.htm" TargetMode="External"/><Relationship Id="rId110" Type="http://schemas.openxmlformats.org/officeDocument/2006/relationships/hyperlink" Target="http://www.sec.gov/Archives/edgar/data/58361/000110465921143587/tm2133912d1_ex4-1.htm" TargetMode="External"/><Relationship Id="rId111" Type="http://schemas.openxmlformats.org/officeDocument/2006/relationships/hyperlink" Target="http://www.sec.gov/Archives/edgar/data/58361/000114036120001653/ex10_1.htm" TargetMode="External"/><Relationship Id="rId112" Type="http://schemas.openxmlformats.org/officeDocument/2006/relationships/hyperlink" Target="http://www.sec.gov/Archives/edgar/data/58361/000114036120001653/ex10_2.htm" TargetMode="External"/><Relationship Id="rId113" Type="http://schemas.openxmlformats.org/officeDocument/2006/relationships/hyperlink" Target="http://www.sec.gov/Archives/edgar/data/58361/000114036120001653/ex10_3.htm" TargetMode="External"/><Relationship Id="rId114" Type="http://schemas.openxmlformats.org/officeDocument/2006/relationships/hyperlink" Target="http://www.sec.gov/Archives/edgar/data/58361/000119312505162850/dex105.htm" TargetMode="External"/><Relationship Id="rId115" Type="http://schemas.openxmlformats.org/officeDocument/2006/relationships/hyperlink" Target="http://www.sec.gov/Archives/edgar/data/58361/000119312509105457/dex1013.htm" TargetMode="External"/><Relationship Id="rId116" Type="http://schemas.openxmlformats.org/officeDocument/2006/relationships/hyperlink" Target="http://www.sec.gov/Archives/edgar/data/58361/000119312505162850/dex102.htm" TargetMode="External"/><Relationship Id="rId119" Type="http://schemas.openxmlformats.org/officeDocument/2006/relationships/hyperlink" Target="http://www.sec.gov/Archives/edgar/data/58361/000144530510000062/amendedpartnershipagreement.htm" TargetMode="External"/><Relationship Id="rId120" Type="http://schemas.openxmlformats.org/officeDocument/2006/relationships/hyperlink" Target="http://www.sec.gov/Archives/edgar/data/58361/000144530510000062/amendedmanagementagreement.htm" TargetMode="External"/><Relationship Id="rId121" Type="http://schemas.openxmlformats.org/officeDocument/2006/relationships/hyperlink" Target="http://www.sec.gov/Archives/edgar/data/58361/000144530510000062/licenseagreementstar.htm" TargetMode="External"/><Relationship Id="rId122" Type="http://schemas.openxmlformats.org/officeDocument/2006/relationships/hyperlink" Target="http://www.sec.gov/Archives/edgar/data/58361/000144530510000062/licenseagreementcitizen.htm" TargetMode="External"/><Relationship Id="rId123" Type="http://schemas.openxmlformats.org/officeDocument/2006/relationships/hyperlink" Target="http://www.sec.gov/Archives/edgar/data/58361/000119312505162850/dex107.htm" TargetMode="External"/><Relationship Id="rId124" Type="http://schemas.openxmlformats.org/officeDocument/2006/relationships/hyperlink" Target="http://www.sec.gov/Archives/edgar/data/58361/000119312505162850/dex1010.htm" TargetMode="External"/><Relationship Id="rId125" Type="http://schemas.openxmlformats.org/officeDocument/2006/relationships/hyperlink" Target="http://www.sec.gov/Archives/edgar/data/58361/000118301020000006/ex4_2.htm" TargetMode="External"/><Relationship Id="rId126" Type="http://schemas.openxmlformats.org/officeDocument/2006/relationships/hyperlink" Target="http://www.sec.gov/Archives/edgar/data/58361/000118301016000020/ex102.htm" TargetMode="External"/><Relationship Id="rId127" Type="http://schemas.openxmlformats.org/officeDocument/2006/relationships/hyperlink" Target="http://www.sec.gov/Archives/edgar/data/58361/000118301016000020/ex103.htm" TargetMode="External"/><Relationship Id="rId128" Type="http://schemas.openxmlformats.org/officeDocument/2006/relationships/hyperlink" Target="http://www.sec.gov/Archives/edgar/data/58361/000118301016000020/ex104.htm" TargetMode="External"/><Relationship Id="rId129" Type="http://schemas.openxmlformats.org/officeDocument/2006/relationships/hyperlink" Target="http://www.sec.gov/Archives/edgar/data/58361/000119312508262419/dex1025.htm" TargetMode="External"/><Relationship Id="rId130" Type="http://schemas.openxmlformats.org/officeDocument/2006/relationships/hyperlink" Target="http://www.sec.gov/Archives/edgar/data/58361/000119312508262419/dex1026.htm" TargetMode="External"/><Relationship Id="rId131" Type="http://schemas.openxmlformats.org/officeDocument/2006/relationships/hyperlink" Target="http://www.sec.gov/Archives/edgar/data/58361/000005836118000038/ex10312presandcooemploymen.htm" TargetMode="External"/><Relationship Id="rId132" Type="http://schemas.openxmlformats.org/officeDocument/2006/relationships/hyperlink" Target="http://www.sec.gov/Archives/edgar/data/58361/000005836118000038/ex10313srexecutiveofficers.htm" TargetMode="External"/><Relationship Id="rId135" Type="http://schemas.openxmlformats.org/officeDocument/2006/relationships/hyperlink" Target="http://www.sec.gov/Archives/edgar/data/58361/000005836118000038/a1032formofindemnification.htm" TargetMode="External"/><Relationship Id="rId136" Type="http://schemas.openxmlformats.org/officeDocument/2006/relationships/hyperlink" Target="http://www.sec.gov/Archives/edgar/data/58361/000005836117000003/a2017proxystat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2023-12-08T11:19:33Z</dcterms:created>
  <dcterms:modified xsi:type="dcterms:W3CDTF">2023-12-08T11:19:33Z</dcterms:modified>
</cp:coreProperties>
</file>