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 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0" w:lineRule="exact"/>
        <w:rPr>
          <w:sz w:val="24"/>
          <w:szCs w:val="24"/>
          <w:color w:val="auto"/>
        </w:rPr>
      </w:pPr>
    </w:p>
    <w:p>
      <w:pPr>
        <w:ind w:left="3980" w:right="2600" w:hanging="1370"/>
        <w:spacing w:after="0" w:line="271" w:lineRule="auto"/>
        <w:tabs>
          <w:tab w:leader="none" w:pos="28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26,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980" w:right="2600" w:hanging="1371"/>
        <w:spacing w:after="0" w:line="271"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1-6227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66" w:right="339" w:bottom="1440" w:gutter="0" w:footer="0" w:header="0"/>
        </w:sectPr>
      </w:pPr>
    </w:p>
    <w:p>
      <w:pPr>
        <w:spacing w:after="0" w:line="19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Delaware</w:t>
      </w:r>
    </w:p>
    <w:p>
      <w:pPr>
        <w:spacing w:after="0" w:line="14"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42-0823980</w:t>
      </w:r>
    </w:p>
    <w:p>
      <w:pPr>
        <w:spacing w:after="0" w:line="14"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192" w:lineRule="exact"/>
        <w:rPr>
          <w:sz w:val="24"/>
          <w:szCs w:val="24"/>
          <w:color w:val="auto"/>
        </w:rPr>
      </w:pPr>
    </w:p>
    <w:p>
      <w:pPr>
        <w:sectPr>
          <w:pgSz w:w="11900" w:h="16838" w:orient="portrait"/>
          <w:cols w:equalWidth="0" w:num="2">
            <w:col w:w="6280" w:space="720"/>
            <w:col w:w="4240"/>
          </w:cols>
          <w:pgMar w:left="320" w:top="1066" w:right="339" w:bottom="1440" w:gutter="0" w:footer="0" w:header="0"/>
          <w:type w:val="continuous"/>
        </w:sectPr>
      </w:pPr>
    </w:p>
    <w:p>
      <w:pPr>
        <w:ind w:left="3880"/>
        <w:spacing w:after="0"/>
        <w:rPr>
          <w:sz w:val="20"/>
          <w:szCs w:val="20"/>
          <w:color w:val="auto"/>
        </w:rPr>
      </w:pPr>
      <w:r>
        <w:rPr>
          <w:rFonts w:ascii="Arial" w:cs="Arial" w:eastAsia="Arial" w:hAnsi="Arial"/>
          <w:sz w:val="18"/>
          <w:szCs w:val="18"/>
          <w:color w:val="auto"/>
        </w:rPr>
        <w:t>4600 E. 53rd Street, Davenport, Iowa 52807</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Trading Symbol(s)</w:t>
            </w:r>
          </w:p>
        </w:tc>
        <w:tc>
          <w:tcPr>
            <w:tcW w:w="43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18"/>
        </w:trPr>
        <w:tc>
          <w:tcPr>
            <w:tcW w:w="4240" w:type="dxa"/>
            <w:vAlign w:val="bottom"/>
          </w:tcPr>
          <w:p>
            <w:pPr>
              <w:jc w:val="center"/>
              <w:ind w:right="190"/>
              <w:spacing w:after="0"/>
              <w:rPr>
                <w:sz w:val="20"/>
                <w:szCs w:val="20"/>
                <w:color w:val="auto"/>
              </w:rPr>
            </w:pPr>
            <w:r>
              <w:rPr>
                <w:rFonts w:ascii="Arial" w:cs="Arial" w:eastAsia="Arial" w:hAnsi="Arial"/>
                <w:sz w:val="18"/>
                <w:szCs w:val="18"/>
                <w:color w:val="auto"/>
                <w:w w:val="99"/>
              </w:rPr>
              <w:t>Common Stock, par value $.01 per share</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r>
        <w:trPr>
          <w:trHeight w:val="239"/>
        </w:trPr>
        <w:tc>
          <w:tcPr>
            <w:tcW w:w="4240" w:type="dxa"/>
            <w:vAlign w:val="bottom"/>
          </w:tcPr>
          <w:p>
            <w:pPr>
              <w:jc w:val="center"/>
              <w:ind w:right="190"/>
              <w:spacing w:after="0"/>
              <w:rPr>
                <w:sz w:val="20"/>
                <w:szCs w:val="20"/>
                <w:color w:val="auto"/>
              </w:rPr>
            </w:pPr>
            <w:r>
              <w:rPr>
                <w:rFonts w:ascii="Arial" w:cs="Arial" w:eastAsia="Arial" w:hAnsi="Arial"/>
                <w:sz w:val="18"/>
                <w:szCs w:val="18"/>
                <w:color w:val="auto"/>
                <w:w w:val="99"/>
              </w:rPr>
              <w:t>Preferred Share Purchase Rights</w:t>
            </w:r>
          </w:p>
        </w:tc>
        <w:tc>
          <w:tcPr>
            <w:tcW w:w="2660" w:type="dxa"/>
            <w:vAlign w:val="bottom"/>
          </w:tcPr>
          <w:p>
            <w:pPr>
              <w:jc w:val="center"/>
              <w:ind w:left="30"/>
              <w:spacing w:after="0"/>
              <w:rPr>
                <w:sz w:val="20"/>
                <w:szCs w:val="20"/>
                <w:color w:val="auto"/>
              </w:rPr>
            </w:pPr>
            <w:r>
              <w:rPr>
                <w:rFonts w:ascii="Arial" w:cs="Arial" w:eastAsia="Arial" w:hAnsi="Arial"/>
                <w:sz w:val="18"/>
                <w:szCs w:val="18"/>
                <w:color w:val="auto"/>
                <w:w w:val="99"/>
              </w:rPr>
              <w:t>LEE</w:t>
            </w:r>
          </w:p>
        </w:tc>
        <w:tc>
          <w:tcPr>
            <w:tcW w:w="4340" w:type="dxa"/>
            <w:vAlign w:val="bottom"/>
          </w:tcPr>
          <w:p>
            <w:pPr>
              <w:jc w:val="center"/>
              <w:ind w:left="310"/>
              <w:spacing w:after="0"/>
              <w:rPr>
                <w:sz w:val="20"/>
                <w:szCs w:val="20"/>
                <w:color w:val="auto"/>
              </w:rPr>
            </w:pPr>
            <w:r>
              <w:rPr>
                <w:rFonts w:ascii="Arial" w:cs="Arial" w:eastAsia="Arial" w:hAnsi="Arial"/>
                <w:sz w:val="18"/>
                <w:szCs w:val="18"/>
                <w:color w:val="auto"/>
                <w:w w:val="99"/>
              </w:rPr>
              <w:t>The Nasdaq Global Select Market</w:t>
            </w:r>
          </w:p>
        </w:tc>
      </w:tr>
    </w:tbl>
    <w:p>
      <w:pPr>
        <w:spacing w:after="0" w:line="396"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7" w:lineRule="exact"/>
        <w:tabs>
          <w:tab w:leader="none" w:pos="7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84"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24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4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right="2180"/>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2022, 5,977,315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Table Of Contents</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color w:val="auto"/>
              </w:rPr>
              <w:t>PAGE</w:t>
            </w: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0060" w:type="dxa"/>
            <w:vAlign w:val="bottom"/>
            <w:gridSpan w:val="21"/>
          </w:tcPr>
          <w:p>
            <w:pPr>
              <w:spacing w:after="0"/>
              <w:rPr>
                <w:sz w:val="20"/>
                <w:szCs w:val="20"/>
                <w:color w:val="auto"/>
              </w:rPr>
            </w:pPr>
            <w:r>
              <w:rPr>
                <w:rFonts w:ascii="Arial" w:cs="Arial" w:eastAsia="Arial" w:hAnsi="Arial"/>
                <w:sz w:val="18"/>
                <w:szCs w:val="18"/>
                <w:color w:val="0000EE"/>
              </w:rPr>
              <w:t>FORWARD LOOKING STATEMENTS</w:t>
            </w:r>
          </w:p>
        </w:tc>
        <w:tc>
          <w:tcPr>
            <w:tcW w:w="860" w:type="dxa"/>
            <w:vAlign w:val="bottom"/>
            <w:gridSpan w:val="4"/>
          </w:tcPr>
          <w:p>
            <w:pPr>
              <w:jc w:val="center"/>
              <w:ind w:left="550"/>
              <w:spacing w:after="0"/>
              <w:rPr>
                <w:sz w:val="20"/>
                <w:szCs w:val="20"/>
                <w:color w:val="auto"/>
              </w:rPr>
            </w:pPr>
            <w:r>
              <w:rPr>
                <w:rFonts w:ascii="Arial" w:cs="Arial" w:eastAsia="Arial" w:hAnsi="Arial"/>
                <w:sz w:val="18"/>
                <w:szCs w:val="18"/>
                <w:color w:val="0000EE"/>
                <w:w w:val="99"/>
              </w:rPr>
              <w:t>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9"/>
          </w:tcPr>
          <w:p>
            <w:pPr>
              <w:spacing w:after="0"/>
              <w:rPr>
                <w:sz w:val="20"/>
                <w:szCs w:val="20"/>
                <w:color w:val="auto"/>
              </w:rPr>
            </w:pPr>
            <w:r>
              <w:rPr>
                <w:rFonts w:ascii="Arial" w:cs="Arial" w:eastAsia="Arial" w:hAnsi="Arial"/>
                <w:sz w:val="18"/>
                <w:szCs w:val="18"/>
                <w:color w:val="0000EE"/>
                <w:w w:val="98"/>
              </w:rPr>
              <w:t>FINANCIAL INFORMATION</w:t>
            </w:r>
          </w:p>
        </w:tc>
        <w:tc>
          <w:tcPr>
            <w:tcW w:w="7020" w:type="dxa"/>
            <w:vAlign w:val="bottom"/>
            <w:gridSpan w:val="11"/>
          </w:tcPr>
          <w:p>
            <w:pPr>
              <w:spacing w:after="0"/>
              <w:rPr>
                <w:sz w:val="24"/>
                <w:szCs w:val="24"/>
                <w:color w:val="auto"/>
              </w:rPr>
            </w:pPr>
          </w:p>
        </w:tc>
        <w:tc>
          <w:tcPr>
            <w:tcW w:w="700" w:type="dxa"/>
            <w:vAlign w:val="bottom"/>
            <w:gridSpan w:val="2"/>
          </w:tcPr>
          <w:p>
            <w:pPr>
              <w:spacing w:after="0"/>
              <w:rPr>
                <w:sz w:val="24"/>
                <w:szCs w:val="24"/>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EE"/>
                <w:w w:val="99"/>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7"/>
          </w:tcPr>
          <w:p>
            <w:pPr>
              <w:spacing w:after="0"/>
              <w:rPr>
                <w:sz w:val="20"/>
                <w:szCs w:val="20"/>
                <w:color w:val="auto"/>
              </w:rPr>
            </w:pPr>
            <w:r>
              <w:rPr>
                <w:rFonts w:ascii="Arial" w:cs="Arial" w:eastAsia="Arial" w:hAnsi="Arial"/>
                <w:sz w:val="18"/>
                <w:szCs w:val="18"/>
                <w:color w:val="0000EE"/>
              </w:rPr>
              <w:t>Financial Statements (Unaudited)</w:t>
            </w:r>
          </w:p>
        </w:tc>
        <w:tc>
          <w:tcPr>
            <w:tcW w:w="860" w:type="dxa"/>
            <w:vAlign w:val="bottom"/>
            <w:gridSpan w:val="4"/>
          </w:tcPr>
          <w:p>
            <w:pPr>
              <w:jc w:val="center"/>
              <w:ind w:left="550"/>
              <w:spacing w:after="0"/>
              <w:rPr>
                <w:sz w:val="20"/>
                <w:szCs w:val="20"/>
                <w:color w:val="auto"/>
              </w:rPr>
            </w:pPr>
            <w:r>
              <w:rPr>
                <w:rFonts w:ascii="Arial" w:cs="Arial" w:eastAsia="Arial" w:hAnsi="Arial"/>
                <w:sz w:val="18"/>
                <w:szCs w:val="18"/>
                <w:color w:val="0000EE"/>
                <w:w w:val="99"/>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0000EE"/>
              </w:rPr>
              <w:t>Consolidated Balance Sheets - June 26, 2022, and September 26, 2021</w:t>
            </w:r>
          </w:p>
        </w:tc>
        <w:tc>
          <w:tcPr>
            <w:tcW w:w="860" w:type="dxa"/>
            <w:vAlign w:val="bottom"/>
            <w:gridSpan w:val="4"/>
          </w:tcPr>
          <w:p>
            <w:pPr>
              <w:jc w:val="center"/>
              <w:ind w:left="550"/>
              <w:spacing w:after="0"/>
              <w:rPr>
                <w:sz w:val="20"/>
                <w:szCs w:val="20"/>
                <w:color w:val="auto"/>
              </w:rPr>
            </w:pPr>
            <w:r>
              <w:rPr>
                <w:rFonts w:ascii="Arial" w:cs="Arial" w:eastAsia="Arial" w:hAnsi="Arial"/>
                <w:sz w:val="18"/>
                <w:szCs w:val="18"/>
                <w:color w:val="0000EE"/>
                <w:w w:val="99"/>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0000EE"/>
              </w:rPr>
              <w:t>Consolidated Statements of Income (Loss) and Comprehensive Income (Loss) -Three and nine months</w:t>
            </w:r>
          </w:p>
        </w:tc>
        <w:tc>
          <w:tcPr>
            <w:tcW w:w="860" w:type="dxa"/>
            <w:vAlign w:val="bottom"/>
            <w:gridSpan w:val="4"/>
          </w:tcPr>
          <w:p>
            <w:pPr>
              <w:jc w:val="center"/>
              <w:ind w:left="550"/>
              <w:spacing w:after="0"/>
              <w:rPr>
                <w:sz w:val="20"/>
                <w:szCs w:val="20"/>
                <w:color w:val="auto"/>
              </w:rPr>
            </w:pPr>
            <w:r>
              <w:rPr>
                <w:rFonts w:ascii="Arial" w:cs="Arial" w:eastAsia="Arial" w:hAnsi="Arial"/>
                <w:sz w:val="18"/>
                <w:szCs w:val="18"/>
                <w:color w:val="0000EE"/>
                <w:w w:val="99"/>
              </w:rPr>
              <w:t>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ended June 26, 2022 and June 27, 2021</w:t>
            </w:r>
          </w:p>
        </w:tc>
        <w:tc>
          <w:tcPr>
            <w:tcW w:w="4960" w:type="dxa"/>
            <w:vAlign w:val="bottom"/>
            <w:tcBorders>
              <w:top w:val="single" w:sz="8" w:color="0000EE"/>
            </w:tcBorders>
            <w:gridSpan w:val="6"/>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0000EE"/>
                <w:w w:val="99"/>
              </w:rPr>
              <w:t>Consolidated Statements of Stockholder's Equity - Three and nine months ended June 26, 2022, and June</w:t>
            </w:r>
          </w:p>
        </w:tc>
        <w:tc>
          <w:tcPr>
            <w:tcW w:w="860" w:type="dxa"/>
            <w:vAlign w:val="bottom"/>
            <w:gridSpan w:val="4"/>
          </w:tcPr>
          <w:p>
            <w:pPr>
              <w:jc w:val="center"/>
              <w:ind w:left="550"/>
              <w:spacing w:after="0"/>
              <w:rPr>
                <w:sz w:val="20"/>
                <w:szCs w:val="20"/>
                <w:color w:val="auto"/>
              </w:rPr>
            </w:pPr>
            <w:r>
              <w:rPr>
                <w:rFonts w:ascii="Arial" w:cs="Arial" w:eastAsia="Arial" w:hAnsi="Arial"/>
                <w:sz w:val="18"/>
                <w:szCs w:val="18"/>
                <w:color w:val="0000EE"/>
                <w:w w:val="99"/>
              </w:rPr>
              <w:t>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27, 2021</w:t>
            </w: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gridSpan w:val="17"/>
          </w:tcPr>
          <w:p>
            <w:pPr>
              <w:spacing w:after="0"/>
              <w:rPr>
                <w:sz w:val="20"/>
                <w:szCs w:val="20"/>
                <w:color w:val="auto"/>
              </w:rPr>
            </w:pPr>
            <w:r>
              <w:rPr>
                <w:rFonts w:ascii="Arial" w:cs="Arial" w:eastAsia="Arial" w:hAnsi="Arial"/>
                <w:sz w:val="18"/>
                <w:szCs w:val="18"/>
                <w:color w:val="0000EE"/>
              </w:rPr>
              <w:t>Consolidated Statements of Cash Flows - Nine months ended June 26, 2022, and June 27, 2021</w:t>
            </w:r>
          </w:p>
        </w:tc>
        <w:tc>
          <w:tcPr>
            <w:tcW w:w="860" w:type="dxa"/>
            <w:vAlign w:val="bottom"/>
            <w:gridSpan w:val="4"/>
          </w:tcPr>
          <w:p>
            <w:pPr>
              <w:jc w:val="center"/>
              <w:ind w:left="550"/>
              <w:spacing w:after="0"/>
              <w:rPr>
                <w:sz w:val="20"/>
                <w:szCs w:val="20"/>
                <w:color w:val="auto"/>
              </w:rPr>
            </w:pPr>
            <w:r>
              <w:rPr>
                <w:rFonts w:ascii="Arial" w:cs="Arial" w:eastAsia="Arial" w:hAnsi="Arial"/>
                <w:sz w:val="18"/>
                <w:szCs w:val="18"/>
                <w:color w:val="0000EE"/>
                <w:w w:val="99"/>
              </w:rPr>
              <w:t>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20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000EE"/>
                <w:w w:val="99"/>
              </w:rPr>
              <w:t>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400" w:type="dxa"/>
            <w:vAlign w:val="bottom"/>
            <w:gridSpan w:val="3"/>
          </w:tcPr>
          <w:p>
            <w:pPr>
              <w:spacing w:after="0"/>
              <w:rPr>
                <w:sz w:val="24"/>
                <w:szCs w:val="24"/>
                <w:color w:val="auto"/>
              </w:rPr>
            </w:pP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400" w:type="dxa"/>
            <w:vAlign w:val="bottom"/>
            <w:gridSpan w:val="3"/>
          </w:tcPr>
          <w:p>
            <w:pPr>
              <w:spacing w:after="0"/>
              <w:rPr>
                <w:sz w:val="24"/>
                <w:szCs w:val="24"/>
                <w:color w:val="auto"/>
              </w:rPr>
            </w:pP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sz w:val="20"/>
                <w:szCs w:val="20"/>
                <w:color w:val="auto"/>
              </w:rPr>
            </w:pPr>
            <w:r>
              <w:rPr>
                <w:rFonts w:ascii="Arial" w:cs="Arial" w:eastAsia="Arial" w:hAnsi="Arial"/>
                <w:sz w:val="18"/>
                <w:szCs w:val="18"/>
                <w:color w:val="0000EE"/>
              </w:rPr>
              <w:t>Controls and Procedures</w:t>
            </w:r>
          </w:p>
        </w:tc>
        <w:tc>
          <w:tcPr>
            <w:tcW w:w="3780" w:type="dxa"/>
            <w:vAlign w:val="bottom"/>
            <w:gridSpan w:val="5"/>
          </w:tcPr>
          <w:p>
            <w:pPr>
              <w:spacing w:after="0"/>
              <w:rPr>
                <w:sz w:val="24"/>
                <w:szCs w:val="24"/>
                <w:color w:val="auto"/>
              </w:rPr>
            </w:pP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92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7"/>
          </w:tcPr>
          <w:p>
            <w:pPr>
              <w:spacing w:after="0"/>
              <w:rPr>
                <w:sz w:val="20"/>
                <w:szCs w:val="20"/>
                <w:color w:val="auto"/>
              </w:rPr>
            </w:pPr>
            <w:r>
              <w:rPr>
                <w:rFonts w:ascii="Arial" w:cs="Arial" w:eastAsia="Arial" w:hAnsi="Arial"/>
                <w:sz w:val="18"/>
                <w:szCs w:val="18"/>
                <w:color w:val="0000EE"/>
              </w:rPr>
              <w:t>Legal Proceedings</w:t>
            </w: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4"/>
          </w:tcPr>
          <w:p>
            <w:pPr>
              <w:spacing w:after="0"/>
              <w:rPr>
                <w:sz w:val="24"/>
                <w:szCs w:val="24"/>
                <w:color w:val="auto"/>
              </w:rPr>
            </w:pPr>
          </w:p>
        </w:tc>
        <w:tc>
          <w:tcPr>
            <w:tcW w:w="7000" w:type="dxa"/>
            <w:vAlign w:val="bottom"/>
            <w:gridSpan w:val="10"/>
          </w:tcPr>
          <w:p>
            <w:pPr>
              <w:spacing w:after="0"/>
              <w:rPr>
                <w:sz w:val="24"/>
                <w:szCs w:val="24"/>
                <w:color w:val="auto"/>
              </w:rPr>
            </w:pP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3"/>
          </w:tcPr>
          <w:p>
            <w:pPr>
              <w:spacing w:after="0"/>
              <w:rPr>
                <w:sz w:val="20"/>
                <w:szCs w:val="20"/>
                <w:color w:val="auto"/>
              </w:rPr>
            </w:pPr>
            <w:r>
              <w:rPr>
                <w:rFonts w:ascii="Arial" w:cs="Arial" w:eastAsia="Arial" w:hAnsi="Arial"/>
                <w:sz w:val="18"/>
                <w:szCs w:val="18"/>
                <w:color w:val="0000EE"/>
              </w:rPr>
              <w:t>Exhibits</w:t>
            </w:r>
          </w:p>
        </w:tc>
        <w:tc>
          <w:tcPr>
            <w:tcW w:w="7480" w:type="dxa"/>
            <w:vAlign w:val="bottom"/>
            <w:gridSpan w:val="14"/>
          </w:tcPr>
          <w:p>
            <w:pPr>
              <w:spacing w:after="0"/>
              <w:rPr>
                <w:sz w:val="24"/>
                <w:szCs w:val="24"/>
                <w:color w:val="auto"/>
              </w:rPr>
            </w:pP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19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5"/>
          </w:tcPr>
          <w:p>
            <w:pPr>
              <w:jc w:val="center"/>
              <w:ind w:left="290"/>
              <w:spacing w:after="0"/>
              <w:rPr>
                <w:sz w:val="20"/>
                <w:szCs w:val="20"/>
                <w:color w:val="auto"/>
              </w:rPr>
            </w:pPr>
            <w:r>
              <w:rPr>
                <w:rFonts w:ascii="Arial" w:cs="Arial" w:eastAsia="Arial" w:hAnsi="Arial"/>
                <w:sz w:val="18"/>
                <w:szCs w:val="18"/>
                <w:color w:val="0000EE"/>
                <w:w w:val="99"/>
              </w:rPr>
              <w:t>20</w:t>
            </w:r>
          </w:p>
        </w:tc>
        <w:tc>
          <w:tcPr>
            <w:tcW w:w="20" w:type="dxa"/>
            <w:vAlign w:val="bottom"/>
          </w:tcPr>
          <w:p>
            <w:pPr>
              <w:spacing w:after="0"/>
              <w:rPr>
                <w:sz w:val="24"/>
                <w:szCs w:val="24"/>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“2022”, “2021" and the like refer to the fiscal years ended the last Sunday in September.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6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impact the COVID-19 pandemic has on the Company's revenues and costs;</w:t>
      </w:r>
    </w:p>
    <w:p>
      <w:pPr>
        <w:spacing w:after="0" w:line="6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long-term or permanent changes the COVID-19 pandemic may have on the publishing industry, which may result in permanent revenue reductions and other risks and uncertainties;</w:t>
      </w:r>
    </w:p>
    <w:p>
      <w:pPr>
        <w:spacing w:after="0" w:line="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spacing w:after="0" w:line="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63"/>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8"/>
              </w:rPr>
              <w:t>PART I</w:t>
            </w:r>
          </w:p>
        </w:tc>
        <w:tc>
          <w:tcPr>
            <w:tcW w:w="1640" w:type="dxa"/>
            <w:vAlign w:val="bottom"/>
          </w:tcPr>
          <w:p>
            <w:pPr>
              <w:spacing w:after="0"/>
              <w:rPr>
                <w:sz w:val="24"/>
                <w:szCs w:val="24"/>
                <w:color w:val="auto"/>
              </w:rPr>
            </w:pPr>
          </w:p>
        </w:tc>
      </w:tr>
      <w:tr>
        <w:trPr>
          <w:trHeight w:val="247"/>
        </w:trPr>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FINANCIAL INFORMATION</w:t>
            </w:r>
          </w:p>
        </w:tc>
        <w:tc>
          <w:tcPr>
            <w:tcW w:w="1640" w:type="dxa"/>
            <w:vAlign w:val="bottom"/>
          </w:tcPr>
          <w:p>
            <w:pPr>
              <w:spacing w:after="0"/>
              <w:rPr>
                <w:sz w:val="21"/>
                <w:szCs w:val="21"/>
                <w:color w:val="auto"/>
              </w:rPr>
            </w:pPr>
          </w:p>
        </w:tc>
      </w:tr>
      <w:tr>
        <w:trPr>
          <w:trHeight w:val="405"/>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1"/>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720" w:type="dxa"/>
            <w:vAlign w:val="bottom"/>
          </w:tcPr>
          <w:p>
            <w:pPr>
              <w:jc w:val="center"/>
              <w:ind w:right="2130"/>
              <w:spacing w:after="0"/>
              <w:rPr>
                <w:sz w:val="20"/>
                <w:szCs w:val="20"/>
                <w:color w:val="auto"/>
              </w:rPr>
            </w:pPr>
            <w:r>
              <w:rPr>
                <w:rFonts w:ascii="Arial" w:cs="Arial" w:eastAsia="Arial" w:hAnsi="Arial"/>
                <w:sz w:val="18"/>
                <w:szCs w:val="18"/>
                <w:b w:val="1"/>
                <w:bCs w:val="1"/>
                <w:color w:val="auto"/>
                <w:w w:val="99"/>
              </w:rPr>
              <w:t>LEE ENTERPRISES, INCORPORATED</w:t>
            </w:r>
          </w:p>
        </w:tc>
        <w:tc>
          <w:tcPr>
            <w:tcW w:w="1640" w:type="dxa"/>
            <w:vAlign w:val="bottom"/>
          </w:tcPr>
          <w:p>
            <w:pPr>
              <w:spacing w:after="0"/>
              <w:rPr>
                <w:sz w:val="24"/>
                <w:szCs w:val="24"/>
                <w:color w:val="auto"/>
              </w:rPr>
            </w:pPr>
          </w:p>
        </w:tc>
      </w:tr>
      <w:tr>
        <w:trPr>
          <w:trHeight w:val="247"/>
        </w:trPr>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720" w:type="dxa"/>
            <w:vAlign w:val="bottom"/>
          </w:tcPr>
          <w:p>
            <w:pPr>
              <w:jc w:val="center"/>
              <w:ind w:right="2150"/>
              <w:spacing w:after="0"/>
              <w:rPr>
                <w:sz w:val="20"/>
                <w:szCs w:val="20"/>
                <w:color w:val="auto"/>
              </w:rPr>
            </w:pPr>
            <w:r>
              <w:rPr>
                <w:rFonts w:ascii="Arial" w:cs="Arial" w:eastAsia="Arial" w:hAnsi="Arial"/>
                <w:sz w:val="18"/>
                <w:szCs w:val="18"/>
                <w:b w:val="1"/>
                <w:bCs w:val="1"/>
                <w:color w:val="auto"/>
                <w:w w:val="99"/>
              </w:rPr>
              <w:t>CONSOLIDATED BALANCE SHEETS</w:t>
            </w:r>
          </w:p>
        </w:tc>
        <w:tc>
          <w:tcPr>
            <w:tcW w:w="1640" w:type="dxa"/>
            <w:vAlign w:val="bottom"/>
          </w:tcPr>
          <w:p>
            <w:pPr>
              <w:spacing w:after="0"/>
              <w:rPr>
                <w:sz w:val="21"/>
                <w:szCs w:val="21"/>
                <w:color w:val="auto"/>
              </w:rPr>
            </w:pPr>
          </w:p>
        </w:tc>
      </w:tr>
      <w:tr>
        <w:trPr>
          <w:trHeight w:val="177"/>
        </w:trPr>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(Unaudited)</w:t>
            </w:r>
          </w:p>
        </w:tc>
        <w:tc>
          <w:tcPr>
            <w:tcW w:w="1640" w:type="dxa"/>
            <w:vAlign w:val="bottom"/>
            <w:tcBorders>
              <w:bottom w:val="single" w:sz="8" w:color="auto"/>
            </w:tcBorders>
          </w:tcPr>
          <w:p>
            <w:pPr>
              <w:spacing w:after="0"/>
              <w:rPr>
                <w:sz w:val="17"/>
                <w:szCs w:val="17"/>
                <w:color w:val="auto"/>
              </w:rPr>
            </w:pPr>
          </w:p>
        </w:tc>
      </w:tr>
      <w:tr>
        <w:trPr>
          <w:trHeight w:val="177"/>
        </w:trPr>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7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640" w:type="dxa"/>
            <w:vAlign w:val="bottom"/>
          </w:tcPr>
          <w:p>
            <w:pPr>
              <w:jc w:val="right"/>
              <w:ind w:right="10"/>
              <w:spacing w:after="0" w:line="177" w:lineRule="exact"/>
              <w:rPr>
                <w:sz w:val="20"/>
                <w:szCs w:val="20"/>
                <w:color w:val="auto"/>
              </w:rPr>
            </w:pPr>
            <w:r>
              <w:rPr>
                <w:rFonts w:ascii="Arial" w:cs="Arial" w:eastAsia="Arial" w:hAnsi="Arial"/>
                <w:sz w:val="18"/>
                <w:szCs w:val="18"/>
                <w:color w:val="auto"/>
              </w:rPr>
              <w:t>September 26,</w:t>
            </w:r>
          </w:p>
        </w:tc>
      </w:tr>
      <w:tr>
        <w:trPr>
          <w:trHeight w:val="221"/>
        </w:trPr>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16"/>
                <w:szCs w:val="16"/>
                <w:i w:val="1"/>
                <w:iCs w:val="1"/>
                <w:color w:val="auto"/>
              </w:rPr>
              <w:t>(Thousands of Dollars)</w:t>
            </w:r>
          </w:p>
        </w:tc>
        <w:tc>
          <w:tcPr>
            <w:tcW w:w="5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1280" w:type="dxa"/>
            <w:vAlign w:val="bottom"/>
            <w:gridSpan w:val="2"/>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15,661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26,112</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and contract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74,911</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65,070</w:t>
            </w: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Inventories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8,661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6,297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13,482</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11,320</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current assets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112,715</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108,799</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27,052</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26,682</w:t>
            </w:r>
          </w:p>
        </w:tc>
      </w:tr>
      <w:tr>
        <w:trPr>
          <w:trHeight w:val="216"/>
        </w:trPr>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6,075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6,065</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Total investments</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33,127</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32,747</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57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3"/>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14,505</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16,576</w:t>
            </w:r>
          </w:p>
        </w:tc>
      </w:tr>
      <w:tr>
        <w:trPr>
          <w:trHeight w:val="203"/>
        </w:trPr>
        <w:tc>
          <w:tcPr>
            <w:tcW w:w="38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93,888</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106,890</w:t>
            </w:r>
          </w:p>
        </w:tc>
      </w:tr>
      <w:tr>
        <w:trPr>
          <w:trHeight w:val="202"/>
        </w:trPr>
        <w:tc>
          <w:tcPr>
            <w:tcW w:w="38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Equipment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212,908</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228,817</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3,998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325,299</w:t>
            </w:r>
          </w:p>
        </w:tc>
        <w:tc>
          <w:tcPr>
            <w:tcW w:w="16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355,096</w:t>
            </w:r>
          </w:p>
        </w:tc>
      </w:tr>
      <w:tr>
        <w:trPr>
          <w:trHeight w:val="216"/>
        </w:trPr>
        <w:tc>
          <w:tcPr>
            <w:tcW w:w="3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5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249,519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271,830</w:t>
            </w:r>
          </w:p>
        </w:tc>
      </w:tr>
      <w:tr>
        <w:trPr>
          <w:trHeight w:val="196"/>
        </w:trPr>
        <w:tc>
          <w:tcPr>
            <w:tcW w:w="38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rPr>
              <w:t>Property and equipment, net</w:t>
            </w:r>
          </w:p>
        </w:tc>
        <w:tc>
          <w:tcPr>
            <w:tcW w:w="57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75,780</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83,266</w:t>
            </w:r>
          </w:p>
        </w:tc>
      </w:tr>
      <w:tr>
        <w:trPr>
          <w:trHeight w:val="196"/>
        </w:trPr>
        <w:tc>
          <w:tcPr>
            <w:tcW w:w="38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57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58,193</w:t>
            </w:r>
          </w:p>
        </w:tc>
        <w:tc>
          <w:tcPr>
            <w:tcW w:w="16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65,682</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329,504</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330,204</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intangible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140,231</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156,671</w:t>
            </w:r>
          </w:p>
        </w:tc>
      </w:tr>
      <w:tr>
        <w:trPr>
          <w:trHeight w:val="203"/>
        </w:trPr>
        <w:tc>
          <w:tcPr>
            <w:tcW w:w="3880" w:type="dxa"/>
            <w:vAlign w:val="bottom"/>
            <w:gridSpan w:val="3"/>
          </w:tcPr>
          <w:p>
            <w:pPr>
              <w:spacing w:after="0" w:line="202" w:lineRule="exact"/>
              <w:rPr>
                <w:sz w:val="20"/>
                <w:szCs w:val="20"/>
                <w:color w:val="auto"/>
              </w:rPr>
            </w:pPr>
            <w:r>
              <w:rPr>
                <w:rFonts w:ascii="Arial" w:cs="Arial" w:eastAsia="Arial" w:hAnsi="Arial"/>
                <w:sz w:val="18"/>
                <w:szCs w:val="18"/>
                <w:color w:val="auto"/>
              </w:rPr>
              <w:t>Pension plan assets, net</w:t>
            </w:r>
          </w:p>
        </w:tc>
        <w:tc>
          <w:tcPr>
            <w:tcW w:w="57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16,571</w:t>
            </w: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35,855</w:t>
            </w:r>
          </w:p>
        </w:tc>
      </w:tr>
      <w:tr>
        <w:trPr>
          <w:trHeight w:val="203"/>
        </w:trPr>
        <w:tc>
          <w:tcPr>
            <w:tcW w:w="38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Medical plan assets, net</w:t>
            </w:r>
          </w:p>
        </w:tc>
        <w:tc>
          <w:tcPr>
            <w:tcW w:w="57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18,200</w:t>
            </w:r>
          </w:p>
        </w:tc>
        <w:tc>
          <w:tcPr>
            <w:tcW w:w="16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16,695</w:t>
            </w:r>
          </w:p>
        </w:tc>
      </w:tr>
      <w:tr>
        <w:trPr>
          <w:trHeight w:val="203"/>
        </w:trPr>
        <w:tc>
          <w:tcPr>
            <w:tcW w:w="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10,515</w:t>
            </w:r>
          </w:p>
        </w:tc>
        <w:tc>
          <w:tcPr>
            <w:tcW w:w="16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13,632</w:t>
            </w:r>
          </w:p>
        </w:tc>
      </w:tr>
      <w:tr>
        <w:trPr>
          <w:trHeight w:val="236"/>
        </w:trPr>
        <w:tc>
          <w:tcPr>
            <w:tcW w:w="388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7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794,836</w:t>
            </w:r>
          </w:p>
        </w:tc>
        <w:tc>
          <w:tcPr>
            <w:tcW w:w="16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843,551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(Unaudited)</w:t>
            </w:r>
          </w:p>
        </w:tc>
        <w:tc>
          <w:tcPr>
            <w:tcW w:w="1620" w:type="dxa"/>
            <w:vAlign w:val="bottom"/>
            <w:tcBorders>
              <w:top w:val="single" w:sz="8" w:color="auto"/>
              <w:bottom w:val="single" w:sz="8" w:color="auto"/>
            </w:tcBorders>
          </w:tcPr>
          <w:p>
            <w:pPr>
              <w:spacing w:after="0"/>
              <w:rPr>
                <w:sz w:val="18"/>
                <w:szCs w:val="18"/>
                <w:color w:val="auto"/>
              </w:rPr>
            </w:pPr>
          </w:p>
        </w:tc>
      </w:tr>
      <w:tr>
        <w:trPr>
          <w:trHeight w:val="177"/>
        </w:trPr>
        <w:tc>
          <w:tcPr>
            <w:tcW w:w="7580" w:type="dxa"/>
            <w:vAlign w:val="bottom"/>
          </w:tcPr>
          <w:p>
            <w:pPr>
              <w:spacing w:after="0"/>
              <w:rPr>
                <w:sz w:val="15"/>
                <w:szCs w:val="15"/>
                <w:color w:val="auto"/>
              </w:rPr>
            </w:pPr>
          </w:p>
        </w:tc>
        <w:tc>
          <w:tcPr>
            <w:tcW w:w="204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June 26,</w:t>
            </w:r>
          </w:p>
        </w:tc>
        <w:tc>
          <w:tcPr>
            <w:tcW w:w="1620" w:type="dxa"/>
            <w:vAlign w:val="bottom"/>
          </w:tcPr>
          <w:p>
            <w:pPr>
              <w:jc w:val="right"/>
              <w:ind w:right="10"/>
              <w:spacing w:after="0" w:line="177" w:lineRule="exact"/>
              <w:rPr>
                <w:sz w:val="20"/>
                <w:szCs w:val="20"/>
                <w:color w:val="auto"/>
              </w:rPr>
            </w:pPr>
            <w:r>
              <w:rPr>
                <w:rFonts w:ascii="Arial" w:cs="Arial" w:eastAsia="Arial" w:hAnsi="Arial"/>
                <w:sz w:val="18"/>
                <w:szCs w:val="18"/>
                <w:color w:val="auto"/>
              </w:rPr>
              <w:t>September 26,</w:t>
            </w:r>
          </w:p>
        </w:tc>
      </w:tr>
      <w:tr>
        <w:trPr>
          <w:trHeight w:val="221"/>
        </w:trPr>
        <w:tc>
          <w:tcPr>
            <w:tcW w:w="7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7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EQUITY</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7,811</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8,612</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6,112</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34,656</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20,420</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43,316</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45,076</w:t>
            </w:r>
          </w:p>
        </w:tc>
      </w:tr>
      <w:tr>
        <w:trPr>
          <w:trHeight w:val="216"/>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56,749</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61,404</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142,532</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141,624</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0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462,554</w:t>
            </w:r>
          </w:p>
        </w:tc>
        <w:tc>
          <w:tcPr>
            <w:tcW w:w="16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476,504</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49,918</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57,683</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928</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22,444</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11,404</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11,008</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37,295</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40,295</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9,543</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9,174</w:t>
            </w:r>
          </w:p>
        </w:tc>
      </w:tr>
      <w:tr>
        <w:trPr>
          <w:trHeight w:val="216"/>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26,047</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28,121</w:t>
            </w:r>
          </w:p>
        </w:tc>
      </w:tr>
      <w:tr>
        <w:trPr>
          <w:trHeight w:val="19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740,221</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786,853</w:t>
            </w:r>
          </w:p>
        </w:tc>
      </w:tr>
      <w:tr>
        <w:trPr>
          <w:trHeight w:val="196"/>
        </w:trPr>
        <w:tc>
          <w:tcPr>
            <w:tcW w:w="7580" w:type="dxa"/>
            <w:vAlign w:val="bottom"/>
          </w:tcPr>
          <w:p>
            <w:pPr>
              <w:spacing w:after="0" w:line="196" w:lineRule="exact"/>
              <w:rPr>
                <w:sz w:val="20"/>
                <w:szCs w:val="20"/>
                <w:color w:val="auto"/>
              </w:rPr>
            </w:pPr>
            <w:r>
              <w:rPr>
                <w:rFonts w:ascii="Arial" w:cs="Arial" w:eastAsia="Arial" w:hAnsi="Arial"/>
                <w:sz w:val="18"/>
                <w:szCs w:val="18"/>
                <w:color w:val="auto"/>
              </w:rPr>
              <w:t>Equity:</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$0.01 par value; authorized 12,000 shares; issued and outstanding:</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w:t>
            </w:r>
          </w:p>
        </w:tc>
      </w:tr>
      <w:tr>
        <w:trPr>
          <w:trHeight w:val="203"/>
        </w:trPr>
        <w:tc>
          <w:tcPr>
            <w:tcW w:w="7580" w:type="dxa"/>
            <w:vAlign w:val="bottom"/>
          </w:tcPr>
          <w:p>
            <w:pPr>
              <w:ind w:left="500"/>
              <w:spacing w:after="0" w:line="202" w:lineRule="exact"/>
              <w:rPr>
                <w:sz w:val="20"/>
                <w:szCs w:val="20"/>
                <w:color w:val="auto"/>
              </w:rPr>
            </w:pPr>
            <w:r>
              <w:rPr>
                <w:rFonts w:ascii="Arial" w:cs="Arial" w:eastAsia="Arial" w:hAnsi="Arial"/>
                <w:sz w:val="18"/>
                <w:szCs w:val="18"/>
                <w:color w:val="auto"/>
              </w:rPr>
              <w:t>June 26, 2022; 5,977 shares; $0.01 par value</w:t>
            </w:r>
          </w:p>
        </w:tc>
        <w:tc>
          <w:tcPr>
            <w:tcW w:w="20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75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26, 2021; 5,889 shares; $0.01 par value</w:t>
            </w:r>
          </w:p>
        </w:tc>
        <w:tc>
          <w:tcPr>
            <w:tcW w:w="20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Class B Common Stock, $2 par value; authorized 3,000 shares; none issued</w:t>
            </w:r>
          </w:p>
        </w:tc>
        <w:tc>
          <w:tcPr>
            <w:tcW w:w="2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259,221</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258,063</w:t>
            </w:r>
          </w:p>
        </w:tc>
      </w:tr>
      <w:tr>
        <w:trPr>
          <w:trHeight w:val="203"/>
        </w:trPr>
        <w:tc>
          <w:tcPr>
            <w:tcW w:w="758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(240,631)</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(245,744)</w:t>
            </w:r>
          </w:p>
        </w:tc>
      </w:tr>
      <w:tr>
        <w:trPr>
          <w:trHeight w:val="203"/>
        </w:trPr>
        <w:tc>
          <w:tcPr>
            <w:tcW w:w="7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income</w:t>
            </w:r>
          </w:p>
        </w:tc>
        <w:tc>
          <w:tcPr>
            <w:tcW w:w="20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33,741</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42,187</w:t>
            </w:r>
          </w:p>
        </w:tc>
      </w:tr>
      <w:tr>
        <w:trPr>
          <w:trHeight w:val="196"/>
        </w:trPr>
        <w:tc>
          <w:tcPr>
            <w:tcW w:w="75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20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52,391</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54,565</w:t>
            </w:r>
          </w:p>
        </w:tc>
      </w:tr>
      <w:tr>
        <w:trPr>
          <w:trHeight w:val="209"/>
        </w:trPr>
        <w:tc>
          <w:tcPr>
            <w:tcW w:w="7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2,224</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196"/>
        </w:trPr>
        <w:tc>
          <w:tcPr>
            <w:tcW w:w="7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54,615</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56,698</w:t>
            </w:r>
          </w:p>
        </w:tc>
      </w:tr>
      <w:tr>
        <w:trPr>
          <w:trHeight w:val="236"/>
        </w:trPr>
        <w:tc>
          <w:tcPr>
            <w:tcW w:w="7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equity</w:t>
            </w:r>
          </w:p>
        </w:tc>
        <w:tc>
          <w:tcPr>
            <w:tcW w:w="20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794,836</w:t>
            </w:r>
          </w:p>
        </w:tc>
        <w:tc>
          <w:tcPr>
            <w:tcW w:w="16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843,551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Three months ended</w:t>
            </w:r>
          </w:p>
        </w:tc>
        <w:tc>
          <w:tcPr>
            <w:tcW w:w="24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Nine months ended</w:t>
            </w:r>
          </w:p>
        </w:tc>
      </w:tr>
      <w:tr>
        <w:trPr>
          <w:trHeight w:val="177"/>
        </w:trPr>
        <w:tc>
          <w:tcPr>
            <w:tcW w:w="5660" w:type="dxa"/>
            <w:vAlign w:val="bottom"/>
          </w:tcPr>
          <w:p>
            <w:pPr>
              <w:spacing w:after="0"/>
              <w:rPr>
                <w:sz w:val="15"/>
                <w:szCs w:val="15"/>
                <w:color w:val="auto"/>
              </w:rPr>
            </w:pPr>
          </w:p>
        </w:tc>
        <w:tc>
          <w:tcPr>
            <w:tcW w:w="182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June 26,</w:t>
            </w:r>
          </w:p>
        </w:tc>
        <w:tc>
          <w:tcPr>
            <w:tcW w:w="136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08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91,001</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91,122</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277,388</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279,326</w:t>
            </w: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89,048</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88,792</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263,915</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269,905</w:t>
            </w:r>
          </w:p>
        </w:tc>
      </w:tr>
      <w:tr>
        <w:trPr>
          <w:trHeight w:val="203"/>
        </w:trPr>
        <w:tc>
          <w:tcPr>
            <w:tcW w:w="56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14,988</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16,576</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46,030</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51,505</w:t>
            </w:r>
          </w:p>
        </w:tc>
      </w:tr>
      <w:tr>
        <w:trPr>
          <w:trHeight w:val="196"/>
        </w:trPr>
        <w:tc>
          <w:tcPr>
            <w:tcW w:w="5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195,037</w:t>
            </w:r>
          </w:p>
        </w:tc>
        <w:tc>
          <w:tcPr>
            <w:tcW w:w="1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196,490</w:t>
            </w:r>
          </w:p>
        </w:tc>
        <w:tc>
          <w:tcPr>
            <w:tcW w:w="13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587,333</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600,736</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78,126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82,731</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246,333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250,048</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7,542</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7,051</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22,254</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22,222</w:t>
            </w: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88,004</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82,117</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258,665</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243,749</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8,818</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10,836</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27,445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33,794</w:t>
            </w: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1,086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242</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(11,340)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6,938</w:t>
            </w:r>
          </w:p>
        </w:tc>
      </w:tr>
      <w:tr>
        <w:trPr>
          <w:trHeight w:val="203"/>
        </w:trPr>
        <w:tc>
          <w:tcPr>
            <w:tcW w:w="56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6,072</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1,419</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19,862</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5,880</w:t>
            </w:r>
          </w:p>
        </w:tc>
      </w:tr>
      <w:tr>
        <w:trPr>
          <w:trHeight w:val="196"/>
        </w:trPr>
        <w:tc>
          <w:tcPr>
            <w:tcW w:w="5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189,648</w:t>
            </w:r>
          </w:p>
        </w:tc>
        <w:tc>
          <w:tcPr>
            <w:tcW w:w="1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184,396</w:t>
            </w:r>
          </w:p>
        </w:tc>
        <w:tc>
          <w:tcPr>
            <w:tcW w:w="13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563,219</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562,631</w:t>
            </w:r>
          </w:p>
        </w:tc>
      </w:tr>
      <w:tr>
        <w:trPr>
          <w:trHeight w:val="196"/>
        </w:trPr>
        <w:tc>
          <w:tcPr>
            <w:tcW w:w="5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8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1,050</w:t>
            </w: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1,689</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4,211</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4,902</w:t>
            </w:r>
          </w:p>
        </w:tc>
      </w:tr>
      <w:tr>
        <w:trPr>
          <w:trHeight w:val="196"/>
        </w:trPr>
        <w:tc>
          <w:tcPr>
            <w:tcW w:w="5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6,439</w:t>
            </w:r>
          </w:p>
        </w:tc>
        <w:tc>
          <w:tcPr>
            <w:tcW w:w="1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13,783</w:t>
            </w:r>
          </w:p>
        </w:tc>
        <w:tc>
          <w:tcPr>
            <w:tcW w:w="13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28,325</w:t>
            </w: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43,007</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Non-operating (expense) income:</w:t>
            </w:r>
          </w:p>
        </w:tc>
        <w:tc>
          <w:tcPr>
            <w:tcW w:w="1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(10,292)</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(11,010)</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(31,478)</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(34,129)</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1,027</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23,830</w:t>
            </w:r>
          </w:p>
        </w:tc>
      </w:tr>
      <w:tr>
        <w:trPr>
          <w:trHeight w:val="202"/>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(2,335)</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56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4,205</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2,330</w:t>
            </w:r>
          </w:p>
        </w:tc>
        <w:tc>
          <w:tcPr>
            <w:tcW w:w="13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13,525</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6,240</w:t>
            </w:r>
          </w:p>
        </w:tc>
      </w:tr>
      <w:tr>
        <w:trPr>
          <w:trHeight w:val="196"/>
        </w:trPr>
        <w:tc>
          <w:tcPr>
            <w:tcW w:w="56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non-operating (expense) income, net</w:t>
            </w:r>
          </w:p>
        </w:tc>
        <w:tc>
          <w:tcPr>
            <w:tcW w:w="18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(6,087)</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(8,680)</w:t>
            </w:r>
          </w:p>
        </w:tc>
        <w:tc>
          <w:tcPr>
            <w:tcW w:w="13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(19,261)</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(16,369)</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352</w:t>
            </w:r>
          </w:p>
        </w:tc>
        <w:tc>
          <w:tcPr>
            <w:tcW w:w="13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5,103</w:t>
            </w:r>
          </w:p>
        </w:tc>
        <w:tc>
          <w:tcPr>
            <w:tcW w:w="1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9,064</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26,638</w:t>
            </w:r>
          </w:p>
        </w:tc>
      </w:tr>
      <w:tr>
        <w:trPr>
          <w:trHeight w:val="203"/>
        </w:trPr>
        <w:tc>
          <w:tcPr>
            <w:tcW w:w="5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156</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1,366</w:t>
            </w:r>
          </w:p>
        </w:tc>
        <w:tc>
          <w:tcPr>
            <w:tcW w:w="13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2,363</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7,106</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8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196</w:t>
            </w:r>
          </w:p>
        </w:tc>
        <w:tc>
          <w:tcPr>
            <w:tcW w:w="13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3,737</w:t>
            </w:r>
          </w:p>
        </w:tc>
        <w:tc>
          <w:tcPr>
            <w:tcW w:w="1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6,701</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19,532</w:t>
            </w:r>
          </w:p>
        </w:tc>
      </w:tr>
      <w:tr>
        <w:trPr>
          <w:trHeight w:val="203"/>
        </w:trPr>
        <w:tc>
          <w:tcPr>
            <w:tcW w:w="5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(465)</w:t>
            </w:r>
          </w:p>
        </w:tc>
        <w:tc>
          <w:tcPr>
            <w:tcW w:w="13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(510)</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(1,588)</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(1,537)</w:t>
            </w: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(Loss) Income attributable to Lee Enterprises, Incorporated</w:t>
            </w:r>
          </w:p>
        </w:tc>
        <w:tc>
          <w:tcPr>
            <w:tcW w:w="18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(269)</w:t>
            </w:r>
          </w:p>
        </w:tc>
        <w:tc>
          <w:tcPr>
            <w:tcW w:w="13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3,227</w:t>
            </w:r>
          </w:p>
        </w:tc>
        <w:tc>
          <w:tcPr>
            <w:tcW w:w="1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5,113</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17,995</w:t>
            </w:r>
          </w:p>
        </w:tc>
      </w:tr>
      <w:tr>
        <w:trPr>
          <w:trHeight w:val="203"/>
        </w:trPr>
        <w:tc>
          <w:tcPr>
            <w:tcW w:w="56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 net of income taxes</w:t>
            </w:r>
          </w:p>
        </w:tc>
        <w:tc>
          <w:tcPr>
            <w:tcW w:w="18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(1,167)</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477</w:t>
            </w:r>
          </w:p>
        </w:tc>
        <w:tc>
          <w:tcPr>
            <w:tcW w:w="13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(8,446)</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2,097</w:t>
            </w:r>
          </w:p>
        </w:tc>
      </w:tr>
      <w:tr>
        <w:trPr>
          <w:trHeight w:val="177"/>
        </w:trPr>
        <w:tc>
          <w:tcPr>
            <w:tcW w:w="5660" w:type="dxa"/>
            <w:vAlign w:val="bottom"/>
          </w:tcPr>
          <w:p>
            <w:pPr>
              <w:spacing w:after="0" w:line="177" w:lineRule="exact"/>
              <w:rPr>
                <w:sz w:val="20"/>
                <w:szCs w:val="20"/>
                <w:color w:val="auto"/>
              </w:rPr>
            </w:pPr>
            <w:r>
              <w:rPr>
                <w:rFonts w:ascii="Arial" w:cs="Arial" w:eastAsia="Arial" w:hAnsi="Arial"/>
                <w:sz w:val="18"/>
                <w:szCs w:val="18"/>
                <w:color w:val="auto"/>
              </w:rPr>
              <w:t>Comprehensive (loss) income attributable to Lee Enterprises,</w:t>
            </w:r>
          </w:p>
        </w:tc>
        <w:tc>
          <w:tcPr>
            <w:tcW w:w="1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1"/>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Incorporated</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(1,436)</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3,704</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(3,333)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20,092</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8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0.56</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0.89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3.15</w:t>
            </w:r>
          </w:p>
        </w:tc>
      </w:tr>
      <w:tr>
        <w:trPr>
          <w:trHeight w:val="243"/>
        </w:trPr>
        <w:tc>
          <w:tcPr>
            <w:tcW w:w="56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0.55</w:t>
            </w:r>
          </w:p>
        </w:tc>
        <w:tc>
          <w:tcPr>
            <w:tcW w:w="13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0.87</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Accumulated</w:t>
            </w:r>
          </w:p>
        </w:tc>
        <w:tc>
          <w:tcPr>
            <w:tcW w:w="980" w:type="dxa"/>
            <w:vAlign w:val="bottom"/>
            <w:tcBorders>
              <w:top w:val="single" w:sz="8" w:color="auto"/>
            </w:tcBorders>
          </w:tcPr>
          <w:p>
            <w:pPr>
              <w:spacing w:after="0"/>
              <w:rPr>
                <w:sz w:val="18"/>
                <w:szCs w:val="18"/>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27, 2021</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(245,744)</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59</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258,063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42,187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54,565</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12,658</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12,658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186</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(8,174)</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(8,174)</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2,062</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2,062</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26, 2021</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(233,086)</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257,863</w:t>
            </w:r>
          </w:p>
        </w:tc>
        <w:tc>
          <w:tcPr>
            <w:tcW w:w="168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36,075</w:t>
            </w: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60,912</w:t>
            </w: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(7,276)</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(7,276)</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663</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663</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(1,667)</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(1,667)</w:t>
            </w: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500</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27, 2022</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(240,362)</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258,523</w:t>
            </w:r>
          </w:p>
        </w:tc>
        <w:tc>
          <w:tcPr>
            <w:tcW w:w="16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34,908</w:t>
            </w:r>
          </w:p>
        </w:tc>
        <w:tc>
          <w:tcPr>
            <w:tcW w:w="9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53,129</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371</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371</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(269)</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327</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327</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(1,667)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(1,667)</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500</w:t>
            </w: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500</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26, 2022</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(240,631)</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60</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259,221</w:t>
            </w:r>
          </w:p>
        </w:tc>
        <w:tc>
          <w:tcPr>
            <w:tcW w:w="168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33,741</w:t>
            </w: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52,391</w:t>
            </w:r>
          </w:p>
        </w:tc>
      </w:tr>
      <w:tr>
        <w:trPr>
          <w:trHeight w:val="312"/>
        </w:trPr>
        <w:tc>
          <w:tcPr>
            <w:tcW w:w="4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4"/>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jc w:val="right"/>
              <w:ind w:right="230"/>
              <w:spacing w:after="0" w:line="183" w:lineRule="exact"/>
              <w:rPr>
                <w:sz w:val="20"/>
                <w:szCs w:val="20"/>
                <w:color w:val="auto"/>
              </w:rPr>
            </w:pPr>
            <w:r>
              <w:rPr>
                <w:rFonts w:ascii="Arial" w:cs="Arial" w:eastAsia="Arial" w:hAnsi="Arial"/>
                <w:sz w:val="18"/>
                <w:szCs w:val="18"/>
                <w:color w:val="auto"/>
              </w:rPr>
              <w:t>Accumulated</w:t>
            </w:r>
          </w:p>
        </w:tc>
        <w:tc>
          <w:tcPr>
            <w:tcW w:w="980" w:type="dxa"/>
            <w:vAlign w:val="bottom"/>
          </w:tcPr>
          <w:p>
            <w:pPr>
              <w:spacing w:after="0"/>
              <w:rPr>
                <w:sz w:val="15"/>
                <w:szCs w:val="15"/>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Additional</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Other</w:t>
            </w:r>
          </w:p>
        </w:tc>
        <w:tc>
          <w:tcPr>
            <w:tcW w:w="980" w:type="dxa"/>
            <w:vAlign w:val="bottom"/>
          </w:tcPr>
          <w:p>
            <w:pPr>
              <w:spacing w:after="0"/>
              <w:rPr>
                <w:sz w:val="17"/>
                <w:szCs w:val="17"/>
                <w:color w:val="auto"/>
              </w:rPr>
            </w:pPr>
          </w:p>
        </w:tc>
      </w:tr>
      <w:tr>
        <w:trPr>
          <w:trHeight w:val="203"/>
        </w:trPr>
        <w:tc>
          <w:tcPr>
            <w:tcW w:w="4560" w:type="dxa"/>
            <w:vAlign w:val="bottom"/>
          </w:tcPr>
          <w:p>
            <w:pPr>
              <w:spacing w:after="0"/>
              <w:rPr>
                <w:sz w:val="17"/>
                <w:szCs w:val="17"/>
                <w:color w:val="auto"/>
              </w:rPr>
            </w:pP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Accumulated</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Common</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paid-in</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Comprehensive</w:t>
            </w:r>
          </w:p>
        </w:tc>
        <w:tc>
          <w:tcPr>
            <w:tcW w:w="980" w:type="dxa"/>
            <w:vAlign w:val="bottom"/>
          </w:tcPr>
          <w:p>
            <w:pPr>
              <w:spacing w:after="0"/>
              <w:rPr>
                <w:sz w:val="17"/>
                <w:szCs w:val="17"/>
                <w:color w:val="auto"/>
              </w:rPr>
            </w:pP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Deficit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Stock</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capital</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Loss</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196"/>
        </w:trPr>
        <w:tc>
          <w:tcPr>
            <w:tcW w:w="4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28, 2020</w:t>
            </w:r>
          </w:p>
        </w:tc>
        <w:tc>
          <w:tcPr>
            <w:tcW w:w="17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(268,529)</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256,957</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(20,050)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(31,564)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15,902</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15,902</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220</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1,347</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1,347</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27, 2020</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(252,627)</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257,122</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(18,908)</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(14,354)</w:t>
            </w:r>
          </w:p>
        </w:tc>
      </w:tr>
      <w:tr>
        <w:trPr>
          <w:trHeight w:val="183"/>
        </w:trPr>
        <w:tc>
          <w:tcPr>
            <w:tcW w:w="4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Loss attributable to Lee Enterprises, Incorporated</w:t>
            </w:r>
          </w:p>
        </w:tc>
        <w:tc>
          <w:tcPr>
            <w:tcW w:w="17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(1,134)</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214</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682</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r>
      <w:tr>
        <w:trPr>
          <w:trHeight w:val="20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(204)</w:t>
            </w: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r>
      <w:tr>
        <w:trPr>
          <w:trHeight w:val="196"/>
        </w:trPr>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March 28, 2021</w:t>
            </w:r>
          </w:p>
        </w:tc>
        <w:tc>
          <w:tcPr>
            <w:tcW w:w="17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(253,761)</w:t>
            </w:r>
          </w:p>
        </w:tc>
        <w:tc>
          <w:tcPr>
            <w:tcW w:w="1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257,328</w:t>
            </w:r>
          </w:p>
        </w:tc>
        <w:tc>
          <w:tcPr>
            <w:tcW w:w="16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(18,430)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(14,804)</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Shares issued (redeemed)</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318</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318</w:t>
            </w:r>
          </w:p>
        </w:tc>
      </w:tr>
      <w:tr>
        <w:trPr>
          <w:trHeight w:val="202"/>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3,227</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3,227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205</w:t>
            </w:r>
          </w:p>
        </w:tc>
        <w:tc>
          <w:tcPr>
            <w:tcW w:w="1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205</w:t>
            </w: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1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682</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682</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Deferred income taxes, net</w:t>
            </w:r>
          </w:p>
        </w:tc>
        <w:tc>
          <w:tcPr>
            <w:tcW w:w="17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(205)</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June 27, 2021</w:t>
            </w:r>
          </w:p>
        </w:tc>
        <w:tc>
          <w:tcPr>
            <w:tcW w:w="17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(250,534)</w:t>
            </w:r>
          </w:p>
        </w:tc>
        <w:tc>
          <w:tcPr>
            <w:tcW w:w="11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257,851</w:t>
            </w:r>
          </w:p>
        </w:tc>
        <w:tc>
          <w:tcPr>
            <w:tcW w:w="16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(17,953)</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(10,577)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81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jc w:val="right"/>
              <w:ind w:right="330"/>
              <w:spacing w:after="0" w:line="177" w:lineRule="exact"/>
              <w:rPr>
                <w:sz w:val="20"/>
                <w:szCs w:val="20"/>
                <w:color w:val="auto"/>
              </w:rPr>
            </w:pPr>
            <w:r>
              <w:rPr>
                <w:rFonts w:ascii="Arial" w:cs="Arial" w:eastAsia="Arial" w:hAnsi="Arial"/>
                <w:sz w:val="18"/>
                <w:szCs w:val="18"/>
                <w:color w:val="auto"/>
              </w:rPr>
              <w:t>June 26,</w:t>
            </w:r>
          </w:p>
        </w:tc>
        <w:tc>
          <w:tcPr>
            <w:tcW w:w="1140" w:type="dxa"/>
            <w:vAlign w:val="bottom"/>
            <w:tcBorders>
              <w:top w:val="single" w:sz="8" w:color="auto"/>
            </w:tcBorders>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8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8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6,701</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19,532</w:t>
            </w:r>
          </w:p>
        </w:tc>
      </w:tr>
      <w:tr>
        <w:trPr>
          <w:trHeight w:val="203"/>
        </w:trPr>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27,445</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33,794</w:t>
            </w: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(1,027)</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(23,830)</w:t>
            </w: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2,335</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1,026</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639</w:t>
            </w: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(11,340)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6,938</w:t>
            </w: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20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62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w:t>
            </w: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(965)</w:t>
            </w: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Return of (Payments to collateralize) letters of credit</w:t>
            </w:r>
          </w:p>
        </w:tc>
        <w:tc>
          <w:tcPr>
            <w:tcW w:w="20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2,451</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1,686</w:t>
            </w: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(1,492)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202"/>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8100" w:type="dxa"/>
            <w:vAlign w:val="bottom"/>
          </w:tcPr>
          <w:p>
            <w:pPr>
              <w:ind w:left="340"/>
              <w:spacing w:after="0" w:line="202" w:lineRule="exact"/>
              <w:rPr>
                <w:sz w:val="20"/>
                <w:szCs w:val="20"/>
                <w:color w:val="auto"/>
              </w:rPr>
            </w:pPr>
            <w:r>
              <w:rPr>
                <w:rFonts w:ascii="Arial" w:cs="Arial" w:eastAsia="Arial" w:hAnsi="Arial"/>
                <w:sz w:val="18"/>
                <w:szCs w:val="18"/>
                <w:color w:val="auto"/>
              </w:rPr>
              <w:t>(Increase) decrease in receivables and contract assets</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(8,004)</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(8,720)</w:t>
            </w:r>
          </w:p>
        </w:tc>
      </w:tr>
      <w:tr>
        <w:trPr>
          <w:trHeight w:val="203"/>
        </w:trPr>
        <w:tc>
          <w:tcPr>
            <w:tcW w:w="8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inventories and other</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(2,369)</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1,080</w:t>
            </w:r>
          </w:p>
        </w:tc>
      </w:tr>
      <w:tr>
        <w:trPr>
          <w:trHeight w:val="203"/>
        </w:trPr>
        <w:tc>
          <w:tcPr>
            <w:tcW w:w="8100" w:type="dxa"/>
            <w:vAlign w:val="bottom"/>
          </w:tcPr>
          <w:p>
            <w:pPr>
              <w:ind w:left="340"/>
              <w:spacing w:after="0" w:line="202" w:lineRule="exact"/>
              <w:rPr>
                <w:sz w:val="20"/>
                <w:szCs w:val="20"/>
                <w:color w:val="auto"/>
              </w:rPr>
            </w:pPr>
            <w:r>
              <w:rPr>
                <w:rFonts w:ascii="Arial" w:cs="Arial" w:eastAsia="Arial" w:hAnsi="Arial"/>
                <w:sz w:val="18"/>
                <w:szCs w:val="18"/>
                <w:color w:val="auto"/>
              </w:rPr>
              <w:t>Increase (decrease) in accounts payable and other accrued liabilities</w:t>
            </w:r>
          </w:p>
        </w:tc>
        <w:tc>
          <w:tcPr>
            <w:tcW w:w="20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1,775</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2,494</w:t>
            </w:r>
          </w:p>
        </w:tc>
      </w:tr>
      <w:tr>
        <w:trPr>
          <w:trHeight w:val="203"/>
        </w:trPr>
        <w:tc>
          <w:tcPr>
            <w:tcW w:w="81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(13,910)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(4,807)</w:t>
            </w:r>
          </w:p>
        </w:tc>
      </w:tr>
      <w:tr>
        <w:trPr>
          <w:trHeight w:val="203"/>
        </w:trPr>
        <w:tc>
          <w:tcPr>
            <w:tcW w:w="8100" w:type="dxa"/>
            <w:vAlign w:val="bottom"/>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(2,986)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2,459</w:t>
            </w:r>
          </w:p>
        </w:tc>
      </w:tr>
      <w:tr>
        <w:trPr>
          <w:trHeight w:val="203"/>
        </w:trPr>
        <w:tc>
          <w:tcPr>
            <w:tcW w:w="81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49</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706</w:t>
            </w:r>
          </w:p>
        </w:tc>
      </w:tr>
      <w:tr>
        <w:trPr>
          <w:trHeight w:val="196"/>
        </w:trPr>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716</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42,771</w:t>
            </w: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investing activities:</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(5,738)</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(5,350)</w:t>
            </w:r>
          </w:p>
        </w:tc>
      </w:tr>
      <w:tr>
        <w:trPr>
          <w:trHeight w:val="203"/>
        </w:trPr>
        <w:tc>
          <w:tcPr>
            <w:tcW w:w="8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20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14,824</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3,095</w:t>
            </w: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Distributions (less) greater than earnings of TNI and MNI</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(276)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81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(295)</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w:t>
            </w:r>
          </w:p>
        </w:tc>
      </w:tr>
      <w:tr>
        <w:trPr>
          <w:trHeight w:val="196"/>
        </w:trPr>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(required for) investing activities</w:t>
            </w:r>
          </w:p>
        </w:tc>
        <w:tc>
          <w:tcPr>
            <w:tcW w:w="2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8,515</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(2,465)</w:t>
            </w: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required for financing activities:</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8100" w:type="dxa"/>
            <w:vAlign w:val="bottom"/>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20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(20,062)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(53,128)</w:t>
            </w:r>
          </w:p>
        </w:tc>
      </w:tr>
      <w:tr>
        <w:trPr>
          <w:trHeight w:val="203"/>
        </w:trPr>
        <w:tc>
          <w:tcPr>
            <w:tcW w:w="81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380</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w:t>
            </w:r>
          </w:p>
        </w:tc>
      </w:tr>
      <w:tr>
        <w:trPr>
          <w:trHeight w:val="196"/>
        </w:trPr>
        <w:tc>
          <w:tcPr>
            <w:tcW w:w="8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(19,682)</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(52,969)</w:t>
            </w:r>
          </w:p>
        </w:tc>
      </w:tr>
      <w:tr>
        <w:trPr>
          <w:trHeight w:val="196"/>
        </w:trPr>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00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(10,451)</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(12,663)</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81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26,112</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196"/>
        </w:trPr>
        <w:tc>
          <w:tcPr>
            <w:tcW w:w="81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15,661</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21,070</w:t>
            </w: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LEE ENTERPRISES, INCORPORATED</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ind w:left="4700" w:right="3300" w:hanging="4692"/>
        <w:spacing w:after="0" w:line="469"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jc w:val="both"/>
        <w:ind w:left="660" w:right="80"/>
        <w:spacing w:after="0" w:line="242"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June 26, 2022, and our results of operations and cash flows for the periods presented. The Consolidated Financial Statements should be read in conjunction with the Consolidated Financial Statements and Notes thereto included in the Company's 2021 Annual Report on Form 10-K.</w:t>
      </w:r>
    </w:p>
    <w:p>
      <w:pPr>
        <w:spacing w:after="0" w:line="165"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The Company's fiscal year ends on the last Sunday in September. Fiscal year 2022 ends on September 25, 2022, and fiscal year 2021 ended September 26, 2021. Fiscal year 2022 and 2021 are 52-week years with 13 weeks in each quarter. Because of seasonal and other factors, the results of operations for the three and nine months ended June 26, 2022, are not necessarily indicative of the results to be expected for the full year.</w:t>
      </w:r>
    </w:p>
    <w:p>
      <w:pPr>
        <w:spacing w:after="0" w:line="160"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(“TownNews”).</w:t>
      </w:r>
    </w:p>
    <w:p>
      <w:pPr>
        <w:spacing w:after="0" w:line="140"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55" w:lineRule="exact"/>
        <w:rPr>
          <w:sz w:val="20"/>
          <w:szCs w:val="20"/>
          <w:color w:val="auto"/>
        </w:rPr>
      </w:pPr>
    </w:p>
    <w:p>
      <w:pPr>
        <w:jc w:val="both"/>
        <w:ind w:left="660" w:right="80"/>
        <w:spacing w:after="0" w:line="271" w:lineRule="auto"/>
        <w:rPr>
          <w:sz w:val="20"/>
          <w:szCs w:val="20"/>
          <w:color w:val="auto"/>
        </w:rPr>
      </w:pPr>
      <w:r>
        <w:rPr>
          <w:rFonts w:ascii="Arial" w:cs="Arial" w:eastAsia="Arial" w:hAnsi="Arial"/>
          <w:sz w:val="18"/>
          <w:szCs w:val="18"/>
          <w:color w:val="auto"/>
        </w:rPr>
        <w:t>On March 16, 2020, the Company completed the acquisition of BH Media Group, Inc. and The Buffalo News, Inc. for a combined purchase price of $140,000,000 (collectively, the "Transactions").</w:t>
      </w:r>
    </w:p>
    <w:p>
      <w:pPr>
        <w:spacing w:after="0" w:line="18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our revenue disaggregated by source:</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80" w:type="dxa"/>
            <w:vAlign w:val="bottom"/>
            <w:tcBorders>
              <w:top w:val="single" w:sz="8" w:color="auto"/>
              <w:bottom w:val="single" w:sz="8" w:color="auto"/>
            </w:tcBorders>
          </w:tcPr>
          <w:p>
            <w:pPr>
              <w:spacing w:after="0"/>
              <w:rPr>
                <w:sz w:val="18"/>
                <w:szCs w:val="18"/>
                <w:color w:val="auto"/>
              </w:rPr>
            </w:pPr>
          </w:p>
        </w:tc>
        <w:tc>
          <w:tcPr>
            <w:tcW w:w="360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Nine months Ended</w:t>
            </w:r>
          </w:p>
        </w:tc>
      </w:tr>
      <w:tr>
        <w:trPr>
          <w:trHeight w:val="177"/>
        </w:trPr>
        <w:tc>
          <w:tcPr>
            <w:tcW w:w="4580" w:type="dxa"/>
            <w:vAlign w:val="bottom"/>
          </w:tcPr>
          <w:p>
            <w:pPr>
              <w:spacing w:after="0"/>
              <w:rPr>
                <w:sz w:val="15"/>
                <w:szCs w:val="15"/>
                <w:color w:val="auto"/>
              </w:rPr>
            </w:pPr>
          </w:p>
        </w:tc>
        <w:tc>
          <w:tcPr>
            <w:tcW w:w="22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4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6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June 26,</w:t>
            </w:r>
          </w:p>
        </w:tc>
        <w:tc>
          <w:tcPr>
            <w:tcW w:w="112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5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Print</w:t>
            </w:r>
          </w:p>
        </w:tc>
        <w:tc>
          <w:tcPr>
            <w:tcW w:w="22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44,814</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54,632</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145,032</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174,933</w:t>
            </w:r>
          </w:p>
        </w:tc>
      </w:tr>
      <w:tr>
        <w:trPr>
          <w:trHeight w:val="203"/>
        </w:trPr>
        <w:tc>
          <w:tcPr>
            <w:tcW w:w="45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Digital</w:t>
            </w:r>
          </w:p>
        </w:tc>
        <w:tc>
          <w:tcPr>
            <w:tcW w:w="22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46,187</w:t>
            </w:r>
          </w:p>
        </w:tc>
        <w:tc>
          <w:tcPr>
            <w:tcW w:w="14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36,490</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132,356</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104,393</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2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91,001</w:t>
            </w:r>
          </w:p>
        </w:tc>
        <w:tc>
          <w:tcPr>
            <w:tcW w:w="14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91,122</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277,388</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279,326</w:t>
            </w:r>
          </w:p>
        </w:tc>
      </w:tr>
      <w:tr>
        <w:trPr>
          <w:trHeight w:val="196"/>
        </w:trPr>
        <w:tc>
          <w:tcPr>
            <w:tcW w:w="45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Print</w:t>
            </w:r>
          </w:p>
        </w:tc>
        <w:tc>
          <w:tcPr>
            <w:tcW w:w="220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78,079</w:t>
            </w:r>
          </w:p>
        </w:tc>
        <w:tc>
          <w:tcPr>
            <w:tcW w:w="140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81,483</w:t>
            </w:r>
          </w:p>
        </w:tc>
        <w:tc>
          <w:tcPr>
            <w:tcW w:w="136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234,962</w:t>
            </w:r>
          </w:p>
        </w:tc>
        <w:tc>
          <w:tcPr>
            <w:tcW w:w="11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249,332</w:t>
            </w:r>
          </w:p>
        </w:tc>
      </w:tr>
      <w:tr>
        <w:trPr>
          <w:trHeight w:val="203"/>
        </w:trPr>
        <w:tc>
          <w:tcPr>
            <w:tcW w:w="45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Digital</w:t>
            </w:r>
          </w:p>
        </w:tc>
        <w:tc>
          <w:tcPr>
            <w:tcW w:w="22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10,969</w:t>
            </w:r>
          </w:p>
        </w:tc>
        <w:tc>
          <w:tcPr>
            <w:tcW w:w="14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7,309</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28,953</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20,573</w:t>
            </w:r>
          </w:p>
        </w:tc>
      </w:tr>
      <w:tr>
        <w:trPr>
          <w:trHeight w:val="196"/>
        </w:trPr>
        <w:tc>
          <w:tcPr>
            <w:tcW w:w="4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22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89,048</w:t>
            </w:r>
          </w:p>
        </w:tc>
        <w:tc>
          <w:tcPr>
            <w:tcW w:w="14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88,792</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263,915</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269,905</w:t>
            </w:r>
          </w:p>
        </w:tc>
      </w:tr>
      <w:tr>
        <w:trPr>
          <w:trHeight w:val="196"/>
        </w:trPr>
        <w:tc>
          <w:tcPr>
            <w:tcW w:w="4580" w:type="dxa"/>
            <w:vAlign w:val="bottom"/>
          </w:tcPr>
          <w:p>
            <w:pPr>
              <w:ind w:left="160"/>
              <w:spacing w:after="0" w:line="196" w:lineRule="exact"/>
              <w:rPr>
                <w:sz w:val="20"/>
                <w:szCs w:val="20"/>
                <w:color w:val="auto"/>
              </w:rPr>
            </w:pPr>
            <w:r>
              <w:rPr>
                <w:rFonts w:ascii="Arial" w:cs="Arial" w:eastAsia="Arial" w:hAnsi="Arial"/>
                <w:sz w:val="18"/>
                <w:szCs w:val="18"/>
                <w:color w:val="auto"/>
              </w:rPr>
              <w:t>Print</w:t>
            </w:r>
          </w:p>
        </w:tc>
        <w:tc>
          <w:tcPr>
            <w:tcW w:w="22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10,671</w:t>
            </w:r>
          </w:p>
        </w:tc>
        <w:tc>
          <w:tcPr>
            <w:tcW w:w="140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11,880</w:t>
            </w:r>
          </w:p>
        </w:tc>
        <w:tc>
          <w:tcPr>
            <w:tcW w:w="13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32,430</w:t>
            </w: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37,177</w:t>
            </w:r>
          </w:p>
        </w:tc>
      </w:tr>
      <w:tr>
        <w:trPr>
          <w:trHeight w:val="203"/>
        </w:trPr>
        <w:tc>
          <w:tcPr>
            <w:tcW w:w="458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Digital</w:t>
            </w:r>
          </w:p>
        </w:tc>
        <w:tc>
          <w:tcPr>
            <w:tcW w:w="22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4,317</w:t>
            </w:r>
          </w:p>
        </w:tc>
        <w:tc>
          <w:tcPr>
            <w:tcW w:w="14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4,696</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13,600</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14,328</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revenue</w:t>
            </w:r>
          </w:p>
        </w:tc>
        <w:tc>
          <w:tcPr>
            <w:tcW w:w="22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14,988</w:t>
            </w:r>
          </w:p>
        </w:tc>
        <w:tc>
          <w:tcPr>
            <w:tcW w:w="14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16,576</w:t>
            </w:r>
          </w:p>
        </w:tc>
        <w:tc>
          <w:tcPr>
            <w:tcW w:w="13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46,030</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51,505</w:t>
            </w:r>
          </w:p>
        </w:tc>
      </w:tr>
      <w:tr>
        <w:trPr>
          <w:trHeight w:val="236"/>
        </w:trPr>
        <w:tc>
          <w:tcPr>
            <w:tcW w:w="4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2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195,037</w:t>
            </w:r>
          </w:p>
        </w:tc>
        <w:tc>
          <w:tcPr>
            <w:tcW w:w="14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196,490</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587,333</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600,736</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55"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Total Digital Revenue in the prior year was reclassified to conform to the current year presentation. Total Digital Revenue is defined as digital advertising and marketing services revenue including revenue from our wholly owned digital marketing agency Amplified Digital TM("Amplified"), digital-only subscription revenue and digital services revenue.</w:t>
      </w:r>
    </w:p>
    <w:p>
      <w:pPr>
        <w:spacing w:after="0" w:line="155"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0"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Revenue recognized in the nine months ended June 26, 2022, that was included in the contract liability as of September 26, 2021, was $52,718,000.</w:t>
      </w:r>
    </w:p>
    <w:p>
      <w:pPr>
        <w:sectPr>
          <w:pgSz w:w="11900" w:h="16838" w:orient="portrait"/>
          <w:cols w:equalWidth="0" w:num="1">
            <w:col w:w="11320"/>
          </w:cols>
          <w:pgMar w:left="320" w:top="121" w:right="259" w:bottom="1440" w:gutter="0" w:footer="0" w:header="0"/>
        </w:sect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Accounts receivable, excluding allowance for credit losses was $82,369,000 and $71,644,000 as of June 26, 2022, and September 26, 2021, respectively. Allowance for credit losses was $7,458,000 and $6,574,000 as of June 26, 2022, and September 26, 2021, respectively.</w:t>
      </w:r>
    </w:p>
    <w:p>
      <w:pPr>
        <w:spacing w:after="0" w:line="155"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96" w:lineRule="exact"/>
        <w:rPr>
          <w:sz w:val="20"/>
          <w:szCs w:val="20"/>
          <w:color w:val="auto"/>
        </w:rPr>
      </w:pPr>
    </w:p>
    <w:p>
      <w:pPr>
        <w:ind w:left="660" w:right="6820" w:hanging="652"/>
        <w:spacing w:after="0" w:line="46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 xml:space="preserve">In Tucson, Arizona, TNI, acting as agent for our subsidiary, Star Publishing Company (“Star Publishing”), and Gannets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60" w:lineRule="exact"/>
        <w:rPr>
          <w:rFonts w:ascii="Arial" w:cs="Arial" w:eastAsia="Arial" w:hAnsi="Arial"/>
          <w:sz w:val="18"/>
          <w:szCs w:val="18"/>
          <w:b w:val="1"/>
          <w:bCs w:val="1"/>
          <w:color w:val="auto"/>
        </w:rPr>
      </w:pPr>
    </w:p>
    <w:p>
      <w:pPr>
        <w:ind w:left="660" w:right="3140"/>
        <w:spacing w:after="0" w:line="488" w:lineRule="auto"/>
        <w:rPr>
          <w:rFonts w:ascii="Arial" w:cs="Arial" w:eastAsia="Arial" w:hAnsi="Arial"/>
          <w:sz w:val="18"/>
          <w:szCs w:val="18"/>
          <w:b w:val="1"/>
          <w:bCs w:val="1"/>
          <w:color w:val="auto"/>
        </w:rPr>
      </w:pPr>
      <w:r>
        <w:rPr>
          <w:rFonts w:ascii="Arial" w:cs="Arial" w:eastAsia="Arial" w:hAnsi="Arial"/>
          <w:sz w:val="18"/>
          <w:szCs w:val="18"/>
          <w:color w:val="auto"/>
        </w:rPr>
        <w:t>Income or loss of TNI (before income taxes) is allocated equally to Star Publishing and Citizen. Summarized results of TNI are as follows:</w:t>
      </w:r>
    </w:p>
    <w:tbl>
      <w:tblPr>
        <w:tblLayout w:type="fixed"/>
        <w:tblInd w:w="660" w:type="dxa"/>
        <w:tblCellMar>
          <w:top w:w="0" w:type="dxa"/>
          <w:left w:w="0" w:type="dxa"/>
          <w:bottom w:w="0" w:type="dxa"/>
          <w:right w:w="0" w:type="dxa"/>
        </w:tblCellMar>
      </w:tblPr>
      <w:tr>
        <w:trPr>
          <w:trHeight w:val="197"/>
        </w:trPr>
        <w:tc>
          <w:tcPr>
            <w:tcW w:w="4560" w:type="dxa"/>
            <w:vAlign w:val="bottom"/>
            <w:tcBorders>
              <w:top w:val="single" w:sz="8" w:color="auto"/>
              <w:bottom w:val="single" w:sz="8" w:color="auto"/>
            </w:tcBorders>
          </w:tcPr>
          <w:p>
            <w:pPr>
              <w:spacing w:after="0"/>
              <w:rPr>
                <w:sz w:val="17"/>
                <w:szCs w:val="17"/>
                <w:color w:val="auto"/>
              </w:rPr>
            </w:pPr>
          </w:p>
        </w:tc>
        <w:tc>
          <w:tcPr>
            <w:tcW w:w="3620" w:type="dxa"/>
            <w:vAlign w:val="bottom"/>
            <w:tcBorders>
              <w:top w:val="single" w:sz="8" w:color="auto"/>
              <w:bottom w:val="single" w:sz="8" w:color="auto"/>
            </w:tcBorders>
            <w:gridSpan w:val="2"/>
          </w:tcPr>
          <w:p>
            <w:pPr>
              <w:jc w:val="right"/>
              <w:ind w:right="730"/>
              <w:spacing w:after="0" w:line="196" w:lineRule="exact"/>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bottom w:val="single" w:sz="8" w:color="auto"/>
            </w:tcBorders>
            <w:gridSpan w:val="2"/>
          </w:tcPr>
          <w:p>
            <w:pPr>
              <w:ind w:left="340"/>
              <w:spacing w:after="0" w:line="196" w:lineRule="exact"/>
              <w:rPr>
                <w:sz w:val="20"/>
                <w:szCs w:val="20"/>
                <w:color w:val="auto"/>
              </w:rPr>
            </w:pPr>
            <w:r>
              <w:rPr>
                <w:rFonts w:ascii="Arial" w:cs="Arial" w:eastAsia="Arial" w:hAnsi="Arial"/>
                <w:sz w:val="18"/>
                <w:szCs w:val="18"/>
                <w:color w:val="auto"/>
              </w:rPr>
              <w:t>Nine months ended</w:t>
            </w:r>
          </w:p>
        </w:tc>
      </w:tr>
      <w:tr>
        <w:trPr>
          <w:trHeight w:val="177"/>
        </w:trPr>
        <w:tc>
          <w:tcPr>
            <w:tcW w:w="4560" w:type="dxa"/>
            <w:vAlign w:val="bottom"/>
          </w:tcPr>
          <w:p>
            <w:pPr>
              <w:spacing w:after="0"/>
              <w:rPr>
                <w:sz w:val="15"/>
                <w:szCs w:val="15"/>
                <w:color w:val="auto"/>
              </w:rPr>
            </w:pPr>
          </w:p>
        </w:tc>
        <w:tc>
          <w:tcPr>
            <w:tcW w:w="22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4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60" w:type="dxa"/>
            <w:vAlign w:val="bottom"/>
          </w:tcPr>
          <w:p>
            <w:pPr>
              <w:ind w:left="340"/>
              <w:spacing w:after="0" w:line="177" w:lineRule="exact"/>
              <w:rPr>
                <w:sz w:val="20"/>
                <w:szCs w:val="20"/>
                <w:color w:val="auto"/>
              </w:rPr>
            </w:pPr>
            <w:r>
              <w:rPr>
                <w:rFonts w:ascii="Arial" w:cs="Arial" w:eastAsia="Arial" w:hAnsi="Arial"/>
                <w:sz w:val="18"/>
                <w:szCs w:val="18"/>
                <w:color w:val="auto"/>
              </w:rPr>
              <w:t>June 26,</w:t>
            </w:r>
          </w:p>
        </w:tc>
        <w:tc>
          <w:tcPr>
            <w:tcW w:w="112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5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2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8,229</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8,389</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25,805</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26,548</w:t>
            </w:r>
          </w:p>
        </w:tc>
      </w:tr>
      <w:tr>
        <w:trPr>
          <w:trHeight w:val="203"/>
        </w:trPr>
        <w:tc>
          <w:tcPr>
            <w:tcW w:w="4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2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6,492</w:t>
            </w:r>
          </w:p>
        </w:tc>
        <w:tc>
          <w:tcPr>
            <w:tcW w:w="14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6,077</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19,365</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19,506</w:t>
            </w:r>
          </w:p>
        </w:tc>
      </w:tr>
      <w:tr>
        <w:trPr>
          <w:trHeight w:val="236"/>
        </w:trPr>
        <w:tc>
          <w:tcPr>
            <w:tcW w:w="4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2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1,737</w:t>
            </w:r>
          </w:p>
        </w:tc>
        <w:tc>
          <w:tcPr>
            <w:tcW w:w="14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2,312</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6,440</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7,042</w:t>
            </w:r>
          </w:p>
        </w:tc>
      </w:tr>
      <w:tr>
        <w:trPr>
          <w:trHeight w:val="183"/>
        </w:trPr>
        <w:tc>
          <w:tcPr>
            <w:tcW w:w="4560" w:type="dxa"/>
            <w:vAlign w:val="bottom"/>
          </w:tcPr>
          <w:p>
            <w:pPr>
              <w:spacing w:after="0" w:line="183" w:lineRule="exact"/>
              <w:rPr>
                <w:sz w:val="20"/>
                <w:szCs w:val="20"/>
                <w:color w:val="auto"/>
              </w:rPr>
            </w:pPr>
            <w:r>
              <w:rPr>
                <w:rFonts w:ascii="Arial" w:cs="Arial" w:eastAsia="Arial" w:hAnsi="Arial"/>
                <w:sz w:val="18"/>
                <w:szCs w:val="18"/>
                <w:color w:val="auto"/>
              </w:rPr>
              <w:t>Company's 50% share of operating income</w:t>
            </w:r>
          </w:p>
        </w:tc>
        <w:tc>
          <w:tcPr>
            <w:tcW w:w="222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869</w:t>
            </w:r>
          </w:p>
        </w:tc>
        <w:tc>
          <w:tcPr>
            <w:tcW w:w="140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1,156</w:t>
            </w:r>
          </w:p>
        </w:tc>
        <w:tc>
          <w:tcPr>
            <w:tcW w:w="1360" w:type="dxa"/>
            <w:vAlign w:val="bottom"/>
          </w:tcPr>
          <w:p>
            <w:pPr>
              <w:jc w:val="right"/>
              <w:ind w:right="230"/>
              <w:spacing w:after="0" w:line="183" w:lineRule="exact"/>
              <w:rPr>
                <w:sz w:val="20"/>
                <w:szCs w:val="20"/>
                <w:color w:val="auto"/>
              </w:rPr>
            </w:pPr>
            <w:r>
              <w:rPr>
                <w:rFonts w:ascii="Arial" w:cs="Arial" w:eastAsia="Arial" w:hAnsi="Arial"/>
                <w:sz w:val="18"/>
                <w:szCs w:val="18"/>
                <w:color w:val="auto"/>
              </w:rPr>
              <w:t>3,220</w:t>
            </w:r>
          </w:p>
        </w:tc>
        <w:tc>
          <w:tcPr>
            <w:tcW w:w="1120" w:type="dxa"/>
            <w:vAlign w:val="bottom"/>
          </w:tcPr>
          <w:p>
            <w:pPr>
              <w:jc w:val="right"/>
              <w:ind w:right="10"/>
              <w:spacing w:after="0" w:line="183" w:lineRule="exact"/>
              <w:rPr>
                <w:sz w:val="20"/>
                <w:szCs w:val="20"/>
                <w:color w:val="auto"/>
              </w:rPr>
            </w:pPr>
            <w:r>
              <w:rPr>
                <w:rFonts w:ascii="Arial" w:cs="Arial" w:eastAsia="Arial" w:hAnsi="Arial"/>
                <w:sz w:val="18"/>
                <w:szCs w:val="18"/>
                <w:color w:val="auto"/>
              </w:rPr>
              <w:t>3,521</w:t>
            </w:r>
          </w:p>
        </w:tc>
      </w:tr>
      <w:tr>
        <w:trPr>
          <w:trHeight w:val="243"/>
        </w:trPr>
        <w:tc>
          <w:tcPr>
            <w:tcW w:w="45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earnings of TNI</w:t>
            </w:r>
          </w:p>
        </w:tc>
        <w:tc>
          <w:tcPr>
            <w:tcW w:w="22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869</w:t>
            </w:r>
          </w:p>
        </w:tc>
        <w:tc>
          <w:tcPr>
            <w:tcW w:w="14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1,156</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3,220</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3,521</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TNI makes periodic distributions of its earnings and for the three months ended June 26, 2022, and June 27, 2021, we received $676,000 and $ 544,000 in distributions, respectively. In the nine months ended June 26, 2022, and June 27, 2021, we received $2,935,000 and $3,161,000 in distributions,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98"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8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Three months ended</w:t>
            </w:r>
          </w:p>
        </w:tc>
        <w:tc>
          <w:tcPr>
            <w:tcW w:w="24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Nine months ended</w:t>
            </w:r>
          </w:p>
        </w:tc>
      </w:tr>
      <w:tr>
        <w:trPr>
          <w:trHeight w:val="177"/>
        </w:trPr>
        <w:tc>
          <w:tcPr>
            <w:tcW w:w="5380" w:type="dxa"/>
            <w:vAlign w:val="bottom"/>
          </w:tcPr>
          <w:p>
            <w:pPr>
              <w:spacing w:after="0"/>
              <w:rPr>
                <w:sz w:val="15"/>
                <w:szCs w:val="15"/>
                <w:color w:val="auto"/>
              </w:rPr>
            </w:pPr>
          </w:p>
        </w:tc>
        <w:tc>
          <w:tcPr>
            <w:tcW w:w="14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40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60" w:type="dxa"/>
            <w:vAlign w:val="bottom"/>
          </w:tcPr>
          <w:p>
            <w:pPr>
              <w:ind w:left="340"/>
              <w:spacing w:after="0" w:line="177" w:lineRule="exact"/>
              <w:rPr>
                <w:sz w:val="20"/>
                <w:szCs w:val="20"/>
                <w:color w:val="auto"/>
              </w:rPr>
            </w:pPr>
            <w:r>
              <w:rPr>
                <w:rFonts w:ascii="Arial" w:cs="Arial" w:eastAsia="Arial" w:hAnsi="Arial"/>
                <w:sz w:val="18"/>
                <w:szCs w:val="18"/>
                <w:color w:val="auto"/>
              </w:rPr>
              <w:t>June 26,</w:t>
            </w:r>
          </w:p>
        </w:tc>
        <w:tc>
          <w:tcPr>
            <w:tcW w:w="112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11,921</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11,479</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35,677</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34,425</w:t>
            </w:r>
          </w:p>
        </w:tc>
      </w:tr>
      <w:tr>
        <w:trPr>
          <w:trHeight w:val="184"/>
        </w:trPr>
        <w:tc>
          <w:tcPr>
            <w:tcW w:w="5380" w:type="dxa"/>
            <w:vAlign w:val="bottom"/>
          </w:tcPr>
          <w:p>
            <w:pPr>
              <w:spacing w:after="0" w:line="183" w:lineRule="exact"/>
              <w:rPr>
                <w:sz w:val="20"/>
                <w:szCs w:val="20"/>
                <w:color w:val="auto"/>
              </w:rPr>
            </w:pPr>
            <w:r>
              <w:rPr>
                <w:rFonts w:ascii="Arial" w:cs="Arial" w:eastAsia="Arial" w:hAnsi="Arial"/>
                <w:sz w:val="18"/>
                <w:szCs w:val="18"/>
                <w:color w:val="auto"/>
              </w:rPr>
              <w:t>Operating expenses, excluding restructuring costs, depreciation</w:t>
            </w: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5380" w:type="dxa"/>
            <w:vAlign w:val="bottom"/>
          </w:tcPr>
          <w:p>
            <w:pPr>
              <w:spacing w:after="0"/>
              <w:rPr>
                <w:sz w:val="20"/>
                <w:szCs w:val="20"/>
                <w:color w:val="auto"/>
              </w:rPr>
            </w:pPr>
            <w:r>
              <w:rPr>
                <w:rFonts w:ascii="Arial" w:cs="Arial" w:eastAsia="Arial" w:hAnsi="Arial"/>
                <w:sz w:val="18"/>
                <w:szCs w:val="18"/>
                <w:color w:val="auto"/>
              </w:rPr>
              <w:t>and amortization</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9,682</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8,657</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28,402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29,324</w:t>
            </w: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122</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122</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167</w:t>
            </w:r>
          </w:p>
        </w:tc>
        <w:tc>
          <w:tcPr>
            <w:tcW w:w="140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188</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507</w:t>
            </w: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480</w:t>
            </w:r>
          </w:p>
        </w:tc>
      </w:tr>
      <w:tr>
        <w:trPr>
          <w:trHeight w:val="236"/>
        </w:trPr>
        <w:tc>
          <w:tcPr>
            <w:tcW w:w="5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4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1,950</w:t>
            </w:r>
          </w:p>
        </w:tc>
        <w:tc>
          <w:tcPr>
            <w:tcW w:w="140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2,634</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6,646</w:t>
            </w:r>
          </w:p>
        </w:tc>
        <w:tc>
          <w:tcPr>
            <w:tcW w:w="11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4,515</w:t>
            </w:r>
          </w:p>
        </w:tc>
      </w:tr>
      <w:tr>
        <w:trPr>
          <w:trHeight w:val="183"/>
        </w:trPr>
        <w:tc>
          <w:tcPr>
            <w:tcW w:w="53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tcPr>
          <w:p>
            <w:pPr>
              <w:jc w:val="right"/>
              <w:ind w:right="270"/>
              <w:spacing w:after="0" w:line="183" w:lineRule="exact"/>
              <w:rPr>
                <w:sz w:val="20"/>
                <w:szCs w:val="20"/>
                <w:color w:val="auto"/>
              </w:rPr>
            </w:pPr>
            <w:r>
              <w:rPr>
                <w:rFonts w:ascii="Arial" w:cs="Arial" w:eastAsia="Arial" w:hAnsi="Arial"/>
                <w:sz w:val="18"/>
                <w:szCs w:val="18"/>
                <w:color w:val="auto"/>
              </w:rPr>
              <w:t>362</w:t>
            </w:r>
          </w:p>
        </w:tc>
        <w:tc>
          <w:tcPr>
            <w:tcW w:w="1400" w:type="dxa"/>
            <w:vAlign w:val="bottom"/>
            <w:tcBorders>
              <w:bottom w:val="single" w:sz="8" w:color="auto"/>
            </w:tcBorders>
          </w:tcPr>
          <w:p>
            <w:pPr>
              <w:jc w:val="right"/>
              <w:ind w:right="270"/>
              <w:spacing w:after="0" w:line="183" w:lineRule="exact"/>
              <w:rPr>
                <w:sz w:val="20"/>
                <w:szCs w:val="20"/>
                <w:color w:val="auto"/>
              </w:rPr>
            </w:pPr>
            <w:r>
              <w:rPr>
                <w:rFonts w:ascii="Arial" w:cs="Arial" w:eastAsia="Arial" w:hAnsi="Arial"/>
                <w:sz w:val="18"/>
                <w:szCs w:val="18"/>
                <w:color w:val="auto"/>
              </w:rPr>
              <w:t>1,066</w:t>
            </w:r>
          </w:p>
        </w:tc>
        <w:tc>
          <w:tcPr>
            <w:tcW w:w="1360" w:type="dxa"/>
            <w:vAlign w:val="bottom"/>
            <w:tcBorders>
              <w:bottom w:val="single" w:sz="8" w:color="auto"/>
            </w:tcBorders>
          </w:tcPr>
          <w:p>
            <w:pPr>
              <w:jc w:val="right"/>
              <w:ind w:right="230"/>
              <w:spacing w:after="0" w:line="183" w:lineRule="exact"/>
              <w:rPr>
                <w:sz w:val="20"/>
                <w:szCs w:val="20"/>
                <w:color w:val="auto"/>
              </w:rPr>
            </w:pPr>
            <w:r>
              <w:rPr>
                <w:rFonts w:ascii="Arial" w:cs="Arial" w:eastAsia="Arial" w:hAnsi="Arial"/>
                <w:sz w:val="18"/>
                <w:szCs w:val="18"/>
                <w:color w:val="auto"/>
              </w:rPr>
              <w:t>1,982</w:t>
            </w:r>
          </w:p>
        </w:tc>
        <w:tc>
          <w:tcPr>
            <w:tcW w:w="112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2,762</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1400" w:type="dxa"/>
            <w:vAlign w:val="bottom"/>
            <w:tcBorders>
              <w:bottom w:val="single" w:sz="8" w:color="auto"/>
            </w:tcBorders>
            <w:shd w:val="clear" w:color="auto" w:fill="CCEEFF"/>
          </w:tcPr>
          <w:p>
            <w:pPr>
              <w:jc w:val="right"/>
              <w:ind w:right="270"/>
              <w:spacing w:after="0" w:line="183" w:lineRule="exact"/>
              <w:rPr>
                <w:sz w:val="20"/>
                <w:szCs w:val="20"/>
                <w:color w:val="auto"/>
              </w:rPr>
            </w:pPr>
            <w:r>
              <w:rPr>
                <w:rFonts w:ascii="Arial" w:cs="Arial" w:eastAsia="Arial" w:hAnsi="Arial"/>
                <w:sz w:val="18"/>
                <w:szCs w:val="18"/>
                <w:color w:val="auto"/>
              </w:rPr>
              <w:t>181</w:t>
            </w:r>
          </w:p>
        </w:tc>
        <w:tc>
          <w:tcPr>
            <w:tcW w:w="1400" w:type="dxa"/>
            <w:vAlign w:val="bottom"/>
            <w:tcBorders>
              <w:bottom w:val="single" w:sz="8" w:color="auto"/>
            </w:tcBorders>
            <w:shd w:val="clear" w:color="auto" w:fill="CCEEFF"/>
          </w:tcPr>
          <w:p>
            <w:pPr>
              <w:jc w:val="right"/>
              <w:ind w:right="270"/>
              <w:spacing w:after="0" w:line="183" w:lineRule="exact"/>
              <w:rPr>
                <w:sz w:val="20"/>
                <w:szCs w:val="20"/>
                <w:color w:val="auto"/>
              </w:rPr>
            </w:pPr>
            <w:r>
              <w:rPr>
                <w:rFonts w:ascii="Arial" w:cs="Arial" w:eastAsia="Arial" w:hAnsi="Arial"/>
                <w:sz w:val="18"/>
                <w:szCs w:val="18"/>
                <w:color w:val="auto"/>
              </w:rPr>
              <w:t>533</w:t>
            </w:r>
          </w:p>
        </w:tc>
        <w:tc>
          <w:tcPr>
            <w:tcW w:w="1360" w:type="dxa"/>
            <w:vAlign w:val="bottom"/>
            <w:tcBorders>
              <w:bottom w:val="single" w:sz="8" w:color="auto"/>
            </w:tcBorders>
            <w:shd w:val="clear" w:color="auto" w:fill="CCEEFF"/>
          </w:tcPr>
          <w:p>
            <w:pPr>
              <w:jc w:val="right"/>
              <w:ind w:right="230"/>
              <w:spacing w:after="0" w:line="183" w:lineRule="exact"/>
              <w:rPr>
                <w:sz w:val="20"/>
                <w:szCs w:val="20"/>
                <w:color w:val="auto"/>
              </w:rPr>
            </w:pPr>
            <w:r>
              <w:rPr>
                <w:rFonts w:ascii="Arial" w:cs="Arial" w:eastAsia="Arial" w:hAnsi="Arial"/>
                <w:sz w:val="18"/>
                <w:szCs w:val="18"/>
                <w:color w:val="auto"/>
              </w:rPr>
              <w:t>991</w:t>
            </w:r>
          </w:p>
        </w:tc>
        <w:tc>
          <w:tcPr>
            <w:tcW w:w="112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1,381</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MNI makes periodic distributions of its earnings and in the three months ended June 26, 2022 and June 27, 2021, we received $200,000 and $750,000, respectively. In the nine months ended June 26, 2022, and June 27, 2021, we received dividends of $1,000,000 and $1,900,000, respectively.</w:t>
      </w:r>
    </w:p>
    <w:p>
      <w:pPr>
        <w:sectPr>
          <w:pgSz w:w="11900" w:h="16838" w:orient="portrait"/>
          <w:cols w:equalWidth="0" w:num="1">
            <w:col w:w="11320"/>
          </w:cols>
          <w:pgMar w:left="320" w:top="121" w:right="259" w:bottom="1440" w:gutter="0" w:footer="0" w:header="0"/>
        </w:sect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4</w:t>
            </w:r>
          </w:p>
        </w:tc>
        <w:tc>
          <w:tcPr>
            <w:tcW w:w="6640" w:type="dxa"/>
            <w:vAlign w:val="bottom"/>
          </w:tcPr>
          <w:p>
            <w:pPr>
              <w:spacing w:after="0"/>
              <w:rPr>
                <w:sz w:val="20"/>
                <w:szCs w:val="20"/>
                <w:color w:val="auto"/>
              </w:rPr>
            </w:pPr>
            <w:r>
              <w:rPr>
                <w:rFonts w:ascii="Arial" w:cs="Arial" w:eastAsia="Arial" w:hAnsi="Arial"/>
                <w:sz w:val="18"/>
                <w:szCs w:val="18"/>
                <w:b w:val="1"/>
                <w:bCs w:val="1"/>
                <w:color w:val="auto"/>
              </w:rPr>
              <w:t>GOODWILL AND OTHER INTANGIBLE ASSETS</w:t>
            </w: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397"/>
        </w:trPr>
        <w:tc>
          <w:tcPr>
            <w:tcW w:w="66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Goodwill and identified intangible assets consist of the following:</w:t>
            </w: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5"/>
        </w:trPr>
        <w:tc>
          <w:tcPr>
            <w:tcW w:w="660" w:type="dxa"/>
            <w:vAlign w:val="bottom"/>
          </w:tcPr>
          <w:p>
            <w:pPr>
              <w:spacing w:after="0"/>
              <w:rPr>
                <w:sz w:val="16"/>
                <w:szCs w:val="16"/>
                <w:color w:val="auto"/>
              </w:rPr>
            </w:pPr>
          </w:p>
        </w:tc>
        <w:tc>
          <w:tcPr>
            <w:tcW w:w="66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177"/>
        </w:trPr>
        <w:tc>
          <w:tcPr>
            <w:tcW w:w="6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52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June 26,</w:t>
            </w:r>
          </w:p>
        </w:tc>
        <w:tc>
          <w:tcPr>
            <w:tcW w:w="1500" w:type="dxa"/>
            <w:vAlign w:val="bottom"/>
          </w:tcPr>
          <w:p>
            <w:pPr>
              <w:jc w:val="right"/>
              <w:ind w:right="10"/>
              <w:spacing w:after="0" w:line="177" w:lineRule="exact"/>
              <w:rPr>
                <w:sz w:val="20"/>
                <w:szCs w:val="20"/>
                <w:color w:val="auto"/>
              </w:rPr>
            </w:pPr>
            <w:r>
              <w:rPr>
                <w:rFonts w:ascii="Arial" w:cs="Arial" w:eastAsia="Arial" w:hAnsi="Arial"/>
                <w:sz w:val="18"/>
                <w:szCs w:val="18"/>
                <w:color w:val="auto"/>
              </w:rPr>
              <w:t>September 26,</w:t>
            </w:r>
          </w:p>
        </w:tc>
      </w:tr>
      <w:tr>
        <w:trPr>
          <w:trHeight w:val="221"/>
        </w:trPr>
        <w:tc>
          <w:tcPr>
            <w:tcW w:w="660" w:type="dxa"/>
            <w:vAlign w:val="bottom"/>
          </w:tcPr>
          <w:p>
            <w:pPr>
              <w:spacing w:after="0"/>
              <w:rPr>
                <w:sz w:val="19"/>
                <w:szCs w:val="19"/>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6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beginning of period</w:t>
            </w:r>
          </w:p>
        </w:tc>
        <w:tc>
          <w:tcPr>
            <w:tcW w:w="25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330,204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330,204</w:t>
            </w:r>
          </w:p>
        </w:tc>
      </w:tr>
      <w:tr>
        <w:trPr>
          <w:trHeight w:val="203"/>
        </w:trPr>
        <w:tc>
          <w:tcPr>
            <w:tcW w:w="660" w:type="dxa"/>
            <w:vAlign w:val="bottom"/>
          </w:tcPr>
          <w:p>
            <w:pPr>
              <w:spacing w:after="0"/>
              <w:rPr>
                <w:sz w:val="17"/>
                <w:szCs w:val="17"/>
                <w:color w:val="auto"/>
              </w:rPr>
            </w:pPr>
          </w:p>
        </w:tc>
        <w:tc>
          <w:tcPr>
            <w:tcW w:w="66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Impairment</w:t>
            </w:r>
          </w:p>
        </w:tc>
        <w:tc>
          <w:tcPr>
            <w:tcW w:w="25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(700)</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6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 end of period</w:t>
            </w:r>
          </w:p>
        </w:tc>
        <w:tc>
          <w:tcPr>
            <w:tcW w:w="252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329,504</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330,204</w:t>
            </w:r>
          </w:p>
        </w:tc>
      </w:tr>
      <w:tr>
        <w:trPr>
          <w:trHeight w:val="203"/>
        </w:trPr>
        <w:tc>
          <w:tcPr>
            <w:tcW w:w="66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Non-amortized intangible assets:</w:t>
            </w: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Mastheads</w:t>
            </w:r>
          </w:p>
        </w:tc>
        <w:tc>
          <w:tcPr>
            <w:tcW w:w="25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39,849</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39,672</w:t>
            </w:r>
          </w:p>
        </w:tc>
      </w:tr>
      <w:tr>
        <w:trPr>
          <w:trHeight w:val="203"/>
        </w:trPr>
        <w:tc>
          <w:tcPr>
            <w:tcW w:w="660" w:type="dxa"/>
            <w:vAlign w:val="bottom"/>
          </w:tcPr>
          <w:p>
            <w:pPr>
              <w:spacing w:after="0"/>
              <w:rPr>
                <w:sz w:val="17"/>
                <w:szCs w:val="17"/>
                <w:color w:val="auto"/>
              </w:rPr>
            </w:pPr>
          </w:p>
        </w:tc>
        <w:tc>
          <w:tcPr>
            <w:tcW w:w="664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2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Customer and newspaper subscriber lists</w:t>
            </w:r>
          </w:p>
        </w:tc>
        <w:tc>
          <w:tcPr>
            <w:tcW w:w="25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574,558</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774,242</w:t>
            </w:r>
          </w:p>
        </w:tc>
      </w:tr>
      <w:tr>
        <w:trPr>
          <w:trHeight w:val="203"/>
        </w:trPr>
        <w:tc>
          <w:tcPr>
            <w:tcW w:w="660" w:type="dxa"/>
            <w:vAlign w:val="bottom"/>
          </w:tcPr>
          <w:p>
            <w:pPr>
              <w:spacing w:after="0"/>
              <w:rPr>
                <w:sz w:val="17"/>
                <w:szCs w:val="17"/>
                <w:color w:val="auto"/>
              </w:rPr>
            </w:pPr>
          </w:p>
        </w:tc>
        <w:tc>
          <w:tcPr>
            <w:tcW w:w="664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Less accumulated amortization</w:t>
            </w:r>
          </w:p>
        </w:tc>
        <w:tc>
          <w:tcPr>
            <w:tcW w:w="25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(474,176)</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(657,243)</w:t>
            </w:r>
          </w:p>
        </w:tc>
      </w:tr>
      <w:tr>
        <w:trPr>
          <w:trHeight w:val="196"/>
        </w:trPr>
        <w:tc>
          <w:tcPr>
            <w:tcW w:w="660" w:type="dxa"/>
            <w:vAlign w:val="bottom"/>
          </w:tcPr>
          <w:p>
            <w:pPr>
              <w:spacing w:after="0"/>
              <w:rPr>
                <w:sz w:val="17"/>
                <w:szCs w:val="17"/>
                <w:color w:val="auto"/>
              </w:rPr>
            </w:pPr>
          </w:p>
        </w:tc>
        <w:tc>
          <w:tcPr>
            <w:tcW w:w="664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100,382</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116,999</w:t>
            </w:r>
          </w:p>
        </w:tc>
      </w:tr>
      <w:tr>
        <w:trPr>
          <w:trHeight w:val="196"/>
        </w:trPr>
        <w:tc>
          <w:tcPr>
            <w:tcW w:w="660" w:type="dxa"/>
            <w:vAlign w:val="bottom"/>
          </w:tcPr>
          <w:p>
            <w:pPr>
              <w:spacing w:after="0"/>
              <w:rPr>
                <w:sz w:val="17"/>
                <w:szCs w:val="17"/>
                <w:color w:val="auto"/>
              </w:rPr>
            </w:pPr>
          </w:p>
        </w:tc>
        <w:tc>
          <w:tcPr>
            <w:tcW w:w="6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intangibles, net</w:t>
            </w:r>
          </w:p>
        </w:tc>
        <w:tc>
          <w:tcPr>
            <w:tcW w:w="2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469,735</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486,875</w:t>
            </w:r>
          </w:p>
        </w:tc>
      </w:tr>
      <w:tr>
        <w:trPr>
          <w:trHeight w:val="20"/>
        </w:trPr>
        <w:tc>
          <w:tcPr>
            <w:tcW w:w="66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12.7 years.</w:t>
      </w:r>
    </w:p>
    <w:p>
      <w:pPr>
        <w:spacing w:after="0" w:line="23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has debt consisting of a single 25-year term loan with BH Finance LLC, with an aggregate principal balance of $462,554,000 at a 9% annual rate and maturing on March 16, 2045 (referred to herein as “Credit Agreement” and “Term Loan”). On June 26, 2022, based on market quotations, the fair value approximates carrying value. This represents a level 2 fair value measurement.</w:t>
      </w:r>
    </w:p>
    <w:p>
      <w:pPr>
        <w:spacing w:after="0" w:line="160" w:lineRule="exact"/>
        <w:rPr>
          <w:rFonts w:ascii="Arial" w:cs="Arial" w:eastAsia="Arial" w:hAnsi="Arial"/>
          <w:sz w:val="18"/>
          <w:szCs w:val="18"/>
          <w:b w:val="1"/>
          <w:bCs w:val="1"/>
          <w:color w:val="auto"/>
        </w:rPr>
      </w:pPr>
    </w:p>
    <w:p>
      <w:pPr>
        <w:jc w:val="both"/>
        <w:ind w:left="660" w:right="8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June 26, 2022, we made no principal debt payments. During the nine months ended June 26, 2022, we made principal debt payments of $20,062,000.For the nine months ended, payments consisted of $10,450,000 from the sale of non-core assets, $6,112,000 from September 26, 2021 excess cash flow, and $3,500,000 in voluntary prepayments. Future payments are contingent on the Company's ability to generate future excess cash flow, as defined in the Credit Agreement. As of June 26, 2022, there was no excess cash flow payment due.</w:t>
      </w:r>
    </w:p>
    <w:p>
      <w:pPr>
        <w:spacing w:after="0" w:line="16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98"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We entered into a Warrant Agreement dated March 31, 2014 (the “Warrant Agreement”). Under the Warrant Agreement, certain warrant holders received warrants to purchase, in cash, an initial aggregate of 600,000 shares of Common Stock, subject to adjustment pursuant to anti-dilution provisions and at an exercise price of $41.90 per share (the “Warrants”). The Warrants expired on March 31, 2022.</w:t>
      </w:r>
    </w:p>
    <w:p>
      <w:pPr>
        <w:spacing w:after="0" w:line="160"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Warrant Agreement required the Warrants to be measured at fair value and included in warrants and other liabilities in our Consolidated Balance Sheets. The initial fair value of the Warrants was $16,930,000. We re-measure the fair value of the liability each reporting period using the Black-Scholes option pricing model. The change in fair value of $71,000 for the nine months ended June 26, 2022 is reported as income in other, net non-operating income (expense).</w:t>
      </w:r>
    </w:p>
    <w:p>
      <w:pPr>
        <w:spacing w:after="0" w:line="16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Warrants expired on March 31, 2022. As of September 26, 2021, the fair value of the warrants was $71,000.</w:t>
      </w:r>
    </w:p>
    <w:p>
      <w:pPr>
        <w:spacing w:after="0" w:line="198"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issuance of the Warrants, we entered into a Registration Rights Agreement dated March 31, 2014 (the “Registration Rights Agreement”). The Registration Rights Agreement required, among other matters, that we use our commercially reasonable efforts to maintain the effectiveness for certain specified periods of a shelf registration statement related to the shares of Common Stock to be issued upon exercise of the Warrants.</w:t>
      </w:r>
    </w:p>
    <w:p>
      <w:pPr>
        <w:spacing w:after="0" w:line="20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98" w:lineRule="exact"/>
        <w:rPr>
          <w:rFonts w:ascii="Arial" w:cs="Arial" w:eastAsia="Arial" w:hAnsi="Arial"/>
          <w:sz w:val="18"/>
          <w:szCs w:val="18"/>
          <w:b w:val="1"/>
          <w:bCs w:val="1"/>
          <w:color w:val="auto"/>
        </w:rPr>
      </w:pPr>
    </w:p>
    <w:p>
      <w:pPr>
        <w:jc w:val="both"/>
        <w:ind w:left="660" w:right="8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We have several defined benefit pension plans that together cover certain employees, including plans established under collective bargaining agreements. As of September 26, 2021 two of seven plans had benefits under the plan frozen and no new participants are permitted. Additionally, we provide retiree medical and life insurance benefits under postretirement plans at several of our operating locations. Through June 26, 2022, our liability and related expense for benefits under the plans are recorded over the service period of employees based upon annual actuarial calculations.</w:t>
      </w:r>
    </w:p>
    <w:p>
      <w:pPr>
        <w:spacing w:after="0" w:line="162" w:lineRule="exact"/>
        <w:rPr>
          <w:rFonts w:ascii="Arial" w:cs="Arial" w:eastAsia="Arial" w:hAnsi="Arial"/>
          <w:sz w:val="18"/>
          <w:szCs w:val="18"/>
          <w:b w:val="1"/>
          <w:bCs w:val="1"/>
          <w:color w:val="auto"/>
        </w:rPr>
      </w:pPr>
    </w:p>
    <w:p>
      <w:pPr>
        <w:jc w:val="both"/>
        <w:ind w:left="660" w:right="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During the quarter ended December 26, 2021, we notified participants in four of our defined benefit plans of changes to be made to the plans. The Company froze future benefits for an additional four of the defined benefit plans. The freeze of future benefits resulted in a non-cash curtailment gain of $1,027,000 related to the four plans. In connection with the freeze the Company provided certain plan enhancements that resulted in an increase to our net pension liability and a decrease to Accumulated Other Comprehensive income of $6,507,000. Additionally, the Company merged the six frozen plans into one defined benefit plan effective in the second quarter of fiscal 2022.</w:t>
      </w:r>
    </w:p>
    <w:p>
      <w:pPr>
        <w:spacing w:after="0" w:line="165" w:lineRule="exact"/>
        <w:rPr>
          <w:rFonts w:ascii="Arial" w:cs="Arial" w:eastAsia="Arial" w:hAnsi="Arial"/>
          <w:sz w:val="18"/>
          <w:szCs w:val="18"/>
          <w:b w:val="1"/>
          <w:bCs w:val="1"/>
          <w:color w:val="auto"/>
        </w:rPr>
      </w:pPr>
    </w:p>
    <w:p>
      <w:pPr>
        <w:jc w:val="both"/>
        <w:ind w:left="660" w:right="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During the quarter ended December 27, 2020, we notified certain participants in one of our post-employment benefit plans of changes to be made to the plans, including elimination of coverage for certain participants. The changes resulted in a non-cash curtailment gain of $23,830,000 and a reduction in our benefit obligation by $23,830,000. This is recorded within Curtailment gain and Postretirement and postemployment benefit obligations.</w:t>
      </w:r>
    </w:p>
    <w:p>
      <w:pPr>
        <w:sectPr>
          <w:pgSz w:w="11900" w:h="16838" w:orient="portrait"/>
          <w:cols w:equalWidth="0" w:num="1">
            <w:col w:w="11320"/>
          </w:cols>
          <w:pgMar w:left="320" w:top="121" w:right="259" w:bottom="284" w:gutter="0" w:footer="0" w:header="0"/>
        </w:sect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284"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PENSION PLANS</w:t>
            </w:r>
          </w:p>
        </w:tc>
        <w:tc>
          <w:tcPr>
            <w:tcW w:w="336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244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8"/>
                <w:szCs w:val="18"/>
                <w:color w:val="auto"/>
              </w:rPr>
              <w:t>Nine months ended</w:t>
            </w:r>
          </w:p>
        </w:tc>
      </w:tr>
      <w:tr>
        <w:trPr>
          <w:trHeight w:val="177"/>
        </w:trPr>
        <w:tc>
          <w:tcPr>
            <w:tcW w:w="4860" w:type="dxa"/>
            <w:vAlign w:val="bottom"/>
          </w:tcPr>
          <w:p>
            <w:pPr>
              <w:spacing w:after="0"/>
              <w:rPr>
                <w:sz w:val="15"/>
                <w:szCs w:val="15"/>
                <w:color w:val="auto"/>
              </w:rPr>
            </w:pPr>
          </w:p>
        </w:tc>
        <w:tc>
          <w:tcPr>
            <w:tcW w:w="20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3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60" w:type="dxa"/>
            <w:vAlign w:val="bottom"/>
          </w:tcPr>
          <w:p>
            <w:pPr>
              <w:ind w:left="300"/>
              <w:spacing w:after="0" w:line="177" w:lineRule="exact"/>
              <w:rPr>
                <w:sz w:val="20"/>
                <w:szCs w:val="20"/>
                <w:color w:val="auto"/>
              </w:rPr>
            </w:pPr>
            <w:r>
              <w:rPr>
                <w:rFonts w:ascii="Arial" w:cs="Arial" w:eastAsia="Arial" w:hAnsi="Arial"/>
                <w:sz w:val="18"/>
                <w:szCs w:val="18"/>
                <w:color w:val="auto"/>
              </w:rPr>
              <w:t>June 26,</w:t>
            </w:r>
          </w:p>
        </w:tc>
        <w:tc>
          <w:tcPr>
            <w:tcW w:w="108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287</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633</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1,030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1,899</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2,001</w:t>
            </w:r>
          </w:p>
        </w:tc>
        <w:tc>
          <w:tcPr>
            <w:tcW w:w="1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1,787</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5,939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5,361</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(4,535)</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(4,672)</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(13,606)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(14,016)</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20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(687)</w:t>
            </w:r>
          </w:p>
        </w:tc>
        <w:tc>
          <w:tcPr>
            <w:tcW w:w="1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1,004</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(2,633)</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3,013</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212</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424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20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(1,027)</w:t>
            </w:r>
          </w:p>
        </w:tc>
        <w:tc>
          <w:tcPr>
            <w:tcW w:w="10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4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Pension benefit</w:t>
            </w:r>
          </w:p>
        </w:tc>
        <w:tc>
          <w:tcPr>
            <w:tcW w:w="20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(2,722)</w:t>
            </w:r>
          </w:p>
        </w:tc>
        <w:tc>
          <w:tcPr>
            <w:tcW w:w="1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(1,248)</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(9,873)</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(3,744)</w:t>
            </w:r>
          </w:p>
        </w:tc>
      </w:tr>
      <w:tr>
        <w:trPr>
          <w:trHeight w:val="183"/>
        </w:trPr>
        <w:tc>
          <w:tcPr>
            <w:tcW w:w="48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2"/>
          </w:tcPr>
          <w:p>
            <w:pPr>
              <w:spacing w:after="0"/>
              <w:rPr>
                <w:sz w:val="15"/>
                <w:szCs w:val="15"/>
                <w:color w:val="auto"/>
              </w:rPr>
            </w:pPr>
          </w:p>
        </w:tc>
        <w:tc>
          <w:tcPr>
            <w:tcW w:w="2440" w:type="dxa"/>
            <w:vAlign w:val="bottom"/>
            <w:tcBorders>
              <w:bottom w:val="single" w:sz="8" w:color="auto"/>
            </w:tcBorders>
            <w:gridSpan w:val="2"/>
          </w:tcPr>
          <w:p>
            <w:pPr>
              <w:spacing w:after="0"/>
              <w:rPr>
                <w:sz w:val="15"/>
                <w:szCs w:val="15"/>
                <w:color w:val="auto"/>
              </w:rPr>
            </w:pPr>
          </w:p>
        </w:tc>
      </w:tr>
      <w:tr>
        <w:trPr>
          <w:trHeight w:val="196"/>
        </w:trPr>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POSTRETIREMENT MEDICAL PLANS</w:t>
            </w:r>
          </w:p>
        </w:tc>
        <w:tc>
          <w:tcPr>
            <w:tcW w:w="3360" w:type="dxa"/>
            <w:vAlign w:val="bottom"/>
            <w:tcBorders>
              <w:bottom w:val="single" w:sz="8" w:color="auto"/>
            </w:tcBorders>
            <w:gridSpan w:val="2"/>
          </w:tcPr>
          <w:p>
            <w:pPr>
              <w:jc w:val="right"/>
              <w:ind w:right="690"/>
              <w:spacing w:after="0" w:line="196" w:lineRule="exact"/>
              <w:rPr>
                <w:sz w:val="20"/>
                <w:szCs w:val="20"/>
                <w:color w:val="auto"/>
              </w:rPr>
            </w:pPr>
            <w:r>
              <w:rPr>
                <w:rFonts w:ascii="Arial" w:cs="Arial" w:eastAsia="Arial" w:hAnsi="Arial"/>
                <w:sz w:val="18"/>
                <w:szCs w:val="18"/>
                <w:color w:val="auto"/>
              </w:rPr>
              <w:t>Three months ended</w:t>
            </w:r>
          </w:p>
        </w:tc>
        <w:tc>
          <w:tcPr>
            <w:tcW w:w="2440" w:type="dxa"/>
            <w:vAlign w:val="bottom"/>
            <w:tcBorders>
              <w:bottom w:val="single" w:sz="8" w:color="auto"/>
            </w:tcBorders>
            <w:gridSpan w:val="2"/>
          </w:tcPr>
          <w:p>
            <w:pPr>
              <w:ind w:left="320"/>
              <w:spacing w:after="0" w:line="196" w:lineRule="exact"/>
              <w:rPr>
                <w:sz w:val="20"/>
                <w:szCs w:val="20"/>
                <w:color w:val="auto"/>
              </w:rPr>
            </w:pPr>
            <w:r>
              <w:rPr>
                <w:rFonts w:ascii="Arial" w:cs="Arial" w:eastAsia="Arial" w:hAnsi="Arial"/>
                <w:sz w:val="18"/>
                <w:szCs w:val="18"/>
                <w:color w:val="auto"/>
              </w:rPr>
              <w:t>Nine months ended</w:t>
            </w:r>
          </w:p>
        </w:tc>
      </w:tr>
      <w:tr>
        <w:trPr>
          <w:trHeight w:val="177"/>
        </w:trPr>
        <w:tc>
          <w:tcPr>
            <w:tcW w:w="4860" w:type="dxa"/>
            <w:vAlign w:val="bottom"/>
          </w:tcPr>
          <w:p>
            <w:pPr>
              <w:spacing w:after="0"/>
              <w:rPr>
                <w:sz w:val="15"/>
                <w:szCs w:val="15"/>
                <w:color w:val="auto"/>
              </w:rPr>
            </w:pPr>
          </w:p>
        </w:tc>
        <w:tc>
          <w:tcPr>
            <w:tcW w:w="20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34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60" w:type="dxa"/>
            <w:vAlign w:val="bottom"/>
          </w:tcPr>
          <w:p>
            <w:pPr>
              <w:ind w:left="300"/>
              <w:spacing w:after="0" w:line="177" w:lineRule="exact"/>
              <w:rPr>
                <w:sz w:val="20"/>
                <w:szCs w:val="20"/>
                <w:color w:val="auto"/>
              </w:rPr>
            </w:pPr>
            <w:r>
              <w:rPr>
                <w:rFonts w:ascii="Arial" w:cs="Arial" w:eastAsia="Arial" w:hAnsi="Arial"/>
                <w:sz w:val="18"/>
                <w:szCs w:val="18"/>
                <w:color w:val="auto"/>
              </w:rPr>
              <w:t>June 26,</w:t>
            </w:r>
          </w:p>
        </w:tc>
        <w:tc>
          <w:tcPr>
            <w:tcW w:w="108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4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period</w:t>
            </w:r>
          </w:p>
        </w:tc>
        <w:tc>
          <w:tcPr>
            <w:tcW w:w="20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w:t>
            </w:r>
          </w:p>
        </w:tc>
        <w:tc>
          <w:tcPr>
            <w:tcW w:w="13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240</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81</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690</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0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85</w:t>
            </w:r>
          </w:p>
        </w:tc>
        <w:tc>
          <w:tcPr>
            <w:tcW w:w="13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239</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601</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(263)</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(252)</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(789)</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Amortization of net gain</w:t>
            </w:r>
          </w:p>
        </w:tc>
        <w:tc>
          <w:tcPr>
            <w:tcW w:w="20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(249)</w:t>
            </w:r>
          </w:p>
        </w:tc>
        <w:tc>
          <w:tcPr>
            <w:tcW w:w="134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(172)</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(747)</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(162)</w:t>
            </w:r>
          </w:p>
        </w:tc>
        <w:tc>
          <w:tcPr>
            <w:tcW w:w="134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(162)</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(486)</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r>
      <w:tr>
        <w:trPr>
          <w:trHeight w:val="203"/>
        </w:trPr>
        <w:tc>
          <w:tcPr>
            <w:tcW w:w="4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w:t>
            </w:r>
          </w:p>
        </w:tc>
        <w:tc>
          <w:tcPr>
            <w:tcW w:w="20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(23,830)</w:t>
            </w:r>
          </w:p>
        </w:tc>
      </w:tr>
      <w:tr>
        <w:trPr>
          <w:trHeight w:val="236"/>
        </w:trPr>
        <w:tc>
          <w:tcPr>
            <w:tcW w:w="48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Postretirement medical benefit</w:t>
            </w:r>
          </w:p>
        </w:tc>
        <w:tc>
          <w:tcPr>
            <w:tcW w:w="20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(562)</w:t>
            </w:r>
          </w:p>
        </w:tc>
        <w:tc>
          <w:tcPr>
            <w:tcW w:w="134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(107)</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(1,686)</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(24,296)</w:t>
            </w:r>
          </w:p>
        </w:tc>
      </w:tr>
    </w:tbl>
    <w:p>
      <w:pPr>
        <w:spacing w:after="0" w:line="184" w:lineRule="exact"/>
        <w:rPr>
          <w:sz w:val="20"/>
          <w:szCs w:val="20"/>
          <w:color w:val="auto"/>
        </w:rPr>
      </w:pPr>
    </w:p>
    <w:p>
      <w:pPr>
        <w:jc w:val="both"/>
        <w:ind w:left="660" w:right="80"/>
        <w:spacing w:after="0" w:line="253" w:lineRule="auto"/>
        <w:rPr>
          <w:sz w:val="20"/>
          <w:szCs w:val="20"/>
          <w:color w:val="auto"/>
        </w:rPr>
      </w:pPr>
      <w:r>
        <w:rPr>
          <w:rFonts w:ascii="Arial" w:cs="Arial" w:eastAsia="Arial" w:hAnsi="Arial"/>
          <w:sz w:val="18"/>
          <w:szCs w:val="18"/>
          <w:color w:val="auto"/>
        </w:rPr>
        <w:t>In the nine months ended June 26, 2022, we had no required contributions to our pension plans. In the nine months ended June 27, 2021, we contributed $965,000 to our pension plans. We have no required contributions to our pension plans for 2022 and therefore do not expect to make contributions to our pension trust during the remainder of fiscal 2022.</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8"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In prior periods, the Company effectuated withdrawals from several multiemployer plans. We recorded estimates of withdrawal liabilities as of the time the contracts agreeing to withdraw from those plans are ratified. As of June 26, 2022, and September 26, 2021, we had $24,337,020 and $23,471,000 withdrawal liabilities recorded in Other Liabilities in our Consolidated Balance Sheets. The liabilities reflect the estimated value of payments to the fund, payable over 20-years.</w:t>
      </w:r>
    </w:p>
    <w:p>
      <w:pPr>
        <w:spacing w:after="0" w:line="20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8" w:lineRule="exact"/>
        <w:rPr>
          <w:rFonts w:ascii="Arial" w:cs="Arial" w:eastAsia="Arial" w:hAnsi="Arial"/>
          <w:sz w:val="18"/>
          <w:szCs w:val="18"/>
          <w:b w:val="1"/>
          <w:bCs w:val="1"/>
          <w:color w:val="auto"/>
        </w:rPr>
      </w:pPr>
    </w:p>
    <w:p>
      <w:pPr>
        <w:jc w:val="both"/>
        <w:ind w:left="660" w:right="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We recorded an income tax expense of $156,000 related to income before taxes of $352,000 for the three months ended June 26, 2022, and income tax expense of $2,363,000 related to income before taxes of $9,064,000 for the nine months ended June 26, 2022. We recorded an income tax expense of $1,366,000 related to income before taxes of $5,103,000 for the three months ended June 27, 2021, and income tax expense of $7,106,000 related to income before taxes of $26,638,000 for the nine months ended June 27, 2021. The effective income tax rates for the three and nine months ended June 26, 2022, were 44.3% and 26.1%, respectively. The effective income tax rate for the three and nine months ended June 27, 2021, were 26.8% and 26.7%, respectively.</w:t>
      </w:r>
    </w:p>
    <w:p>
      <w:pPr>
        <w:spacing w:after="0" w:line="165" w:lineRule="exact"/>
        <w:rPr>
          <w:rFonts w:ascii="Arial" w:cs="Arial" w:eastAsia="Arial" w:hAnsi="Arial"/>
          <w:sz w:val="18"/>
          <w:szCs w:val="18"/>
          <w:b w:val="1"/>
          <w:bCs w:val="1"/>
          <w:color w:val="auto"/>
        </w:rPr>
      </w:pPr>
    </w:p>
    <w:p>
      <w:pPr>
        <w:jc w:val="both"/>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primary differences between these rates and the U.S. federal statutory rate of 21% are because of state taxes, non-deductible expenses, adjustments to reserves for uncertain tax positions, including any related interest, and mark-to-market adjustments to value stock warrants.</w:t>
      </w:r>
    </w:p>
    <w:p>
      <w:pPr>
        <w:spacing w:after="0" w:line="155" w:lineRule="exact"/>
        <w:rPr>
          <w:rFonts w:ascii="Arial" w:cs="Arial" w:eastAsia="Arial" w:hAnsi="Arial"/>
          <w:sz w:val="18"/>
          <w:szCs w:val="18"/>
          <w:b w:val="1"/>
          <w:bCs w:val="1"/>
          <w:color w:val="auto"/>
        </w:rPr>
      </w:pPr>
    </w:p>
    <w:p>
      <w:pPr>
        <w:jc w:val="both"/>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2014.</w:t>
      </w: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9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8"/>
                <w:szCs w:val="18"/>
                <w:color w:val="auto"/>
              </w:rPr>
              <w:t>Nine months ended</w:t>
            </w:r>
          </w:p>
        </w:tc>
      </w:tr>
      <w:tr>
        <w:trPr>
          <w:trHeight w:val="177"/>
        </w:trPr>
        <w:tc>
          <w:tcPr>
            <w:tcW w:w="5220" w:type="dxa"/>
            <w:vAlign w:val="bottom"/>
          </w:tcPr>
          <w:p>
            <w:pPr>
              <w:spacing w:after="0"/>
              <w:rPr>
                <w:sz w:val="15"/>
                <w:szCs w:val="15"/>
                <w:color w:val="auto"/>
              </w:rPr>
            </w:pPr>
          </w:p>
        </w:tc>
        <w:tc>
          <w:tcPr>
            <w:tcW w:w="158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June 26,</w:t>
            </w:r>
          </w:p>
        </w:tc>
        <w:tc>
          <w:tcPr>
            <w:tcW w:w="140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June 27,</w:t>
            </w:r>
          </w:p>
        </w:tc>
        <w:tc>
          <w:tcPr>
            <w:tcW w:w="1380" w:type="dxa"/>
            <w:vAlign w:val="bottom"/>
          </w:tcPr>
          <w:p>
            <w:pPr>
              <w:ind w:left="320"/>
              <w:spacing w:after="0" w:line="177" w:lineRule="exact"/>
              <w:rPr>
                <w:sz w:val="20"/>
                <w:szCs w:val="20"/>
                <w:color w:val="auto"/>
              </w:rPr>
            </w:pPr>
            <w:r>
              <w:rPr>
                <w:rFonts w:ascii="Arial" w:cs="Arial" w:eastAsia="Arial" w:hAnsi="Arial"/>
                <w:sz w:val="18"/>
                <w:szCs w:val="18"/>
                <w:color w:val="auto"/>
              </w:rPr>
              <w:t>June 26,</w:t>
            </w:r>
          </w:p>
        </w:tc>
        <w:tc>
          <w:tcPr>
            <w:tcW w:w="108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(Loss) income attributable to Lee Enterprises, Incorporated:</w:t>
            </w:r>
          </w:p>
        </w:tc>
        <w:tc>
          <w:tcPr>
            <w:tcW w:w="15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(269)</w:t>
            </w:r>
          </w:p>
        </w:tc>
        <w:tc>
          <w:tcPr>
            <w:tcW w:w="14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3,227</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5,113</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17,995</w:t>
            </w:r>
          </w:p>
        </w:tc>
      </w:tr>
      <w:tr>
        <w:trPr>
          <w:trHeight w:val="183"/>
        </w:trPr>
        <w:tc>
          <w:tcPr>
            <w:tcW w:w="5220" w:type="dxa"/>
            <w:vAlign w:val="bottom"/>
          </w:tcPr>
          <w:p>
            <w:pPr>
              <w:spacing w:after="0" w:line="183" w:lineRule="exact"/>
              <w:rPr>
                <w:sz w:val="20"/>
                <w:szCs w:val="20"/>
                <w:color w:val="auto"/>
              </w:rPr>
            </w:pPr>
            <w:r>
              <w:rPr>
                <w:rFonts w:ascii="Arial" w:cs="Arial" w:eastAsia="Arial" w:hAnsi="Arial"/>
                <w:sz w:val="18"/>
                <w:szCs w:val="18"/>
                <w:color w:val="auto"/>
              </w:rPr>
              <w:t>Weighted average common shares</w:t>
            </w:r>
          </w:p>
        </w:tc>
        <w:tc>
          <w:tcPr>
            <w:tcW w:w="158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5,965</w:t>
            </w:r>
          </w:p>
        </w:tc>
        <w:tc>
          <w:tcPr>
            <w:tcW w:w="140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5,881</w:t>
            </w:r>
          </w:p>
        </w:tc>
        <w:tc>
          <w:tcPr>
            <w:tcW w:w="1380" w:type="dxa"/>
            <w:vAlign w:val="bottom"/>
          </w:tcPr>
          <w:p>
            <w:pPr>
              <w:jc w:val="right"/>
              <w:ind w:right="270"/>
              <w:spacing w:after="0" w:line="183" w:lineRule="exact"/>
              <w:rPr>
                <w:sz w:val="20"/>
                <w:szCs w:val="20"/>
                <w:color w:val="auto"/>
              </w:rPr>
            </w:pPr>
            <w:r>
              <w:rPr>
                <w:rFonts w:ascii="Arial" w:cs="Arial" w:eastAsia="Arial" w:hAnsi="Arial"/>
                <w:sz w:val="18"/>
                <w:szCs w:val="18"/>
                <w:color w:val="auto"/>
              </w:rPr>
              <w:t>5,935</w:t>
            </w:r>
          </w:p>
        </w:tc>
        <w:tc>
          <w:tcPr>
            <w:tcW w:w="1080" w:type="dxa"/>
            <w:vAlign w:val="bottom"/>
          </w:tcPr>
          <w:p>
            <w:pPr>
              <w:jc w:val="right"/>
              <w:ind w:right="10"/>
              <w:spacing w:after="0" w:line="183" w:lineRule="exact"/>
              <w:rPr>
                <w:sz w:val="20"/>
                <w:szCs w:val="20"/>
                <w:color w:val="auto"/>
              </w:rPr>
            </w:pPr>
            <w:r>
              <w:rPr>
                <w:rFonts w:ascii="Arial" w:cs="Arial" w:eastAsia="Arial" w:hAnsi="Arial"/>
                <w:sz w:val="18"/>
                <w:szCs w:val="18"/>
                <w:color w:val="auto"/>
              </w:rPr>
              <w:t>5,867</w:t>
            </w: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weighted average restricted Common Stock</w:t>
            </w:r>
          </w:p>
        </w:tc>
        <w:tc>
          <w:tcPr>
            <w:tcW w:w="15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(170)</w:t>
            </w:r>
          </w:p>
        </w:tc>
        <w:tc>
          <w:tcPr>
            <w:tcW w:w="1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(156)</w:t>
            </w:r>
          </w:p>
        </w:tc>
        <w:tc>
          <w:tcPr>
            <w:tcW w:w="13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(168)</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Basic average common shares</w:t>
            </w:r>
          </w:p>
        </w:tc>
        <w:tc>
          <w:tcPr>
            <w:tcW w:w="158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5,795</w:t>
            </w:r>
          </w:p>
        </w:tc>
        <w:tc>
          <w:tcPr>
            <w:tcW w:w="140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5,725</w:t>
            </w:r>
          </w:p>
        </w:tc>
        <w:tc>
          <w:tcPr>
            <w:tcW w:w="138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5,767</w:t>
            </w:r>
          </w:p>
        </w:tc>
        <w:tc>
          <w:tcPr>
            <w:tcW w:w="10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5,712</w:t>
            </w: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15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123</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93</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102</w:t>
            </w: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Diluted average common shares</w:t>
            </w:r>
          </w:p>
        </w:tc>
        <w:tc>
          <w:tcPr>
            <w:tcW w:w="15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5,795</w:t>
            </w:r>
          </w:p>
        </w:tc>
        <w:tc>
          <w:tcPr>
            <w:tcW w:w="14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5,848</w:t>
            </w:r>
          </w:p>
        </w:tc>
        <w:tc>
          <w:tcPr>
            <w:tcW w:w="13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5,860</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5,814</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common share:</w:t>
            </w:r>
          </w:p>
        </w:tc>
        <w:tc>
          <w:tcPr>
            <w:tcW w:w="15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15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0.56</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0.89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3.15</w:t>
            </w:r>
          </w:p>
        </w:tc>
      </w:tr>
      <w:tr>
        <w:trPr>
          <w:trHeight w:val="243"/>
        </w:trPr>
        <w:tc>
          <w:tcPr>
            <w:tcW w:w="5220" w:type="dxa"/>
            <w:vAlign w:val="bottom"/>
            <w:tcBorders>
              <w:bottom w:val="single" w:sz="8" w:color="auto"/>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4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0.55</w:t>
            </w:r>
          </w:p>
        </w:tc>
        <w:tc>
          <w:tcPr>
            <w:tcW w:w="13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0.87</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3.10</w:t>
            </w:r>
          </w:p>
        </w:tc>
      </w:tr>
    </w:tbl>
    <w:p>
      <w:pPr>
        <w:spacing w:after="0" w:line="184"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For the three months ended June 26, 2022 no shares were considered in the computation of diluted earnings per common share because the Company recorded net losses. For the nine months ended June 26, 2022, 74,804 shares were not considered in the computation of diluted earnings per common share because their inclusion would result in an anti-dilutive effect on per share amounts. For the three and nine months ended June 27, 2021, 600,000 anti-dilutive shares were excluded.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198" w:lineRule="exact"/>
        <w:rPr>
          <w:sz w:val="20"/>
          <w:szCs w:val="20"/>
          <w:color w:val="auto"/>
        </w:rPr>
      </w:pPr>
    </w:p>
    <w:p>
      <w:pPr>
        <w:jc w:val="both"/>
        <w:ind w:left="660" w:right="80"/>
        <w:spacing w:after="0" w:line="242" w:lineRule="auto"/>
        <w:rPr>
          <w:sz w:val="20"/>
          <w:szCs w:val="20"/>
          <w:color w:val="auto"/>
        </w:rPr>
      </w:pPr>
      <w:r>
        <w:rPr>
          <w:rFonts w:ascii="Arial" w:cs="Arial" w:eastAsia="Arial" w:hAnsi="Arial"/>
          <w:sz w:val="18"/>
          <w:szCs w:val="18"/>
          <w:color w:val="auto"/>
        </w:rPr>
        <w:t>On November 24, 2021, our Board of Directors adopted a stockholder rights plan (the “Rights Agreement”). Pursuant to the Rights Agreement, on November 24, 2021, our Board of Directors declared a dividend of one preferred share purchase right (a “Right”), payable on December 6, 2021, for each share of our Common Stock outstanding to the stockholders of record on that date. Each Right entitles the registered holder to purchase from the Company one-thousandth of a share of Series B Participating Convertible Preferred Stock, without par value (the “Preferred Shares”), of the Company at a price of $120.00 per one one-thousandth of a Preferred Share represented by a Right, subject to adjustment.</w:t>
      </w:r>
    </w:p>
    <w:p>
      <w:pPr>
        <w:spacing w:after="0" w:line="179" w:lineRule="exact"/>
        <w:rPr>
          <w:sz w:val="20"/>
          <w:szCs w:val="20"/>
          <w:color w:val="auto"/>
        </w:rPr>
      </w:pPr>
    </w:p>
    <w:p>
      <w:pPr>
        <w:jc w:val="both"/>
        <w:ind w:left="660" w:right="80"/>
        <w:spacing w:after="0"/>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10% (or 20% in the case of certain passive investors)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November 23, 2022,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171" w:lineRule="exact"/>
        <w:rPr>
          <w:sz w:val="20"/>
          <w:szCs w:val="20"/>
          <w:color w:val="auto"/>
        </w:rPr>
      </w:pPr>
    </w:p>
    <w:p>
      <w:pPr>
        <w:jc w:val="both"/>
        <w:ind w:left="660" w:right="80"/>
        <w:spacing w:after="0" w:line="247"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201" w:lineRule="exact"/>
        <w:rPr>
          <w:sz w:val="20"/>
          <w:szCs w:val="20"/>
          <w:color w:val="auto"/>
        </w:rPr>
      </w:pPr>
    </w:p>
    <w:p>
      <w:pPr>
        <w:ind w:left="660" w:right="6540" w:hanging="652"/>
        <w:spacing w:after="0" w:line="46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rFonts w:ascii="Arial" w:cs="Arial" w:eastAsia="Arial" w:hAnsi="Arial"/>
          <w:sz w:val="18"/>
          <w:szCs w:val="18"/>
          <w:b w:val="1"/>
          <w:bCs w:val="1"/>
          <w:color w:val="auto"/>
        </w:rPr>
      </w:pPr>
    </w:p>
    <w:p>
      <w:pPr>
        <w:jc w:val="both"/>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3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and nine months ended June 26, 2022. This discussion should be read in conjunction with the Consolidated Financial Statements and related Notes thereto, included herein, and our 2021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Lee Enterprises, Incorporated is a leading provider of high quality, trusted, local news and information in the markets we serve with rapidly growing digital subscription and advertising platforms.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operate 77 principally mid-sized local media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reach nearly 70% of all adults in our larger markets through a combination of our print and digital content offerings.</w:t>
      </w:r>
    </w:p>
    <w:p>
      <w:pPr>
        <w:spacing w:after="0" w:line="198" w:lineRule="exact"/>
        <w:rPr>
          <w:sz w:val="20"/>
          <w:szCs w:val="20"/>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almost 43 million monthly unique visitors in 2022 with 349 million page views and 80 million visits.</w:t>
      </w:r>
    </w:p>
    <w:p>
      <w:pPr>
        <w:spacing w:after="0" w:line="140"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approximately one million paid subscribers to our print and digital products. Digital-only subscribers totaled approximately 501,000, a 48.6% increase over the prior year.</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Our products include daily newspapers, websites and mobile applications, mobile news and advertising, video products, a digital marketing agency, digital services including web hosting and content management, niche publications and community newspapers. Our local media operations range from large daily newspapers and their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operate Amplified Digital, a full service digital marketing agency offering omnichannel marketing solutions, audience targeted display, social audience targeting, social media management, email marketing, banners, video streaming and much more. Amplified Digital serves more than 4,500 customers in 49 states.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also operate TownNews which provides state-of-the-art web hosting, content management services and video management services to nearly 2,200 other media organizations including broadcast.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post-pandemic operating strategy is locally focused around three pillars:</w:t>
      </w:r>
    </w:p>
    <w:p>
      <w:pPr>
        <w:spacing w:after="0" w:line="160"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98" w:lineRule="exact"/>
        <w:rPr>
          <w:rFonts w:ascii="Arial" w:cs="Arial" w:eastAsia="Arial" w:hAnsi="Arial"/>
          <w:sz w:val="18"/>
          <w:szCs w:val="18"/>
          <w:color w:val="auto"/>
        </w:rPr>
      </w:pPr>
    </w:p>
    <w:p>
      <w:pPr>
        <w:ind w:left="460" w:right="40" w:hanging="223"/>
        <w:spacing w:after="0" w:line="301"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Diversify and expand offerings for advertisers by launching a portfolio of video advertising initiatives and e-commerce sales strategies through Amplified Digital that will enable advertisers to leverage our vast data-rich digital audiences and reach consumers in new ways.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26,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June 26,</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June 27,</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29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Change</w:t>
            </w:r>
          </w:p>
        </w:tc>
      </w:tr>
      <w:tr>
        <w:trPr>
          <w:trHeight w:val="196"/>
        </w:trPr>
        <w:tc>
          <w:tcPr>
            <w:tcW w:w="5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2"/>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Print</w:t>
            </w:r>
          </w:p>
        </w:tc>
        <w:tc>
          <w:tcPr>
            <w:tcW w:w="2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44,814</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54,632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r>
      <w:tr>
        <w:trPr>
          <w:trHeight w:val="203"/>
        </w:trPr>
        <w:tc>
          <w:tcPr>
            <w:tcW w:w="59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9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46,187</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36,490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26.6</w:t>
            </w:r>
          </w:p>
        </w:tc>
      </w:tr>
      <w:tr>
        <w:trPr>
          <w:trHeight w:val="196"/>
        </w:trPr>
        <w:tc>
          <w:tcPr>
            <w:tcW w:w="5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9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91,001</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91,122</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w:t>
            </w:r>
          </w:p>
        </w:tc>
      </w:tr>
      <w:tr>
        <w:trPr>
          <w:trHeight w:val="196"/>
        </w:trPr>
        <w:tc>
          <w:tcPr>
            <w:tcW w:w="59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Print</w:t>
            </w:r>
          </w:p>
        </w:tc>
        <w:tc>
          <w:tcPr>
            <w:tcW w:w="2920" w:type="dxa"/>
            <w:vAlign w:val="bottom"/>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78,079</w:t>
            </w:r>
          </w:p>
        </w:tc>
        <w:tc>
          <w:tcPr>
            <w:tcW w:w="13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81,483</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3"/>
        </w:trPr>
        <w:tc>
          <w:tcPr>
            <w:tcW w:w="5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Digital</w:t>
            </w:r>
          </w:p>
        </w:tc>
        <w:tc>
          <w:tcPr>
            <w:tcW w:w="29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10,969</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7,309</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50.1</w:t>
            </w:r>
          </w:p>
        </w:tc>
      </w:tr>
      <w:tr>
        <w:trPr>
          <w:trHeight w:val="196"/>
        </w:trPr>
        <w:tc>
          <w:tcPr>
            <w:tcW w:w="5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29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89,048</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88,792</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0.3</w:t>
            </w:r>
          </w:p>
        </w:tc>
      </w:tr>
      <w:tr>
        <w:trPr>
          <w:trHeight w:val="196"/>
        </w:trPr>
        <w:tc>
          <w:tcPr>
            <w:tcW w:w="5900" w:type="dxa"/>
            <w:vAlign w:val="bottom"/>
          </w:tcPr>
          <w:p>
            <w:pPr>
              <w:ind w:left="180"/>
              <w:spacing w:after="0" w:line="196" w:lineRule="exact"/>
              <w:rPr>
                <w:sz w:val="20"/>
                <w:szCs w:val="20"/>
                <w:color w:val="auto"/>
              </w:rPr>
            </w:pPr>
            <w:r>
              <w:rPr>
                <w:rFonts w:ascii="Arial" w:cs="Arial" w:eastAsia="Arial" w:hAnsi="Arial"/>
                <w:sz w:val="18"/>
                <w:szCs w:val="18"/>
                <w:color w:val="auto"/>
              </w:rPr>
              <w:t>Print</w:t>
            </w:r>
          </w:p>
        </w:tc>
        <w:tc>
          <w:tcPr>
            <w:tcW w:w="29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10,671</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11,880</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3"/>
        </w:trPr>
        <w:tc>
          <w:tcPr>
            <w:tcW w:w="59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9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4,317</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4,696</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r>
      <w:tr>
        <w:trPr>
          <w:trHeight w:val="196"/>
        </w:trPr>
        <w:tc>
          <w:tcPr>
            <w:tcW w:w="5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revenue</w:t>
            </w:r>
          </w:p>
        </w:tc>
        <w:tc>
          <w:tcPr>
            <w:tcW w:w="29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14,988</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16,576</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9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195,037</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196,490</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9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78,126</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82,731</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7,542</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7,051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w:t>
            </w: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9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88,004</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82,117</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w:t>
            </w: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9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8,818</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10,836</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on sales, impairments and other, net</w:t>
            </w:r>
          </w:p>
        </w:tc>
        <w:tc>
          <w:tcPr>
            <w:tcW w:w="29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1,086</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242</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9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6,072</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1,419</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5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9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189,648</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184,396</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w:t>
            </w:r>
          </w:p>
        </w:tc>
      </w:tr>
      <w:tr>
        <w:trPr>
          <w:trHeight w:val="209"/>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in earnings of associated companies</w:t>
            </w:r>
          </w:p>
        </w:tc>
        <w:tc>
          <w:tcPr>
            <w:tcW w:w="2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1,050</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196"/>
        </w:trPr>
        <w:tc>
          <w:tcPr>
            <w:tcW w:w="5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9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6,439</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13,783</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w:t>
            </w: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9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(10,292)</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(11,010)</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5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92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4,205</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2,330</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80.5</w:t>
            </w:r>
          </w:p>
        </w:tc>
      </w:tr>
      <w:tr>
        <w:trPr>
          <w:trHeight w:val="196"/>
        </w:trPr>
        <w:tc>
          <w:tcPr>
            <w:tcW w:w="5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9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(6,087)</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(8,680)</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w:t>
            </w: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9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352</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5,103</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(93.1)</w:t>
            </w:r>
          </w:p>
        </w:tc>
      </w:tr>
      <w:tr>
        <w:trPr>
          <w:trHeight w:val="203"/>
        </w:trPr>
        <w:tc>
          <w:tcPr>
            <w:tcW w:w="5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9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156</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1,366</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r>
      <w:tr>
        <w:trPr>
          <w:trHeight w:val="196"/>
        </w:trPr>
        <w:tc>
          <w:tcPr>
            <w:tcW w:w="590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9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196</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3,737</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(94.8)</w:t>
            </w:r>
          </w:p>
        </w:tc>
      </w:tr>
      <w:tr>
        <w:trPr>
          <w:trHeight w:val="203"/>
        </w:trPr>
        <w:tc>
          <w:tcPr>
            <w:tcW w:w="59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9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(0.05)</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0.56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9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92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(0.05)</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0.55</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-4516755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References to the “2022 Quarter” refer to the three months ended June 26, 2022. Similarly, references to the “2021 Quarter” refer to the three months ended June 27, 2021.</w:t>
      </w:r>
    </w:p>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$195,037,000 in the 2022 Quarter, down $1,453,000, or 0.7%, compared to the prior year.</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Advertising and marketing services revenue totaled $91,001,000 in the 2022 Quarter, down 0.1% compared to the 2021 Quarter. Print advertising revenues were $44,814,000 in the 2022 Quarter, down 18% compared to the 2021 Quarter due to continued secular declines in demand for print advertising. Digital advertising and marketing services totaled $46,187,000 in the 2022 Quarter, up 26.6% compared to the 2021 Quarter. These gains resulted from an increase in Amplified Digital revenue and an increase in digital advertising on our owned and operated sites. Digital advertising and marketing services represented 50.8% of the 2022 Quarter total advertising and marketing services revenue, compared to 40.1% in the same period last year.</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Subscription revenue totaled $89,048,000 in the 2022 Quarter, up 0.3% compared to the 2021 Quarter. Selective increases on our full access subscriptions, growth in digital-only subscribers and price increases on digital subscriptions, were partially offset by a decline in full access volume, consistent with historical and industry trends. Digital-only subscribers grew 48.6% since the 2021 Quarter and now total 501,000.</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revenue, which primarily consists of commercial printing revenue and digital services from TownNews, decreased $1,588,000, or 9.6%, in the 2022 Quarter compared to the 2021 Quarter. Digital services revenue totaled $4,317,000 in the 2022 Quarter, an 8.1% decrease compared to the 2021 Quarter. Commercial printing revenue totaled $5,341,000 in the 2022 Quarter, a 15.7% decrease compared to the 2021 Quarter, primarily driven by reduction in print volumes from our partners.</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$61,473,000 in the 2022 Quarter, an increase of 26.8% over the 2021 Quarter, and represented 31.5% of our total operating revenue in the 2022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$639,000 in the 2022 Quarter.</w:t>
      </w:r>
    </w:p>
    <w:p>
      <w:pPr>
        <w:sectPr>
          <w:pgSz w:w="11900" w:h="16838" w:orient="portrait"/>
          <w:cols w:equalWidth="0" w:num="1">
            <w:col w:w="11240"/>
          </w:cols>
          <w:pgMar w:left="320" w:top="121" w:right="339" w:bottom="108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8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operating expenses were $189,648,000 in the 2022 Quarter, a 2.8% increase compared to the 2021 Quarter. Cash Costs a non-GAAP financial measure used to summarize certain operating expense (see reconciliation of Non-GAAP financial measures below) were up 1.0% in the 2022 Quarter.</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Compensation expense decreased $ 4,605,000 in the 2022 Quarter, or 5.6%, compared to the 2021 Quarter from reductions in full time employees ("FTEs") due to continued business transformation efforts, partially offset by investments in digital talent.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Newsprint and ink costs increased $491,000 in the 2022 Quarter, or 7.0%, compared to the 2021 Quarter. The increase is attributable to higher newsprint prices offset by declines in newsprint volumes. See Item 3, “Commodities”, included herein, for further discussion and analysis of the impact of newsprint on our business.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operating expenses increased $5,887,000 in the 2022 Quarter, or 7.2%, compared to the 2021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increase is attributable to increases in investments to fund our digital growth strategy partially offset by lower delivery and other print-related costs due to lower volumes of our print editions.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Restructuring costs and other totaled $6,072,000 and $1,419,000 in the 2022 Quarter and 2021 Quarter, respectively. Restructuring costs and other include severance costs, litigation expenses, restructuring expenses, and advisor expenses in the 2022 quarter associated with the unsolicited offer in November 2021. Restructuring costs in the 2021 Quarter are predominately severance related to our ongoing business transformation.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expense decreased $2,018,000, or 18.6%, in the 2022 Quarter. The decrease in both is attributable to assets becoming fully depreciated or amortized.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loss on sales, impairments and other, was a net loss of $1,086,000 in the 2022 Quarter compared to a net loss of $242,000 in the 2021 Quarter. The gains and losses and impairments in the 2022 Quarter and in the 2021 Quarter were the result of the disposition of non-core assets, including real estate.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factors noted above resulted in an operating income of $6,439,000 in the 2022 Quarter compared to operating income of $13,783,000 in the 2021 Quarter.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decreased $718,000, or 6.5%, to $ 10,292,000 in the 2022 Quarter, compared to the same period last year. The decrease was due to a lower outstanding balance on our Term Loan. Our weighted average cost of debt was 9.0% at the end of the 2022 Quarter and 2021 Quarter.</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$3,598,000 periodic pension and other postretirement benefits in the 2022 Quarter compared to $2,228,000 in the 2021 Quarter. We recorded non-operating income of $0 in the 2022 Quarter and non-operating expense of $237,000 in the 2021 Quarter, related to the changes in the value of the Warrants.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recorded an income tax expense of $156,000, or 44.3% of pretax income in the 2022 Quarter. In the 2021 Quarter, we recognized an income tax expense of $1,366,000, or 26.8% of pretax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(losses) Per Share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income was $196,000 and diluted losses per share were $0.05 for the 2022 Quarter compared to net income of $3,737,000 and diluted earnings per share of $0.55 for the 2021 Quarter. The change reflects the various items discussed above.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26,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jc w:val="right"/>
              <w:ind w:right="450"/>
              <w:spacing w:after="0" w:line="197" w:lineRule="exact"/>
              <w:rPr>
                <w:sz w:val="20"/>
                <w:szCs w:val="20"/>
                <w:color w:val="auto"/>
              </w:rPr>
            </w:pPr>
            <w:r>
              <w:rPr>
                <w:rFonts w:ascii="Arial" w:cs="Arial" w:eastAsia="Arial" w:hAnsi="Arial"/>
                <w:sz w:val="18"/>
                <w:szCs w:val="18"/>
                <w:color w:val="auto"/>
              </w:rPr>
              <w:t>June 26,</w:t>
            </w:r>
          </w:p>
        </w:tc>
        <w:tc>
          <w:tcPr>
            <w:tcW w:w="1700" w:type="dxa"/>
            <w:vAlign w:val="bottom"/>
            <w:tcBorders>
              <w:top w:val="single" w:sz="8" w:color="auto"/>
            </w:tcBorders>
          </w:tcPr>
          <w:p>
            <w:pPr>
              <w:jc w:val="right"/>
              <w:ind w:right="450"/>
              <w:spacing w:after="0" w:line="197" w:lineRule="exact"/>
              <w:rPr>
                <w:sz w:val="20"/>
                <w:szCs w:val="20"/>
                <w:color w:val="auto"/>
              </w:rPr>
            </w:pPr>
            <w:r>
              <w:rPr>
                <w:rFonts w:ascii="Arial" w:cs="Arial" w:eastAsia="Arial" w:hAnsi="Arial"/>
                <w:sz w:val="18"/>
                <w:szCs w:val="18"/>
                <w:color w:val="auto"/>
              </w:rPr>
              <w:t>June 27,</w:t>
            </w:r>
          </w:p>
        </w:tc>
        <w:tc>
          <w:tcPr>
            <w:tcW w:w="1220" w:type="dxa"/>
            <w:vAlign w:val="bottom"/>
            <w:tcBorders>
              <w:top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Percent</w:t>
            </w:r>
          </w:p>
        </w:tc>
      </w:tr>
      <w:tr>
        <w:trPr>
          <w:trHeight w:val="221"/>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2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196"/>
        </w:trPr>
        <w:tc>
          <w:tcPr>
            <w:tcW w:w="5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820" w:type="dxa"/>
            <w:vAlign w:val="bottom"/>
          </w:tcPr>
          <w:p>
            <w:pPr>
              <w:ind w:left="180"/>
              <w:spacing w:after="0" w:line="202" w:lineRule="exact"/>
              <w:rPr>
                <w:sz w:val="20"/>
                <w:szCs w:val="20"/>
                <w:color w:val="auto"/>
              </w:rPr>
            </w:pPr>
            <w:r>
              <w:rPr>
                <w:rFonts w:ascii="Arial" w:cs="Arial" w:eastAsia="Arial" w:hAnsi="Arial"/>
                <w:sz w:val="18"/>
                <w:szCs w:val="18"/>
                <w:color w:val="auto"/>
              </w:rPr>
              <w:t>Print</w:t>
            </w:r>
          </w:p>
        </w:tc>
        <w:tc>
          <w:tcPr>
            <w:tcW w:w="2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145,032</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174,933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r>
      <w:tr>
        <w:trPr>
          <w:trHeight w:val="203"/>
        </w:trPr>
        <w:tc>
          <w:tcPr>
            <w:tcW w:w="58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5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132,356</w:t>
            </w:r>
          </w:p>
        </w:tc>
        <w:tc>
          <w:tcPr>
            <w:tcW w:w="17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104,393</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26.8</w:t>
            </w:r>
          </w:p>
        </w:tc>
      </w:tr>
      <w:tr>
        <w:trPr>
          <w:trHeight w:val="196"/>
        </w:trPr>
        <w:tc>
          <w:tcPr>
            <w:tcW w:w="5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25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277,388</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279,326</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w:t>
            </w:r>
          </w:p>
        </w:tc>
      </w:tr>
      <w:tr>
        <w:trPr>
          <w:trHeight w:val="196"/>
        </w:trPr>
        <w:tc>
          <w:tcPr>
            <w:tcW w:w="58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Print</w:t>
            </w:r>
          </w:p>
        </w:tc>
        <w:tc>
          <w:tcPr>
            <w:tcW w:w="25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234,962</w:t>
            </w:r>
          </w:p>
        </w:tc>
        <w:tc>
          <w:tcPr>
            <w:tcW w:w="170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249,332</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3"/>
        </w:trPr>
        <w:tc>
          <w:tcPr>
            <w:tcW w:w="58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Digital</w:t>
            </w:r>
          </w:p>
        </w:tc>
        <w:tc>
          <w:tcPr>
            <w:tcW w:w="25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28,953</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20,573</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40.7</w:t>
            </w:r>
          </w:p>
        </w:tc>
      </w:tr>
      <w:tr>
        <w:trPr>
          <w:trHeight w:val="196"/>
        </w:trPr>
        <w:tc>
          <w:tcPr>
            <w:tcW w:w="5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Subscription revenue</w:t>
            </w:r>
          </w:p>
        </w:tc>
        <w:tc>
          <w:tcPr>
            <w:tcW w:w="25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263,915</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269,905</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820" w:type="dxa"/>
            <w:vAlign w:val="bottom"/>
          </w:tcPr>
          <w:p>
            <w:pPr>
              <w:ind w:left="180"/>
              <w:spacing w:after="0" w:line="196" w:lineRule="exact"/>
              <w:rPr>
                <w:sz w:val="20"/>
                <w:szCs w:val="20"/>
                <w:color w:val="auto"/>
              </w:rPr>
            </w:pPr>
            <w:r>
              <w:rPr>
                <w:rFonts w:ascii="Arial" w:cs="Arial" w:eastAsia="Arial" w:hAnsi="Arial"/>
                <w:sz w:val="18"/>
                <w:szCs w:val="18"/>
                <w:color w:val="auto"/>
              </w:rPr>
              <w:t>Print</w:t>
            </w:r>
          </w:p>
        </w:tc>
        <w:tc>
          <w:tcPr>
            <w:tcW w:w="25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32,430</w:t>
            </w:r>
          </w:p>
        </w:tc>
        <w:tc>
          <w:tcPr>
            <w:tcW w:w="17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37,177</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3"/>
        </w:trPr>
        <w:tc>
          <w:tcPr>
            <w:tcW w:w="58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Digital</w:t>
            </w:r>
          </w:p>
        </w:tc>
        <w:tc>
          <w:tcPr>
            <w:tcW w:w="25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13,600</w:t>
            </w:r>
          </w:p>
        </w:tc>
        <w:tc>
          <w:tcPr>
            <w:tcW w:w="17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14,328</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r>
      <w:tr>
        <w:trPr>
          <w:trHeight w:val="196"/>
        </w:trPr>
        <w:tc>
          <w:tcPr>
            <w:tcW w:w="5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revenue</w:t>
            </w:r>
          </w:p>
        </w:tc>
        <w:tc>
          <w:tcPr>
            <w:tcW w:w="25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46,030</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51,505</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5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5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587,333</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600,736</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25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246,333</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250,048</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582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2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22,254</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22,222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w:t>
            </w:r>
          </w:p>
        </w:tc>
      </w:tr>
      <w:tr>
        <w:trPr>
          <w:trHeight w:val="203"/>
        </w:trPr>
        <w:tc>
          <w:tcPr>
            <w:tcW w:w="5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25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258,665</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243,749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w:t>
            </w:r>
          </w:p>
        </w:tc>
      </w:tr>
      <w:tr>
        <w:trPr>
          <w:trHeight w:val="203"/>
        </w:trPr>
        <w:tc>
          <w:tcPr>
            <w:tcW w:w="58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27,445</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33,794</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203"/>
        </w:trPr>
        <w:tc>
          <w:tcPr>
            <w:tcW w:w="5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 net</w:t>
            </w:r>
          </w:p>
        </w:tc>
        <w:tc>
          <w:tcPr>
            <w:tcW w:w="25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(11,340)</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6,938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8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5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19,862</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5,880</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5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5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563,219</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562,631</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w:t>
            </w:r>
          </w:p>
        </w:tc>
      </w:tr>
      <w:tr>
        <w:trPr>
          <w:trHeight w:val="196"/>
        </w:trPr>
        <w:tc>
          <w:tcPr>
            <w:tcW w:w="5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25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4,211</w:t>
            </w:r>
          </w:p>
        </w:tc>
        <w:tc>
          <w:tcPr>
            <w:tcW w:w="17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4,902</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5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5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28,325</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43,007</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2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5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5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(31,478)</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(34,129)</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03"/>
        </w:trPr>
        <w:tc>
          <w:tcPr>
            <w:tcW w:w="582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25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1,027</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23,830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r>
      <w:tr>
        <w:trPr>
          <w:trHeight w:val="203"/>
        </w:trPr>
        <w:tc>
          <w:tcPr>
            <w:tcW w:w="5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25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(2,335)</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(12,310)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w:t>
            </w:r>
          </w:p>
        </w:tc>
      </w:tr>
      <w:tr>
        <w:trPr>
          <w:trHeight w:val="203"/>
        </w:trPr>
        <w:tc>
          <w:tcPr>
            <w:tcW w:w="58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25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13,525</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6,240</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5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25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(19,261)</w:t>
            </w:r>
          </w:p>
        </w:tc>
        <w:tc>
          <w:tcPr>
            <w:tcW w:w="17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(16,369)</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17.6</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5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9,064</w:t>
            </w:r>
          </w:p>
        </w:tc>
        <w:tc>
          <w:tcPr>
            <w:tcW w:w="17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26,638</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(66.0)</w:t>
            </w:r>
          </w:p>
        </w:tc>
      </w:tr>
      <w:tr>
        <w:trPr>
          <w:trHeight w:val="203"/>
        </w:trPr>
        <w:tc>
          <w:tcPr>
            <w:tcW w:w="5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25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2,363</w:t>
            </w:r>
          </w:p>
        </w:tc>
        <w:tc>
          <w:tcPr>
            <w:tcW w:w="170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7,106</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5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6,701</w:t>
            </w:r>
          </w:p>
        </w:tc>
        <w:tc>
          <w:tcPr>
            <w:tcW w:w="17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19,532</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(65.7)</w:t>
            </w:r>
          </w:p>
        </w:tc>
      </w:tr>
      <w:tr>
        <w:trPr>
          <w:trHeight w:val="203"/>
        </w:trPr>
        <w:tc>
          <w:tcPr>
            <w:tcW w:w="58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2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0.89</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3.15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(71.8)</w:t>
            </w:r>
          </w:p>
        </w:tc>
      </w:tr>
      <w:tr>
        <w:trPr>
          <w:trHeight w:val="203"/>
        </w:trPr>
        <w:tc>
          <w:tcPr>
            <w:tcW w:w="582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5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0.87</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3.10</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(71.8)</w:t>
            </w: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References to the “2022 Period” refer to the nine months ended June 26, 2022. Similarly, references to the “2021 Period” refer to the nine months ended June 27, 2021.</w:t>
      </w:r>
    </w:p>
    <w:p>
      <w:pPr>
        <w:spacing w:after="0" w:line="14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$587,333,000 in the 2022 Period, down $13,403,000, or 2.2%, compared to the 2021 Period.</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Advertising and marketing services revenue totaled $277,388,000 in the 2022 Period, down 0.7% compared to the prior year. Print advertising revenues were $145,032,000 in the 2022 Period, down 17.1% compared to the prior year due to continued secular declines in demand for print advertising. Digital advertising and marketing services totaled $132,356,000 in the 2022 Period, up 26.8% compared to the prior year. These gains resulted from an 83.1% increase in Amplified Digital revenue and an increase in advertising on our owned and operated sites. Digital advertising and marketing services represented 47.7% of the 2022 Period total advertising and marketing services revenue, compared to 37.4% in the same period last year.</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Subscription revenue totaled $263,915,000 in the 2022 Period, down 2.2% compared to the 2021 Period. The decline in full access volume, consistent with historical and industry trends were partially offset by growth in digital only subscribers and selective price increases on our full access subscriptions. Digital only subscribers grew 48.6% since the 2021 Period and now total 501,000.</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revenue, which primarily consists of commercial printing revenue and digital services from TownNews, decreased $5,475,000, or 10.6%, in the 2022 Period compared to the 2021 Period. Digital services revenue totaled $13,600,000 in the 2022 Period, a 5.3% decrease compared to the 2021 Period. Commercial printing revenue totaled $16,195,000 in the 2022 Period, a 9.3% decrease compared to the 2021 Period primarily driven by reduction in print volumes from our partners.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$174,909,000 in the 2022 Period, an increase of 25.5% over the 2021 Period, and represented 29.8% of our total operating revenue in the 2022 Period.</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$691,000 in the 2022 Period.</w:t>
      </w:r>
    </w:p>
    <w:p>
      <w:pPr>
        <w:sectPr>
          <w:pgSz w:w="11900" w:h="16838" w:orient="portrait"/>
          <w:cols w:equalWidth="0" w:num="1">
            <w:col w:w="11240"/>
          </w:cols>
          <w:pgMar w:left="320" w:top="121" w:right="339" w:bottom="594"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94"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operating expenses were $563,219,000 in the 2022 Period, a 0.1% increase compared to the 2021 Period. Cash Costs, a Non-GAAP financial measure (see reconciliation of Non-GAAP financial measures below), were $527,252,000, a 2.2% increase compared to the 2021 Period.</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expense decreased $3,715,000 in the 2022 Period, or 1.5%, compared to the 2021 Period due to reductions in FTE's due to continued business transformation efforts partially offset by investments in digital talent and increasing average compensation levels due to investments in digital talent.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Newsprint and ink costs increased $32,000 in the 2022 Period, or 0.1%, compared to the 2021 Period. The increase is attributable to higher newsprint prices offset by declines in newsprint volumes. See Item 3, “Commodities”, included herein, for further discussion and analysis of the impact of newsprint on our business.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operating expenses increased $14,916,000 in the 2022 Period, or 6.1%, compared to the 2021 Period. Other operating expenses include all operating costs not considered to be compensation, newsprint, depreciation and amortization, or restructuring costs and asset loss on sales, impairments and other, net. The largest components are costs associated with printing and distribution of our printed products, digital cost of goods sold and facility expenses. The increase is attributable to increases in digital costs of goods sold from Amplified Digital growth, higher input costs due to inflation and investments to fund our digital growth strategy partially offset by lower delivery and other print-related costs due to lower volumes of our print editions.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Restructuring costs and other totaled $19,862,000 and $5,880,000 in the 2022 Period and 2021 Period, respectively. Restructuring costs and other include severance costs, litigation costs, restructuring expenses, and advisor expenses in the 2022 Period associated with an unsolicited takeover offer received in November 2021. Restructuring costs in the 2021 Period are predominately severance related to our ongoing business transformation.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expense decreased $6,349,000, or 18.8%, in the 2022 Period. The decrease in both is attributable to assets becoming fully depreciated or amortized.</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(gain) loss on sales, impairments and other, was a net gain of $11,340,000 in the 2022 Period compared to a net loss of $6,938,000 in the 2021 Period. The gains and losses in the 2022 Period and 2021 Period were the result of the disposition of non-core assets, including real estate.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$28,325,000 in the 2022 Period compared to $43,007,000 in the 2021 Period.</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decreased $2,651,000, or 7.8%, to $31,478,000 in the 2022 Period, compared to the same period last year. The decrease was due to a lower outstanding balance on our Term Loan. Our weighted average cost of debt was 9.0% at the end of the 2022 Period and 2021 Period.</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$11,643,000 periodic pension and other postretirement benefits in the 2022 Period compared to $6,799,000 in the 2021 Period. We recorded non-operating income of $71,000 in the 2022 Period and non-operating expense of $954,000 in the 2021 Period, related to changes in the value of the Warrants.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recognized a non-cash curtailment gain of $ 1,027,000 in the 2022 Period as a result of freezing certain pension plans. We recognized a non-cash curtailment gain of $23,830,000 and a reduction in our benefit obligation in the 2021 Period by eliminating post-retirement medical coverage for certain employees.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recognized pension withdrawal costs in the 2022 and 2021 Period of $2,335,000 and $12,310,000, respectively in connection with the withdrawal from a pension plan that covered certain employees. These withdrawal liabilities will be paid in equal quarterly installments over the next 20 years.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recorded an income tax expense of $2,363,000, or 26.1% of pretax income, in the 2022 Period. In the 2021 Period, we recognized an income tax expense of $7,106,000 or 26.7% of pretax income.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income was $6,701,000 and diluted earnings per share were $0.87 for the 2022 Period, compared to net income of $19,532,000 and diluted earnings per share of $3.10 for the 2021 Period. The change reflects the various items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ectPr>
          <w:pgSz w:w="11900" w:h="16838" w:orient="portrait"/>
          <w:cols w:equalWidth="0" w:num="1">
            <w:col w:w="11240"/>
          </w:cols>
          <w:pgMar w:left="320" w:top="121" w:right="339" w:bottom="29" w:gutter="0" w:footer="0" w:header="0"/>
        </w:sectPr>
      </w:pPr>
    </w:p>
    <w:bookmarkStart w:id="18" w:name="page19"/>
    <w:bookmarkEnd w:id="18"/>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76200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65"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240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Nine months ended</w:t>
            </w:r>
          </w:p>
        </w:tc>
      </w:tr>
      <w:tr>
        <w:trPr>
          <w:trHeight w:val="177"/>
        </w:trPr>
        <w:tc>
          <w:tcPr>
            <w:tcW w:w="5220" w:type="dxa"/>
            <w:vAlign w:val="bottom"/>
          </w:tcPr>
          <w:p>
            <w:pPr>
              <w:spacing w:after="0"/>
              <w:rPr>
                <w:sz w:val="15"/>
                <w:szCs w:val="15"/>
                <w:color w:val="auto"/>
              </w:rPr>
            </w:pPr>
          </w:p>
        </w:tc>
        <w:tc>
          <w:tcPr>
            <w:tcW w:w="2260" w:type="dxa"/>
            <w:vAlign w:val="bottom"/>
          </w:tcPr>
          <w:p>
            <w:pPr>
              <w:jc w:val="right"/>
              <w:ind w:right="290"/>
              <w:spacing w:after="0" w:line="177" w:lineRule="exact"/>
              <w:rPr>
                <w:sz w:val="20"/>
                <w:szCs w:val="20"/>
                <w:color w:val="auto"/>
              </w:rPr>
            </w:pPr>
            <w:r>
              <w:rPr>
                <w:rFonts w:ascii="Arial" w:cs="Arial" w:eastAsia="Arial" w:hAnsi="Arial"/>
                <w:sz w:val="18"/>
                <w:szCs w:val="18"/>
                <w:color w:val="auto"/>
              </w:rPr>
              <w:t>June 26,</w:t>
            </w:r>
          </w:p>
        </w:tc>
        <w:tc>
          <w:tcPr>
            <w:tcW w:w="136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27,</w:t>
            </w:r>
          </w:p>
        </w:tc>
        <w:tc>
          <w:tcPr>
            <w:tcW w:w="13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08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196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3,737</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6,701</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19,532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156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1,366</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2,363</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7,106</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2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6,087</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8,680</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19,261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16,369</w:t>
            </w: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22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(1,050)</w:t>
            </w:r>
          </w:p>
        </w:tc>
        <w:tc>
          <w:tcPr>
            <w:tcW w:w="13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(1,689)</w:t>
            </w:r>
          </w:p>
        </w:tc>
        <w:tc>
          <w:tcPr>
            <w:tcW w:w="13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(4,211)</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(4,902)</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Loss (gain) on sale of assets and other, net</w:t>
            </w:r>
          </w:p>
        </w:tc>
        <w:tc>
          <w:tcPr>
            <w:tcW w:w="2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1,086</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242</w:t>
            </w:r>
          </w:p>
        </w:tc>
        <w:tc>
          <w:tcPr>
            <w:tcW w:w="13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(11,340)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6,938</w:t>
            </w: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8,818</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10,836</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27,445</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33,794</w:t>
            </w: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6,072</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1,419</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19,862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5,880</w:t>
            </w: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2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327</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205</w:t>
            </w:r>
          </w:p>
        </w:tc>
        <w:tc>
          <w:tcPr>
            <w:tcW w:w="13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1,026</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639</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22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2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1,268</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1,923</w:t>
            </w:r>
          </w:p>
        </w:tc>
        <w:tc>
          <w:tcPr>
            <w:tcW w:w="13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4,864</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5,421</w:t>
            </w: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2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22,960</w:t>
            </w: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26,719</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65,971</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90,777</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Three months ended</w:t>
            </w:r>
          </w:p>
        </w:tc>
        <w:tc>
          <w:tcPr>
            <w:tcW w:w="244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Nine Months ended</w:t>
            </w:r>
          </w:p>
        </w:tc>
      </w:tr>
      <w:tr>
        <w:trPr>
          <w:trHeight w:val="177"/>
        </w:trPr>
        <w:tc>
          <w:tcPr>
            <w:tcW w:w="5040" w:type="dxa"/>
            <w:vAlign w:val="bottom"/>
          </w:tcPr>
          <w:p>
            <w:pPr>
              <w:spacing w:after="0"/>
              <w:rPr>
                <w:sz w:val="15"/>
                <w:szCs w:val="15"/>
                <w:color w:val="auto"/>
              </w:rPr>
            </w:pPr>
          </w:p>
        </w:tc>
        <w:tc>
          <w:tcPr>
            <w:tcW w:w="242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340" w:type="dxa"/>
            <w:vAlign w:val="bottom"/>
          </w:tcPr>
          <w:p>
            <w:pPr>
              <w:jc w:val="right"/>
              <w:ind w:right="230"/>
              <w:spacing w:after="0" w:line="177" w:lineRule="exact"/>
              <w:rPr>
                <w:sz w:val="20"/>
                <w:szCs w:val="20"/>
                <w:color w:val="auto"/>
              </w:rPr>
            </w:pPr>
            <w:r>
              <w:rPr>
                <w:rFonts w:ascii="Arial" w:cs="Arial" w:eastAsia="Arial" w:hAnsi="Arial"/>
                <w:sz w:val="18"/>
                <w:szCs w:val="18"/>
                <w:color w:val="auto"/>
              </w:rPr>
              <w:t>June 27,</w:t>
            </w:r>
          </w:p>
        </w:tc>
        <w:tc>
          <w:tcPr>
            <w:tcW w:w="1360" w:type="dxa"/>
            <w:vAlign w:val="bottom"/>
          </w:tcPr>
          <w:p>
            <w:pPr>
              <w:jc w:val="right"/>
              <w:ind w:right="270"/>
              <w:spacing w:after="0" w:line="177" w:lineRule="exact"/>
              <w:rPr>
                <w:sz w:val="20"/>
                <w:szCs w:val="20"/>
                <w:color w:val="auto"/>
              </w:rPr>
            </w:pPr>
            <w:r>
              <w:rPr>
                <w:rFonts w:ascii="Arial" w:cs="Arial" w:eastAsia="Arial" w:hAnsi="Arial"/>
                <w:sz w:val="18"/>
                <w:szCs w:val="18"/>
                <w:color w:val="auto"/>
              </w:rPr>
              <w:t>June 26,</w:t>
            </w:r>
          </w:p>
        </w:tc>
        <w:tc>
          <w:tcPr>
            <w:tcW w:w="1080" w:type="dxa"/>
            <w:vAlign w:val="bottom"/>
          </w:tcPr>
          <w:p>
            <w:pPr>
              <w:jc w:val="right"/>
              <w:ind w:right="10"/>
              <w:spacing w:after="0" w:line="177" w:lineRule="exact"/>
              <w:rPr>
                <w:sz w:val="20"/>
                <w:szCs w:val="20"/>
                <w:color w:val="auto"/>
              </w:rPr>
            </w:pPr>
            <w:r>
              <w:rPr>
                <w:rFonts w:ascii="Arial" w:cs="Arial" w:eastAsia="Arial" w:hAnsi="Arial"/>
                <w:sz w:val="18"/>
                <w:szCs w:val="18"/>
                <w:color w:val="auto"/>
              </w:rPr>
              <w:t>June 27,</w:t>
            </w:r>
          </w:p>
        </w:tc>
      </w:tr>
      <w:tr>
        <w:trPr>
          <w:trHeight w:val="221"/>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196"/>
        </w:trPr>
        <w:tc>
          <w:tcPr>
            <w:tcW w:w="50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189,648</w:t>
            </w:r>
          </w:p>
        </w:tc>
        <w:tc>
          <w:tcPr>
            <w:tcW w:w="1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184,396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563,219</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562,631</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42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8,818</w:t>
            </w:r>
          </w:p>
        </w:tc>
        <w:tc>
          <w:tcPr>
            <w:tcW w:w="1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10,836</w:t>
            </w:r>
          </w:p>
        </w:tc>
        <w:tc>
          <w:tcPr>
            <w:tcW w:w="13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27,445</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33,794</w:t>
            </w: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 net</w:t>
            </w:r>
          </w:p>
        </w:tc>
        <w:tc>
          <w:tcPr>
            <w:tcW w:w="2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1,086</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242</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(11,340)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6,938</w:t>
            </w:r>
          </w:p>
        </w:tc>
      </w:tr>
      <w:tr>
        <w:trPr>
          <w:trHeight w:val="203"/>
        </w:trPr>
        <w:tc>
          <w:tcPr>
            <w:tcW w:w="50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42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6,072</w:t>
            </w:r>
          </w:p>
        </w:tc>
        <w:tc>
          <w:tcPr>
            <w:tcW w:w="13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1,419</w:t>
            </w:r>
          </w:p>
        </w:tc>
        <w:tc>
          <w:tcPr>
            <w:tcW w:w="13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19,862</w:t>
            </w:r>
          </w:p>
        </w:tc>
        <w:tc>
          <w:tcPr>
            <w:tcW w:w="10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5,880</w:t>
            </w:r>
          </w:p>
        </w:tc>
      </w:tr>
      <w:tr>
        <w:trPr>
          <w:trHeight w:val="196"/>
        </w:trPr>
        <w:tc>
          <w:tcPr>
            <w:tcW w:w="5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Costs</w:t>
            </w:r>
          </w:p>
        </w:tc>
        <w:tc>
          <w:tcPr>
            <w:tcW w:w="24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173,672</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171,899</w:t>
            </w:r>
          </w:p>
        </w:tc>
        <w:tc>
          <w:tcPr>
            <w:tcW w:w="13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527,252</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516,019</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33"/>
        </w:trPr>
        <w:tc>
          <w:tcPr>
            <w:tcW w:w="5040" w:type="dxa"/>
            <w:vAlign w:val="bottom"/>
          </w:tcPr>
          <w:p>
            <w:pPr>
              <w:spacing w:after="0"/>
              <w:rPr>
                <w:sz w:val="24"/>
                <w:szCs w:val="24"/>
                <w:color w:val="auto"/>
              </w:rPr>
            </w:pPr>
          </w:p>
        </w:tc>
        <w:tc>
          <w:tcPr>
            <w:tcW w:w="2420" w:type="dxa"/>
            <w:vAlign w:val="bottom"/>
          </w:tcPr>
          <w:p>
            <w:pPr>
              <w:jc w:val="right"/>
              <w:ind w:right="1650"/>
              <w:spacing w:after="0"/>
              <w:rPr>
                <w:sz w:val="20"/>
                <w:szCs w:val="20"/>
                <w:color w:val="auto"/>
              </w:rPr>
            </w:pPr>
            <w:r>
              <w:rPr>
                <w:rFonts w:ascii="Arial" w:cs="Arial" w:eastAsia="Arial" w:hAnsi="Arial"/>
                <w:sz w:val="18"/>
                <w:szCs w:val="18"/>
                <w:color w:val="auto"/>
              </w:rPr>
              <w:t>17</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4"/>
        </w:trPr>
        <w:tc>
          <w:tcPr>
            <w:tcW w:w="504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provided by operating activities totaled $716,000 in 2022 compared to cash provided by operating activities of $ 42,771,000 in 2021, a decrease of $42,055,000. The decrease was driven by a decrease in operating results of $23,400,000 (defined as net income (loss) adjusted for non-working capital items) and an increase in working capital of $18,654,000, primarily related to unfavorable changes in inventory, postretirement liabilities, income taxes payable and warrants, and accounts receivable.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provided by investing activities totaled $8,515,000 in the 2022 Period compared to cash required for investing activities of $2,465,000 in the 2021 Period. 2022 included $14,824,000 in proceeds from the sale of assets as the Company divested non-core real estate.</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anticipate that funds necessary for capital expenditures, which are expected to total up to $10,000,000 in 2022, and other requirements, will be available from internally generated funds.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required for financing activities totaled $19,682,000 in the 2022 Period compared to $52,969,000 in the 2021 Period. Debt reduction accounted for nearly all the usage of funds in the 2022 and 2021 Periods.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consisting of cash on the balance sheet, totaled $15,661,000 on June 26, 2022.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2020, our filing of a replacement Form S-3 registration statement ("Shelf") with the SEC was declared effective and expires February 2023.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to use the Shelf.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 Among other provisions, the CARES Act allows the Company to defer payments of the employer’s share of social security taxes which shall be paid between December 31, 2021, and December 31, 2022. The CARES Act also provides for an Employee Retention Credit which can be applied to the employer’s share of payroll taxes. The Company has elected to defer the employer’s share of social security tax payments and is currently determining the applicability of the Employee Retention Credit.</w:t>
      </w:r>
    </w:p>
    <w:p>
      <w:pPr>
        <w:spacing w:after="0" w:line="1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North American newsprint producers implemented a January 2022 price increases of $25 per tonne, $25 per tonne in March 2022 and another price increase in May of $50 per tonne. The newsprint supply chain is challenged due to significant capacity reductions taken in the last two years including paper machine permanent shutdowns, conversion to paper grades other than newsprint, and recovering demand, domestically and exports, for newsprint. Like other industries, the supply chain is further challenged by shipping delays due to restrictions of personnel crossing the US/Canada border.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long-term supply strategy continues to align the Company with those cost-effective suppliers most likely to continue producing and supplying newsprint to the North American market and geographically aligned with our print locations. Where possible the Company will align supply with the lowest cost material, but may be restricted due to shipping expenses and paper production availability.</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$10 per tonne price increase on 27.7-pound newsprint would result in an annualized reduction in income before taxes of approximately $340,000 based on current and anticipated consumption trends in 2022, excluding consumption of TNI and MNI and the impact of LIFO accounting.</w:t>
      </w:r>
    </w:p>
    <w:p>
      <w:pPr>
        <w:sectPr>
          <w:pgSz w:w="11900" w:h="16838" w:orient="portrait"/>
          <w:cols w:equalWidth="0" w:num="1">
            <w:col w:w="11240"/>
          </w:cols>
          <w:pgMar w:left="320" w:top="121" w:right="339" w:bottom="0" w:gutter="0" w:footer="0" w:header="0"/>
        </w:sect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fixed rate debt consists of $462,554,000 principal amount of the Term Loan recorded at carrying value.</w:t>
      </w:r>
    </w:p>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and nine months ended June 26, 2022, that have materially affected, or are reasonably likely to materially affect, our internal control over financial reporting.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2021 Form 10-K.</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0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560" w:type="dxa"/>
            <w:vAlign w:val="bottom"/>
            <w:tcBorders>
              <w:top w:val="single" w:sz="8" w:color="auto"/>
              <w:bottom w:val="single" w:sz="8" w:color="auto"/>
            </w:tcBorders>
          </w:tcPr>
          <w:p>
            <w:pPr>
              <w:ind w:left="3460"/>
              <w:spacing w:after="0"/>
              <w:rPr>
                <w:sz w:val="20"/>
                <w:szCs w:val="20"/>
                <w:color w:val="auto"/>
              </w:rPr>
            </w:pPr>
            <w:r>
              <w:rPr>
                <w:rFonts w:ascii="Arial" w:cs="Arial" w:eastAsia="Arial" w:hAnsi="Arial"/>
                <w:sz w:val="18"/>
                <w:szCs w:val="18"/>
                <w:color w:val="auto"/>
              </w:rPr>
              <w:t>Description</w:t>
            </w:r>
          </w:p>
        </w:tc>
        <w:tc>
          <w:tcPr>
            <w:tcW w:w="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8840" w:type="dxa"/>
            <w:vAlign w:val="bottom"/>
            <w:gridSpan w:val="5"/>
          </w:tcPr>
          <w:p>
            <w:pPr>
              <w:spacing w:after="0"/>
              <w:rPr>
                <w:sz w:val="20"/>
                <w:szCs w:val="20"/>
                <w:color w:val="auto"/>
              </w:rPr>
            </w:pPr>
            <w:r>
              <w:rPr>
                <w:rFonts w:ascii="Arial" w:cs="Arial" w:eastAsia="Arial" w:hAnsi="Arial"/>
                <w:sz w:val="18"/>
                <w:szCs w:val="18"/>
                <w:color w:val="0000EE"/>
              </w:rPr>
              <w:t>Rule 13a-14(a) Certification of Chief Executive Officer</w:t>
            </w:r>
          </w:p>
        </w:tc>
        <w:tc>
          <w:tcPr>
            <w:tcW w:w="920" w:type="dxa"/>
            <w:vAlign w:val="bottom"/>
          </w:tcPr>
          <w:p>
            <w:pPr>
              <w:ind w:left="200"/>
              <w:spacing w:after="0"/>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Rule 13a-14(a) Certification of Chief Financial Officer</w:t>
            </w:r>
          </w:p>
        </w:tc>
        <w:tc>
          <w:tcPr>
            <w:tcW w:w="4560" w:type="dxa"/>
            <w:vAlign w:val="bottom"/>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2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Section 1350 Certification of Chief Executive Officer</w:t>
            </w:r>
          </w:p>
        </w:tc>
        <w:tc>
          <w:tcPr>
            <w:tcW w:w="4620" w:type="dxa"/>
            <w:vAlign w:val="bottom"/>
            <w:gridSpan w:val="2"/>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1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Section 1350 Certification of Chief Financial Officer</w:t>
            </w:r>
          </w:p>
        </w:tc>
        <w:tc>
          <w:tcPr>
            <w:tcW w:w="4720" w:type="dxa"/>
            <w:vAlign w:val="bottom"/>
            <w:gridSpan w:val="3"/>
          </w:tcPr>
          <w:p>
            <w:pPr>
              <w:spacing w:after="0"/>
              <w:rPr>
                <w:sz w:val="15"/>
                <w:szCs w:val="15"/>
                <w:color w:val="auto"/>
              </w:rPr>
            </w:pPr>
          </w:p>
        </w:tc>
        <w:tc>
          <w:tcPr>
            <w:tcW w:w="920" w:type="dxa"/>
            <w:vAlign w:val="bottom"/>
          </w:tcPr>
          <w:p>
            <w:pPr>
              <w:ind w:left="200"/>
              <w:spacing w:after="0" w:line="18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06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w w:val="98"/>
              </w:rPr>
              <w:t>Attached</w:t>
            </w:r>
          </w:p>
        </w:tc>
        <w:tc>
          <w:tcPr>
            <w:tcW w:w="0" w:type="dxa"/>
            <w:vAlign w:val="bottom"/>
          </w:tcPr>
          <w:p>
            <w:pPr>
              <w:spacing w:after="0" w:line="20" w:lineRule="exact"/>
              <w:rPr>
                <w:sz w:val="1"/>
                <w:szCs w:val="1"/>
                <w:color w:val="auto"/>
              </w:rPr>
            </w:pPr>
          </w:p>
        </w:tc>
      </w:tr>
      <w:tr>
        <w:trPr>
          <w:trHeight w:val="191"/>
        </w:trPr>
        <w:tc>
          <w:tcPr>
            <w:tcW w:w="1480" w:type="dxa"/>
            <w:vAlign w:val="bottom"/>
            <w:vMerge w:val="continue"/>
          </w:tcPr>
          <w:p>
            <w:pPr>
              <w:spacing w:after="0"/>
              <w:rPr>
                <w:sz w:val="16"/>
                <w:szCs w:val="16"/>
                <w:color w:val="auto"/>
              </w:rPr>
            </w:pPr>
          </w:p>
        </w:tc>
        <w:tc>
          <w:tcPr>
            <w:tcW w:w="8840" w:type="dxa"/>
            <w:vAlign w:val="bottom"/>
            <w:gridSpan w:val="5"/>
          </w:tcPr>
          <w:p>
            <w:pPr>
              <w:spacing w:after="0" w:line="191"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because its XBRL tags are embedded within the Inline XBRL document)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2"/>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8840" w:type="dxa"/>
            <w:vAlign w:val="bottom"/>
            <w:gridSpan w:val="5"/>
          </w:tcPr>
          <w:p>
            <w:pPr>
              <w:spacing w:after="0" w:line="202"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920" w:type="dxa"/>
            <w:vAlign w:val="bottom"/>
          </w:tcPr>
          <w:p>
            <w:pPr>
              <w:ind w:left="200"/>
              <w:spacing w:after="0" w:line="202" w:lineRule="exact"/>
              <w:rPr>
                <w:sz w:val="20"/>
                <w:szCs w:val="20"/>
                <w:color w:val="auto"/>
              </w:rPr>
            </w:pPr>
            <w:r>
              <w:rPr>
                <w:rFonts w:ascii="Arial" w:cs="Arial" w:eastAsia="Arial" w:hAnsi="Arial"/>
                <w:sz w:val="18"/>
                <w:szCs w:val="18"/>
                <w:color w:val="auto"/>
                <w:w w:val="98"/>
              </w:rPr>
              <w:t>Attached</w:t>
            </w:r>
          </w:p>
        </w:tc>
        <w:tc>
          <w:tcPr>
            <w:tcW w:w="0" w:type="dxa"/>
            <w:vAlign w:val="bottom"/>
          </w:tcPr>
          <w:p>
            <w:pPr>
              <w:spacing w:after="0"/>
              <w:rPr>
                <w:sz w:val="1"/>
                <w:szCs w:val="1"/>
                <w:color w:val="auto"/>
              </w:rPr>
            </w:pPr>
          </w:p>
        </w:tc>
      </w:tr>
      <w:tr>
        <w:trPr>
          <w:trHeight w:val="221"/>
        </w:trPr>
        <w:tc>
          <w:tcPr>
            <w:tcW w:w="1480" w:type="dxa"/>
            <w:vAlign w:val="bottom"/>
            <w:tcBorders>
              <w:bottom w:val="single" w:sz="8" w:color="auto"/>
            </w:tcBorders>
          </w:tcPr>
          <w:p>
            <w:pPr>
              <w:spacing w:after="0"/>
              <w:rPr>
                <w:sz w:val="19"/>
                <w:szCs w:val="19"/>
                <w:color w:val="auto"/>
              </w:rPr>
            </w:pPr>
          </w:p>
        </w:tc>
        <w:tc>
          <w:tcPr>
            <w:tcW w:w="8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18"/>
        </w:trPr>
        <w:tc>
          <w:tcPr>
            <w:tcW w:w="1480" w:type="dxa"/>
            <w:vAlign w:val="bottom"/>
          </w:tcPr>
          <w:p>
            <w:pPr>
              <w:spacing w:after="0"/>
              <w:rPr>
                <w:sz w:val="24"/>
                <w:szCs w:val="24"/>
                <w:color w:val="auto"/>
              </w:rPr>
            </w:pPr>
          </w:p>
        </w:tc>
        <w:tc>
          <w:tcPr>
            <w:tcW w:w="4280" w:type="dxa"/>
            <w:vAlign w:val="bottom"/>
            <w:gridSpan w:val="4"/>
          </w:tcPr>
          <w:p>
            <w:pPr>
              <w:ind w:left="4040"/>
              <w:spacing w:after="0"/>
              <w:rPr>
                <w:sz w:val="20"/>
                <w:szCs w:val="20"/>
                <w:color w:val="auto"/>
              </w:rPr>
            </w:pPr>
            <w:r>
              <w:rPr>
                <w:rFonts w:ascii="Arial" w:cs="Arial" w:eastAsia="Arial" w:hAnsi="Arial"/>
                <w:sz w:val="18"/>
                <w:szCs w:val="18"/>
                <w:color w:val="auto"/>
              </w:rPr>
              <w:t>19</w:t>
            </w:r>
          </w:p>
        </w:tc>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80" w:type="dxa"/>
            <w:vAlign w:val="bottom"/>
            <w:tcBorders>
              <w:bottom w:val="single" w:sz="8" w:color="auto"/>
            </w:tcBorders>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left="280"/>
        <w:spacing w:after="0"/>
        <w:tabs>
          <w:tab w:leader="none" w:pos="972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8890</wp:posOffset>
            </wp:positionV>
            <wp:extent cx="32232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Timothy R. Millage</w:t>
      </w:r>
    </w:p>
    <w:p>
      <w:pPr>
        <w:ind w:left="280"/>
        <w:spacing w:after="0" w:line="234" w:lineRule="auto"/>
        <w:rPr>
          <w:sz w:val="20"/>
          <w:szCs w:val="20"/>
          <w:color w:val="auto"/>
        </w:rPr>
      </w:pPr>
      <w:r>
        <w:rPr>
          <w:rFonts w:ascii="Arial" w:cs="Arial" w:eastAsia="Arial" w:hAnsi="Arial"/>
          <w:sz w:val="18"/>
          <w:szCs w:val="18"/>
          <w:color w:val="auto"/>
        </w:rPr>
        <w:t>Vice President, Chief Financial Officer and Treasurer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98"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line="25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5" w:lineRule="exact"/>
        <w:rPr>
          <w:sz w:val="20"/>
          <w:szCs w:val="20"/>
          <w:color w:val="auto"/>
        </w:rPr>
      </w:pPr>
    </w:p>
    <w:p>
      <w:pPr>
        <w:ind w:left="680" w:right="140" w:hanging="672"/>
        <w:spacing w:after="0" w:line="253"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5" w:lineRule="exact"/>
        <w:rPr>
          <w:sz w:val="20"/>
          <w:szCs w:val="20"/>
          <w:color w:val="auto"/>
        </w:rPr>
      </w:pPr>
    </w:p>
    <w:p>
      <w:pPr>
        <w:ind w:left="680" w:right="40" w:hanging="672"/>
        <w:spacing w:after="0" w:line="25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1700" w:right="160" w:hanging="558"/>
        <w:spacing w:after="0" w:line="247"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8"/>
          <w:szCs w:val="18"/>
          <w:color w:val="auto"/>
        </w:rPr>
      </w:pPr>
    </w:p>
    <w:p>
      <w:pPr>
        <w:ind w:left="1700" w:right="140" w:hanging="558"/>
        <w:spacing w:after="0" w:line="275" w:lineRule="auto"/>
        <w:tabs>
          <w:tab w:leader="none" w:pos="17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700" w:right="320" w:hanging="558"/>
        <w:spacing w:after="0" w:line="253"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5" w:lineRule="exact"/>
        <w:rPr>
          <w:rFonts w:ascii="Arial" w:cs="Arial" w:eastAsia="Arial" w:hAnsi="Arial"/>
          <w:sz w:val="18"/>
          <w:szCs w:val="18"/>
          <w:color w:val="auto"/>
        </w:rPr>
      </w:pPr>
    </w:p>
    <w:p>
      <w:pPr>
        <w:ind w:left="1700" w:right="180" w:hanging="558"/>
        <w:spacing w:after="0" w:line="247" w:lineRule="auto"/>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sz w:val="20"/>
          <w:szCs w:val="20"/>
          <w:color w:val="auto"/>
        </w:rPr>
      </w:pPr>
    </w:p>
    <w:p>
      <w:pPr>
        <w:ind w:left="680" w:right="240" w:hanging="672"/>
        <w:spacing w:after="0" w:line="253"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700" w:right="40" w:hanging="558"/>
        <w:spacing w:after="0" w:line="253"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700" w:right="400" w:hanging="558"/>
        <w:spacing w:after="0" w:line="271"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4063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98"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98" w:lineRule="exact"/>
        <w:rPr>
          <w:sz w:val="20"/>
          <w:szCs w:val="20"/>
          <w:color w:val="auto"/>
        </w:rPr>
      </w:pPr>
    </w:p>
    <w:p>
      <w:pPr>
        <w:ind w:left="680" w:right="80" w:hanging="672"/>
        <w:spacing w:after="0" w:line="253"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5" w:lineRule="exact"/>
        <w:rPr>
          <w:sz w:val="20"/>
          <w:szCs w:val="20"/>
          <w:color w:val="auto"/>
        </w:rPr>
      </w:pPr>
    </w:p>
    <w:p>
      <w:pPr>
        <w:ind w:left="680" w:right="140" w:hanging="672"/>
        <w:spacing w:after="0" w:line="253"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5" w:lineRule="exact"/>
        <w:rPr>
          <w:sz w:val="20"/>
          <w:szCs w:val="20"/>
          <w:color w:val="auto"/>
        </w:rPr>
      </w:pPr>
    </w:p>
    <w:p>
      <w:pPr>
        <w:ind w:left="680" w:right="40" w:hanging="672"/>
        <w:spacing w:after="0" w:line="253"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1700" w:right="160" w:hanging="558"/>
        <w:spacing w:after="0" w:line="24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8"/>
          <w:szCs w:val="18"/>
          <w:color w:val="auto"/>
        </w:rPr>
      </w:pPr>
    </w:p>
    <w:p>
      <w:pPr>
        <w:ind w:left="1700" w:right="140" w:hanging="558"/>
        <w:spacing w:after="0" w:line="275"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ind w:left="1700" w:right="320" w:hanging="558"/>
        <w:spacing w:after="0" w:line="253"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5" w:lineRule="exact"/>
        <w:rPr>
          <w:rFonts w:ascii="Arial" w:cs="Arial" w:eastAsia="Arial" w:hAnsi="Arial"/>
          <w:sz w:val="18"/>
          <w:szCs w:val="18"/>
          <w:color w:val="auto"/>
        </w:rPr>
      </w:pPr>
    </w:p>
    <w:p>
      <w:pPr>
        <w:ind w:left="1700" w:right="180" w:hanging="558"/>
        <w:spacing w:after="0" w:line="24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sz w:val="20"/>
          <w:szCs w:val="20"/>
          <w:color w:val="auto"/>
        </w:rPr>
      </w:pPr>
    </w:p>
    <w:p>
      <w:pPr>
        <w:ind w:left="680" w:right="240" w:hanging="672"/>
        <w:spacing w:after="0" w:line="253"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8"/>
          <w:szCs w:val="18"/>
          <w:color w:val="auto"/>
        </w:rPr>
      </w:pPr>
    </w:p>
    <w:p>
      <w:pPr>
        <w:jc w:val="both"/>
        <w:ind w:left="1700" w:right="40" w:hanging="558"/>
        <w:spacing w:after="0" w:line="253"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1700" w:right="400" w:hanging="558"/>
        <w:spacing w:after="0" w:line="271"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4063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Timothy R. Millage</w:t>
      </w:r>
    </w:p>
    <w:p>
      <w:pPr>
        <w:ind w:left="48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21" w:right="339" w:bottom="1440" w:gutter="0" w:footer="0" w:header="0"/>
        </w:sectPr>
      </w:pPr>
    </w:p>
    <w:bookmarkStart w:id="25" w:name="page26"/>
    <w:bookmarkEnd w:id="25"/>
    <w:p>
      <w:pPr>
        <w:ind w:left="1024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rPr>
          <w:sz w:val="20"/>
          <w:szCs w:val="20"/>
          <w:color w:val="auto"/>
        </w:rPr>
      </w:pPr>
      <w:r>
        <w:rPr>
          <w:rFonts w:ascii="Arial" w:cs="Arial" w:eastAsia="Arial" w:hAnsi="Arial"/>
          <w:sz w:val="18"/>
          <w:szCs w:val="18"/>
          <w:color w:val="auto"/>
        </w:rPr>
        <w:t>Washington, DC 20549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40" w:lineRule="exact"/>
        <w:rPr>
          <w:sz w:val="20"/>
          <w:szCs w:val="20"/>
          <w:color w:val="auto"/>
        </w:rPr>
      </w:pPr>
    </w:p>
    <w:p>
      <w:pPr>
        <w:ind w:left="920" w:right="140" w:hanging="912"/>
        <w:spacing w:after="0" w:line="27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26, 2022 ("Quarterly Report"), fully complies with the requirements of section 13(a) or 15(d) of the Securities Exchange Act of 1934 (15 U.S.C. 78m or 78o(d)); and</w:t>
      </w:r>
    </w:p>
    <w:p>
      <w:pPr>
        <w:spacing w:after="0" w:line="140" w:lineRule="exact"/>
        <w:rPr>
          <w:rFonts w:ascii="Arial" w:cs="Arial" w:eastAsia="Arial" w:hAnsi="Arial"/>
          <w:sz w:val="18"/>
          <w:szCs w:val="18"/>
          <w:color w:val="auto"/>
        </w:rPr>
      </w:pPr>
    </w:p>
    <w:p>
      <w:pPr>
        <w:ind w:left="920" w:right="380" w:hanging="912"/>
        <w:spacing w:after="0" w:line="27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1375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D. Mowbray</w:t>
      </w:r>
    </w:p>
    <w:p>
      <w:pPr>
        <w:spacing w:after="0"/>
        <w:rPr>
          <w:sz w:val="20"/>
          <w:szCs w:val="20"/>
          <w:color w:val="auto"/>
        </w:rPr>
      </w:pPr>
      <w:r>
        <w:rPr>
          <w:rFonts w:ascii="Arial" w:cs="Arial" w:eastAsia="Arial" w:hAnsi="Arial"/>
          <w:sz w:val="18"/>
          <w:szCs w:val="18"/>
          <w:color w:val="auto"/>
        </w:rPr>
        <w:t>President and Chief Executive Officer</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21" w:right="339" w:bottom="1440" w:gutter="0" w:footer="0" w:header="0"/>
        </w:sectPr>
      </w:pPr>
    </w:p>
    <w:bookmarkStart w:id="26" w:name="page27"/>
    <w:bookmarkEnd w:id="26"/>
    <w:p>
      <w:pPr>
        <w:ind w:left="10240"/>
        <w:spacing w:after="0"/>
        <w:rPr>
          <w:sz w:val="20"/>
          <w:szCs w:val="20"/>
          <w:color w:val="auto"/>
        </w:rPr>
      </w:pPr>
      <w:r>
        <w:rPr>
          <w:rFonts w:ascii="Arial" w:cs="Arial" w:eastAsia="Arial" w:hAnsi="Arial"/>
          <w:sz w:val="17"/>
          <w:szCs w:val="17"/>
          <w:b w:val="1"/>
          <w:bCs w:val="1"/>
          <w:color w:val="auto"/>
        </w:rPr>
        <w:t>Exhibit 32.2</w:t>
      </w:r>
    </w:p>
    <w:p>
      <w:pPr>
        <w:spacing w:after="0" w:line="209"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rPr>
          <w:sz w:val="20"/>
          <w:szCs w:val="20"/>
          <w:color w:val="auto"/>
        </w:rPr>
      </w:pPr>
      <w:r>
        <w:rPr>
          <w:rFonts w:ascii="Arial" w:cs="Arial" w:eastAsia="Arial" w:hAnsi="Arial"/>
          <w:sz w:val="18"/>
          <w:szCs w:val="18"/>
          <w:color w:val="auto"/>
        </w:rPr>
        <w:t>Washington, DC 20549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40" w:lineRule="exact"/>
        <w:rPr>
          <w:sz w:val="20"/>
          <w:szCs w:val="20"/>
          <w:color w:val="auto"/>
        </w:rPr>
      </w:pPr>
    </w:p>
    <w:p>
      <w:pPr>
        <w:ind w:left="580" w:right="280" w:hanging="572"/>
        <w:spacing w:after="0" w:line="27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26, 2022 ("Quarterly Report"), fully complies with the requirements of section 13(a) or 15(d) of the Securities Exchange Act of 1934 (15 U.S.C. 78m or 78o(d)); and</w:t>
      </w:r>
    </w:p>
    <w:p>
      <w:pPr>
        <w:spacing w:after="0" w:line="140" w:lineRule="exact"/>
        <w:rPr>
          <w:rFonts w:ascii="Arial" w:cs="Arial" w:eastAsia="Arial" w:hAnsi="Arial"/>
          <w:sz w:val="18"/>
          <w:szCs w:val="18"/>
          <w:color w:val="auto"/>
        </w:rPr>
      </w:pPr>
    </w:p>
    <w:p>
      <w:pPr>
        <w:ind w:left="580" w:right="720" w:hanging="572"/>
        <w:spacing w:after="0" w:line="27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137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Timothy R. Millage</w:t>
      </w: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3"/>
      <w:numFmt w:val="bullet"/>
      <w:start w:val="1"/>
    </w:lvl>
  </w:abstractNum>
  <w:abstractNum w:abstractNumId="6">
    <w:nsid w:val="6B68079A"/>
    <w:multiLevelType w:val="hybridMultilevel"/>
    <w:lvl w:ilvl="0">
      <w:lvlJc w:val="left"/>
      <w:lvlText w:val="5"/>
      <w:numFmt w:val="bullet"/>
      <w:start w:val="1"/>
    </w:lvl>
  </w:abstractNum>
  <w:abstractNum w:abstractNumId="7">
    <w:nsid w:val="4E6AFB66"/>
    <w:multiLevelType w:val="hybridMultilevel"/>
    <w:lvl w:ilvl="0">
      <w:lvlJc w:val="left"/>
      <w:lvlText w:val="6"/>
      <w:numFmt w:val="bullet"/>
      <w:start w:val="1"/>
    </w:lvl>
  </w:abstractNum>
  <w:abstractNum w:abstractNumId="8">
    <w:nsid w:val="25E45D32"/>
    <w:multiLevelType w:val="hybridMultilevel"/>
    <w:lvl w:ilvl="0">
      <w:lvlJc w:val="left"/>
      <w:lvlText w:val="7"/>
      <w:numFmt w:val="bullet"/>
      <w:start w:val="1"/>
    </w:lvl>
  </w:abstractNum>
  <w:abstractNum w:abstractNumId="9">
    <w:nsid w:val="519B500D"/>
    <w:multiLevelType w:val="hybridMultilevel"/>
    <w:lvl w:ilvl="0">
      <w:lvlJc w:val="left"/>
      <w:lvlText w:val="8"/>
      <w:numFmt w:val="bullet"/>
      <w:start w:val="1"/>
    </w:lvl>
  </w:abstractNum>
  <w:abstractNum w:abstractNumId="10">
    <w:nsid w:val="431BD7B7"/>
    <w:multiLevelType w:val="hybridMultilevel"/>
    <w:lvl w:ilvl="0">
      <w:lvlJc w:val="left"/>
      <w:lvlText w:val="9"/>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2022-08-04T14:51:44Z</dcterms:created>
  <dcterms:modified xsi:type="dcterms:W3CDTF">2022-08-04T14:51:44Z</dcterms:modified>
</cp:coreProperties>
</file>