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4"/>
          <w:szCs w:val="24"/>
          <w:color w:val="auto"/>
        </w:rPr>
      </w:pPr>
    </w:p>
    <w:p>
      <w:pPr>
        <w:spacing w:after="0" w:line="200" w:lineRule="exact"/>
        <w:rPr>
          <w:sz w:val="24"/>
          <w:szCs w:val="24"/>
          <w:color w:val="auto"/>
        </w:rPr>
      </w:pPr>
    </w:p>
    <w:p>
      <w:pPr>
        <w:spacing w:after="0" w:line="31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UNITED STATES SECURITIES AND EXCHANGE COMMISSION</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Washington, D.C. 20549</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FORM 10-Q</w:t>
      </w:r>
    </w:p>
    <w:p>
      <w:pPr>
        <w:spacing w:after="0" w:line="99" w:lineRule="exact"/>
        <w:rPr>
          <w:sz w:val="24"/>
          <w:szCs w:val="24"/>
          <w:color w:val="auto"/>
        </w:rPr>
      </w:pPr>
    </w:p>
    <w:p>
      <w:pPr>
        <w:jc w:val="center"/>
        <w:ind w:right="-19"/>
        <w:spacing w:after="0"/>
        <w:rPr>
          <w:sz w:val="20"/>
          <w:szCs w:val="20"/>
          <w:color w:val="auto"/>
        </w:rPr>
      </w:pPr>
      <w:r>
        <w:rPr>
          <w:rFonts w:ascii="Wingdings" w:cs="Wingdings" w:eastAsia="Wingdings" w:hAnsi="Wingdings"/>
          <w:sz w:val="17"/>
          <w:szCs w:val="17"/>
          <w:b w:val="1"/>
          <w:bCs w:val="1"/>
          <w:color w:val="auto"/>
        </w:rPr>
        <w:t xml:space="preserve">x </w:t>
      </w:r>
      <w:r>
        <w:rPr>
          <w:rFonts w:ascii="Arial" w:cs="Arial" w:eastAsia="Arial" w:hAnsi="Arial"/>
          <w:sz w:val="17"/>
          <w:szCs w:val="17"/>
          <w:color w:val="auto"/>
        </w:rPr>
        <w:t>QUARTERLY REPORT PURSUANT TO SECTION 13 OR 15(d) OF THE</w:t>
      </w:r>
    </w:p>
    <w:p>
      <w:pPr>
        <w:spacing w:after="0" w:line="3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SECURITIES EXCHANGE ACT OF 1934</w:t>
      </w:r>
    </w:p>
    <w:p>
      <w:pPr>
        <w:spacing w:after="0" w:line="99" w:lineRule="exact"/>
        <w:rPr>
          <w:sz w:val="24"/>
          <w:szCs w:val="24"/>
          <w:color w:val="auto"/>
        </w:rPr>
      </w:pPr>
    </w:p>
    <w:p>
      <w:pPr>
        <w:ind w:left="3600"/>
        <w:spacing w:after="0"/>
        <w:rPr>
          <w:sz w:val="20"/>
          <w:szCs w:val="20"/>
          <w:color w:val="auto"/>
        </w:rPr>
      </w:pPr>
      <w:r>
        <w:rPr>
          <w:rFonts w:ascii="Arial" w:cs="Arial" w:eastAsia="Arial" w:hAnsi="Arial"/>
          <w:sz w:val="18"/>
          <w:szCs w:val="18"/>
          <w:b w:val="1"/>
          <w:bCs w:val="1"/>
          <w:color w:val="auto"/>
        </w:rPr>
        <w:t>For The Quarterly Period Ended March 24, 2024</w:t>
      </w:r>
    </w:p>
    <w:p>
      <w:pPr>
        <w:spacing w:after="0" w:line="117" w:lineRule="exact"/>
        <w:rPr>
          <w:sz w:val="24"/>
          <w:szCs w:val="24"/>
          <w:color w:val="auto"/>
        </w:rPr>
      </w:pPr>
    </w:p>
    <w:p>
      <w:pPr>
        <w:ind w:left="5480"/>
        <w:spacing w:after="0"/>
        <w:rPr>
          <w:sz w:val="20"/>
          <w:szCs w:val="20"/>
          <w:color w:val="auto"/>
        </w:rPr>
      </w:pPr>
      <w:r>
        <w:rPr>
          <w:rFonts w:ascii="Arial" w:cs="Arial" w:eastAsia="Arial" w:hAnsi="Arial"/>
          <w:sz w:val="18"/>
          <w:szCs w:val="18"/>
          <w:color w:val="auto"/>
        </w:rPr>
        <w:t>OR</w:t>
      </w:r>
    </w:p>
    <w:p>
      <w:pPr>
        <w:spacing w:after="0" w:line="117" w:lineRule="exact"/>
        <w:rPr>
          <w:sz w:val="24"/>
          <w:szCs w:val="24"/>
          <w:color w:val="auto"/>
        </w:rPr>
      </w:pPr>
    </w:p>
    <w:p>
      <w:pPr>
        <w:ind w:left="2600"/>
        <w:spacing w:after="0"/>
        <w:rPr>
          <w:sz w:val="20"/>
          <w:szCs w:val="20"/>
          <w:color w:val="auto"/>
        </w:rPr>
      </w:pPr>
      <w:r>
        <w:rPr>
          <w:rFonts w:ascii="Wingdings" w:cs="Wingdings" w:eastAsia="Wingdings" w:hAnsi="Wingdings"/>
          <w:sz w:val="17"/>
          <w:szCs w:val="17"/>
          <w:b w:val="1"/>
          <w:bCs w:val="1"/>
          <w:color w:val="auto"/>
        </w:rPr>
        <w:t xml:space="preserve">o </w:t>
      </w:r>
      <w:r>
        <w:rPr>
          <w:rFonts w:ascii="Arial" w:cs="Arial" w:eastAsia="Arial" w:hAnsi="Arial"/>
          <w:sz w:val="17"/>
          <w:szCs w:val="17"/>
          <w:color w:val="auto"/>
        </w:rPr>
        <w:t>TRANSITION REPORT PURSUANT TO SECTION 13 OR 15(d) OF THE</w:t>
      </w:r>
    </w:p>
    <w:p>
      <w:pPr>
        <w:spacing w:after="0" w:line="39" w:lineRule="exact"/>
        <w:rPr>
          <w:sz w:val="24"/>
          <w:szCs w:val="24"/>
          <w:color w:val="auto"/>
        </w:rPr>
      </w:pPr>
    </w:p>
    <w:p>
      <w:pPr>
        <w:ind w:left="3980"/>
        <w:spacing w:after="0"/>
        <w:rPr>
          <w:sz w:val="20"/>
          <w:szCs w:val="20"/>
          <w:color w:val="auto"/>
        </w:rPr>
      </w:pPr>
      <w:r>
        <w:rPr>
          <w:rFonts w:ascii="Arial" w:cs="Arial" w:eastAsia="Arial" w:hAnsi="Arial"/>
          <w:sz w:val="18"/>
          <w:szCs w:val="18"/>
          <w:color w:val="auto"/>
        </w:rPr>
        <w:t>SECURITIES EXCHANGE ACT OF 1934</w:t>
      </w:r>
    </w:p>
    <w:p>
      <w:pPr>
        <w:spacing w:after="0" w:line="99" w:lineRule="exact"/>
        <w:rPr>
          <w:sz w:val="24"/>
          <w:szCs w:val="24"/>
          <w:color w:val="auto"/>
        </w:rPr>
      </w:pPr>
    </w:p>
    <w:p>
      <w:pPr>
        <w:ind w:left="4300"/>
        <w:spacing w:after="0"/>
        <w:rPr>
          <w:sz w:val="20"/>
          <w:szCs w:val="20"/>
          <w:color w:val="auto"/>
        </w:rPr>
      </w:pPr>
      <w:r>
        <w:rPr>
          <w:rFonts w:ascii="Arial" w:cs="Arial" w:eastAsia="Arial" w:hAnsi="Arial"/>
          <w:sz w:val="18"/>
          <w:szCs w:val="18"/>
          <w:color w:val="auto"/>
        </w:rPr>
        <w:t>Commission File Number 1-6227</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LEE ENTERPRISES, INCORPORATED</w:t>
      </w:r>
    </w:p>
    <w:p>
      <w:pPr>
        <w:spacing w:after="0" w:line="9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ectPr>
          <w:pgSz w:w="11900" w:h="16838" w:orient="portrait"/>
          <w:cols w:equalWidth="0" w:num="1">
            <w:col w:w="11240"/>
          </w:cols>
          <w:pgMar w:left="320" w:top="229" w:right="339" w:bottom="1440" w:gutter="0" w:footer="0" w:header="0"/>
        </w:sectPr>
      </w:pPr>
    </w:p>
    <w:p>
      <w:pPr>
        <w:spacing w:after="0" w:line="158" w:lineRule="exact"/>
        <w:rPr>
          <w:sz w:val="24"/>
          <w:szCs w:val="24"/>
          <w:color w:val="auto"/>
        </w:rPr>
      </w:pPr>
    </w:p>
    <w:p>
      <w:pPr>
        <w:jc w:val="center"/>
        <w:ind w:right="280"/>
        <w:spacing w:after="0"/>
        <w:rPr>
          <w:sz w:val="20"/>
          <w:szCs w:val="20"/>
          <w:color w:val="auto"/>
        </w:rPr>
      </w:pPr>
      <w:r>
        <w:rPr>
          <w:rFonts w:ascii="Arial" w:cs="Arial" w:eastAsia="Arial" w:hAnsi="Arial"/>
          <w:sz w:val="18"/>
          <w:szCs w:val="18"/>
          <w:color w:val="auto"/>
        </w:rPr>
        <w:t>Delaware</w:t>
      </w:r>
    </w:p>
    <w:p>
      <w:pPr>
        <w:spacing w:after="0" w:line="32" w:lineRule="exact"/>
        <w:rPr>
          <w:sz w:val="24"/>
          <w:szCs w:val="24"/>
          <w:color w:val="auto"/>
        </w:rPr>
      </w:pPr>
    </w:p>
    <w:p>
      <w:pPr>
        <w:jc w:val="center"/>
        <w:ind w:right="280"/>
        <w:spacing w:after="0"/>
        <w:rPr>
          <w:sz w:val="20"/>
          <w:szCs w:val="20"/>
          <w:color w:val="auto"/>
        </w:rPr>
      </w:pPr>
      <w:r>
        <w:rPr>
          <w:rFonts w:ascii="Arial" w:cs="Arial" w:eastAsia="Arial" w:hAnsi="Arial"/>
          <w:sz w:val="17"/>
          <w:szCs w:val="17"/>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line="138" w:lineRule="exact"/>
        <w:rPr>
          <w:sz w:val="24"/>
          <w:szCs w:val="24"/>
          <w:color w:val="auto"/>
        </w:rPr>
      </w:pPr>
    </w:p>
    <w:p>
      <w:pPr>
        <w:jc w:val="center"/>
        <w:ind w:right="1000"/>
        <w:spacing w:after="0"/>
        <w:rPr>
          <w:sz w:val="20"/>
          <w:szCs w:val="20"/>
          <w:color w:val="auto"/>
        </w:rPr>
      </w:pPr>
      <w:r>
        <w:rPr>
          <w:rFonts w:ascii="Arial" w:cs="Arial" w:eastAsia="Arial" w:hAnsi="Arial"/>
          <w:sz w:val="18"/>
          <w:szCs w:val="18"/>
          <w:color w:val="auto"/>
        </w:rPr>
        <w:t>42-0823980</w:t>
      </w:r>
    </w:p>
    <w:p>
      <w:pPr>
        <w:spacing w:after="0" w:line="32" w:lineRule="exact"/>
        <w:rPr>
          <w:sz w:val="24"/>
          <w:szCs w:val="24"/>
          <w:color w:val="auto"/>
        </w:rPr>
      </w:pPr>
    </w:p>
    <w:p>
      <w:pPr>
        <w:jc w:val="center"/>
        <w:ind w:right="1000"/>
        <w:spacing w:after="0"/>
        <w:rPr>
          <w:sz w:val="20"/>
          <w:szCs w:val="20"/>
          <w:color w:val="auto"/>
        </w:rPr>
      </w:pPr>
      <w:r>
        <w:rPr>
          <w:rFonts w:ascii="Arial" w:cs="Arial" w:eastAsia="Arial" w:hAnsi="Arial"/>
          <w:sz w:val="17"/>
          <w:szCs w:val="17"/>
          <w:color w:val="auto"/>
        </w:rPr>
        <w:t>(I.R.S. Employer Identification No.)</w:t>
      </w:r>
    </w:p>
    <w:p>
      <w:pPr>
        <w:spacing w:after="0" w:line="200" w:lineRule="exact"/>
        <w:rPr>
          <w:sz w:val="24"/>
          <w:szCs w:val="24"/>
          <w:color w:val="auto"/>
        </w:rPr>
      </w:pPr>
    </w:p>
    <w:p>
      <w:pPr>
        <w:sectPr>
          <w:pgSz w:w="11900" w:h="16838" w:orient="portrait"/>
          <w:cols w:equalWidth="0" w:num="2">
            <w:col w:w="6760" w:space="720"/>
            <w:col w:w="3760"/>
          </w:cols>
          <w:pgMar w:left="320" w:top="229" w:right="339" w:bottom="1440" w:gutter="0" w:footer="0" w:header="0"/>
          <w:type w:val="continuous"/>
        </w:sectPr>
      </w:pPr>
    </w:p>
    <w:p>
      <w:pPr>
        <w:spacing w:after="0" w:line="1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4600 E. 53rd Street, Davenport, Iowa 52807</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(Address of principal executive offices)</w:t>
      </w:r>
    </w:p>
    <w:p>
      <w:pPr>
        <w:spacing w:after="0" w:line="9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(563) 383-2100</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99"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158" w:lineRule="exact"/>
        <w:rPr>
          <w:sz w:val="24"/>
          <w:szCs w:val="24"/>
          <w:color w:val="auto"/>
        </w:rPr>
      </w:pPr>
    </w:p>
    <w:tbl>
      <w:tblPr>
        <w:tblLayout w:type="fixed"/>
        <w:tblInd w:w="0" w:type="dxa"/>
        <w:tblCellMar>
          <w:top w:w="0" w:type="dxa"/>
          <w:left w:w="0" w:type="dxa"/>
          <w:bottom w:w="0" w:type="dxa"/>
          <w:right w:w="0" w:type="dxa"/>
        </w:tblCellMar>
      </w:tblPr>
      <w:tr>
        <w:trPr>
          <w:trHeight w:val="235"/>
        </w:trPr>
        <w:tc>
          <w:tcPr>
            <w:tcW w:w="43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rPr>
              <w:t>Title of each class</w:t>
            </w:r>
          </w:p>
        </w:tc>
        <w:tc>
          <w:tcPr>
            <w:tcW w:w="2480" w:type="dxa"/>
            <w:vAlign w:val="bottom"/>
            <w:tcBorders>
              <w:bottom w:val="single" w:sz="8" w:color="auto"/>
            </w:tcBorders>
          </w:tcPr>
          <w:p>
            <w:pPr>
              <w:jc w:val="center"/>
              <w:ind w:left="30"/>
              <w:spacing w:after="0"/>
              <w:rPr>
                <w:sz w:val="20"/>
                <w:szCs w:val="20"/>
                <w:color w:val="auto"/>
              </w:rPr>
            </w:pPr>
            <w:r>
              <w:rPr>
                <w:rFonts w:ascii="Arial" w:cs="Arial" w:eastAsia="Arial" w:hAnsi="Arial"/>
                <w:sz w:val="18"/>
                <w:szCs w:val="18"/>
                <w:b w:val="1"/>
                <w:bCs w:val="1"/>
                <w:color w:val="auto"/>
                <w:w w:val="98"/>
              </w:rPr>
              <w:t>Trading Symbol(s)</w:t>
            </w:r>
          </w:p>
        </w:tc>
        <w:tc>
          <w:tcPr>
            <w:tcW w:w="4440" w:type="dxa"/>
            <w:vAlign w:val="bottom"/>
            <w:tcBorders>
              <w:bottom w:val="single" w:sz="8" w:color="auto"/>
            </w:tcBorders>
          </w:tcPr>
          <w:p>
            <w:pPr>
              <w:jc w:val="center"/>
              <w:ind w:left="30"/>
              <w:spacing w:after="0"/>
              <w:rPr>
                <w:sz w:val="20"/>
                <w:szCs w:val="20"/>
                <w:color w:val="auto"/>
              </w:rPr>
            </w:pPr>
            <w:r>
              <w:rPr>
                <w:rFonts w:ascii="Arial" w:cs="Arial" w:eastAsia="Arial" w:hAnsi="Arial"/>
                <w:sz w:val="18"/>
                <w:szCs w:val="18"/>
                <w:b w:val="1"/>
                <w:bCs w:val="1"/>
                <w:color w:val="auto"/>
                <w:w w:val="99"/>
              </w:rPr>
              <w:t>Name of each exchange on which registered</w:t>
            </w:r>
          </w:p>
        </w:tc>
      </w:tr>
      <w:tr>
        <w:trPr>
          <w:trHeight w:val="218"/>
        </w:trPr>
        <w:tc>
          <w:tcPr>
            <w:tcW w:w="4320" w:type="dxa"/>
            <w:vAlign w:val="bottom"/>
          </w:tcPr>
          <w:p>
            <w:pPr>
              <w:jc w:val="center"/>
              <w:spacing w:after="0"/>
              <w:rPr>
                <w:sz w:val="20"/>
                <w:szCs w:val="20"/>
                <w:color w:val="auto"/>
              </w:rPr>
            </w:pPr>
            <w:r>
              <w:rPr>
                <w:rFonts w:ascii="Arial" w:cs="Arial" w:eastAsia="Arial" w:hAnsi="Arial"/>
                <w:sz w:val="18"/>
                <w:szCs w:val="18"/>
                <w:color w:val="auto"/>
                <w:w w:val="99"/>
              </w:rPr>
              <w:t>Common Stock, par value $.01 per share</w:t>
            </w:r>
          </w:p>
        </w:tc>
        <w:tc>
          <w:tcPr>
            <w:tcW w:w="2480" w:type="dxa"/>
            <w:vAlign w:val="bottom"/>
          </w:tcPr>
          <w:p>
            <w:pPr>
              <w:jc w:val="center"/>
              <w:ind w:left="50"/>
              <w:spacing w:after="0"/>
              <w:rPr>
                <w:sz w:val="20"/>
                <w:szCs w:val="20"/>
                <w:color w:val="auto"/>
              </w:rPr>
            </w:pPr>
            <w:r>
              <w:rPr>
                <w:rFonts w:ascii="Arial" w:cs="Arial" w:eastAsia="Arial" w:hAnsi="Arial"/>
                <w:sz w:val="18"/>
                <w:szCs w:val="18"/>
                <w:color w:val="auto"/>
                <w:w w:val="99"/>
              </w:rPr>
              <w:t>LEE</w:t>
            </w:r>
          </w:p>
        </w:tc>
        <w:tc>
          <w:tcPr>
            <w:tcW w:w="4440" w:type="dxa"/>
            <w:vAlign w:val="bottom"/>
          </w:tcPr>
          <w:p>
            <w:pPr>
              <w:jc w:val="center"/>
              <w:ind w:left="50"/>
              <w:spacing w:after="0"/>
              <w:rPr>
                <w:sz w:val="20"/>
                <w:szCs w:val="20"/>
                <w:color w:val="auto"/>
              </w:rPr>
            </w:pPr>
            <w:r>
              <w:rPr>
                <w:rFonts w:ascii="Arial" w:cs="Arial" w:eastAsia="Arial" w:hAnsi="Arial"/>
                <w:sz w:val="18"/>
                <w:szCs w:val="18"/>
                <w:color w:val="auto"/>
                <w:w w:val="99"/>
              </w:rPr>
              <w:t>The Nasdaq Global Select Market</w:t>
            </w:r>
          </w:p>
        </w:tc>
      </w:tr>
      <w:tr>
        <w:trPr>
          <w:trHeight w:val="239"/>
        </w:trPr>
        <w:tc>
          <w:tcPr>
            <w:tcW w:w="4320" w:type="dxa"/>
            <w:vAlign w:val="bottom"/>
          </w:tcPr>
          <w:p>
            <w:pPr>
              <w:jc w:val="center"/>
              <w:spacing w:after="0"/>
              <w:rPr>
                <w:sz w:val="20"/>
                <w:szCs w:val="20"/>
                <w:color w:val="auto"/>
              </w:rPr>
            </w:pPr>
            <w:r>
              <w:rPr>
                <w:rFonts w:ascii="Arial" w:cs="Arial" w:eastAsia="Arial" w:hAnsi="Arial"/>
                <w:sz w:val="18"/>
                <w:szCs w:val="18"/>
                <w:color w:val="auto"/>
                <w:w w:val="99"/>
              </w:rPr>
              <w:t>Preferred Share Purchase Rights</w:t>
            </w:r>
          </w:p>
        </w:tc>
        <w:tc>
          <w:tcPr>
            <w:tcW w:w="2480" w:type="dxa"/>
            <w:vAlign w:val="bottom"/>
          </w:tcPr>
          <w:p>
            <w:pPr>
              <w:jc w:val="center"/>
              <w:ind w:left="50"/>
              <w:spacing w:after="0"/>
              <w:rPr>
                <w:sz w:val="20"/>
                <w:szCs w:val="20"/>
                <w:color w:val="auto"/>
              </w:rPr>
            </w:pPr>
            <w:r>
              <w:rPr>
                <w:rFonts w:ascii="Arial" w:cs="Arial" w:eastAsia="Arial" w:hAnsi="Arial"/>
                <w:sz w:val="18"/>
                <w:szCs w:val="18"/>
                <w:color w:val="auto"/>
                <w:w w:val="99"/>
              </w:rPr>
              <w:t>LEE</w:t>
            </w:r>
          </w:p>
        </w:tc>
        <w:tc>
          <w:tcPr>
            <w:tcW w:w="4440" w:type="dxa"/>
            <w:vAlign w:val="bottom"/>
          </w:tcPr>
          <w:p>
            <w:pPr>
              <w:jc w:val="center"/>
              <w:ind w:left="50"/>
              <w:spacing w:after="0"/>
              <w:rPr>
                <w:sz w:val="20"/>
                <w:szCs w:val="20"/>
                <w:color w:val="auto"/>
              </w:rPr>
            </w:pPr>
            <w:r>
              <w:rPr>
                <w:rFonts w:ascii="Arial" w:cs="Arial" w:eastAsia="Arial" w:hAnsi="Arial"/>
                <w:sz w:val="18"/>
                <w:szCs w:val="18"/>
                <w:color w:val="auto"/>
                <w:w w:val="99"/>
              </w:rPr>
              <w:t>The Nasdaq Global Select Market</w:t>
            </w:r>
          </w:p>
        </w:tc>
      </w:tr>
    </w:tbl>
    <w:p>
      <w:pPr>
        <w:spacing w:after="0" w:line="166" w:lineRule="exact"/>
        <w:rPr>
          <w:sz w:val="24"/>
          <w:szCs w:val="24"/>
          <w:color w:val="auto"/>
        </w:rPr>
      </w:pPr>
    </w:p>
    <w:p>
      <w:pPr>
        <w:jc w:val="both"/>
        <w:spacing w:after="0" w:line="268" w:lineRule="auto"/>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 w:cs="Wingdings" w:eastAsia="Wingdings" w:hAnsi="Wingdings"/>
          <w:sz w:val="18"/>
          <w:szCs w:val="18"/>
          <w:b w:val="1"/>
          <w:bCs w:val="1"/>
          <w:color w:val="auto"/>
        </w:rPr>
        <w:t>x</w:t>
      </w:r>
      <w:r>
        <w:rPr>
          <w:rFonts w:ascii="Arial" w:cs="Arial" w:eastAsia="Arial" w:hAnsi="Arial"/>
          <w:sz w:val="18"/>
          <w:szCs w:val="18"/>
          <w:color w:val="auto"/>
        </w:rPr>
        <w:t xml:space="preserve"> No </w:t>
      </w:r>
      <w:r>
        <w:rPr>
          <w:rFonts w:ascii="Wingdings" w:cs="Wingdings" w:eastAsia="Wingdings" w:hAnsi="Wingdings"/>
          <w:sz w:val="18"/>
          <w:szCs w:val="18"/>
          <w:b w:val="1"/>
          <w:bCs w:val="1"/>
          <w:color w:val="auto"/>
        </w:rPr>
        <w:t>o</w:t>
      </w:r>
    </w:p>
    <w:p>
      <w:pPr>
        <w:spacing w:after="0" w:line="63" w:lineRule="exact"/>
        <w:rPr>
          <w:sz w:val="24"/>
          <w:szCs w:val="24"/>
          <w:color w:val="auto"/>
        </w:rPr>
      </w:pPr>
    </w:p>
    <w:p>
      <w:pPr>
        <w:jc w:val="both"/>
        <w:spacing w:after="0" w:line="268" w:lineRule="auto"/>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Wingdings" w:cs="Wingdings" w:eastAsia="Wingdings" w:hAnsi="Wingdings"/>
          <w:sz w:val="18"/>
          <w:szCs w:val="18"/>
          <w:b w:val="1"/>
          <w:bCs w:val="1"/>
          <w:color w:val="auto"/>
        </w:rPr>
        <w:t>x</w:t>
      </w:r>
      <w:r>
        <w:rPr>
          <w:rFonts w:ascii="Arial" w:cs="Arial" w:eastAsia="Arial" w:hAnsi="Arial"/>
          <w:sz w:val="18"/>
          <w:szCs w:val="18"/>
          <w:color w:val="auto"/>
        </w:rPr>
        <w:t xml:space="preserve"> No </w:t>
      </w:r>
      <w:r>
        <w:rPr>
          <w:rFonts w:ascii="Wingdings" w:cs="Wingdings" w:eastAsia="Wingdings" w:hAnsi="Wingdings"/>
          <w:sz w:val="18"/>
          <w:szCs w:val="18"/>
          <w:b w:val="1"/>
          <w:bCs w:val="1"/>
          <w:color w:val="auto"/>
        </w:rPr>
        <w:t>o</w:t>
      </w:r>
    </w:p>
    <w:p>
      <w:pPr>
        <w:spacing w:after="0" w:line="63" w:lineRule="exact"/>
        <w:rPr>
          <w:sz w:val="24"/>
          <w:szCs w:val="24"/>
          <w:color w:val="auto"/>
        </w:rPr>
      </w:pPr>
    </w:p>
    <w:p>
      <w:pPr>
        <w:jc w:val="both"/>
        <w:spacing w:after="0" w:line="268"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229" w:right="339" w:bottom="1440" w:gutter="0" w:footer="0" w:header="0"/>
          <w:type w:val="continuous"/>
        </w:sectPr>
      </w:pPr>
    </w:p>
    <w:p>
      <w:pPr>
        <w:spacing w:after="0" w:line="103" w:lineRule="exact"/>
        <w:rPr>
          <w:sz w:val="24"/>
          <w:szCs w:val="24"/>
          <w:color w:val="auto"/>
        </w:rPr>
      </w:pPr>
    </w:p>
    <w:p>
      <w:pPr>
        <w:ind w:left="360"/>
        <w:spacing w:after="0"/>
        <w:rPr>
          <w:sz w:val="20"/>
          <w:szCs w:val="20"/>
          <w:color w:val="auto"/>
        </w:rPr>
      </w:pPr>
      <w:r>
        <w:rPr>
          <w:rFonts w:ascii="Arial" w:cs="Arial" w:eastAsia="Arial" w:hAnsi="Arial"/>
          <w:sz w:val="17"/>
          <w:szCs w:val="17"/>
          <w:color w:val="auto"/>
        </w:rPr>
        <w:t>Large accelerated filer</w:t>
      </w:r>
    </w:p>
    <w:p>
      <w:pPr>
        <w:spacing w:after="0" w:line="20" w:lineRule="exact"/>
        <w:rPr>
          <w:sz w:val="24"/>
          <w:szCs w:val="24"/>
          <w:color w:val="auto"/>
        </w:rPr>
      </w:pPr>
      <w:r>
        <w:rPr>
          <w:sz w:val="24"/>
          <w:szCs w:val="24"/>
          <w:color w:val="auto"/>
        </w:rPr>
        <w:br w:type="column"/>
      </w:r>
    </w:p>
    <w:p>
      <w:pPr>
        <w:spacing w:after="0" w:line="83" w:lineRule="exact"/>
        <w:rPr>
          <w:sz w:val="24"/>
          <w:szCs w:val="24"/>
          <w:color w:val="auto"/>
        </w:rPr>
      </w:pPr>
    </w:p>
    <w:p>
      <w:pPr>
        <w:spacing w:after="0"/>
        <w:rPr>
          <w:sz w:val="20"/>
          <w:szCs w:val="20"/>
          <w:color w:val="auto"/>
        </w:rPr>
      </w:pPr>
      <w:r>
        <w:rPr>
          <w:rFonts w:ascii="Arial" w:cs="Arial" w:eastAsia="Arial" w:hAnsi="Arial"/>
          <w:sz w:val="18"/>
          <w:szCs w:val="18"/>
          <w:color w:val="auto"/>
        </w:rPr>
        <w:t>Accelerated filer</w:t>
      </w:r>
    </w:p>
    <w:p>
      <w:pPr>
        <w:spacing w:after="0" w:line="13" w:lineRule="exact"/>
        <w:rPr>
          <w:sz w:val="24"/>
          <w:szCs w:val="24"/>
          <w:color w:val="auto"/>
        </w:rPr>
      </w:pPr>
    </w:p>
    <w:p>
      <w:pPr>
        <w:sectPr>
          <w:pgSz w:w="11900" w:h="16838" w:orient="portrait"/>
          <w:cols w:equalWidth="0" w:num="2">
            <w:col w:w="4900" w:space="720"/>
            <w:col w:w="5620"/>
          </w:cols>
          <w:pgMar w:left="320" w:top="229" w:right="339" w:bottom="1440" w:gutter="0" w:footer="0" w:header="0"/>
          <w:type w:val="continuous"/>
        </w:sectPr>
      </w:pPr>
    </w:p>
    <w:p>
      <w:pPr>
        <w:spacing w:after="0" w:line="11" w:lineRule="exact"/>
        <w:rPr>
          <w:sz w:val="24"/>
          <w:szCs w:val="24"/>
          <w:color w:val="auto"/>
        </w:rPr>
      </w:pPr>
    </w:p>
    <w:p>
      <w:pPr>
        <w:ind w:left="3700"/>
        <w:spacing w:after="0"/>
        <w:rPr>
          <w:sz w:val="20"/>
          <w:szCs w:val="20"/>
          <w:color w:val="auto"/>
        </w:rPr>
      </w:pPr>
      <w:r>
        <w:rPr>
          <w:rFonts w:ascii="Wingdings" w:cs="Wingdings" w:eastAsia="Wingdings" w:hAnsi="Wingdings"/>
          <w:sz w:val="17"/>
          <w:szCs w:val="17"/>
          <w:b w:val="1"/>
          <w:bCs w:val="1"/>
          <w:color w:val="auto"/>
        </w:rPr>
        <w:t>o</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Wingdings" w:cs="Wingdings" w:eastAsia="Wingdings" w:hAnsi="Wingdings"/>
          <w:sz w:val="18"/>
          <w:szCs w:val="18"/>
          <w:b w:val="1"/>
          <w:bCs w:val="1"/>
          <w:color w:val="auto"/>
        </w:rPr>
        <w:t>x</w:t>
      </w:r>
    </w:p>
    <w:p>
      <w:pPr>
        <w:spacing w:after="0" w:line="26" w:lineRule="exact"/>
        <w:rPr>
          <w:sz w:val="24"/>
          <w:szCs w:val="24"/>
          <w:color w:val="auto"/>
        </w:rPr>
      </w:pPr>
    </w:p>
    <w:p>
      <w:pPr>
        <w:sectPr>
          <w:pgSz w:w="11900" w:h="16838" w:orient="portrait"/>
          <w:cols w:equalWidth="0" w:num="2">
            <w:col w:w="8600" w:space="720"/>
            <w:col w:w="1920"/>
          </w:cols>
          <w:pgMar w:left="320" w:top="229" w:right="339" w:bottom="1440" w:gutter="0" w:footer="0" w:header="0"/>
          <w:type w:val="continuous"/>
        </w:sectPr>
      </w:pPr>
    </w:p>
    <w:p>
      <w:pPr>
        <w:ind w:left="360"/>
        <w:spacing w:after="0"/>
        <w:rPr>
          <w:sz w:val="20"/>
          <w:szCs w:val="20"/>
          <w:color w:val="auto"/>
        </w:rPr>
      </w:pPr>
      <w:r>
        <w:rPr>
          <w:rFonts w:ascii="Arial" w:cs="Arial" w:eastAsia="Arial" w:hAnsi="Arial"/>
          <w:sz w:val="17"/>
          <w:szCs w:val="17"/>
          <w:color w:val="auto"/>
        </w:rPr>
        <w:t>Non-accelerated filer</w:t>
      </w:r>
    </w:p>
    <w:p>
      <w:pPr>
        <w:spacing w:after="0" w:line="20" w:lineRule="exact"/>
        <w:rPr>
          <w:sz w:val="24"/>
          <w:szCs w:val="24"/>
          <w:color w:val="auto"/>
        </w:rPr>
      </w:pPr>
      <w:r>
        <w:rPr>
          <w:sz w:val="24"/>
          <w:szCs w:val="24"/>
          <w:color w:val="auto"/>
        </w:rPr>
        <w:br w:type="column"/>
      </w:r>
    </w:p>
    <w:p>
      <w:pPr>
        <w:jc w:val="center"/>
        <w:ind w:right="3460"/>
        <w:spacing w:after="0"/>
        <w:rPr>
          <w:sz w:val="20"/>
          <w:szCs w:val="20"/>
          <w:color w:val="auto"/>
        </w:rPr>
      </w:pPr>
      <w:r>
        <w:rPr>
          <w:rFonts w:ascii="Arial" w:cs="Arial" w:eastAsia="Arial" w:hAnsi="Arial"/>
          <w:sz w:val="18"/>
          <w:szCs w:val="18"/>
          <w:color w:val="auto"/>
        </w:rPr>
        <w:t>Smaller reporting company</w:t>
      </w:r>
    </w:p>
    <w:p>
      <w:pPr>
        <w:spacing w:after="0" w:line="13" w:lineRule="exact"/>
        <w:rPr>
          <w:sz w:val="24"/>
          <w:szCs w:val="24"/>
          <w:color w:val="auto"/>
        </w:rPr>
      </w:pPr>
    </w:p>
    <w:p>
      <w:pPr>
        <w:sectPr>
          <w:pgSz w:w="11900" w:h="16838" w:orient="portrait"/>
          <w:cols w:equalWidth="0" w:num="2">
            <w:col w:w="4900" w:space="720"/>
            <w:col w:w="5620"/>
          </w:cols>
          <w:pgMar w:left="320" w:top="229" w:right="339" w:bottom="1440" w:gutter="0" w:footer="0" w:header="0"/>
          <w:type w:val="continuous"/>
        </w:sectPr>
      </w:pPr>
    </w:p>
    <w:p>
      <w:pPr>
        <w:spacing w:after="0" w:line="11" w:lineRule="exact"/>
        <w:rPr>
          <w:sz w:val="24"/>
          <w:szCs w:val="24"/>
          <w:color w:val="auto"/>
        </w:rPr>
      </w:pPr>
    </w:p>
    <w:p>
      <w:pPr>
        <w:ind w:left="3700"/>
        <w:spacing w:after="0"/>
        <w:rPr>
          <w:sz w:val="20"/>
          <w:szCs w:val="20"/>
          <w:color w:val="auto"/>
        </w:rPr>
      </w:pPr>
      <w:r>
        <w:rPr>
          <w:rFonts w:ascii="Wingdings" w:cs="Wingdings" w:eastAsia="Wingdings" w:hAnsi="Wingdings"/>
          <w:sz w:val="17"/>
          <w:szCs w:val="17"/>
          <w:b w:val="1"/>
          <w:bCs w:val="1"/>
          <w:color w:val="auto"/>
        </w:rPr>
        <w:t>o</w:t>
      </w:r>
    </w:p>
    <w:p>
      <w:pPr>
        <w:spacing w:after="0" w:line="20" w:lineRule="exact"/>
        <w:rPr>
          <w:sz w:val="24"/>
          <w:szCs w:val="24"/>
          <w:color w:val="auto"/>
        </w:rPr>
      </w:pPr>
      <w:r>
        <w:rPr>
          <w:sz w:val="24"/>
          <w:szCs w:val="24"/>
          <w:color w:val="auto"/>
        </w:rPr>
        <w:br w:type="column"/>
      </w:r>
    </w:p>
    <w:p>
      <w:pPr>
        <w:spacing w:after="0" w:line="206" w:lineRule="exact"/>
        <w:rPr>
          <w:sz w:val="24"/>
          <w:szCs w:val="24"/>
          <w:color w:val="auto"/>
        </w:rPr>
      </w:pPr>
    </w:p>
    <w:p>
      <w:pPr>
        <w:spacing w:after="0"/>
        <w:rPr>
          <w:sz w:val="20"/>
          <w:szCs w:val="20"/>
          <w:color w:val="auto"/>
        </w:rPr>
      </w:pPr>
      <w:r>
        <w:rPr>
          <w:rFonts w:ascii="Arial" w:cs="Arial" w:eastAsia="Arial" w:hAnsi="Arial"/>
          <w:sz w:val="17"/>
          <w:szCs w:val="17"/>
          <w:color w:val="auto"/>
        </w:rPr>
        <w:t>Emerging growth company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Wingdings" w:cs="Wingdings" w:eastAsia="Wingdings" w:hAnsi="Wingdings"/>
          <w:sz w:val="18"/>
          <w:szCs w:val="18"/>
          <w:b w:val="1"/>
          <w:bCs w:val="1"/>
          <w:color w:val="auto"/>
        </w:rPr>
        <w:t>x</w:t>
      </w:r>
    </w:p>
    <w:p>
      <w:pPr>
        <w:spacing w:after="0" w:line="43" w:lineRule="exact"/>
        <w:rPr>
          <w:sz w:val="24"/>
          <w:szCs w:val="24"/>
          <w:color w:val="auto"/>
        </w:rPr>
      </w:pPr>
    </w:p>
    <w:p>
      <w:pPr>
        <w:spacing w:after="0"/>
        <w:rPr>
          <w:sz w:val="20"/>
          <w:szCs w:val="20"/>
          <w:color w:val="auto"/>
        </w:rPr>
      </w:pPr>
      <w:r>
        <w:rPr>
          <w:rFonts w:ascii="Wingdings" w:cs="Wingdings" w:eastAsia="Wingdings" w:hAnsi="Wingdings"/>
          <w:sz w:val="18"/>
          <w:szCs w:val="18"/>
          <w:b w:val="1"/>
          <w:bCs w:val="1"/>
          <w:color w:val="auto"/>
        </w:rPr>
        <w:t>o</w:t>
      </w:r>
    </w:p>
    <w:p>
      <w:pPr>
        <w:spacing w:after="0" w:line="200" w:lineRule="exact"/>
        <w:rPr>
          <w:sz w:val="24"/>
          <w:szCs w:val="24"/>
          <w:color w:val="auto"/>
        </w:rPr>
      </w:pPr>
    </w:p>
    <w:p>
      <w:pPr>
        <w:sectPr>
          <w:pgSz w:w="11900" w:h="16838" w:orient="portrait"/>
          <w:cols w:equalWidth="0" w:num="3">
            <w:col w:w="4900" w:space="720"/>
            <w:col w:w="2980" w:space="720"/>
            <w:col w:w="1920"/>
          </w:cols>
          <w:pgMar w:left="320" w:top="229" w:right="339" w:bottom="1440" w:gutter="0" w:footer="0" w:header="0"/>
          <w:type w:val="continuous"/>
        </w:sectPr>
      </w:pPr>
    </w:p>
    <w:p>
      <w:pPr>
        <w:spacing w:after="0" w:line="2" w:lineRule="exact"/>
        <w:rPr>
          <w:sz w:val="24"/>
          <w:szCs w:val="24"/>
          <w:color w:val="auto"/>
        </w:rPr>
      </w:pPr>
    </w:p>
    <w:p>
      <w:pPr>
        <w:spacing w:after="0" w:line="287" w:lineRule="auto"/>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8"/>
          <w:szCs w:val="18"/>
          <w:b w:val="1"/>
          <w:bCs w:val="1"/>
          <w:color w:val="auto"/>
        </w:rPr>
        <w:t>o</w:t>
      </w:r>
    </w:p>
    <w:p>
      <w:pPr>
        <w:spacing w:after="0" w:line="45" w:lineRule="exact"/>
        <w:rPr>
          <w:sz w:val="24"/>
          <w:szCs w:val="24"/>
          <w:color w:val="auto"/>
        </w:rPr>
      </w:pPr>
    </w:p>
    <w:p>
      <w:pPr>
        <w:spacing w:after="0"/>
        <w:tabs>
          <w:tab w:leader="none" w:pos="9240" w:val="left"/>
        </w:tabs>
        <w:rPr>
          <w:sz w:val="20"/>
          <w:szCs w:val="20"/>
          <w:color w:val="auto"/>
        </w:rPr>
      </w:pPr>
      <w:r>
        <w:rPr>
          <w:rFonts w:ascii="Arial" w:cs="Arial" w:eastAsia="Arial" w:hAnsi="Arial"/>
          <w:sz w:val="18"/>
          <w:szCs w:val="18"/>
          <w:color w:val="auto"/>
        </w:rPr>
        <w:t>Indicate by check mark whether the Registrant is a shell company (as defined in Rule 12b-2 of the Exchange Act).</w:t>
        <w:tab/>
        <w:t xml:space="preserve">Yes </w:t>
      </w:r>
      <w:r>
        <w:rPr>
          <w:rFonts w:ascii="Wingdings" w:cs="Wingdings" w:eastAsia="Wingdings" w:hAnsi="Wingdings"/>
          <w:sz w:val="18"/>
          <w:szCs w:val="18"/>
          <w:b w:val="1"/>
          <w:bCs w:val="1"/>
          <w:color w:val="auto"/>
        </w:rPr>
        <w:t>o</w:t>
      </w:r>
      <w:r>
        <w:rPr>
          <w:rFonts w:ascii="Arial" w:cs="Arial" w:eastAsia="Arial" w:hAnsi="Arial"/>
          <w:sz w:val="18"/>
          <w:szCs w:val="18"/>
          <w:color w:val="auto"/>
        </w:rPr>
        <w:t xml:space="preserve"> No </w:t>
      </w:r>
      <w:r>
        <w:rPr>
          <w:rFonts w:ascii="Wingdings" w:cs="Wingdings" w:eastAsia="Wingdings" w:hAnsi="Wingdings"/>
          <w:sz w:val="18"/>
          <w:szCs w:val="18"/>
          <w:b w:val="1"/>
          <w:bCs w:val="1"/>
          <w:color w:val="auto"/>
        </w:rPr>
        <w:t>x</w:t>
      </w:r>
    </w:p>
    <w:p>
      <w:pPr>
        <w:spacing w:after="0" w:line="200" w:lineRule="exact"/>
        <w:rPr>
          <w:sz w:val="24"/>
          <w:szCs w:val="24"/>
          <w:color w:val="auto"/>
        </w:rPr>
      </w:pPr>
    </w:p>
    <w:p>
      <w:pPr>
        <w:spacing w:after="0" w:line="268" w:lineRule="exact"/>
        <w:rPr>
          <w:sz w:val="24"/>
          <w:szCs w:val="24"/>
          <w:color w:val="auto"/>
        </w:rPr>
      </w:pPr>
    </w:p>
    <w:p>
      <w:pPr>
        <w:spacing w:after="0"/>
        <w:rPr>
          <w:sz w:val="20"/>
          <w:szCs w:val="20"/>
          <w:color w:val="auto"/>
        </w:rPr>
      </w:pPr>
      <w:r>
        <w:rPr>
          <w:rFonts w:ascii="Arial" w:cs="Arial" w:eastAsia="Arial" w:hAnsi="Arial"/>
          <w:sz w:val="18"/>
          <w:szCs w:val="18"/>
          <w:color w:val="auto"/>
        </w:rPr>
        <w:t>As of April 30, 2024, 6,143,119 shares of Common Stock of the Registrant were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588010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20" w:type="dxa"/>
            <w:vAlign w:val="bottom"/>
            <w:tcBorders>
              <w:bottom w:val="single" w:sz="8" w:color="auto"/>
            </w:tcBorders>
          </w:tcPr>
          <w:p>
            <w:pPr>
              <w:spacing w:after="0"/>
              <w:rPr>
                <w:sz w:val="20"/>
                <w:szCs w:val="20"/>
                <w:color w:val="auto"/>
              </w:rPr>
            </w:pPr>
          </w:p>
        </w:tc>
        <w:tc>
          <w:tcPr>
            <w:tcW w:w="242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Table Of Contents</w:t>
            </w:r>
          </w:p>
        </w:tc>
        <w:tc>
          <w:tcPr>
            <w:tcW w:w="6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234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gridSpan w:val="3"/>
          </w:tcPr>
          <w:p>
            <w:pPr>
              <w:ind w:left="500"/>
              <w:spacing w:after="0"/>
              <w:rPr>
                <w:sz w:val="20"/>
                <w:szCs w:val="20"/>
                <w:color w:val="auto"/>
              </w:rPr>
            </w:pPr>
            <w:r>
              <w:rPr>
                <w:rFonts w:ascii="Arial" w:cs="Arial" w:eastAsia="Arial" w:hAnsi="Arial"/>
                <w:sz w:val="18"/>
                <w:szCs w:val="18"/>
                <w:color w:val="auto"/>
              </w:rPr>
              <w:t>PAGE</w:t>
            </w:r>
          </w:p>
        </w:tc>
      </w:tr>
      <w:tr>
        <w:trPr>
          <w:trHeight w:val="331"/>
        </w:trPr>
        <w:tc>
          <w:tcPr>
            <w:tcW w:w="20" w:type="dxa"/>
            <w:vAlign w:val="bottom"/>
          </w:tcPr>
          <w:p>
            <w:pPr>
              <w:spacing w:after="0"/>
              <w:rPr>
                <w:sz w:val="24"/>
                <w:szCs w:val="24"/>
                <w:color w:val="auto"/>
              </w:rPr>
            </w:pPr>
          </w:p>
        </w:tc>
        <w:tc>
          <w:tcPr>
            <w:tcW w:w="10020" w:type="dxa"/>
            <w:vAlign w:val="bottom"/>
            <w:gridSpan w:val="18"/>
          </w:tcPr>
          <w:p>
            <w:pPr>
              <w:spacing w:after="0"/>
              <w:rPr>
                <w:sz w:val="20"/>
                <w:szCs w:val="20"/>
                <w:color w:val="auto"/>
              </w:rPr>
            </w:pPr>
            <w:r>
              <w:rPr>
                <w:rFonts w:ascii="Arial" w:cs="Arial" w:eastAsia="Arial" w:hAnsi="Arial"/>
                <w:sz w:val="18"/>
                <w:szCs w:val="18"/>
                <w:color w:val="0000FF"/>
              </w:rPr>
              <w:t>FORWARD LOOKING STATEMENTS</w:t>
            </w:r>
          </w:p>
        </w:tc>
        <w:tc>
          <w:tcPr>
            <w:tcW w:w="800" w:type="dxa"/>
            <w:vAlign w:val="bottom"/>
            <w:gridSpan w:val="2"/>
          </w:tcPr>
          <w:p>
            <w:pPr>
              <w:jc w:val="center"/>
              <w:ind w:left="610"/>
              <w:spacing w:after="0"/>
              <w:rPr>
                <w:sz w:val="20"/>
                <w:szCs w:val="20"/>
                <w:color w:val="auto"/>
              </w:rPr>
            </w:pPr>
            <w:r>
              <w:rPr>
                <w:rFonts w:ascii="Arial" w:cs="Arial" w:eastAsia="Arial" w:hAnsi="Arial"/>
                <w:sz w:val="18"/>
                <w:szCs w:val="18"/>
                <w:color w:val="0000FF"/>
                <w:w w:val="99"/>
              </w:rPr>
              <w:t>1</w:t>
            </w:r>
          </w:p>
        </w:tc>
        <w:tc>
          <w:tcPr>
            <w:tcW w:w="400" w:type="dxa"/>
            <w:vAlign w:val="bottom"/>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372"/>
        </w:trPr>
        <w:tc>
          <w:tcPr>
            <w:tcW w:w="20" w:type="dxa"/>
            <w:vAlign w:val="bottom"/>
          </w:tcPr>
          <w:p>
            <w:pPr>
              <w:spacing w:after="0"/>
              <w:rPr>
                <w:sz w:val="24"/>
                <w:szCs w:val="24"/>
                <w:color w:val="auto"/>
              </w:rPr>
            </w:pPr>
          </w:p>
        </w:tc>
        <w:tc>
          <w:tcPr>
            <w:tcW w:w="1280" w:type="dxa"/>
            <w:vAlign w:val="bottom"/>
            <w:gridSpan w:val="2"/>
          </w:tcPr>
          <w:p>
            <w:pPr>
              <w:spacing w:after="0"/>
              <w:rPr>
                <w:sz w:val="20"/>
                <w:szCs w:val="20"/>
                <w:color w:val="auto"/>
              </w:rPr>
            </w:pPr>
            <w:r>
              <w:rPr>
                <w:rFonts w:ascii="Arial" w:cs="Arial" w:eastAsia="Arial" w:hAnsi="Arial"/>
                <w:sz w:val="18"/>
                <w:szCs w:val="18"/>
                <w:color w:val="auto"/>
              </w:rPr>
              <w:t>PART I</w:t>
            </w:r>
          </w:p>
        </w:tc>
        <w:tc>
          <w:tcPr>
            <w:tcW w:w="2240" w:type="dxa"/>
            <w:vAlign w:val="bottom"/>
            <w:gridSpan w:val="5"/>
          </w:tcPr>
          <w:p>
            <w:pPr>
              <w:spacing w:after="0"/>
              <w:rPr>
                <w:sz w:val="20"/>
                <w:szCs w:val="20"/>
                <w:color w:val="auto"/>
              </w:rPr>
            </w:pPr>
            <w:r>
              <w:rPr>
                <w:rFonts w:ascii="Arial" w:cs="Arial" w:eastAsia="Arial" w:hAnsi="Arial"/>
                <w:sz w:val="18"/>
                <w:szCs w:val="18"/>
                <w:color w:val="0000FF"/>
                <w:w w:val="98"/>
              </w:rPr>
              <w:t>FINANCIAL INFORMATION</w:t>
            </w:r>
          </w:p>
        </w:tc>
        <w:tc>
          <w:tcPr>
            <w:tcW w:w="6500" w:type="dxa"/>
            <w:vAlign w:val="bottom"/>
            <w:gridSpan w:val="11"/>
          </w:tcPr>
          <w:p>
            <w:pPr>
              <w:spacing w:after="0"/>
              <w:rPr>
                <w:sz w:val="24"/>
                <w:szCs w:val="24"/>
                <w:color w:val="auto"/>
              </w:rPr>
            </w:pPr>
          </w:p>
        </w:tc>
        <w:tc>
          <w:tcPr>
            <w:tcW w:w="800" w:type="dxa"/>
            <w:vAlign w:val="bottom"/>
            <w:gridSpan w:val="2"/>
          </w:tcPr>
          <w:p>
            <w:pPr>
              <w:jc w:val="center"/>
              <w:ind w:left="610"/>
              <w:spacing w:after="0"/>
              <w:rPr>
                <w:sz w:val="20"/>
                <w:szCs w:val="20"/>
                <w:color w:val="auto"/>
              </w:rPr>
            </w:pPr>
            <w:r>
              <w:rPr>
                <w:rFonts w:ascii="Arial" w:cs="Arial" w:eastAsia="Arial" w:hAnsi="Arial"/>
                <w:sz w:val="18"/>
                <w:szCs w:val="18"/>
                <w:color w:val="0000FF"/>
                <w:w w:val="99"/>
              </w:rPr>
              <w:t>2</w:t>
            </w:r>
          </w:p>
        </w:tc>
        <w:tc>
          <w:tcPr>
            <w:tcW w:w="400" w:type="dxa"/>
            <w:vAlign w:val="bottom"/>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371"/>
        </w:trPr>
        <w:tc>
          <w:tcPr>
            <w:tcW w:w="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Arial" w:cs="Arial" w:eastAsia="Arial" w:hAnsi="Arial"/>
                <w:sz w:val="18"/>
                <w:szCs w:val="18"/>
                <w:color w:val="auto"/>
              </w:rPr>
              <w:t>Item 1.</w:t>
            </w:r>
          </w:p>
        </w:tc>
        <w:tc>
          <w:tcPr>
            <w:tcW w:w="2680" w:type="dxa"/>
            <w:vAlign w:val="bottom"/>
            <w:gridSpan w:val="9"/>
          </w:tcPr>
          <w:p>
            <w:pPr>
              <w:spacing w:after="0"/>
              <w:rPr>
                <w:sz w:val="20"/>
                <w:szCs w:val="20"/>
                <w:color w:val="auto"/>
              </w:rPr>
            </w:pPr>
            <w:r>
              <w:rPr>
                <w:rFonts w:ascii="Arial" w:cs="Arial" w:eastAsia="Arial" w:hAnsi="Arial"/>
                <w:sz w:val="18"/>
                <w:szCs w:val="18"/>
                <w:color w:val="0000FF"/>
                <w:w w:val="99"/>
              </w:rPr>
              <w:t>Financial Statements (Unaudited)</w:t>
            </w:r>
          </w:p>
        </w:tc>
        <w:tc>
          <w:tcPr>
            <w:tcW w:w="4920" w:type="dxa"/>
            <w:vAlign w:val="bottom"/>
            <w:gridSpan w:val="6"/>
          </w:tcPr>
          <w:p>
            <w:pPr>
              <w:spacing w:after="0"/>
              <w:rPr>
                <w:sz w:val="24"/>
                <w:szCs w:val="24"/>
                <w:color w:val="auto"/>
              </w:rPr>
            </w:pPr>
          </w:p>
        </w:tc>
        <w:tc>
          <w:tcPr>
            <w:tcW w:w="800" w:type="dxa"/>
            <w:vAlign w:val="bottom"/>
            <w:gridSpan w:val="2"/>
          </w:tcPr>
          <w:p>
            <w:pPr>
              <w:jc w:val="center"/>
              <w:ind w:left="610"/>
              <w:spacing w:after="0"/>
              <w:rPr>
                <w:sz w:val="20"/>
                <w:szCs w:val="20"/>
                <w:color w:val="auto"/>
              </w:rPr>
            </w:pPr>
            <w:r>
              <w:rPr>
                <w:rFonts w:ascii="Arial" w:cs="Arial" w:eastAsia="Arial" w:hAnsi="Arial"/>
                <w:sz w:val="18"/>
                <w:szCs w:val="18"/>
                <w:color w:val="0000FF"/>
                <w:w w:val="99"/>
              </w:rPr>
              <w:t>2</w:t>
            </w:r>
          </w:p>
        </w:tc>
        <w:tc>
          <w:tcPr>
            <w:tcW w:w="400" w:type="dxa"/>
            <w:vAlign w:val="bottom"/>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372"/>
        </w:trPr>
        <w:tc>
          <w:tcPr>
            <w:tcW w:w="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680" w:type="dxa"/>
            <w:vAlign w:val="bottom"/>
            <w:gridSpan w:val="9"/>
          </w:tcPr>
          <w:p>
            <w:pPr>
              <w:spacing w:after="0"/>
              <w:rPr>
                <w:sz w:val="20"/>
                <w:szCs w:val="20"/>
                <w:color w:val="auto"/>
              </w:rPr>
            </w:pPr>
            <w:r>
              <w:rPr>
                <w:rFonts w:ascii="Arial" w:cs="Arial" w:eastAsia="Arial" w:hAnsi="Arial"/>
                <w:sz w:val="18"/>
                <w:szCs w:val="18"/>
                <w:color w:val="0000FF"/>
              </w:rPr>
              <w:t>Consolidated Balance Sheets</w:t>
            </w:r>
          </w:p>
        </w:tc>
        <w:tc>
          <w:tcPr>
            <w:tcW w:w="4920" w:type="dxa"/>
            <w:vAlign w:val="bottom"/>
            <w:gridSpan w:val="6"/>
          </w:tcPr>
          <w:p>
            <w:pPr>
              <w:spacing w:after="0"/>
              <w:rPr>
                <w:sz w:val="24"/>
                <w:szCs w:val="24"/>
                <w:color w:val="auto"/>
              </w:rPr>
            </w:pPr>
          </w:p>
        </w:tc>
        <w:tc>
          <w:tcPr>
            <w:tcW w:w="800" w:type="dxa"/>
            <w:vAlign w:val="bottom"/>
            <w:gridSpan w:val="2"/>
          </w:tcPr>
          <w:p>
            <w:pPr>
              <w:jc w:val="center"/>
              <w:ind w:left="610"/>
              <w:spacing w:after="0"/>
              <w:rPr>
                <w:sz w:val="20"/>
                <w:szCs w:val="20"/>
                <w:color w:val="auto"/>
              </w:rPr>
            </w:pPr>
            <w:r>
              <w:rPr>
                <w:rFonts w:ascii="Arial" w:cs="Arial" w:eastAsia="Arial" w:hAnsi="Arial"/>
                <w:sz w:val="18"/>
                <w:szCs w:val="18"/>
                <w:color w:val="0000FF"/>
                <w:w w:val="99"/>
              </w:rPr>
              <w:t>2</w:t>
            </w:r>
          </w:p>
        </w:tc>
        <w:tc>
          <w:tcPr>
            <w:tcW w:w="400" w:type="dxa"/>
            <w:vAlign w:val="bottom"/>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372"/>
        </w:trPr>
        <w:tc>
          <w:tcPr>
            <w:tcW w:w="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740" w:type="dxa"/>
            <w:vAlign w:val="bottom"/>
            <w:gridSpan w:val="13"/>
          </w:tcPr>
          <w:p>
            <w:pPr>
              <w:spacing w:after="0"/>
              <w:rPr>
                <w:sz w:val="20"/>
                <w:szCs w:val="20"/>
                <w:color w:val="auto"/>
              </w:rPr>
            </w:pPr>
            <w:r>
              <w:rPr>
                <w:rFonts w:ascii="Arial" w:cs="Arial" w:eastAsia="Arial" w:hAnsi="Arial"/>
                <w:sz w:val="18"/>
                <w:szCs w:val="18"/>
                <w:color w:val="0000FF"/>
                <w:w w:val="99"/>
              </w:rPr>
              <w:t>Consolidated Statements of Loss and Comprehensive Loss</w:t>
            </w:r>
          </w:p>
        </w:tc>
        <w:tc>
          <w:tcPr>
            <w:tcW w:w="2860" w:type="dxa"/>
            <w:vAlign w:val="bottom"/>
            <w:gridSpan w:val="2"/>
          </w:tcPr>
          <w:p>
            <w:pPr>
              <w:spacing w:after="0"/>
              <w:rPr>
                <w:sz w:val="24"/>
                <w:szCs w:val="24"/>
                <w:color w:val="auto"/>
              </w:rPr>
            </w:pPr>
          </w:p>
        </w:tc>
        <w:tc>
          <w:tcPr>
            <w:tcW w:w="800" w:type="dxa"/>
            <w:vAlign w:val="bottom"/>
            <w:gridSpan w:val="2"/>
          </w:tcPr>
          <w:p>
            <w:pPr>
              <w:jc w:val="center"/>
              <w:ind w:left="610"/>
              <w:spacing w:after="0"/>
              <w:rPr>
                <w:sz w:val="20"/>
                <w:szCs w:val="20"/>
                <w:color w:val="auto"/>
              </w:rPr>
            </w:pPr>
            <w:r>
              <w:rPr>
                <w:rFonts w:ascii="Arial" w:cs="Arial" w:eastAsia="Arial" w:hAnsi="Arial"/>
                <w:sz w:val="18"/>
                <w:szCs w:val="18"/>
                <w:color w:val="0000FF"/>
                <w:w w:val="99"/>
              </w:rPr>
              <w:t>4</w:t>
            </w:r>
          </w:p>
        </w:tc>
        <w:tc>
          <w:tcPr>
            <w:tcW w:w="400" w:type="dxa"/>
            <w:vAlign w:val="bottom"/>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371"/>
        </w:trPr>
        <w:tc>
          <w:tcPr>
            <w:tcW w:w="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740" w:type="dxa"/>
            <w:vAlign w:val="bottom"/>
            <w:gridSpan w:val="13"/>
          </w:tcPr>
          <w:p>
            <w:pPr>
              <w:spacing w:after="0"/>
              <w:rPr>
                <w:sz w:val="20"/>
                <w:szCs w:val="20"/>
                <w:color w:val="auto"/>
              </w:rPr>
            </w:pPr>
            <w:r>
              <w:rPr>
                <w:rFonts w:ascii="Arial" w:cs="Arial" w:eastAsia="Arial" w:hAnsi="Arial"/>
                <w:sz w:val="18"/>
                <w:szCs w:val="18"/>
                <w:color w:val="0000FF"/>
              </w:rPr>
              <w:t>Consolidated Statements of Stockholders' Equity</w:t>
            </w:r>
          </w:p>
        </w:tc>
        <w:tc>
          <w:tcPr>
            <w:tcW w:w="2860" w:type="dxa"/>
            <w:vAlign w:val="bottom"/>
            <w:gridSpan w:val="2"/>
          </w:tcPr>
          <w:p>
            <w:pPr>
              <w:spacing w:after="0"/>
              <w:rPr>
                <w:sz w:val="24"/>
                <w:szCs w:val="24"/>
                <w:color w:val="auto"/>
              </w:rPr>
            </w:pPr>
          </w:p>
        </w:tc>
        <w:tc>
          <w:tcPr>
            <w:tcW w:w="800" w:type="dxa"/>
            <w:vAlign w:val="bottom"/>
            <w:gridSpan w:val="2"/>
          </w:tcPr>
          <w:p>
            <w:pPr>
              <w:jc w:val="center"/>
              <w:ind w:left="610"/>
              <w:spacing w:after="0"/>
              <w:rPr>
                <w:sz w:val="20"/>
                <w:szCs w:val="20"/>
                <w:color w:val="auto"/>
              </w:rPr>
            </w:pPr>
            <w:r>
              <w:rPr>
                <w:rFonts w:ascii="Arial" w:cs="Arial" w:eastAsia="Arial" w:hAnsi="Arial"/>
                <w:sz w:val="18"/>
                <w:szCs w:val="18"/>
                <w:color w:val="0000FF"/>
                <w:w w:val="99"/>
              </w:rPr>
              <w:t>5</w:t>
            </w:r>
          </w:p>
        </w:tc>
        <w:tc>
          <w:tcPr>
            <w:tcW w:w="400" w:type="dxa"/>
            <w:vAlign w:val="bottom"/>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372"/>
        </w:trPr>
        <w:tc>
          <w:tcPr>
            <w:tcW w:w="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880" w:type="dxa"/>
            <w:vAlign w:val="bottom"/>
            <w:gridSpan w:val="12"/>
          </w:tcPr>
          <w:p>
            <w:pPr>
              <w:spacing w:after="0"/>
              <w:rPr>
                <w:sz w:val="20"/>
                <w:szCs w:val="20"/>
                <w:color w:val="auto"/>
              </w:rPr>
            </w:pPr>
            <w:r>
              <w:rPr>
                <w:rFonts w:ascii="Arial" w:cs="Arial" w:eastAsia="Arial" w:hAnsi="Arial"/>
                <w:sz w:val="18"/>
                <w:szCs w:val="18"/>
                <w:color w:val="0000FF"/>
              </w:rPr>
              <w:t>Consolidated Statements of Cash Flows</w:t>
            </w:r>
          </w:p>
        </w:tc>
        <w:tc>
          <w:tcPr>
            <w:tcW w:w="3720" w:type="dxa"/>
            <w:vAlign w:val="bottom"/>
            <w:gridSpan w:val="3"/>
          </w:tcPr>
          <w:p>
            <w:pPr>
              <w:spacing w:after="0"/>
              <w:rPr>
                <w:sz w:val="24"/>
                <w:szCs w:val="24"/>
                <w:color w:val="auto"/>
              </w:rPr>
            </w:pPr>
          </w:p>
        </w:tc>
        <w:tc>
          <w:tcPr>
            <w:tcW w:w="800" w:type="dxa"/>
            <w:vAlign w:val="bottom"/>
            <w:gridSpan w:val="2"/>
          </w:tcPr>
          <w:p>
            <w:pPr>
              <w:jc w:val="center"/>
              <w:ind w:left="610"/>
              <w:spacing w:after="0"/>
              <w:rPr>
                <w:sz w:val="20"/>
                <w:szCs w:val="20"/>
                <w:color w:val="auto"/>
              </w:rPr>
            </w:pPr>
            <w:r>
              <w:rPr>
                <w:rFonts w:ascii="Arial" w:cs="Arial" w:eastAsia="Arial" w:hAnsi="Arial"/>
                <w:sz w:val="18"/>
                <w:szCs w:val="18"/>
                <w:color w:val="0000FF"/>
                <w:w w:val="99"/>
              </w:rPr>
              <w:t>6</w:t>
            </w:r>
          </w:p>
        </w:tc>
        <w:tc>
          <w:tcPr>
            <w:tcW w:w="400" w:type="dxa"/>
            <w:vAlign w:val="bottom"/>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200" w:type="dxa"/>
            <w:vAlign w:val="bottom"/>
            <w:gridSpan w:val="3"/>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580" w:type="dxa"/>
            <w:vAlign w:val="bottom"/>
            <w:gridSpan w:val="3"/>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372"/>
        </w:trPr>
        <w:tc>
          <w:tcPr>
            <w:tcW w:w="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7600" w:type="dxa"/>
            <w:vAlign w:val="bottom"/>
            <w:gridSpan w:val="15"/>
          </w:tcPr>
          <w:p>
            <w:pPr>
              <w:spacing w:after="0"/>
              <w:rPr>
                <w:sz w:val="20"/>
                <w:szCs w:val="20"/>
                <w:color w:val="auto"/>
              </w:rPr>
            </w:pPr>
            <w:r>
              <w:rPr>
                <w:rFonts w:ascii="Arial" w:cs="Arial" w:eastAsia="Arial" w:hAnsi="Arial"/>
                <w:sz w:val="18"/>
                <w:szCs w:val="18"/>
                <w:color w:val="0000FF"/>
              </w:rPr>
              <w:t>Notes to Consolidated Financial Statements</w:t>
            </w:r>
          </w:p>
        </w:tc>
        <w:tc>
          <w:tcPr>
            <w:tcW w:w="800" w:type="dxa"/>
            <w:vAlign w:val="bottom"/>
            <w:gridSpan w:val="2"/>
          </w:tcPr>
          <w:p>
            <w:pPr>
              <w:jc w:val="center"/>
              <w:ind w:left="610"/>
              <w:spacing w:after="0"/>
              <w:rPr>
                <w:sz w:val="20"/>
                <w:szCs w:val="20"/>
                <w:color w:val="auto"/>
              </w:rPr>
            </w:pPr>
            <w:r>
              <w:rPr>
                <w:rFonts w:ascii="Arial" w:cs="Arial" w:eastAsia="Arial" w:hAnsi="Arial"/>
                <w:sz w:val="18"/>
                <w:szCs w:val="18"/>
                <w:color w:val="0000FF"/>
                <w:w w:val="99"/>
              </w:rPr>
              <w:t>7</w:t>
            </w:r>
          </w:p>
        </w:tc>
        <w:tc>
          <w:tcPr>
            <w:tcW w:w="400" w:type="dxa"/>
            <w:vAlign w:val="bottom"/>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500" w:type="dxa"/>
            <w:vAlign w:val="bottom"/>
            <w:gridSpan w:val="4"/>
            <w:shd w:val="clear" w:color="auto" w:fill="0000FF"/>
          </w:tcPr>
          <w:p>
            <w:pPr>
              <w:spacing w:after="0" w:line="20" w:lineRule="exact"/>
              <w:rPr>
                <w:sz w:val="1"/>
                <w:szCs w:val="1"/>
                <w:color w:val="auto"/>
              </w:rPr>
            </w:pPr>
          </w:p>
        </w:tc>
        <w:tc>
          <w:tcPr>
            <w:tcW w:w="3580" w:type="dxa"/>
            <w:vAlign w:val="bottom"/>
            <w:gridSpan w:val="3"/>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371"/>
        </w:trPr>
        <w:tc>
          <w:tcPr>
            <w:tcW w:w="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Arial" w:cs="Arial" w:eastAsia="Arial" w:hAnsi="Arial"/>
                <w:sz w:val="18"/>
                <w:szCs w:val="18"/>
                <w:color w:val="auto"/>
              </w:rPr>
              <w:t>Item 2.</w:t>
            </w:r>
          </w:p>
        </w:tc>
        <w:tc>
          <w:tcPr>
            <w:tcW w:w="7080" w:type="dxa"/>
            <w:vAlign w:val="bottom"/>
            <w:gridSpan w:val="14"/>
          </w:tcPr>
          <w:p>
            <w:pPr>
              <w:spacing w:after="0"/>
              <w:rPr>
                <w:sz w:val="20"/>
                <w:szCs w:val="20"/>
                <w:color w:val="auto"/>
              </w:rPr>
            </w:pPr>
            <w:r>
              <w:rPr>
                <w:rFonts w:ascii="Arial" w:cs="Arial" w:eastAsia="Arial" w:hAnsi="Arial"/>
                <w:sz w:val="18"/>
                <w:szCs w:val="18"/>
                <w:color w:val="0000FF"/>
                <w:w w:val="99"/>
              </w:rPr>
              <w:t>Management's Discussion and Analysis of Financial Condition and Results of Operations</w:t>
            </w:r>
          </w:p>
        </w:tc>
        <w:tc>
          <w:tcPr>
            <w:tcW w:w="5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00" w:type="dxa"/>
            <w:vAlign w:val="bottom"/>
            <w:gridSpan w:val="2"/>
          </w:tcPr>
          <w:p>
            <w:pPr>
              <w:jc w:val="center"/>
              <w:ind w:right="360"/>
              <w:spacing w:after="0"/>
              <w:rPr>
                <w:sz w:val="20"/>
                <w:szCs w:val="20"/>
                <w:color w:val="auto"/>
              </w:rPr>
            </w:pPr>
            <w:r>
              <w:rPr>
                <w:rFonts w:ascii="Arial" w:cs="Arial" w:eastAsia="Arial" w:hAnsi="Arial"/>
                <w:sz w:val="17"/>
                <w:szCs w:val="17"/>
                <w:color w:val="0000FF"/>
                <w:w w:val="73"/>
              </w:rPr>
              <w:t>14</w:t>
            </w:r>
          </w:p>
        </w:tc>
      </w:tr>
      <w:tr>
        <w:trPr>
          <w:trHeight w:val="20"/>
        </w:trPr>
        <w:tc>
          <w:tcPr>
            <w:tcW w:w="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2340" w:type="dxa"/>
            <w:vAlign w:val="bottom"/>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0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tcPr>
          <w:p>
            <w:pPr>
              <w:spacing w:after="0" w:line="20" w:lineRule="exact"/>
              <w:rPr>
                <w:sz w:val="1"/>
                <w:szCs w:val="1"/>
                <w:color w:val="auto"/>
              </w:rPr>
            </w:pPr>
          </w:p>
        </w:tc>
      </w:tr>
      <w:tr>
        <w:trPr>
          <w:trHeight w:val="372"/>
        </w:trPr>
        <w:tc>
          <w:tcPr>
            <w:tcW w:w="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Arial" w:cs="Arial" w:eastAsia="Arial" w:hAnsi="Arial"/>
                <w:sz w:val="18"/>
                <w:szCs w:val="18"/>
                <w:color w:val="auto"/>
              </w:rPr>
              <w:t>Item 3.</w:t>
            </w:r>
          </w:p>
        </w:tc>
        <w:tc>
          <w:tcPr>
            <w:tcW w:w="2000" w:type="dxa"/>
            <w:vAlign w:val="bottom"/>
            <w:gridSpan w:val="7"/>
          </w:tcPr>
          <w:p>
            <w:pPr>
              <w:spacing w:after="0"/>
              <w:rPr>
                <w:sz w:val="20"/>
                <w:szCs w:val="20"/>
                <w:color w:val="auto"/>
              </w:rPr>
            </w:pPr>
            <w:r>
              <w:rPr>
                <w:rFonts w:ascii="Arial" w:cs="Arial" w:eastAsia="Arial" w:hAnsi="Arial"/>
                <w:sz w:val="18"/>
                <w:szCs w:val="18"/>
                <w:color w:val="0000FF"/>
                <w:w w:val="99"/>
              </w:rPr>
              <w:t>Controls and Procedures</w:t>
            </w:r>
          </w:p>
        </w:tc>
        <w:tc>
          <w:tcPr>
            <w:tcW w:w="5080" w:type="dxa"/>
            <w:vAlign w:val="bottom"/>
            <w:gridSpan w:val="7"/>
          </w:tcPr>
          <w:p>
            <w:pPr>
              <w:spacing w:after="0"/>
              <w:rPr>
                <w:sz w:val="24"/>
                <w:szCs w:val="24"/>
                <w:color w:val="auto"/>
              </w:rPr>
            </w:pPr>
          </w:p>
        </w:tc>
        <w:tc>
          <w:tcPr>
            <w:tcW w:w="5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00" w:type="dxa"/>
            <w:vAlign w:val="bottom"/>
            <w:gridSpan w:val="2"/>
          </w:tcPr>
          <w:p>
            <w:pPr>
              <w:jc w:val="center"/>
              <w:ind w:right="360"/>
              <w:spacing w:after="0"/>
              <w:rPr>
                <w:sz w:val="20"/>
                <w:szCs w:val="20"/>
                <w:color w:val="auto"/>
              </w:rPr>
            </w:pPr>
            <w:r>
              <w:rPr>
                <w:rFonts w:ascii="Arial" w:cs="Arial" w:eastAsia="Arial" w:hAnsi="Arial"/>
                <w:sz w:val="17"/>
                <w:szCs w:val="17"/>
                <w:color w:val="0000FF"/>
                <w:w w:val="73"/>
              </w:rPr>
              <w:t>23</w:t>
            </w:r>
          </w:p>
        </w:tc>
      </w:tr>
      <w:tr>
        <w:trPr>
          <w:trHeight w:val="20"/>
        </w:trPr>
        <w:tc>
          <w:tcPr>
            <w:tcW w:w="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5600" w:type="dxa"/>
            <w:vAlign w:val="bottom"/>
            <w:gridSpan w:val="8"/>
          </w:tcPr>
          <w:p>
            <w:pPr>
              <w:spacing w:after="0" w:line="20" w:lineRule="exact"/>
              <w:rPr>
                <w:sz w:val="1"/>
                <w:szCs w:val="1"/>
                <w:color w:val="auto"/>
              </w:rPr>
            </w:pPr>
          </w:p>
        </w:tc>
        <w:tc>
          <w:tcPr>
            <w:tcW w:w="70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tcPr>
          <w:p>
            <w:pPr>
              <w:spacing w:after="0" w:line="20" w:lineRule="exact"/>
              <w:rPr>
                <w:sz w:val="1"/>
                <w:szCs w:val="1"/>
                <w:color w:val="auto"/>
              </w:rPr>
            </w:pPr>
          </w:p>
        </w:tc>
      </w:tr>
      <w:tr>
        <w:trPr>
          <w:trHeight w:val="371"/>
        </w:trPr>
        <w:tc>
          <w:tcPr>
            <w:tcW w:w="20" w:type="dxa"/>
            <w:vAlign w:val="bottom"/>
          </w:tcPr>
          <w:p>
            <w:pPr>
              <w:spacing w:after="0"/>
              <w:rPr>
                <w:sz w:val="24"/>
                <w:szCs w:val="24"/>
                <w:color w:val="auto"/>
              </w:rPr>
            </w:pPr>
          </w:p>
        </w:tc>
        <w:tc>
          <w:tcPr>
            <w:tcW w:w="1280" w:type="dxa"/>
            <w:vAlign w:val="bottom"/>
            <w:gridSpan w:val="2"/>
          </w:tcPr>
          <w:p>
            <w:pPr>
              <w:spacing w:after="0"/>
              <w:rPr>
                <w:sz w:val="20"/>
                <w:szCs w:val="20"/>
                <w:color w:val="auto"/>
              </w:rPr>
            </w:pPr>
            <w:r>
              <w:rPr>
                <w:rFonts w:ascii="Arial" w:cs="Arial" w:eastAsia="Arial" w:hAnsi="Arial"/>
                <w:sz w:val="18"/>
                <w:szCs w:val="18"/>
                <w:color w:val="auto"/>
              </w:rPr>
              <w:t>PART II</w:t>
            </w:r>
          </w:p>
        </w:tc>
        <w:tc>
          <w:tcPr>
            <w:tcW w:w="8740" w:type="dxa"/>
            <w:vAlign w:val="bottom"/>
            <w:gridSpan w:val="16"/>
          </w:tcPr>
          <w:p>
            <w:pPr>
              <w:spacing w:after="0"/>
              <w:rPr>
                <w:sz w:val="20"/>
                <w:szCs w:val="20"/>
                <w:color w:val="auto"/>
              </w:rPr>
            </w:pPr>
            <w:r>
              <w:rPr>
                <w:rFonts w:ascii="Arial" w:cs="Arial" w:eastAsia="Arial" w:hAnsi="Arial"/>
                <w:sz w:val="18"/>
                <w:szCs w:val="18"/>
                <w:color w:val="0000FF"/>
              </w:rPr>
              <w:t>OTHER INFORMATION</w:t>
            </w:r>
          </w:p>
        </w:tc>
        <w:tc>
          <w:tcPr>
            <w:tcW w:w="1200" w:type="dxa"/>
            <w:vAlign w:val="bottom"/>
            <w:gridSpan w:val="3"/>
          </w:tcPr>
          <w:p>
            <w:pPr>
              <w:jc w:val="center"/>
              <w:ind w:left="190"/>
              <w:spacing w:after="0"/>
              <w:rPr>
                <w:sz w:val="20"/>
                <w:szCs w:val="20"/>
                <w:color w:val="auto"/>
              </w:rPr>
            </w:pPr>
            <w:r>
              <w:rPr>
                <w:rFonts w:ascii="Arial" w:cs="Arial" w:eastAsia="Arial" w:hAnsi="Arial"/>
                <w:sz w:val="18"/>
                <w:szCs w:val="18"/>
                <w:color w:val="0000FF"/>
                <w:w w:val="99"/>
              </w:rPr>
              <w:t>23</w:t>
            </w:r>
          </w:p>
        </w:tc>
      </w:tr>
      <w:tr>
        <w:trPr>
          <w:trHeight w:val="20"/>
        </w:trPr>
        <w:tc>
          <w:tcPr>
            <w:tcW w:w="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100" w:type="dxa"/>
            <w:vAlign w:val="bottom"/>
            <w:gridSpan w:val="9"/>
          </w:tcPr>
          <w:p>
            <w:pPr>
              <w:spacing w:after="0" w:line="20" w:lineRule="exact"/>
              <w:rPr>
                <w:sz w:val="1"/>
                <w:szCs w:val="1"/>
                <w:color w:val="auto"/>
              </w:rPr>
            </w:pPr>
          </w:p>
        </w:tc>
        <w:tc>
          <w:tcPr>
            <w:tcW w:w="70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tcPr>
          <w:p>
            <w:pPr>
              <w:spacing w:after="0" w:line="20" w:lineRule="exact"/>
              <w:rPr>
                <w:sz w:val="1"/>
                <w:szCs w:val="1"/>
                <w:color w:val="auto"/>
              </w:rPr>
            </w:pPr>
          </w:p>
        </w:tc>
      </w:tr>
      <w:tr>
        <w:trPr>
          <w:trHeight w:val="371"/>
        </w:trPr>
        <w:tc>
          <w:tcPr>
            <w:tcW w:w="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Arial" w:cs="Arial" w:eastAsia="Arial" w:hAnsi="Arial"/>
                <w:sz w:val="18"/>
                <w:szCs w:val="18"/>
                <w:color w:val="auto"/>
              </w:rPr>
              <w:t>Item 1.</w:t>
            </w:r>
          </w:p>
        </w:tc>
        <w:tc>
          <w:tcPr>
            <w:tcW w:w="1500" w:type="dxa"/>
            <w:vAlign w:val="bottom"/>
            <w:gridSpan w:val="6"/>
          </w:tcPr>
          <w:p>
            <w:pPr>
              <w:spacing w:after="0"/>
              <w:rPr>
                <w:sz w:val="20"/>
                <w:szCs w:val="20"/>
                <w:color w:val="auto"/>
              </w:rPr>
            </w:pPr>
            <w:r>
              <w:rPr>
                <w:rFonts w:ascii="Arial" w:cs="Arial" w:eastAsia="Arial" w:hAnsi="Arial"/>
                <w:sz w:val="18"/>
                <w:szCs w:val="18"/>
                <w:color w:val="0000FF"/>
                <w:w w:val="99"/>
              </w:rPr>
              <w:t>Legal Proceedings</w:t>
            </w:r>
          </w:p>
        </w:tc>
        <w:tc>
          <w:tcPr>
            <w:tcW w:w="6100" w:type="dxa"/>
            <w:vAlign w:val="bottom"/>
            <w:gridSpan w:val="9"/>
          </w:tcPr>
          <w:p>
            <w:pPr>
              <w:spacing w:after="0"/>
              <w:rPr>
                <w:sz w:val="24"/>
                <w:szCs w:val="24"/>
                <w:color w:val="auto"/>
              </w:rPr>
            </w:pPr>
          </w:p>
        </w:tc>
        <w:tc>
          <w:tcPr>
            <w:tcW w:w="700" w:type="dxa"/>
            <w:vAlign w:val="bottom"/>
          </w:tcPr>
          <w:p>
            <w:pPr>
              <w:spacing w:after="0"/>
              <w:rPr>
                <w:sz w:val="24"/>
                <w:szCs w:val="24"/>
                <w:color w:val="auto"/>
              </w:rPr>
            </w:pPr>
          </w:p>
        </w:tc>
        <w:tc>
          <w:tcPr>
            <w:tcW w:w="500" w:type="dxa"/>
            <w:vAlign w:val="bottom"/>
            <w:gridSpan w:val="2"/>
          </w:tcPr>
          <w:p>
            <w:pPr>
              <w:jc w:val="center"/>
              <w:ind w:right="360"/>
              <w:spacing w:after="0"/>
              <w:rPr>
                <w:sz w:val="20"/>
                <w:szCs w:val="20"/>
                <w:color w:val="auto"/>
              </w:rPr>
            </w:pPr>
            <w:r>
              <w:rPr>
                <w:rFonts w:ascii="Arial" w:cs="Arial" w:eastAsia="Arial" w:hAnsi="Arial"/>
                <w:sz w:val="17"/>
                <w:szCs w:val="17"/>
                <w:color w:val="0000FF"/>
                <w:w w:val="73"/>
              </w:rPr>
              <w:t>23</w:t>
            </w:r>
          </w:p>
        </w:tc>
      </w:tr>
      <w:tr>
        <w:trPr>
          <w:trHeight w:val="20"/>
        </w:trPr>
        <w:tc>
          <w:tcPr>
            <w:tcW w:w="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0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tcPr>
          <w:p>
            <w:pPr>
              <w:spacing w:after="0" w:line="20" w:lineRule="exact"/>
              <w:rPr>
                <w:sz w:val="1"/>
                <w:szCs w:val="1"/>
                <w:color w:val="auto"/>
              </w:rPr>
            </w:pPr>
          </w:p>
        </w:tc>
      </w:tr>
      <w:tr>
        <w:trPr>
          <w:trHeight w:val="372"/>
        </w:trPr>
        <w:tc>
          <w:tcPr>
            <w:tcW w:w="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Arial" w:cs="Arial" w:eastAsia="Arial" w:hAnsi="Arial"/>
                <w:sz w:val="18"/>
                <w:szCs w:val="18"/>
                <w:color w:val="auto"/>
              </w:rPr>
              <w:t>Item 1.A.</w:t>
            </w:r>
          </w:p>
        </w:tc>
        <w:tc>
          <w:tcPr>
            <w:tcW w:w="1500" w:type="dxa"/>
            <w:vAlign w:val="bottom"/>
            <w:gridSpan w:val="6"/>
          </w:tcPr>
          <w:p>
            <w:pPr>
              <w:spacing w:after="0"/>
              <w:rPr>
                <w:sz w:val="20"/>
                <w:szCs w:val="20"/>
                <w:color w:val="auto"/>
              </w:rPr>
            </w:pPr>
            <w:r>
              <w:rPr>
                <w:rFonts w:ascii="Arial" w:cs="Arial" w:eastAsia="Arial" w:hAnsi="Arial"/>
                <w:sz w:val="18"/>
                <w:szCs w:val="18"/>
                <w:color w:val="0000FF"/>
              </w:rPr>
              <w:t>Risk Factors</w:t>
            </w:r>
          </w:p>
        </w:tc>
        <w:tc>
          <w:tcPr>
            <w:tcW w:w="6100" w:type="dxa"/>
            <w:vAlign w:val="bottom"/>
            <w:gridSpan w:val="9"/>
          </w:tcPr>
          <w:p>
            <w:pPr>
              <w:spacing w:after="0"/>
              <w:rPr>
                <w:sz w:val="24"/>
                <w:szCs w:val="24"/>
                <w:color w:val="auto"/>
              </w:rPr>
            </w:pPr>
          </w:p>
        </w:tc>
        <w:tc>
          <w:tcPr>
            <w:tcW w:w="700" w:type="dxa"/>
            <w:vAlign w:val="bottom"/>
          </w:tcPr>
          <w:p>
            <w:pPr>
              <w:spacing w:after="0"/>
              <w:rPr>
                <w:sz w:val="24"/>
                <w:szCs w:val="24"/>
                <w:color w:val="auto"/>
              </w:rPr>
            </w:pPr>
          </w:p>
        </w:tc>
        <w:tc>
          <w:tcPr>
            <w:tcW w:w="500" w:type="dxa"/>
            <w:vAlign w:val="bottom"/>
            <w:gridSpan w:val="2"/>
          </w:tcPr>
          <w:p>
            <w:pPr>
              <w:jc w:val="center"/>
              <w:ind w:right="360"/>
              <w:spacing w:after="0"/>
              <w:rPr>
                <w:sz w:val="20"/>
                <w:szCs w:val="20"/>
                <w:color w:val="auto"/>
              </w:rPr>
            </w:pPr>
            <w:r>
              <w:rPr>
                <w:rFonts w:ascii="Arial" w:cs="Arial" w:eastAsia="Arial" w:hAnsi="Arial"/>
                <w:sz w:val="17"/>
                <w:szCs w:val="17"/>
                <w:color w:val="0000FF"/>
                <w:w w:val="73"/>
              </w:rPr>
              <w:t>23</w:t>
            </w:r>
          </w:p>
        </w:tc>
      </w:tr>
      <w:tr>
        <w:trPr>
          <w:trHeight w:val="20"/>
        </w:trPr>
        <w:tc>
          <w:tcPr>
            <w:tcW w:w="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gridSpan w:val="2"/>
            <w:shd w:val="clear" w:color="auto" w:fill="0000FF"/>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6200" w:type="dxa"/>
            <w:vAlign w:val="bottom"/>
            <w:gridSpan w:val="10"/>
          </w:tcPr>
          <w:p>
            <w:pPr>
              <w:spacing w:after="0" w:line="20" w:lineRule="exact"/>
              <w:rPr>
                <w:sz w:val="1"/>
                <w:szCs w:val="1"/>
                <w:color w:val="auto"/>
              </w:rPr>
            </w:pPr>
          </w:p>
        </w:tc>
        <w:tc>
          <w:tcPr>
            <w:tcW w:w="70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tcPr>
          <w:p>
            <w:pPr>
              <w:spacing w:after="0" w:line="20" w:lineRule="exact"/>
              <w:rPr>
                <w:sz w:val="1"/>
                <w:szCs w:val="1"/>
                <w:color w:val="auto"/>
              </w:rPr>
            </w:pPr>
          </w:p>
        </w:tc>
      </w:tr>
      <w:tr>
        <w:trPr>
          <w:trHeight w:val="372"/>
        </w:trPr>
        <w:tc>
          <w:tcPr>
            <w:tcW w:w="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Arial" w:cs="Arial" w:eastAsia="Arial" w:hAnsi="Arial"/>
                <w:sz w:val="18"/>
                <w:szCs w:val="18"/>
                <w:color w:val="auto"/>
              </w:rPr>
              <w:t>Item 5.</w:t>
            </w:r>
          </w:p>
        </w:tc>
        <w:tc>
          <w:tcPr>
            <w:tcW w:w="7600" w:type="dxa"/>
            <w:vAlign w:val="bottom"/>
            <w:gridSpan w:val="15"/>
          </w:tcPr>
          <w:p>
            <w:pPr>
              <w:spacing w:after="0"/>
              <w:rPr>
                <w:sz w:val="20"/>
                <w:szCs w:val="20"/>
                <w:color w:val="auto"/>
              </w:rPr>
            </w:pPr>
            <w:r>
              <w:rPr>
                <w:rFonts w:ascii="Arial" w:cs="Arial" w:eastAsia="Arial" w:hAnsi="Arial"/>
                <w:sz w:val="18"/>
                <w:szCs w:val="18"/>
                <w:color w:val="0000FF"/>
              </w:rPr>
              <w:t>Other Information</w:t>
            </w:r>
          </w:p>
        </w:tc>
        <w:tc>
          <w:tcPr>
            <w:tcW w:w="1200" w:type="dxa"/>
            <w:vAlign w:val="bottom"/>
            <w:gridSpan w:val="3"/>
          </w:tcPr>
          <w:p>
            <w:pPr>
              <w:jc w:val="center"/>
              <w:ind w:left="190"/>
              <w:spacing w:after="0"/>
              <w:rPr>
                <w:sz w:val="20"/>
                <w:szCs w:val="20"/>
                <w:color w:val="auto"/>
              </w:rPr>
            </w:pPr>
            <w:r>
              <w:rPr>
                <w:rFonts w:ascii="Arial" w:cs="Arial" w:eastAsia="Arial" w:hAnsi="Arial"/>
                <w:sz w:val="18"/>
                <w:szCs w:val="18"/>
                <w:color w:val="0000FF"/>
                <w:w w:val="99"/>
              </w:rPr>
              <w:t>23</w:t>
            </w:r>
          </w:p>
        </w:tc>
      </w:tr>
      <w:tr>
        <w:trPr>
          <w:trHeight w:val="20"/>
        </w:trPr>
        <w:tc>
          <w:tcPr>
            <w:tcW w:w="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800" w:type="dxa"/>
            <w:vAlign w:val="bottom"/>
            <w:tcBorders>
              <w:left w:val="single" w:sz="8" w:color="0000FF"/>
            </w:tcBorders>
            <w:gridSpan w:val="4"/>
            <w:shd w:val="clear" w:color="auto" w:fill="0000FF"/>
          </w:tcPr>
          <w:p>
            <w:pPr>
              <w:spacing w:after="0" w:line="20" w:lineRule="exact"/>
              <w:rPr>
                <w:sz w:val="1"/>
                <w:szCs w:val="1"/>
                <w:color w:val="auto"/>
              </w:rPr>
            </w:pPr>
          </w:p>
        </w:tc>
        <w:tc>
          <w:tcPr>
            <w:tcW w:w="6200" w:type="dxa"/>
            <w:vAlign w:val="bottom"/>
            <w:gridSpan w:val="10"/>
          </w:tcPr>
          <w:p>
            <w:pPr>
              <w:spacing w:after="0" w:line="20" w:lineRule="exact"/>
              <w:rPr>
                <w:sz w:val="1"/>
                <w:szCs w:val="1"/>
                <w:color w:val="auto"/>
              </w:rPr>
            </w:pPr>
          </w:p>
        </w:tc>
        <w:tc>
          <w:tcPr>
            <w:tcW w:w="70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tcPr>
          <w:p>
            <w:pPr>
              <w:spacing w:after="0" w:line="20" w:lineRule="exact"/>
              <w:rPr>
                <w:sz w:val="1"/>
                <w:szCs w:val="1"/>
                <w:color w:val="auto"/>
              </w:rPr>
            </w:pPr>
          </w:p>
        </w:tc>
      </w:tr>
      <w:tr>
        <w:trPr>
          <w:trHeight w:val="479"/>
        </w:trPr>
        <w:tc>
          <w:tcPr>
            <w:tcW w:w="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Arial" w:cs="Arial" w:eastAsia="Arial" w:hAnsi="Arial"/>
                <w:sz w:val="18"/>
                <w:szCs w:val="18"/>
                <w:color w:val="auto"/>
              </w:rPr>
              <w:t>Item 6.</w:t>
            </w:r>
          </w:p>
        </w:tc>
        <w:tc>
          <w:tcPr>
            <w:tcW w:w="600" w:type="dxa"/>
            <w:vAlign w:val="bottom"/>
          </w:tcPr>
          <w:p>
            <w:pPr>
              <w:spacing w:after="0"/>
              <w:rPr>
                <w:sz w:val="20"/>
                <w:szCs w:val="20"/>
                <w:color w:val="auto"/>
              </w:rPr>
            </w:pPr>
            <w:r>
              <w:rPr>
                <w:rFonts w:ascii="Arial" w:cs="Arial" w:eastAsia="Arial" w:hAnsi="Arial"/>
                <w:sz w:val="18"/>
                <w:szCs w:val="18"/>
                <w:color w:val="0000FF"/>
                <w:w w:val="88"/>
              </w:rPr>
              <w:t>Exhibits</w:t>
            </w:r>
          </w:p>
        </w:tc>
        <w:tc>
          <w:tcPr>
            <w:tcW w:w="800" w:type="dxa"/>
            <w:vAlign w:val="bottom"/>
            <w:gridSpan w:val="4"/>
          </w:tcPr>
          <w:p>
            <w:pPr>
              <w:spacing w:after="0"/>
              <w:rPr>
                <w:sz w:val="24"/>
                <w:szCs w:val="24"/>
                <w:color w:val="auto"/>
              </w:rPr>
            </w:pPr>
          </w:p>
        </w:tc>
        <w:tc>
          <w:tcPr>
            <w:tcW w:w="6200" w:type="dxa"/>
            <w:vAlign w:val="bottom"/>
            <w:gridSpan w:val="10"/>
          </w:tcPr>
          <w:p>
            <w:pPr>
              <w:spacing w:after="0"/>
              <w:rPr>
                <w:sz w:val="24"/>
                <w:szCs w:val="24"/>
                <w:color w:val="auto"/>
              </w:rPr>
            </w:pPr>
          </w:p>
        </w:tc>
        <w:tc>
          <w:tcPr>
            <w:tcW w:w="700" w:type="dxa"/>
            <w:vAlign w:val="bottom"/>
          </w:tcPr>
          <w:p>
            <w:pPr>
              <w:spacing w:after="0"/>
              <w:rPr>
                <w:sz w:val="24"/>
                <w:szCs w:val="24"/>
                <w:color w:val="auto"/>
              </w:rPr>
            </w:pPr>
          </w:p>
        </w:tc>
        <w:tc>
          <w:tcPr>
            <w:tcW w:w="500" w:type="dxa"/>
            <w:vAlign w:val="bottom"/>
            <w:gridSpan w:val="2"/>
          </w:tcPr>
          <w:p>
            <w:pPr>
              <w:jc w:val="center"/>
              <w:ind w:right="360"/>
              <w:spacing w:after="0"/>
              <w:rPr>
                <w:sz w:val="20"/>
                <w:szCs w:val="20"/>
                <w:color w:val="auto"/>
              </w:rPr>
            </w:pPr>
            <w:r>
              <w:rPr>
                <w:rFonts w:ascii="Arial" w:cs="Arial" w:eastAsia="Arial" w:hAnsi="Arial"/>
                <w:sz w:val="17"/>
                <w:szCs w:val="17"/>
                <w:color w:val="0000FF"/>
                <w:w w:val="73"/>
              </w:rPr>
              <w:t>24</w:t>
            </w:r>
          </w:p>
        </w:tc>
      </w:tr>
      <w:tr>
        <w:trPr>
          <w:trHeight w:val="20"/>
        </w:trPr>
        <w:tc>
          <w:tcPr>
            <w:tcW w:w="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0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tcPr>
          <w:p>
            <w:pPr>
              <w:spacing w:after="0" w:line="20" w:lineRule="exact"/>
              <w:rPr>
                <w:sz w:val="1"/>
                <w:szCs w:val="1"/>
                <w:color w:val="auto"/>
              </w:rPr>
            </w:pPr>
          </w:p>
        </w:tc>
      </w:tr>
      <w:tr>
        <w:trPr>
          <w:trHeight w:val="372"/>
        </w:trPr>
        <w:tc>
          <w:tcPr>
            <w:tcW w:w="20" w:type="dxa"/>
            <w:vAlign w:val="bottom"/>
          </w:tcPr>
          <w:p>
            <w:pPr>
              <w:spacing w:after="0"/>
              <w:rPr>
                <w:sz w:val="24"/>
                <w:szCs w:val="24"/>
                <w:color w:val="auto"/>
              </w:rPr>
            </w:pPr>
          </w:p>
        </w:tc>
        <w:tc>
          <w:tcPr>
            <w:tcW w:w="1280" w:type="dxa"/>
            <w:vAlign w:val="bottom"/>
            <w:gridSpan w:val="2"/>
          </w:tcPr>
          <w:p>
            <w:pPr>
              <w:spacing w:after="0"/>
              <w:rPr>
                <w:sz w:val="20"/>
                <w:szCs w:val="20"/>
                <w:color w:val="auto"/>
              </w:rPr>
            </w:pPr>
            <w:r>
              <w:rPr>
                <w:rFonts w:ascii="Arial" w:cs="Arial" w:eastAsia="Arial" w:hAnsi="Arial"/>
                <w:sz w:val="18"/>
                <w:szCs w:val="18"/>
                <w:color w:val="0000FF"/>
              </w:rPr>
              <w:t>SIGNATURES</w:t>
            </w:r>
          </w:p>
        </w:tc>
        <w:tc>
          <w:tcPr>
            <w:tcW w:w="1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00" w:type="dxa"/>
            <w:vAlign w:val="bottom"/>
            <w:gridSpan w:val="2"/>
          </w:tcPr>
          <w:p>
            <w:pPr>
              <w:jc w:val="center"/>
              <w:ind w:right="360"/>
              <w:spacing w:after="0"/>
              <w:rPr>
                <w:sz w:val="20"/>
                <w:szCs w:val="20"/>
                <w:color w:val="auto"/>
              </w:rPr>
            </w:pPr>
            <w:r>
              <w:rPr>
                <w:rFonts w:ascii="Arial" w:cs="Arial" w:eastAsia="Arial" w:hAnsi="Arial"/>
                <w:sz w:val="17"/>
                <w:szCs w:val="17"/>
                <w:color w:val="0000FF"/>
                <w:w w:val="73"/>
              </w:rPr>
              <w:t>25</w:t>
            </w:r>
          </w:p>
        </w:tc>
      </w:tr>
      <w:tr>
        <w:trPr>
          <w:trHeight w:val="1040"/>
        </w:trPr>
        <w:tc>
          <w:tcPr>
            <w:tcW w:w="20" w:type="dxa"/>
            <w:vAlign w:val="bottom"/>
            <w:tcBorders>
              <w:bottom w:val="single" w:sz="8" w:color="9A9A9A"/>
            </w:tcBorders>
          </w:tcPr>
          <w:p>
            <w:pPr>
              <w:spacing w:after="0"/>
              <w:rPr>
                <w:sz w:val="24"/>
                <w:szCs w:val="24"/>
                <w:color w:val="auto"/>
              </w:rPr>
            </w:pPr>
          </w:p>
        </w:tc>
        <w:tc>
          <w:tcPr>
            <w:tcW w:w="1160" w:type="dxa"/>
            <w:vAlign w:val="bottom"/>
            <w:tcBorders>
              <w:top w:val="single" w:sz="8" w:color="0000FF"/>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234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References to “we”, “our”, “us” and the like throughout this document refer to Lee Enterprises, Incorporated (the “Company”). References to “2024”, “2023" and the like refer to the fiscal years ended the last Sunday in September.</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8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Private Securities Litigation Reform Act of 1995 provides a “safe harbor” for forward-looking statements. This report contains information that may be deemed forward-looking that is based largely on our current expectations, and is subject to certain risks, trends and uncertainties that could cause actual results to differ materially from those anticipated. Among such risks, trends and other uncertainties, which in some instances are beyond our control, are:</w:t>
      </w:r>
    </w:p>
    <w:p>
      <w:pPr>
        <w:spacing w:after="0" w:line="203" w:lineRule="exact"/>
        <w:rPr>
          <w:sz w:val="20"/>
          <w:szCs w:val="20"/>
          <w:color w:val="auto"/>
        </w:rPr>
      </w:pPr>
    </w:p>
    <w:p>
      <w:pPr>
        <w:ind w:left="660" w:right="20" w:hanging="328"/>
        <w:spacing w:after="0" w:line="260" w:lineRule="auto"/>
        <w:tabs>
          <w:tab w:leader="none" w:pos="655" w:val="left"/>
        </w:tabs>
        <w:numPr>
          <w:ilvl w:val="0"/>
          <w:numId w:val="1"/>
        </w:numPr>
        <w:rPr>
          <w:rFonts w:ascii="Arial" w:cs="Arial" w:eastAsia="Arial" w:hAnsi="Arial"/>
          <w:sz w:val="18"/>
          <w:szCs w:val="18"/>
          <w:color w:val="auto"/>
        </w:rPr>
      </w:pPr>
      <w:r>
        <w:rPr>
          <w:rFonts w:ascii="Arial" w:cs="Arial" w:eastAsia="Arial" w:hAnsi="Arial"/>
          <w:sz w:val="18"/>
          <w:szCs w:val="18"/>
          <w:color w:val="auto"/>
        </w:rPr>
        <w:t>We may be required to indemnify the previous owners of the BH Media or Buffalo News for unknown legal and other matters that may arise;</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ability to manage declining print revenue and circulation subscribers;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impact and duration of adverse conditions in certain aspects of the economy affecting our business;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Changes in advertising and subscription demand;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Changes in technology that impact our ability to deliver digital advertising;</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Potential changes in newsprint, other commodities and energy costs;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Interest rates;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Labor costs;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Significant cyber security breaches or failure of our information technology systems;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ability to achieve planned expense reductions and realize the expected benefit of our acquisitions;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ability to maintain employee and customer relationships;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ability to manage increased capital costs;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ability to maintain our listing status on NASDAQ;</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Competition;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Other risks detailed from time to time in our publicly filed documents.</w:t>
      </w:r>
    </w:p>
    <w:p>
      <w:pPr>
        <w:spacing w:after="0" w:line="16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Any statements that are not statements of historical fact (including statements containing the words “may”, “will”, “would”, “could”, “believes”, “expects”, “anticipates”, “intends”, “plans”, “projects”, “considers” and similar expressions) generally should be considered forward-looking statements. Statements regarding our plans, strategies, prospects and expectations regarding our business and industry and our responses thereto may have on our future operations, are forward-looking statements. They reflect our expectations, are not guarantees of performance and speak only as of the date the statement is made. Readers are cautioned not to place undue reliance on such forward-looking statements, which are made as of the date of this report. We do not undertake to publicly update or revise our forward-looking statements, except as required by law.</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FINANCIAL INFORMATION</w:t>
      </w:r>
    </w:p>
    <w:p>
      <w:pPr>
        <w:spacing w:after="0" w:line="180"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7"/>
          <w:szCs w:val="17"/>
          <w:b w:val="1"/>
          <w:bCs w:val="1"/>
          <w:color w:val="auto"/>
        </w:rPr>
        <w:t>Financial Statements</w:t>
      </w:r>
    </w:p>
    <w:p>
      <w:pPr>
        <w:spacing w:after="0" w:line="185" w:lineRule="exact"/>
        <w:rPr>
          <w:sz w:val="20"/>
          <w:szCs w:val="20"/>
          <w:color w:val="auto"/>
        </w:rPr>
      </w:pPr>
    </w:p>
    <w:p>
      <w:pPr>
        <w:ind w:left="4020"/>
        <w:spacing w:after="0"/>
        <w:rPr>
          <w:sz w:val="20"/>
          <w:szCs w:val="20"/>
          <w:color w:val="auto"/>
        </w:rPr>
      </w:pPr>
      <w:r>
        <w:rPr>
          <w:rFonts w:ascii="Arial" w:cs="Arial" w:eastAsia="Arial" w:hAnsi="Arial"/>
          <w:sz w:val="18"/>
          <w:szCs w:val="18"/>
          <w:b w:val="1"/>
          <w:bCs w:val="1"/>
          <w:color w:val="auto"/>
        </w:rPr>
        <w:t>LEE ENTERPRISES, INCORPORATED</w:t>
      </w:r>
    </w:p>
    <w:p>
      <w:pPr>
        <w:spacing w:after="0" w:line="27" w:lineRule="exact"/>
        <w:rPr>
          <w:sz w:val="20"/>
          <w:szCs w:val="20"/>
          <w:color w:val="auto"/>
        </w:rPr>
      </w:pPr>
    </w:p>
    <w:p>
      <w:pPr>
        <w:ind w:left="4060"/>
        <w:spacing w:after="0"/>
        <w:rPr>
          <w:sz w:val="20"/>
          <w:szCs w:val="20"/>
          <w:color w:val="auto"/>
        </w:rPr>
      </w:pPr>
      <w:r>
        <w:rPr>
          <w:rFonts w:ascii="Arial" w:cs="Arial" w:eastAsia="Arial" w:hAnsi="Arial"/>
          <w:sz w:val="18"/>
          <w:szCs w:val="18"/>
          <w:b w:val="1"/>
          <w:bCs w:val="1"/>
          <w:color w:val="auto"/>
        </w:rPr>
        <w:t>CONSOLIDATED BALANCE SHEETS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5220" w:type="dxa"/>
            <w:vAlign w:val="bottom"/>
            <w:tcBorders>
              <w:top w:val="single" w:sz="8" w:color="auto"/>
              <w:bottom w:val="single" w:sz="8" w:color="auto"/>
            </w:tcBorders>
          </w:tcPr>
          <w:p>
            <w:pPr>
              <w:spacing w:after="0"/>
              <w:rPr>
                <w:sz w:val="21"/>
                <w:szCs w:val="21"/>
                <w:color w:val="auto"/>
              </w:rPr>
            </w:pPr>
          </w:p>
        </w:tc>
        <w:tc>
          <w:tcPr>
            <w:tcW w:w="45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rPr>
              <w:t>(Unaudited)</w:t>
            </w:r>
          </w:p>
        </w:tc>
        <w:tc>
          <w:tcPr>
            <w:tcW w:w="1460" w:type="dxa"/>
            <w:vAlign w:val="bottom"/>
            <w:tcBorders>
              <w:top w:val="single" w:sz="8" w:color="auto"/>
              <w:bottom w:val="single" w:sz="8" w:color="auto"/>
            </w:tcBorders>
          </w:tcPr>
          <w:p>
            <w:pPr>
              <w:spacing w:after="0"/>
              <w:rPr>
                <w:sz w:val="21"/>
                <w:szCs w:val="21"/>
                <w:color w:val="auto"/>
              </w:rPr>
            </w:pPr>
          </w:p>
        </w:tc>
      </w:tr>
      <w:tr>
        <w:trPr>
          <w:trHeight w:val="218"/>
        </w:trPr>
        <w:tc>
          <w:tcPr>
            <w:tcW w:w="5220" w:type="dxa"/>
            <w:vAlign w:val="bottom"/>
          </w:tcPr>
          <w:p>
            <w:pPr>
              <w:spacing w:after="0"/>
              <w:rPr>
                <w:sz w:val="18"/>
                <w:szCs w:val="18"/>
                <w:color w:val="auto"/>
              </w:rPr>
            </w:pPr>
          </w:p>
        </w:tc>
        <w:tc>
          <w:tcPr>
            <w:tcW w:w="4560" w:type="dxa"/>
            <w:vAlign w:val="bottom"/>
          </w:tcPr>
          <w:p>
            <w:pPr>
              <w:jc w:val="right"/>
              <w:ind w:right="170"/>
              <w:spacing w:after="0"/>
              <w:rPr>
                <w:sz w:val="20"/>
                <w:szCs w:val="20"/>
                <w:color w:val="auto"/>
              </w:rPr>
            </w:pPr>
            <w:r>
              <w:rPr>
                <w:rFonts w:ascii="Arial" w:cs="Arial" w:eastAsia="Arial" w:hAnsi="Arial"/>
                <w:sz w:val="18"/>
                <w:szCs w:val="18"/>
                <w:color w:val="auto"/>
              </w:rPr>
              <w:t>March 24,</w:t>
            </w:r>
          </w:p>
        </w:tc>
        <w:tc>
          <w:tcPr>
            <w:tcW w:w="1460" w:type="dxa"/>
            <w:vAlign w:val="bottom"/>
          </w:tcPr>
          <w:p>
            <w:pPr>
              <w:jc w:val="right"/>
              <w:spacing w:after="0"/>
              <w:rPr>
                <w:sz w:val="20"/>
                <w:szCs w:val="20"/>
                <w:color w:val="auto"/>
              </w:rPr>
            </w:pPr>
            <w:r>
              <w:rPr>
                <w:rFonts w:ascii="Arial" w:cs="Arial" w:eastAsia="Arial" w:hAnsi="Arial"/>
                <w:sz w:val="18"/>
                <w:szCs w:val="18"/>
                <w:color w:val="auto"/>
              </w:rPr>
              <w:t>September 24,</w:t>
            </w:r>
          </w:p>
        </w:tc>
      </w:tr>
      <w:tr>
        <w:trPr>
          <w:trHeight w:val="262"/>
        </w:trPr>
        <w:tc>
          <w:tcPr>
            <w:tcW w:w="522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(Thousands of Dollars)</w:t>
            </w:r>
          </w:p>
        </w:tc>
        <w:tc>
          <w:tcPr>
            <w:tcW w:w="45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2024</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2023</w:t>
            </w:r>
          </w:p>
        </w:tc>
      </w:tr>
    </w:tbl>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ASSETS</w:t>
            </w:r>
          </w:p>
        </w:tc>
        <w:tc>
          <w:tcPr>
            <w:tcW w:w="41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270"/>
        </w:trPr>
        <w:tc>
          <w:tcPr>
            <w:tcW w:w="5820" w:type="dxa"/>
            <w:vAlign w:val="bottom"/>
          </w:tcPr>
          <w:p>
            <w:pPr>
              <w:spacing w:after="0"/>
              <w:rPr>
                <w:sz w:val="23"/>
                <w:szCs w:val="23"/>
                <w:color w:val="auto"/>
              </w:rPr>
            </w:pPr>
          </w:p>
        </w:tc>
        <w:tc>
          <w:tcPr>
            <w:tcW w:w="4160" w:type="dxa"/>
            <w:vAlign w:val="bottom"/>
          </w:tcPr>
          <w:p>
            <w:pPr>
              <w:spacing w:after="0"/>
              <w:rPr>
                <w:sz w:val="23"/>
                <w:szCs w:val="23"/>
                <w:color w:val="auto"/>
              </w:rPr>
            </w:pPr>
          </w:p>
        </w:tc>
        <w:tc>
          <w:tcPr>
            <w:tcW w:w="1260" w:type="dxa"/>
            <w:vAlign w:val="bottom"/>
          </w:tcPr>
          <w:p>
            <w:pPr>
              <w:spacing w:after="0"/>
              <w:rPr>
                <w:sz w:val="23"/>
                <w:szCs w:val="23"/>
                <w:color w:val="auto"/>
              </w:rPr>
            </w:pPr>
          </w:p>
        </w:tc>
      </w:tr>
      <w:tr>
        <w:trPr>
          <w:trHeight w:val="230"/>
        </w:trPr>
        <w:tc>
          <w:tcPr>
            <w:tcW w:w="5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 assets:</w:t>
            </w:r>
          </w:p>
        </w:tc>
        <w:tc>
          <w:tcPr>
            <w:tcW w:w="41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229"/>
        </w:trPr>
        <w:tc>
          <w:tcPr>
            <w:tcW w:w="5820" w:type="dxa"/>
            <w:vAlign w:val="bottom"/>
          </w:tcPr>
          <w:p>
            <w:pPr>
              <w:ind w:left="180"/>
              <w:spacing w:after="0"/>
              <w:rPr>
                <w:sz w:val="20"/>
                <w:szCs w:val="20"/>
                <w:color w:val="auto"/>
              </w:rPr>
            </w:pPr>
            <w:r>
              <w:rPr>
                <w:rFonts w:ascii="Arial" w:cs="Arial" w:eastAsia="Arial" w:hAnsi="Arial"/>
                <w:sz w:val="18"/>
                <w:szCs w:val="18"/>
                <w:color w:val="auto"/>
              </w:rPr>
              <w:t>Cash and cash equivalents</w:t>
            </w:r>
          </w:p>
        </w:tc>
        <w:tc>
          <w:tcPr>
            <w:tcW w:w="4160" w:type="dxa"/>
            <w:vAlign w:val="bottom"/>
          </w:tcPr>
          <w:p>
            <w:pPr>
              <w:jc w:val="right"/>
              <w:ind w:right="430"/>
              <w:spacing w:after="0"/>
              <w:rPr>
                <w:sz w:val="20"/>
                <w:szCs w:val="20"/>
                <w:color w:val="auto"/>
              </w:rPr>
            </w:pPr>
            <w:r>
              <w:rPr>
                <w:rFonts w:ascii="Arial" w:cs="Arial" w:eastAsia="Arial" w:hAnsi="Arial"/>
                <w:sz w:val="18"/>
                <w:szCs w:val="18"/>
                <w:color w:val="auto"/>
              </w:rPr>
              <w:t>16,107</w:t>
            </w:r>
          </w:p>
        </w:tc>
        <w:tc>
          <w:tcPr>
            <w:tcW w:w="1260" w:type="dxa"/>
            <w:vAlign w:val="bottom"/>
          </w:tcPr>
          <w:p>
            <w:pPr>
              <w:jc w:val="right"/>
              <w:spacing w:after="0"/>
              <w:rPr>
                <w:sz w:val="20"/>
                <w:szCs w:val="20"/>
                <w:color w:val="auto"/>
              </w:rPr>
            </w:pPr>
            <w:r>
              <w:rPr>
                <w:rFonts w:ascii="Arial" w:cs="Arial" w:eastAsia="Arial" w:hAnsi="Arial"/>
                <w:sz w:val="18"/>
                <w:szCs w:val="18"/>
                <w:color w:val="auto"/>
              </w:rPr>
              <w:t>14,548</w:t>
            </w:r>
          </w:p>
        </w:tc>
      </w:tr>
      <w:tr>
        <w:trPr>
          <w:trHeight w:val="230"/>
        </w:trPr>
        <w:tc>
          <w:tcPr>
            <w:tcW w:w="58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Accounts receivable, net</w:t>
            </w:r>
          </w:p>
        </w:tc>
        <w:tc>
          <w:tcPr>
            <w:tcW w:w="416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rPr>
              <w:t>59,186</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69,104</w:t>
            </w:r>
          </w:p>
        </w:tc>
      </w:tr>
      <w:tr>
        <w:trPr>
          <w:trHeight w:val="229"/>
        </w:trPr>
        <w:tc>
          <w:tcPr>
            <w:tcW w:w="5820" w:type="dxa"/>
            <w:vAlign w:val="bottom"/>
          </w:tcPr>
          <w:p>
            <w:pPr>
              <w:ind w:left="180"/>
              <w:spacing w:after="0"/>
              <w:rPr>
                <w:sz w:val="20"/>
                <w:szCs w:val="20"/>
                <w:color w:val="auto"/>
              </w:rPr>
            </w:pPr>
            <w:r>
              <w:rPr>
                <w:rFonts w:ascii="Arial" w:cs="Arial" w:eastAsia="Arial" w:hAnsi="Arial"/>
                <w:sz w:val="18"/>
                <w:szCs w:val="18"/>
                <w:color w:val="auto"/>
              </w:rPr>
              <w:t>Inventories</w:t>
            </w:r>
          </w:p>
        </w:tc>
        <w:tc>
          <w:tcPr>
            <w:tcW w:w="4160" w:type="dxa"/>
            <w:vAlign w:val="bottom"/>
          </w:tcPr>
          <w:p>
            <w:pPr>
              <w:jc w:val="right"/>
              <w:ind w:right="430"/>
              <w:spacing w:after="0"/>
              <w:rPr>
                <w:sz w:val="20"/>
                <w:szCs w:val="20"/>
                <w:color w:val="auto"/>
              </w:rPr>
            </w:pPr>
            <w:r>
              <w:rPr>
                <w:rFonts w:ascii="Arial" w:cs="Arial" w:eastAsia="Arial" w:hAnsi="Arial"/>
                <w:sz w:val="18"/>
                <w:szCs w:val="18"/>
                <w:color w:val="auto"/>
              </w:rPr>
              <w:t>6,699</w:t>
            </w:r>
          </w:p>
        </w:tc>
        <w:tc>
          <w:tcPr>
            <w:tcW w:w="1260" w:type="dxa"/>
            <w:vAlign w:val="bottom"/>
          </w:tcPr>
          <w:p>
            <w:pPr>
              <w:jc w:val="right"/>
              <w:spacing w:after="0"/>
              <w:rPr>
                <w:sz w:val="20"/>
                <w:szCs w:val="20"/>
                <w:color w:val="auto"/>
              </w:rPr>
            </w:pPr>
            <w:r>
              <w:rPr>
                <w:rFonts w:ascii="Arial" w:cs="Arial" w:eastAsia="Arial" w:hAnsi="Arial"/>
                <w:sz w:val="18"/>
                <w:szCs w:val="18"/>
                <w:color w:val="auto"/>
              </w:rPr>
              <w:t>7,504</w:t>
            </w:r>
          </w:p>
        </w:tc>
      </w:tr>
      <w:tr>
        <w:trPr>
          <w:trHeight w:val="229"/>
        </w:trPr>
        <w:tc>
          <w:tcPr>
            <w:tcW w:w="582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rPr>
              <w:t>Prepaid and other current assets</w:t>
            </w:r>
          </w:p>
        </w:tc>
        <w:tc>
          <w:tcPr>
            <w:tcW w:w="4160" w:type="dxa"/>
            <w:vAlign w:val="bottom"/>
            <w:tcBorders>
              <w:bottom w:val="single" w:sz="8" w:color="auto"/>
            </w:tcBorders>
            <w:shd w:val="clear" w:color="auto" w:fill="CCEEFF"/>
          </w:tcPr>
          <w:p>
            <w:pPr>
              <w:jc w:val="right"/>
              <w:ind w:right="430"/>
              <w:spacing w:after="0"/>
              <w:rPr>
                <w:sz w:val="20"/>
                <w:szCs w:val="20"/>
                <w:color w:val="auto"/>
              </w:rPr>
            </w:pPr>
            <w:r>
              <w:rPr>
                <w:rFonts w:ascii="Arial" w:cs="Arial" w:eastAsia="Arial" w:hAnsi="Arial"/>
                <w:sz w:val="18"/>
                <w:szCs w:val="18"/>
                <w:color w:val="auto"/>
              </w:rPr>
              <w:t>20,045</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15,373</w:t>
            </w:r>
          </w:p>
        </w:tc>
      </w:tr>
      <w:tr>
        <w:trPr>
          <w:trHeight w:val="223"/>
        </w:trPr>
        <w:tc>
          <w:tcPr>
            <w:tcW w:w="58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Total current assets</w:t>
            </w:r>
          </w:p>
        </w:tc>
        <w:tc>
          <w:tcPr>
            <w:tcW w:w="416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102,037</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106,529</w:t>
            </w:r>
          </w:p>
        </w:tc>
      </w:tr>
      <w:tr>
        <w:trPr>
          <w:trHeight w:val="223"/>
        </w:trPr>
        <w:tc>
          <w:tcPr>
            <w:tcW w:w="5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Investments:</w:t>
            </w:r>
          </w:p>
        </w:tc>
        <w:tc>
          <w:tcPr>
            <w:tcW w:w="41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230"/>
        </w:trPr>
        <w:tc>
          <w:tcPr>
            <w:tcW w:w="5820" w:type="dxa"/>
            <w:vAlign w:val="bottom"/>
          </w:tcPr>
          <w:p>
            <w:pPr>
              <w:ind w:left="180"/>
              <w:spacing w:after="0"/>
              <w:rPr>
                <w:sz w:val="20"/>
                <w:szCs w:val="20"/>
                <w:color w:val="auto"/>
              </w:rPr>
            </w:pPr>
            <w:r>
              <w:rPr>
                <w:rFonts w:ascii="Arial" w:cs="Arial" w:eastAsia="Arial" w:hAnsi="Arial"/>
                <w:sz w:val="18"/>
                <w:szCs w:val="18"/>
                <w:color w:val="auto"/>
              </w:rPr>
              <w:t>Associated companies</w:t>
            </w:r>
          </w:p>
        </w:tc>
        <w:tc>
          <w:tcPr>
            <w:tcW w:w="4160" w:type="dxa"/>
            <w:vAlign w:val="bottom"/>
          </w:tcPr>
          <w:p>
            <w:pPr>
              <w:jc w:val="right"/>
              <w:ind w:right="430"/>
              <w:spacing w:after="0"/>
              <w:rPr>
                <w:sz w:val="20"/>
                <w:szCs w:val="20"/>
                <w:color w:val="auto"/>
              </w:rPr>
            </w:pPr>
            <w:r>
              <w:rPr>
                <w:rFonts w:ascii="Arial" w:cs="Arial" w:eastAsia="Arial" w:hAnsi="Arial"/>
                <w:sz w:val="18"/>
                <w:szCs w:val="18"/>
                <w:color w:val="auto"/>
              </w:rPr>
              <w:t>27,826</w:t>
            </w:r>
          </w:p>
        </w:tc>
        <w:tc>
          <w:tcPr>
            <w:tcW w:w="1260" w:type="dxa"/>
            <w:vAlign w:val="bottom"/>
          </w:tcPr>
          <w:p>
            <w:pPr>
              <w:jc w:val="right"/>
              <w:spacing w:after="0"/>
              <w:rPr>
                <w:sz w:val="20"/>
                <w:szCs w:val="20"/>
                <w:color w:val="auto"/>
              </w:rPr>
            </w:pPr>
            <w:r>
              <w:rPr>
                <w:rFonts w:ascii="Arial" w:cs="Arial" w:eastAsia="Arial" w:hAnsi="Arial"/>
                <w:sz w:val="18"/>
                <w:szCs w:val="18"/>
                <w:color w:val="auto"/>
              </w:rPr>
              <w:t>27,819</w:t>
            </w:r>
          </w:p>
        </w:tc>
      </w:tr>
      <w:tr>
        <w:trPr>
          <w:trHeight w:val="229"/>
        </w:trPr>
        <w:tc>
          <w:tcPr>
            <w:tcW w:w="582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rPr>
              <w:t>Other</w:t>
            </w:r>
          </w:p>
        </w:tc>
        <w:tc>
          <w:tcPr>
            <w:tcW w:w="4160" w:type="dxa"/>
            <w:vAlign w:val="bottom"/>
            <w:tcBorders>
              <w:bottom w:val="single" w:sz="8" w:color="auto"/>
            </w:tcBorders>
            <w:shd w:val="clear" w:color="auto" w:fill="CCEEFF"/>
          </w:tcPr>
          <w:p>
            <w:pPr>
              <w:jc w:val="right"/>
              <w:ind w:right="430"/>
              <w:spacing w:after="0"/>
              <w:rPr>
                <w:sz w:val="20"/>
                <w:szCs w:val="20"/>
                <w:color w:val="auto"/>
              </w:rPr>
            </w:pPr>
            <w:r>
              <w:rPr>
                <w:rFonts w:ascii="Arial" w:cs="Arial" w:eastAsia="Arial" w:hAnsi="Arial"/>
                <w:sz w:val="18"/>
                <w:szCs w:val="18"/>
                <w:color w:val="auto"/>
              </w:rPr>
              <w:t>5,555</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5,572</w:t>
            </w:r>
          </w:p>
        </w:tc>
      </w:tr>
      <w:tr>
        <w:trPr>
          <w:trHeight w:val="223"/>
        </w:trPr>
        <w:tc>
          <w:tcPr>
            <w:tcW w:w="58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Total investments</w:t>
            </w:r>
          </w:p>
        </w:tc>
        <w:tc>
          <w:tcPr>
            <w:tcW w:w="416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33,381</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33,391</w:t>
            </w:r>
          </w:p>
        </w:tc>
      </w:tr>
      <w:tr>
        <w:trPr>
          <w:trHeight w:val="223"/>
        </w:trPr>
        <w:tc>
          <w:tcPr>
            <w:tcW w:w="5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Property and equipment:</w:t>
            </w:r>
          </w:p>
        </w:tc>
        <w:tc>
          <w:tcPr>
            <w:tcW w:w="41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229"/>
        </w:trPr>
        <w:tc>
          <w:tcPr>
            <w:tcW w:w="5820" w:type="dxa"/>
            <w:vAlign w:val="bottom"/>
          </w:tcPr>
          <w:p>
            <w:pPr>
              <w:ind w:left="180"/>
              <w:spacing w:after="0"/>
              <w:rPr>
                <w:sz w:val="20"/>
                <w:szCs w:val="20"/>
                <w:color w:val="auto"/>
              </w:rPr>
            </w:pPr>
            <w:r>
              <w:rPr>
                <w:rFonts w:ascii="Arial" w:cs="Arial" w:eastAsia="Arial" w:hAnsi="Arial"/>
                <w:sz w:val="18"/>
                <w:szCs w:val="18"/>
                <w:color w:val="auto"/>
              </w:rPr>
              <w:t>Land and improvements</w:t>
            </w:r>
          </w:p>
        </w:tc>
        <w:tc>
          <w:tcPr>
            <w:tcW w:w="4160" w:type="dxa"/>
            <w:vAlign w:val="bottom"/>
          </w:tcPr>
          <w:p>
            <w:pPr>
              <w:jc w:val="right"/>
              <w:ind w:right="430"/>
              <w:spacing w:after="0"/>
              <w:rPr>
                <w:sz w:val="20"/>
                <w:szCs w:val="20"/>
                <w:color w:val="auto"/>
              </w:rPr>
            </w:pPr>
            <w:r>
              <w:rPr>
                <w:rFonts w:ascii="Arial" w:cs="Arial" w:eastAsia="Arial" w:hAnsi="Arial"/>
                <w:sz w:val="18"/>
                <w:szCs w:val="18"/>
                <w:color w:val="auto"/>
              </w:rPr>
              <w:t>12,324</w:t>
            </w:r>
          </w:p>
        </w:tc>
        <w:tc>
          <w:tcPr>
            <w:tcW w:w="1260" w:type="dxa"/>
            <w:vAlign w:val="bottom"/>
          </w:tcPr>
          <w:p>
            <w:pPr>
              <w:jc w:val="right"/>
              <w:spacing w:after="0"/>
              <w:rPr>
                <w:sz w:val="20"/>
                <w:szCs w:val="20"/>
                <w:color w:val="auto"/>
              </w:rPr>
            </w:pPr>
            <w:r>
              <w:rPr>
                <w:rFonts w:ascii="Arial" w:cs="Arial" w:eastAsia="Arial" w:hAnsi="Arial"/>
                <w:sz w:val="18"/>
                <w:szCs w:val="18"/>
                <w:color w:val="auto"/>
              </w:rPr>
              <w:t>12,366</w:t>
            </w:r>
          </w:p>
        </w:tc>
      </w:tr>
      <w:tr>
        <w:trPr>
          <w:trHeight w:val="230"/>
        </w:trPr>
        <w:tc>
          <w:tcPr>
            <w:tcW w:w="58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Buildings and improvements</w:t>
            </w:r>
          </w:p>
        </w:tc>
        <w:tc>
          <w:tcPr>
            <w:tcW w:w="416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rPr>
              <w:t>82,805</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83,140</w:t>
            </w:r>
          </w:p>
        </w:tc>
      </w:tr>
      <w:tr>
        <w:trPr>
          <w:trHeight w:val="230"/>
        </w:trPr>
        <w:tc>
          <w:tcPr>
            <w:tcW w:w="5820" w:type="dxa"/>
            <w:vAlign w:val="bottom"/>
          </w:tcPr>
          <w:p>
            <w:pPr>
              <w:ind w:left="180"/>
              <w:spacing w:after="0"/>
              <w:rPr>
                <w:sz w:val="20"/>
                <w:szCs w:val="20"/>
                <w:color w:val="auto"/>
              </w:rPr>
            </w:pPr>
            <w:r>
              <w:rPr>
                <w:rFonts w:ascii="Arial" w:cs="Arial" w:eastAsia="Arial" w:hAnsi="Arial"/>
                <w:sz w:val="18"/>
                <w:szCs w:val="18"/>
                <w:color w:val="auto"/>
              </w:rPr>
              <w:t>Equipment</w:t>
            </w:r>
          </w:p>
        </w:tc>
        <w:tc>
          <w:tcPr>
            <w:tcW w:w="4160" w:type="dxa"/>
            <w:vAlign w:val="bottom"/>
          </w:tcPr>
          <w:p>
            <w:pPr>
              <w:jc w:val="right"/>
              <w:ind w:right="430"/>
              <w:spacing w:after="0"/>
              <w:rPr>
                <w:sz w:val="20"/>
                <w:szCs w:val="20"/>
                <w:color w:val="auto"/>
              </w:rPr>
            </w:pPr>
            <w:r>
              <w:rPr>
                <w:rFonts w:ascii="Arial" w:cs="Arial" w:eastAsia="Arial" w:hAnsi="Arial"/>
                <w:sz w:val="18"/>
                <w:szCs w:val="18"/>
                <w:color w:val="auto"/>
              </w:rPr>
              <w:t>206,055</w:t>
            </w:r>
          </w:p>
        </w:tc>
        <w:tc>
          <w:tcPr>
            <w:tcW w:w="1260" w:type="dxa"/>
            <w:vAlign w:val="bottom"/>
          </w:tcPr>
          <w:p>
            <w:pPr>
              <w:jc w:val="right"/>
              <w:spacing w:after="0"/>
              <w:rPr>
                <w:sz w:val="20"/>
                <w:szCs w:val="20"/>
                <w:color w:val="auto"/>
              </w:rPr>
            </w:pPr>
            <w:r>
              <w:rPr>
                <w:rFonts w:ascii="Arial" w:cs="Arial" w:eastAsia="Arial" w:hAnsi="Arial"/>
                <w:sz w:val="18"/>
                <w:szCs w:val="18"/>
                <w:color w:val="auto"/>
              </w:rPr>
              <w:t>213,714</w:t>
            </w:r>
          </w:p>
        </w:tc>
      </w:tr>
      <w:tr>
        <w:trPr>
          <w:trHeight w:val="230"/>
        </w:trPr>
        <w:tc>
          <w:tcPr>
            <w:tcW w:w="582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rPr>
              <w:t>Construction in process</w:t>
            </w:r>
          </w:p>
        </w:tc>
        <w:tc>
          <w:tcPr>
            <w:tcW w:w="4160" w:type="dxa"/>
            <w:vAlign w:val="bottom"/>
            <w:tcBorders>
              <w:bottom w:val="single" w:sz="8" w:color="auto"/>
            </w:tcBorders>
            <w:shd w:val="clear" w:color="auto" w:fill="CCEEFF"/>
          </w:tcPr>
          <w:p>
            <w:pPr>
              <w:jc w:val="right"/>
              <w:ind w:right="430"/>
              <w:spacing w:after="0"/>
              <w:rPr>
                <w:sz w:val="20"/>
                <w:szCs w:val="20"/>
                <w:color w:val="auto"/>
              </w:rPr>
            </w:pPr>
            <w:r>
              <w:rPr>
                <w:rFonts w:ascii="Arial" w:cs="Arial" w:eastAsia="Arial" w:hAnsi="Arial"/>
                <w:sz w:val="18"/>
                <w:szCs w:val="18"/>
                <w:color w:val="auto"/>
              </w:rPr>
              <w:t>2,615</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2,453</w:t>
            </w:r>
          </w:p>
        </w:tc>
      </w:tr>
      <w:tr>
        <w:trPr>
          <w:trHeight w:val="223"/>
        </w:trPr>
        <w:tc>
          <w:tcPr>
            <w:tcW w:w="5820" w:type="dxa"/>
            <w:vAlign w:val="bottom"/>
          </w:tcPr>
          <w:p>
            <w:pPr>
              <w:spacing w:after="0"/>
              <w:rPr>
                <w:sz w:val="19"/>
                <w:szCs w:val="19"/>
                <w:color w:val="auto"/>
              </w:rPr>
            </w:pPr>
          </w:p>
        </w:tc>
        <w:tc>
          <w:tcPr>
            <w:tcW w:w="4160" w:type="dxa"/>
            <w:vAlign w:val="bottom"/>
          </w:tcPr>
          <w:p>
            <w:pPr>
              <w:jc w:val="right"/>
              <w:ind w:right="430"/>
              <w:spacing w:after="0"/>
              <w:rPr>
                <w:sz w:val="20"/>
                <w:szCs w:val="20"/>
                <w:color w:val="auto"/>
              </w:rPr>
            </w:pPr>
            <w:r>
              <w:rPr>
                <w:rFonts w:ascii="Arial" w:cs="Arial" w:eastAsia="Arial" w:hAnsi="Arial"/>
                <w:sz w:val="18"/>
                <w:szCs w:val="18"/>
                <w:color w:val="auto"/>
              </w:rPr>
              <w:t>303,799</w:t>
            </w:r>
          </w:p>
        </w:tc>
        <w:tc>
          <w:tcPr>
            <w:tcW w:w="1260" w:type="dxa"/>
            <w:vAlign w:val="bottom"/>
          </w:tcPr>
          <w:p>
            <w:pPr>
              <w:jc w:val="right"/>
              <w:spacing w:after="0"/>
              <w:rPr>
                <w:sz w:val="20"/>
                <w:szCs w:val="20"/>
                <w:color w:val="auto"/>
              </w:rPr>
            </w:pPr>
            <w:r>
              <w:rPr>
                <w:rFonts w:ascii="Arial" w:cs="Arial" w:eastAsia="Arial" w:hAnsi="Arial"/>
                <w:sz w:val="18"/>
                <w:szCs w:val="18"/>
                <w:color w:val="auto"/>
              </w:rPr>
              <w:t>311,673</w:t>
            </w:r>
          </w:p>
        </w:tc>
      </w:tr>
      <w:tr>
        <w:trPr>
          <w:trHeight w:val="230"/>
        </w:trPr>
        <w:tc>
          <w:tcPr>
            <w:tcW w:w="582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rPr>
              <w:t>Less accumulated depreciation</w:t>
            </w:r>
          </w:p>
        </w:tc>
        <w:tc>
          <w:tcPr>
            <w:tcW w:w="4160" w:type="dxa"/>
            <w:vAlign w:val="bottom"/>
            <w:tcBorders>
              <w:bottom w:val="single" w:sz="8" w:color="auto"/>
            </w:tcBorders>
            <w:shd w:val="clear" w:color="auto" w:fill="CCEEFF"/>
          </w:tcPr>
          <w:p>
            <w:pPr>
              <w:jc w:val="right"/>
              <w:ind w:right="430"/>
              <w:spacing w:after="0"/>
              <w:rPr>
                <w:sz w:val="20"/>
                <w:szCs w:val="20"/>
                <w:color w:val="auto"/>
              </w:rPr>
            </w:pPr>
            <w:r>
              <w:rPr>
                <w:rFonts w:ascii="Arial" w:cs="Arial" w:eastAsia="Arial" w:hAnsi="Arial"/>
                <w:sz w:val="18"/>
                <w:szCs w:val="18"/>
                <w:color w:val="auto"/>
              </w:rPr>
              <w:t>245,396</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250,439</w:t>
            </w:r>
          </w:p>
        </w:tc>
      </w:tr>
      <w:tr>
        <w:trPr>
          <w:trHeight w:val="223"/>
        </w:trPr>
        <w:tc>
          <w:tcPr>
            <w:tcW w:w="58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Property and equipment, net</w:t>
            </w:r>
          </w:p>
        </w:tc>
        <w:tc>
          <w:tcPr>
            <w:tcW w:w="416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58,403</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61,234</w:t>
            </w:r>
          </w:p>
        </w:tc>
      </w:tr>
      <w:tr>
        <w:trPr>
          <w:trHeight w:val="223"/>
        </w:trPr>
        <w:tc>
          <w:tcPr>
            <w:tcW w:w="5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 right-of-use assets</w:t>
            </w:r>
          </w:p>
        </w:tc>
        <w:tc>
          <w:tcPr>
            <w:tcW w:w="416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rPr>
              <w:t>37,087</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40,822</w:t>
            </w:r>
          </w:p>
        </w:tc>
      </w:tr>
      <w:tr>
        <w:trPr>
          <w:trHeight w:val="230"/>
        </w:trPr>
        <w:tc>
          <w:tcPr>
            <w:tcW w:w="5820" w:type="dxa"/>
            <w:vAlign w:val="bottom"/>
          </w:tcPr>
          <w:p>
            <w:pPr>
              <w:ind w:left="20"/>
              <w:spacing w:after="0"/>
              <w:rPr>
                <w:sz w:val="20"/>
                <w:szCs w:val="20"/>
                <w:color w:val="auto"/>
              </w:rPr>
            </w:pPr>
            <w:r>
              <w:rPr>
                <w:rFonts w:ascii="Arial" w:cs="Arial" w:eastAsia="Arial" w:hAnsi="Arial"/>
                <w:sz w:val="18"/>
                <w:szCs w:val="18"/>
                <w:color w:val="auto"/>
              </w:rPr>
              <w:t>Goodwill</w:t>
            </w:r>
          </w:p>
        </w:tc>
        <w:tc>
          <w:tcPr>
            <w:tcW w:w="4160" w:type="dxa"/>
            <w:vAlign w:val="bottom"/>
          </w:tcPr>
          <w:p>
            <w:pPr>
              <w:jc w:val="right"/>
              <w:ind w:right="430"/>
              <w:spacing w:after="0"/>
              <w:rPr>
                <w:sz w:val="20"/>
                <w:szCs w:val="20"/>
                <w:color w:val="auto"/>
              </w:rPr>
            </w:pPr>
            <w:r>
              <w:rPr>
                <w:rFonts w:ascii="Arial" w:cs="Arial" w:eastAsia="Arial" w:hAnsi="Arial"/>
                <w:sz w:val="18"/>
                <w:szCs w:val="18"/>
                <w:color w:val="auto"/>
              </w:rPr>
              <w:t>328,243</w:t>
            </w:r>
          </w:p>
        </w:tc>
        <w:tc>
          <w:tcPr>
            <w:tcW w:w="1260" w:type="dxa"/>
            <w:vAlign w:val="bottom"/>
          </w:tcPr>
          <w:p>
            <w:pPr>
              <w:jc w:val="right"/>
              <w:spacing w:after="0"/>
              <w:rPr>
                <w:sz w:val="20"/>
                <w:szCs w:val="20"/>
                <w:color w:val="auto"/>
              </w:rPr>
            </w:pPr>
            <w:r>
              <w:rPr>
                <w:rFonts w:ascii="Arial" w:cs="Arial" w:eastAsia="Arial" w:hAnsi="Arial"/>
                <w:sz w:val="18"/>
                <w:szCs w:val="18"/>
                <w:color w:val="auto"/>
              </w:rPr>
              <w:t>329,504</w:t>
            </w:r>
          </w:p>
        </w:tc>
      </w:tr>
      <w:tr>
        <w:trPr>
          <w:trHeight w:val="230"/>
        </w:trPr>
        <w:tc>
          <w:tcPr>
            <w:tcW w:w="5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intangible assets, net</w:t>
            </w:r>
          </w:p>
        </w:tc>
        <w:tc>
          <w:tcPr>
            <w:tcW w:w="416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rPr>
              <w:t>78,187</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94,988</w:t>
            </w:r>
          </w:p>
        </w:tc>
      </w:tr>
      <w:tr>
        <w:trPr>
          <w:trHeight w:val="229"/>
        </w:trPr>
        <w:tc>
          <w:tcPr>
            <w:tcW w:w="5820" w:type="dxa"/>
            <w:vAlign w:val="bottom"/>
          </w:tcPr>
          <w:p>
            <w:pPr>
              <w:ind w:left="20"/>
              <w:spacing w:after="0"/>
              <w:rPr>
                <w:sz w:val="20"/>
                <w:szCs w:val="20"/>
                <w:color w:val="auto"/>
              </w:rPr>
            </w:pPr>
            <w:r>
              <w:rPr>
                <w:rFonts w:ascii="Arial" w:cs="Arial" w:eastAsia="Arial" w:hAnsi="Arial"/>
                <w:sz w:val="18"/>
                <w:szCs w:val="18"/>
                <w:color w:val="auto"/>
              </w:rPr>
              <w:t>Pension plan assets, net</w:t>
            </w:r>
          </w:p>
        </w:tc>
        <w:tc>
          <w:tcPr>
            <w:tcW w:w="4160" w:type="dxa"/>
            <w:vAlign w:val="bottom"/>
          </w:tcPr>
          <w:p>
            <w:pPr>
              <w:jc w:val="right"/>
              <w:ind w:right="430"/>
              <w:spacing w:after="0"/>
              <w:rPr>
                <w:sz w:val="20"/>
                <w:szCs w:val="20"/>
                <w:color w:val="auto"/>
              </w:rPr>
            </w:pPr>
            <w:r>
              <w:rPr>
                <w:rFonts w:ascii="Arial" w:cs="Arial" w:eastAsia="Arial" w:hAnsi="Arial"/>
                <w:sz w:val="18"/>
                <w:szCs w:val="18"/>
                <w:color w:val="auto"/>
              </w:rPr>
              <w:t>11,151</w:t>
            </w:r>
          </w:p>
        </w:tc>
        <w:tc>
          <w:tcPr>
            <w:tcW w:w="1260" w:type="dxa"/>
            <w:vAlign w:val="bottom"/>
          </w:tcPr>
          <w:p>
            <w:pPr>
              <w:jc w:val="right"/>
              <w:spacing w:after="0"/>
              <w:rPr>
                <w:sz w:val="20"/>
                <w:szCs w:val="20"/>
                <w:color w:val="auto"/>
              </w:rPr>
            </w:pPr>
            <w:r>
              <w:rPr>
                <w:rFonts w:ascii="Arial" w:cs="Arial" w:eastAsia="Arial" w:hAnsi="Arial"/>
                <w:sz w:val="18"/>
                <w:szCs w:val="18"/>
                <w:color w:val="auto"/>
              </w:rPr>
              <w:t>10,843</w:t>
            </w:r>
          </w:p>
        </w:tc>
      </w:tr>
      <w:tr>
        <w:trPr>
          <w:trHeight w:val="230"/>
        </w:trPr>
        <w:tc>
          <w:tcPr>
            <w:tcW w:w="5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Medical plan assets, net</w:t>
            </w:r>
          </w:p>
        </w:tc>
        <w:tc>
          <w:tcPr>
            <w:tcW w:w="416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rPr>
              <w:t>22,333</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21,565</w:t>
            </w:r>
          </w:p>
        </w:tc>
      </w:tr>
      <w:tr>
        <w:trPr>
          <w:trHeight w:val="230"/>
        </w:trPr>
        <w:tc>
          <w:tcPr>
            <w:tcW w:w="58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Other</w:t>
            </w:r>
          </w:p>
        </w:tc>
        <w:tc>
          <w:tcPr>
            <w:tcW w:w="416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13,985</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12,741</w:t>
            </w:r>
          </w:p>
        </w:tc>
      </w:tr>
      <w:tr>
        <w:trPr>
          <w:trHeight w:val="248"/>
        </w:trPr>
        <w:tc>
          <w:tcPr>
            <w:tcW w:w="58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Total assets</w:t>
            </w:r>
          </w:p>
        </w:tc>
        <w:tc>
          <w:tcPr>
            <w:tcW w:w="4160" w:type="dxa"/>
            <w:vAlign w:val="bottom"/>
            <w:tcBorders>
              <w:bottom w:val="single" w:sz="8" w:color="auto"/>
            </w:tcBorders>
            <w:shd w:val="clear" w:color="auto" w:fill="CCEEFF"/>
          </w:tcPr>
          <w:p>
            <w:pPr>
              <w:jc w:val="right"/>
              <w:ind w:right="430"/>
              <w:spacing w:after="0"/>
              <w:rPr>
                <w:sz w:val="20"/>
                <w:szCs w:val="20"/>
                <w:color w:val="auto"/>
              </w:rPr>
            </w:pPr>
            <w:r>
              <w:rPr>
                <w:rFonts w:ascii="Arial" w:cs="Arial" w:eastAsia="Arial" w:hAnsi="Arial"/>
                <w:sz w:val="18"/>
                <w:szCs w:val="18"/>
                <w:color w:val="auto"/>
              </w:rPr>
              <w:t>684,807</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711,617</w:t>
            </w:r>
          </w:p>
        </w:tc>
      </w:tr>
      <w:tr>
        <w:trPr>
          <w:trHeight w:val="20"/>
        </w:trPr>
        <w:tc>
          <w:tcPr>
            <w:tcW w:w="5820" w:type="dxa"/>
            <w:vAlign w:val="bottom"/>
            <w:tcBorders>
              <w:top w:val="single" w:sz="8" w:color="CCEEFF"/>
              <w:bottom w:val="single" w:sz="8" w:color="auto"/>
            </w:tcBorders>
          </w:tcPr>
          <w:p>
            <w:pPr>
              <w:spacing w:after="0" w:line="20" w:lineRule="exact"/>
              <w:rPr>
                <w:sz w:val="1"/>
                <w:szCs w:val="1"/>
                <w:color w:val="auto"/>
              </w:rPr>
            </w:pPr>
          </w:p>
        </w:tc>
        <w:tc>
          <w:tcPr>
            <w:tcW w:w="41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6660" w:type="dxa"/>
            <w:vAlign w:val="bottom"/>
            <w:tcBorders>
              <w:top w:val="single" w:sz="8" w:color="auto"/>
              <w:bottom w:val="single" w:sz="8" w:color="auto"/>
            </w:tcBorders>
          </w:tcPr>
          <w:p>
            <w:pPr>
              <w:spacing w:after="0"/>
              <w:rPr>
                <w:sz w:val="21"/>
                <w:szCs w:val="21"/>
                <w:color w:val="auto"/>
              </w:rPr>
            </w:pPr>
          </w:p>
        </w:tc>
        <w:tc>
          <w:tcPr>
            <w:tcW w:w="312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rPr>
              <w:t>(Unaudited)</w:t>
            </w:r>
          </w:p>
        </w:tc>
        <w:tc>
          <w:tcPr>
            <w:tcW w:w="1460" w:type="dxa"/>
            <w:vAlign w:val="bottom"/>
            <w:tcBorders>
              <w:top w:val="single" w:sz="8" w:color="auto"/>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77"/>
        </w:trPr>
        <w:tc>
          <w:tcPr>
            <w:tcW w:w="6660" w:type="dxa"/>
            <w:vAlign w:val="bottom"/>
            <w:vMerge w:val="restart"/>
          </w:tcPr>
          <w:p>
            <w:pPr>
              <w:ind w:left="20"/>
              <w:spacing w:after="0"/>
              <w:rPr>
                <w:sz w:val="20"/>
                <w:szCs w:val="20"/>
                <w:color w:val="auto"/>
              </w:rPr>
            </w:pPr>
            <w:r>
              <w:rPr>
                <w:rFonts w:ascii="Arial" w:cs="Arial" w:eastAsia="Arial" w:hAnsi="Arial"/>
                <w:sz w:val="18"/>
                <w:szCs w:val="18"/>
                <w:i w:val="1"/>
                <w:iCs w:val="1"/>
                <w:color w:val="auto"/>
              </w:rPr>
              <w:t>(Thousands of Dollars and Shares, Except Per Share Data)</w:t>
            </w:r>
          </w:p>
        </w:tc>
        <w:tc>
          <w:tcPr>
            <w:tcW w:w="3120" w:type="dxa"/>
            <w:vAlign w:val="bottom"/>
          </w:tcPr>
          <w:p>
            <w:pPr>
              <w:jc w:val="right"/>
              <w:ind w:right="170"/>
              <w:spacing w:after="0" w:line="177" w:lineRule="exact"/>
              <w:rPr>
                <w:sz w:val="20"/>
                <w:szCs w:val="20"/>
                <w:color w:val="auto"/>
              </w:rPr>
            </w:pPr>
            <w:r>
              <w:rPr>
                <w:rFonts w:ascii="Arial" w:cs="Arial" w:eastAsia="Arial" w:hAnsi="Arial"/>
                <w:sz w:val="18"/>
                <w:szCs w:val="18"/>
                <w:color w:val="auto"/>
              </w:rPr>
              <w:t>March 24,</w:t>
            </w:r>
          </w:p>
        </w:tc>
        <w:tc>
          <w:tcPr>
            <w:tcW w:w="1460" w:type="dxa"/>
            <w:vAlign w:val="bottom"/>
          </w:tcPr>
          <w:p>
            <w:pPr>
              <w:jc w:val="right"/>
              <w:spacing w:after="0" w:line="177" w:lineRule="exact"/>
              <w:rPr>
                <w:sz w:val="20"/>
                <w:szCs w:val="20"/>
                <w:color w:val="auto"/>
              </w:rPr>
            </w:pPr>
            <w:r>
              <w:rPr>
                <w:rFonts w:ascii="Arial" w:cs="Arial" w:eastAsia="Arial" w:hAnsi="Arial"/>
                <w:sz w:val="18"/>
                <w:szCs w:val="18"/>
                <w:color w:val="auto"/>
              </w:rPr>
              <w:t>September 24,</w:t>
            </w:r>
          </w:p>
        </w:tc>
        <w:tc>
          <w:tcPr>
            <w:tcW w:w="0" w:type="dxa"/>
            <w:vAlign w:val="bottom"/>
          </w:tcPr>
          <w:p>
            <w:pPr>
              <w:spacing w:after="0"/>
              <w:rPr>
                <w:sz w:val="1"/>
                <w:szCs w:val="1"/>
                <w:color w:val="auto"/>
              </w:rPr>
            </w:pPr>
          </w:p>
        </w:tc>
      </w:tr>
      <w:tr>
        <w:trPr>
          <w:trHeight w:val="235"/>
        </w:trPr>
        <w:tc>
          <w:tcPr>
            <w:tcW w:w="6660" w:type="dxa"/>
            <w:vAlign w:val="bottom"/>
            <w:tcBorders>
              <w:bottom w:val="single" w:sz="8" w:color="auto"/>
            </w:tcBorders>
            <w:vMerge w:val="continue"/>
          </w:tcPr>
          <w:p>
            <w:pPr>
              <w:spacing w:after="0"/>
              <w:rPr>
                <w:sz w:val="20"/>
                <w:szCs w:val="20"/>
                <w:color w:val="auto"/>
              </w:rPr>
            </w:pPr>
          </w:p>
        </w:tc>
        <w:tc>
          <w:tcPr>
            <w:tcW w:w="31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2024</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2023</w:t>
            </w:r>
          </w:p>
        </w:tc>
        <w:tc>
          <w:tcPr>
            <w:tcW w:w="0" w:type="dxa"/>
            <w:vAlign w:val="bottom"/>
          </w:tcPr>
          <w:p>
            <w:pPr>
              <w:spacing w:after="0"/>
              <w:rPr>
                <w:sz w:val="1"/>
                <w:szCs w:val="1"/>
                <w:color w:val="auto"/>
              </w:rPr>
            </w:pPr>
          </w:p>
        </w:tc>
      </w:tr>
    </w:tbl>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LIABILITIES AND EQUITY</w:t>
            </w:r>
          </w:p>
        </w:tc>
        <w:tc>
          <w:tcPr>
            <w:tcW w:w="21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270"/>
        </w:trPr>
        <w:tc>
          <w:tcPr>
            <w:tcW w:w="7820" w:type="dxa"/>
            <w:vAlign w:val="bottom"/>
          </w:tcPr>
          <w:p>
            <w:pPr>
              <w:spacing w:after="0"/>
              <w:rPr>
                <w:sz w:val="23"/>
                <w:szCs w:val="23"/>
                <w:color w:val="auto"/>
              </w:rPr>
            </w:pPr>
          </w:p>
        </w:tc>
        <w:tc>
          <w:tcPr>
            <w:tcW w:w="2160" w:type="dxa"/>
            <w:vAlign w:val="bottom"/>
          </w:tcPr>
          <w:p>
            <w:pPr>
              <w:spacing w:after="0"/>
              <w:rPr>
                <w:sz w:val="23"/>
                <w:szCs w:val="23"/>
                <w:color w:val="auto"/>
              </w:rPr>
            </w:pPr>
          </w:p>
        </w:tc>
        <w:tc>
          <w:tcPr>
            <w:tcW w:w="1260" w:type="dxa"/>
            <w:vAlign w:val="bottom"/>
          </w:tcPr>
          <w:p>
            <w:pPr>
              <w:spacing w:after="0"/>
              <w:rPr>
                <w:sz w:val="23"/>
                <w:szCs w:val="23"/>
                <w:color w:val="auto"/>
              </w:rPr>
            </w:pPr>
          </w:p>
        </w:tc>
      </w:tr>
      <w:tr>
        <w:trPr>
          <w:trHeight w:val="229"/>
        </w:trPr>
        <w:tc>
          <w:tcPr>
            <w:tcW w:w="7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 liabilities:</w:t>
            </w:r>
          </w:p>
        </w:tc>
        <w:tc>
          <w:tcPr>
            <w:tcW w:w="21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229"/>
        </w:trPr>
        <w:tc>
          <w:tcPr>
            <w:tcW w:w="7820" w:type="dxa"/>
            <w:vAlign w:val="bottom"/>
          </w:tcPr>
          <w:p>
            <w:pPr>
              <w:ind w:left="180"/>
              <w:spacing w:after="0"/>
              <w:rPr>
                <w:sz w:val="20"/>
                <w:szCs w:val="20"/>
                <w:color w:val="auto"/>
              </w:rPr>
            </w:pPr>
            <w:r>
              <w:rPr>
                <w:rFonts w:ascii="Arial" w:cs="Arial" w:eastAsia="Arial" w:hAnsi="Arial"/>
                <w:sz w:val="18"/>
                <w:szCs w:val="18"/>
                <w:color w:val="auto"/>
              </w:rPr>
              <w:t>Current portion of lease liabilities</w:t>
            </w:r>
          </w:p>
        </w:tc>
        <w:tc>
          <w:tcPr>
            <w:tcW w:w="2160" w:type="dxa"/>
            <w:vAlign w:val="bottom"/>
          </w:tcPr>
          <w:p>
            <w:pPr>
              <w:jc w:val="right"/>
              <w:ind w:right="430"/>
              <w:spacing w:after="0"/>
              <w:rPr>
                <w:sz w:val="20"/>
                <w:szCs w:val="20"/>
                <w:color w:val="auto"/>
              </w:rPr>
            </w:pPr>
            <w:r>
              <w:rPr>
                <w:rFonts w:ascii="Arial" w:cs="Arial" w:eastAsia="Arial" w:hAnsi="Arial"/>
                <w:sz w:val="18"/>
                <w:szCs w:val="18"/>
                <w:color w:val="auto"/>
              </w:rPr>
              <w:t>7,431</w:t>
            </w:r>
          </w:p>
        </w:tc>
        <w:tc>
          <w:tcPr>
            <w:tcW w:w="1260" w:type="dxa"/>
            <w:vAlign w:val="bottom"/>
          </w:tcPr>
          <w:p>
            <w:pPr>
              <w:jc w:val="right"/>
              <w:spacing w:after="0"/>
              <w:rPr>
                <w:sz w:val="20"/>
                <w:szCs w:val="20"/>
                <w:color w:val="auto"/>
              </w:rPr>
            </w:pPr>
            <w:r>
              <w:rPr>
                <w:rFonts w:ascii="Arial" w:cs="Arial" w:eastAsia="Arial" w:hAnsi="Arial"/>
                <w:sz w:val="18"/>
                <w:szCs w:val="18"/>
                <w:color w:val="auto"/>
              </w:rPr>
              <w:t>7,755</w:t>
            </w:r>
          </w:p>
        </w:tc>
      </w:tr>
      <w:tr>
        <w:trPr>
          <w:trHeight w:val="230"/>
        </w:trPr>
        <w:tc>
          <w:tcPr>
            <w:tcW w:w="78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Accounts payable</w:t>
            </w:r>
          </w:p>
        </w:tc>
        <w:tc>
          <w:tcPr>
            <w:tcW w:w="216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rPr>
              <w:t>31,685</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36,290</w:t>
            </w:r>
          </w:p>
        </w:tc>
      </w:tr>
      <w:tr>
        <w:trPr>
          <w:trHeight w:val="229"/>
        </w:trPr>
        <w:tc>
          <w:tcPr>
            <w:tcW w:w="7820" w:type="dxa"/>
            <w:vAlign w:val="bottom"/>
          </w:tcPr>
          <w:p>
            <w:pPr>
              <w:ind w:left="180"/>
              <w:spacing w:after="0"/>
              <w:rPr>
                <w:sz w:val="20"/>
                <w:szCs w:val="20"/>
                <w:color w:val="auto"/>
              </w:rPr>
            </w:pPr>
            <w:r>
              <w:rPr>
                <w:rFonts w:ascii="Arial" w:cs="Arial" w:eastAsia="Arial" w:hAnsi="Arial"/>
                <w:sz w:val="18"/>
                <w:szCs w:val="18"/>
                <w:color w:val="auto"/>
              </w:rPr>
              <w:t>Compensation and other accrued liabilities</w:t>
            </w:r>
          </w:p>
        </w:tc>
        <w:tc>
          <w:tcPr>
            <w:tcW w:w="2160" w:type="dxa"/>
            <w:vAlign w:val="bottom"/>
          </w:tcPr>
          <w:p>
            <w:pPr>
              <w:jc w:val="right"/>
              <w:ind w:right="430"/>
              <w:spacing w:after="0"/>
              <w:rPr>
                <w:sz w:val="20"/>
                <w:szCs w:val="20"/>
                <w:color w:val="auto"/>
              </w:rPr>
            </w:pPr>
            <w:r>
              <w:rPr>
                <w:rFonts w:ascii="Arial" w:cs="Arial" w:eastAsia="Arial" w:hAnsi="Arial"/>
                <w:sz w:val="18"/>
                <w:szCs w:val="18"/>
                <w:color w:val="auto"/>
              </w:rPr>
              <w:t>31,443</w:t>
            </w:r>
          </w:p>
        </w:tc>
        <w:tc>
          <w:tcPr>
            <w:tcW w:w="1260" w:type="dxa"/>
            <w:vAlign w:val="bottom"/>
          </w:tcPr>
          <w:p>
            <w:pPr>
              <w:jc w:val="right"/>
              <w:spacing w:after="0"/>
              <w:rPr>
                <w:sz w:val="20"/>
                <w:szCs w:val="20"/>
                <w:color w:val="auto"/>
              </w:rPr>
            </w:pPr>
            <w:r>
              <w:rPr>
                <w:rFonts w:ascii="Arial" w:cs="Arial" w:eastAsia="Arial" w:hAnsi="Arial"/>
                <w:sz w:val="18"/>
                <w:szCs w:val="18"/>
                <w:color w:val="auto"/>
              </w:rPr>
              <w:t>29,448</w:t>
            </w:r>
          </w:p>
        </w:tc>
      </w:tr>
      <w:tr>
        <w:trPr>
          <w:trHeight w:val="229"/>
        </w:trPr>
        <w:tc>
          <w:tcPr>
            <w:tcW w:w="782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rPr>
              <w:t>Unearned revenue</w:t>
            </w:r>
          </w:p>
        </w:tc>
        <w:tc>
          <w:tcPr>
            <w:tcW w:w="2160" w:type="dxa"/>
            <w:vAlign w:val="bottom"/>
            <w:tcBorders>
              <w:bottom w:val="single" w:sz="8" w:color="auto"/>
            </w:tcBorders>
            <w:shd w:val="clear" w:color="auto" w:fill="CCEEFF"/>
          </w:tcPr>
          <w:p>
            <w:pPr>
              <w:jc w:val="right"/>
              <w:ind w:right="430"/>
              <w:spacing w:after="0"/>
              <w:rPr>
                <w:sz w:val="20"/>
                <w:szCs w:val="20"/>
                <w:color w:val="auto"/>
              </w:rPr>
            </w:pPr>
            <w:r>
              <w:rPr>
                <w:rFonts w:ascii="Arial" w:cs="Arial" w:eastAsia="Arial" w:hAnsi="Arial"/>
                <w:sz w:val="18"/>
                <w:szCs w:val="18"/>
                <w:color w:val="auto"/>
              </w:rPr>
              <w:t>38,391</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40,843</w:t>
            </w:r>
          </w:p>
        </w:tc>
      </w:tr>
      <w:tr>
        <w:trPr>
          <w:trHeight w:val="223"/>
        </w:trPr>
        <w:tc>
          <w:tcPr>
            <w:tcW w:w="78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Total current liabilities</w:t>
            </w:r>
          </w:p>
        </w:tc>
        <w:tc>
          <w:tcPr>
            <w:tcW w:w="216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108,950</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114,336</w:t>
            </w:r>
          </w:p>
        </w:tc>
      </w:tr>
      <w:tr>
        <w:trPr>
          <w:trHeight w:val="223"/>
        </w:trPr>
        <w:tc>
          <w:tcPr>
            <w:tcW w:w="7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Long-term debt, net of current maturities</w:t>
            </w:r>
          </w:p>
        </w:tc>
        <w:tc>
          <w:tcPr>
            <w:tcW w:w="216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rPr>
              <w:t>453,644</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455,741</w:t>
            </w:r>
          </w:p>
        </w:tc>
      </w:tr>
      <w:tr>
        <w:trPr>
          <w:trHeight w:val="229"/>
        </w:trPr>
        <w:tc>
          <w:tcPr>
            <w:tcW w:w="7820" w:type="dxa"/>
            <w:vAlign w:val="bottom"/>
          </w:tcPr>
          <w:p>
            <w:pPr>
              <w:ind w:left="20"/>
              <w:spacing w:after="0"/>
              <w:rPr>
                <w:sz w:val="20"/>
                <w:szCs w:val="20"/>
                <w:color w:val="auto"/>
              </w:rPr>
            </w:pPr>
            <w:r>
              <w:rPr>
                <w:rFonts w:ascii="Arial" w:cs="Arial" w:eastAsia="Arial" w:hAnsi="Arial"/>
                <w:sz w:val="18"/>
                <w:szCs w:val="18"/>
                <w:color w:val="auto"/>
              </w:rPr>
              <w:t>Operating lease liabilities</w:t>
            </w:r>
          </w:p>
        </w:tc>
        <w:tc>
          <w:tcPr>
            <w:tcW w:w="2160" w:type="dxa"/>
            <w:vAlign w:val="bottom"/>
          </w:tcPr>
          <w:p>
            <w:pPr>
              <w:jc w:val="right"/>
              <w:ind w:right="430"/>
              <w:spacing w:after="0"/>
              <w:rPr>
                <w:sz w:val="20"/>
                <w:szCs w:val="20"/>
                <w:color w:val="auto"/>
              </w:rPr>
            </w:pPr>
            <w:r>
              <w:rPr>
                <w:rFonts w:ascii="Arial" w:cs="Arial" w:eastAsia="Arial" w:hAnsi="Arial"/>
                <w:sz w:val="18"/>
                <w:szCs w:val="18"/>
                <w:color w:val="auto"/>
              </w:rPr>
              <w:t>32,795</w:t>
            </w:r>
          </w:p>
        </w:tc>
        <w:tc>
          <w:tcPr>
            <w:tcW w:w="1260" w:type="dxa"/>
            <w:vAlign w:val="bottom"/>
          </w:tcPr>
          <w:p>
            <w:pPr>
              <w:jc w:val="right"/>
              <w:spacing w:after="0"/>
              <w:rPr>
                <w:sz w:val="20"/>
                <w:szCs w:val="20"/>
                <w:color w:val="auto"/>
              </w:rPr>
            </w:pPr>
            <w:r>
              <w:rPr>
                <w:rFonts w:ascii="Arial" w:cs="Arial" w:eastAsia="Arial" w:hAnsi="Arial"/>
                <w:sz w:val="18"/>
                <w:szCs w:val="18"/>
                <w:color w:val="auto"/>
              </w:rPr>
              <w:t>36,580</w:t>
            </w:r>
          </w:p>
        </w:tc>
      </w:tr>
      <w:tr>
        <w:trPr>
          <w:trHeight w:val="229"/>
        </w:trPr>
        <w:tc>
          <w:tcPr>
            <w:tcW w:w="7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Pension obligations</w:t>
            </w:r>
          </w:p>
        </w:tc>
        <w:tc>
          <w:tcPr>
            <w:tcW w:w="216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rPr>
              <w:t>535</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586</w:t>
            </w:r>
          </w:p>
        </w:tc>
      </w:tr>
      <w:tr>
        <w:trPr>
          <w:trHeight w:val="230"/>
        </w:trPr>
        <w:tc>
          <w:tcPr>
            <w:tcW w:w="7820" w:type="dxa"/>
            <w:vAlign w:val="bottom"/>
          </w:tcPr>
          <w:p>
            <w:pPr>
              <w:ind w:left="20"/>
              <w:spacing w:after="0"/>
              <w:rPr>
                <w:sz w:val="20"/>
                <w:szCs w:val="20"/>
                <w:color w:val="auto"/>
              </w:rPr>
            </w:pPr>
            <w:r>
              <w:rPr>
                <w:rFonts w:ascii="Arial" w:cs="Arial" w:eastAsia="Arial" w:hAnsi="Arial"/>
                <w:sz w:val="18"/>
                <w:szCs w:val="18"/>
                <w:color w:val="auto"/>
              </w:rPr>
              <w:t>Postretirement and postemployment benefit obligations</w:t>
            </w:r>
          </w:p>
        </w:tc>
        <w:tc>
          <w:tcPr>
            <w:tcW w:w="2160" w:type="dxa"/>
            <w:vAlign w:val="bottom"/>
          </w:tcPr>
          <w:p>
            <w:pPr>
              <w:jc w:val="right"/>
              <w:ind w:right="430"/>
              <w:spacing w:after="0"/>
              <w:rPr>
                <w:sz w:val="20"/>
                <w:szCs w:val="20"/>
                <w:color w:val="auto"/>
              </w:rPr>
            </w:pPr>
            <w:r>
              <w:rPr>
                <w:rFonts w:ascii="Arial" w:cs="Arial" w:eastAsia="Arial" w:hAnsi="Arial"/>
                <w:sz w:val="18"/>
                <w:szCs w:val="18"/>
                <w:color w:val="auto"/>
              </w:rPr>
              <w:t>7,433</w:t>
            </w:r>
          </w:p>
        </w:tc>
        <w:tc>
          <w:tcPr>
            <w:tcW w:w="1260" w:type="dxa"/>
            <w:vAlign w:val="bottom"/>
          </w:tcPr>
          <w:p>
            <w:pPr>
              <w:jc w:val="right"/>
              <w:spacing w:after="0"/>
              <w:rPr>
                <w:sz w:val="20"/>
                <w:szCs w:val="20"/>
                <w:color w:val="auto"/>
              </w:rPr>
            </w:pPr>
            <w:r>
              <w:rPr>
                <w:rFonts w:ascii="Arial" w:cs="Arial" w:eastAsia="Arial" w:hAnsi="Arial"/>
                <w:sz w:val="18"/>
                <w:szCs w:val="18"/>
                <w:color w:val="auto"/>
              </w:rPr>
              <w:t>8,618</w:t>
            </w:r>
          </w:p>
        </w:tc>
      </w:tr>
      <w:tr>
        <w:trPr>
          <w:trHeight w:val="229"/>
        </w:trPr>
        <w:tc>
          <w:tcPr>
            <w:tcW w:w="7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income taxes</w:t>
            </w:r>
          </w:p>
        </w:tc>
        <w:tc>
          <w:tcPr>
            <w:tcW w:w="216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rPr>
              <w:t>40,759</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41,351</w:t>
            </w:r>
          </w:p>
        </w:tc>
      </w:tr>
      <w:tr>
        <w:trPr>
          <w:trHeight w:val="230"/>
        </w:trPr>
        <w:tc>
          <w:tcPr>
            <w:tcW w:w="7820" w:type="dxa"/>
            <w:vAlign w:val="bottom"/>
          </w:tcPr>
          <w:p>
            <w:pPr>
              <w:ind w:left="20"/>
              <w:spacing w:after="0"/>
              <w:rPr>
                <w:sz w:val="20"/>
                <w:szCs w:val="20"/>
                <w:color w:val="auto"/>
              </w:rPr>
            </w:pPr>
            <w:r>
              <w:rPr>
                <w:rFonts w:ascii="Arial" w:cs="Arial" w:eastAsia="Arial" w:hAnsi="Arial"/>
                <w:sz w:val="18"/>
                <w:szCs w:val="18"/>
                <w:color w:val="auto"/>
              </w:rPr>
              <w:t>Income taxes payable</w:t>
            </w:r>
          </w:p>
        </w:tc>
        <w:tc>
          <w:tcPr>
            <w:tcW w:w="2160" w:type="dxa"/>
            <w:vAlign w:val="bottom"/>
          </w:tcPr>
          <w:p>
            <w:pPr>
              <w:jc w:val="right"/>
              <w:ind w:right="430"/>
              <w:spacing w:after="0"/>
              <w:rPr>
                <w:sz w:val="20"/>
                <w:szCs w:val="20"/>
                <w:color w:val="auto"/>
              </w:rPr>
            </w:pPr>
            <w:r>
              <w:rPr>
                <w:rFonts w:ascii="Arial" w:cs="Arial" w:eastAsia="Arial" w:hAnsi="Arial"/>
                <w:sz w:val="18"/>
                <w:szCs w:val="18"/>
                <w:color w:val="auto"/>
              </w:rPr>
              <w:t>6,222</w:t>
            </w:r>
          </w:p>
        </w:tc>
        <w:tc>
          <w:tcPr>
            <w:tcW w:w="1260" w:type="dxa"/>
            <w:vAlign w:val="bottom"/>
          </w:tcPr>
          <w:p>
            <w:pPr>
              <w:jc w:val="right"/>
              <w:spacing w:after="0"/>
              <w:rPr>
                <w:sz w:val="20"/>
                <w:szCs w:val="20"/>
                <w:color w:val="auto"/>
              </w:rPr>
            </w:pPr>
            <w:r>
              <w:rPr>
                <w:rFonts w:ascii="Arial" w:cs="Arial" w:eastAsia="Arial" w:hAnsi="Arial"/>
                <w:sz w:val="18"/>
                <w:szCs w:val="18"/>
                <w:color w:val="auto"/>
              </w:rPr>
              <w:t>5,809</w:t>
            </w:r>
          </w:p>
        </w:tc>
      </w:tr>
      <w:tr>
        <w:trPr>
          <w:trHeight w:val="229"/>
        </w:trPr>
        <w:tc>
          <w:tcPr>
            <w:tcW w:w="78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Withdrawal liabilities and other</w:t>
            </w:r>
          </w:p>
        </w:tc>
        <w:tc>
          <w:tcPr>
            <w:tcW w:w="2160" w:type="dxa"/>
            <w:vAlign w:val="bottom"/>
            <w:tcBorders>
              <w:bottom w:val="single" w:sz="8" w:color="auto"/>
            </w:tcBorders>
            <w:shd w:val="clear" w:color="auto" w:fill="CCEEFF"/>
          </w:tcPr>
          <w:p>
            <w:pPr>
              <w:jc w:val="right"/>
              <w:ind w:right="430"/>
              <w:spacing w:after="0"/>
              <w:rPr>
                <w:sz w:val="20"/>
                <w:szCs w:val="20"/>
                <w:color w:val="auto"/>
              </w:rPr>
            </w:pPr>
            <w:r>
              <w:rPr>
                <w:rFonts w:ascii="Arial" w:cs="Arial" w:eastAsia="Arial" w:hAnsi="Arial"/>
                <w:sz w:val="18"/>
                <w:szCs w:val="18"/>
                <w:color w:val="auto"/>
              </w:rPr>
              <w:t>24,048</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24,890</w:t>
            </w:r>
          </w:p>
        </w:tc>
      </w:tr>
      <w:tr>
        <w:trPr>
          <w:trHeight w:val="223"/>
        </w:trPr>
        <w:tc>
          <w:tcPr>
            <w:tcW w:w="78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Total liabilities</w:t>
            </w:r>
          </w:p>
        </w:tc>
        <w:tc>
          <w:tcPr>
            <w:tcW w:w="216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674,386</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687,911</w:t>
            </w:r>
          </w:p>
        </w:tc>
      </w:tr>
      <w:tr>
        <w:trPr>
          <w:trHeight w:val="223"/>
        </w:trPr>
        <w:tc>
          <w:tcPr>
            <w:tcW w:w="7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Equity:</w:t>
            </w:r>
          </w:p>
        </w:tc>
        <w:tc>
          <w:tcPr>
            <w:tcW w:w="21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229"/>
        </w:trPr>
        <w:tc>
          <w:tcPr>
            <w:tcW w:w="7820" w:type="dxa"/>
            <w:vAlign w:val="bottom"/>
          </w:tcPr>
          <w:p>
            <w:pPr>
              <w:ind w:left="180"/>
              <w:spacing w:after="0"/>
              <w:rPr>
                <w:sz w:val="20"/>
                <w:szCs w:val="20"/>
                <w:color w:val="auto"/>
              </w:rPr>
            </w:pPr>
            <w:r>
              <w:rPr>
                <w:rFonts w:ascii="Arial" w:cs="Arial" w:eastAsia="Arial" w:hAnsi="Arial"/>
                <w:sz w:val="18"/>
                <w:szCs w:val="18"/>
                <w:color w:val="auto"/>
              </w:rPr>
              <w:t>Stockholders' equity:</w:t>
            </w:r>
          </w:p>
        </w:tc>
        <w:tc>
          <w:tcPr>
            <w:tcW w:w="216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30"/>
        </w:trPr>
        <w:tc>
          <w:tcPr>
            <w:tcW w:w="78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Serial convertible preferred stock, no par value; authorized 500 shares; none issued</w:t>
            </w:r>
          </w:p>
        </w:tc>
        <w:tc>
          <w:tcPr>
            <w:tcW w:w="216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7820" w:type="dxa"/>
            <w:vAlign w:val="bottom"/>
          </w:tcPr>
          <w:p>
            <w:pPr>
              <w:ind w:left="180"/>
              <w:spacing w:after="0"/>
              <w:rPr>
                <w:sz w:val="20"/>
                <w:szCs w:val="20"/>
                <w:color w:val="auto"/>
              </w:rPr>
            </w:pPr>
            <w:r>
              <w:rPr>
                <w:rFonts w:ascii="Arial" w:cs="Arial" w:eastAsia="Arial" w:hAnsi="Arial"/>
                <w:sz w:val="18"/>
                <w:szCs w:val="18"/>
                <w:color w:val="auto"/>
              </w:rPr>
              <w:t>Common Stock, $0.01 par value; authorized 12,000 shares; issued and outstanding:</w:t>
            </w:r>
          </w:p>
        </w:tc>
        <w:tc>
          <w:tcPr>
            <w:tcW w:w="2160" w:type="dxa"/>
            <w:vAlign w:val="bottom"/>
          </w:tcPr>
          <w:p>
            <w:pPr>
              <w:jc w:val="right"/>
              <w:ind w:right="430"/>
              <w:spacing w:after="0"/>
              <w:rPr>
                <w:sz w:val="20"/>
                <w:szCs w:val="20"/>
                <w:color w:val="auto"/>
              </w:rPr>
            </w:pPr>
            <w:r>
              <w:rPr>
                <w:rFonts w:ascii="Arial" w:cs="Arial" w:eastAsia="Arial" w:hAnsi="Arial"/>
                <w:sz w:val="18"/>
                <w:szCs w:val="18"/>
                <w:color w:val="auto"/>
              </w:rPr>
              <w:t>61</w:t>
            </w:r>
          </w:p>
        </w:tc>
        <w:tc>
          <w:tcPr>
            <w:tcW w:w="1260" w:type="dxa"/>
            <w:vAlign w:val="bottom"/>
          </w:tcPr>
          <w:p>
            <w:pPr>
              <w:jc w:val="right"/>
              <w:spacing w:after="0"/>
              <w:rPr>
                <w:sz w:val="20"/>
                <w:szCs w:val="20"/>
                <w:color w:val="auto"/>
              </w:rPr>
            </w:pPr>
            <w:r>
              <w:rPr>
                <w:rFonts w:ascii="Arial" w:cs="Arial" w:eastAsia="Arial" w:hAnsi="Arial"/>
                <w:sz w:val="18"/>
                <w:szCs w:val="18"/>
                <w:color w:val="auto"/>
              </w:rPr>
              <w:t>61</w:t>
            </w:r>
          </w:p>
        </w:tc>
      </w:tr>
      <w:tr>
        <w:trPr>
          <w:trHeight w:val="230"/>
        </w:trPr>
        <w:tc>
          <w:tcPr>
            <w:tcW w:w="78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March 24, 2024; 6,143 shares; $0.01 par value</w:t>
            </w:r>
          </w:p>
        </w:tc>
        <w:tc>
          <w:tcPr>
            <w:tcW w:w="21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230"/>
        </w:trPr>
        <w:tc>
          <w:tcPr>
            <w:tcW w:w="7820" w:type="dxa"/>
            <w:vAlign w:val="bottom"/>
          </w:tcPr>
          <w:p>
            <w:pPr>
              <w:ind w:left="360"/>
              <w:spacing w:after="0"/>
              <w:rPr>
                <w:sz w:val="20"/>
                <w:szCs w:val="20"/>
                <w:color w:val="auto"/>
              </w:rPr>
            </w:pPr>
            <w:r>
              <w:rPr>
                <w:rFonts w:ascii="Arial" w:cs="Arial" w:eastAsia="Arial" w:hAnsi="Arial"/>
                <w:sz w:val="18"/>
                <w:szCs w:val="18"/>
                <w:color w:val="auto"/>
              </w:rPr>
              <w:t>September 24, 2023; 6,063 shares; $0.01 par value</w:t>
            </w:r>
          </w:p>
        </w:tc>
        <w:tc>
          <w:tcPr>
            <w:tcW w:w="216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30"/>
        </w:trPr>
        <w:tc>
          <w:tcPr>
            <w:tcW w:w="78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Class B Common Stock, $2 par value; authorized 3,000 shares; none issued</w:t>
            </w:r>
          </w:p>
        </w:tc>
        <w:tc>
          <w:tcPr>
            <w:tcW w:w="216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7820" w:type="dxa"/>
            <w:vAlign w:val="bottom"/>
          </w:tcPr>
          <w:p>
            <w:pPr>
              <w:ind w:left="180"/>
              <w:spacing w:after="0"/>
              <w:rPr>
                <w:sz w:val="20"/>
                <w:szCs w:val="20"/>
                <w:color w:val="auto"/>
              </w:rPr>
            </w:pPr>
            <w:r>
              <w:rPr>
                <w:rFonts w:ascii="Arial" w:cs="Arial" w:eastAsia="Arial" w:hAnsi="Arial"/>
                <w:sz w:val="18"/>
                <w:szCs w:val="18"/>
                <w:color w:val="auto"/>
              </w:rPr>
              <w:t>Additional paid-in capital</w:t>
            </w:r>
          </w:p>
        </w:tc>
        <w:tc>
          <w:tcPr>
            <w:tcW w:w="2160" w:type="dxa"/>
            <w:vAlign w:val="bottom"/>
          </w:tcPr>
          <w:p>
            <w:pPr>
              <w:jc w:val="right"/>
              <w:ind w:right="430"/>
              <w:spacing w:after="0"/>
              <w:rPr>
                <w:sz w:val="20"/>
                <w:szCs w:val="20"/>
                <w:color w:val="auto"/>
              </w:rPr>
            </w:pPr>
            <w:r>
              <w:rPr>
                <w:rFonts w:ascii="Arial" w:cs="Arial" w:eastAsia="Arial" w:hAnsi="Arial"/>
                <w:sz w:val="18"/>
                <w:szCs w:val="18"/>
                <w:color w:val="auto"/>
              </w:rPr>
              <w:t>261,451</w:t>
            </w:r>
          </w:p>
        </w:tc>
        <w:tc>
          <w:tcPr>
            <w:tcW w:w="1260" w:type="dxa"/>
            <w:vAlign w:val="bottom"/>
          </w:tcPr>
          <w:p>
            <w:pPr>
              <w:jc w:val="right"/>
              <w:spacing w:after="0"/>
              <w:rPr>
                <w:sz w:val="20"/>
                <w:szCs w:val="20"/>
                <w:color w:val="auto"/>
              </w:rPr>
            </w:pPr>
            <w:r>
              <w:rPr>
                <w:rFonts w:ascii="Arial" w:cs="Arial" w:eastAsia="Arial" w:hAnsi="Arial"/>
                <w:sz w:val="18"/>
                <w:szCs w:val="18"/>
                <w:color w:val="auto"/>
              </w:rPr>
              <w:t>260,832</w:t>
            </w:r>
          </w:p>
        </w:tc>
      </w:tr>
      <w:tr>
        <w:trPr>
          <w:trHeight w:val="230"/>
        </w:trPr>
        <w:tc>
          <w:tcPr>
            <w:tcW w:w="78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Accumulated deficit</w:t>
            </w:r>
          </w:p>
        </w:tc>
        <w:tc>
          <w:tcPr>
            <w:tcW w:w="216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(277,987)</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(266,496)</w:t>
            </w:r>
          </w:p>
        </w:tc>
      </w:tr>
      <w:tr>
        <w:trPr>
          <w:trHeight w:val="230"/>
        </w:trPr>
        <w:tc>
          <w:tcPr>
            <w:tcW w:w="782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Accumulated other comprehensive income</w:t>
            </w:r>
          </w:p>
        </w:tc>
        <w:tc>
          <w:tcPr>
            <w:tcW w:w="216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24,381</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26,843</w:t>
            </w:r>
          </w:p>
        </w:tc>
      </w:tr>
      <w:tr>
        <w:trPr>
          <w:trHeight w:val="223"/>
        </w:trPr>
        <w:tc>
          <w:tcPr>
            <w:tcW w:w="782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rPr>
              <w:t>Total stockholders' equity</w:t>
            </w:r>
          </w:p>
        </w:tc>
        <w:tc>
          <w:tcPr>
            <w:tcW w:w="2160" w:type="dxa"/>
            <w:vAlign w:val="bottom"/>
            <w:tcBorders>
              <w:bottom w:val="single" w:sz="8" w:color="auto"/>
            </w:tcBorders>
            <w:shd w:val="clear" w:color="auto" w:fill="CCEEFF"/>
          </w:tcPr>
          <w:p>
            <w:pPr>
              <w:jc w:val="right"/>
              <w:ind w:right="430"/>
              <w:spacing w:after="0"/>
              <w:rPr>
                <w:sz w:val="20"/>
                <w:szCs w:val="20"/>
                <w:color w:val="auto"/>
              </w:rPr>
            </w:pPr>
            <w:r>
              <w:rPr>
                <w:rFonts w:ascii="Arial" w:cs="Arial" w:eastAsia="Arial" w:hAnsi="Arial"/>
                <w:sz w:val="18"/>
                <w:szCs w:val="18"/>
                <w:color w:val="auto"/>
              </w:rPr>
              <w:t>7,906</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21,240</w:t>
            </w:r>
          </w:p>
        </w:tc>
      </w:tr>
      <w:tr>
        <w:trPr>
          <w:trHeight w:val="223"/>
        </w:trPr>
        <w:tc>
          <w:tcPr>
            <w:tcW w:w="782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Non-controlling interests</w:t>
            </w:r>
          </w:p>
        </w:tc>
        <w:tc>
          <w:tcPr>
            <w:tcW w:w="216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2,515</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2,466</w:t>
            </w:r>
          </w:p>
        </w:tc>
      </w:tr>
      <w:tr>
        <w:trPr>
          <w:trHeight w:val="223"/>
        </w:trPr>
        <w:tc>
          <w:tcPr>
            <w:tcW w:w="78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Total equity</w:t>
            </w:r>
          </w:p>
        </w:tc>
        <w:tc>
          <w:tcPr>
            <w:tcW w:w="2160" w:type="dxa"/>
            <w:vAlign w:val="bottom"/>
            <w:tcBorders>
              <w:bottom w:val="single" w:sz="8" w:color="auto"/>
            </w:tcBorders>
            <w:shd w:val="clear" w:color="auto" w:fill="CCEEFF"/>
          </w:tcPr>
          <w:p>
            <w:pPr>
              <w:jc w:val="right"/>
              <w:ind w:right="430"/>
              <w:spacing w:after="0"/>
              <w:rPr>
                <w:sz w:val="20"/>
                <w:szCs w:val="20"/>
                <w:color w:val="auto"/>
              </w:rPr>
            </w:pPr>
            <w:r>
              <w:rPr>
                <w:rFonts w:ascii="Arial" w:cs="Arial" w:eastAsia="Arial" w:hAnsi="Arial"/>
                <w:sz w:val="18"/>
                <w:szCs w:val="18"/>
                <w:color w:val="auto"/>
              </w:rPr>
              <w:t>10,421</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23,706</w:t>
            </w:r>
          </w:p>
        </w:tc>
      </w:tr>
      <w:tr>
        <w:trPr>
          <w:trHeight w:val="223"/>
        </w:trPr>
        <w:tc>
          <w:tcPr>
            <w:tcW w:w="78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Total liabilities and equity</w:t>
            </w:r>
          </w:p>
        </w:tc>
        <w:tc>
          <w:tcPr>
            <w:tcW w:w="216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684,807</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711,617</w:t>
            </w:r>
          </w:p>
        </w:tc>
      </w:tr>
      <w:tr>
        <w:trPr>
          <w:trHeight w:val="20"/>
        </w:trPr>
        <w:tc>
          <w:tcPr>
            <w:tcW w:w="7820" w:type="dxa"/>
            <w:vAlign w:val="bottom"/>
            <w:tcBorders>
              <w:bottom w:val="single" w:sz="8" w:color="auto"/>
            </w:tcBorders>
          </w:tcPr>
          <w:p>
            <w:pPr>
              <w:spacing w:after="0" w:line="20" w:lineRule="exact"/>
              <w:rPr>
                <w:sz w:val="1"/>
                <w:szCs w:val="1"/>
                <w:color w:val="auto"/>
              </w:rPr>
            </w:pPr>
          </w:p>
        </w:tc>
        <w:tc>
          <w:tcPr>
            <w:tcW w:w="2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line="278" w:lineRule="auto"/>
        <w:rPr>
          <w:sz w:val="20"/>
          <w:szCs w:val="20"/>
          <w:color w:val="auto"/>
        </w:rPr>
      </w:pPr>
      <w:r>
        <w:rPr>
          <w:rFonts w:ascii="Arial" w:cs="Arial" w:eastAsia="Arial" w:hAnsi="Arial"/>
          <w:sz w:val="18"/>
          <w:szCs w:val="18"/>
          <w:b w:val="1"/>
          <w:bCs w:val="1"/>
          <w:color w:val="auto"/>
        </w:rPr>
        <w:t xml:space="preserve">LEE ENTERPRISES, INCORPORATED CONSOLIDATED STATEMENTS OF LOSS AND COMPREHENSIVE LOSS </w:t>
      </w:r>
      <w:r>
        <w:rPr>
          <w:rFonts w:ascii="Arial" w:cs="Arial" w:eastAsia="Arial" w:hAnsi="Arial"/>
          <w:sz w:val="18"/>
          <w:szCs w:val="18"/>
          <w:color w:val="auto"/>
        </w:rPr>
        <w:t>(Unaudited)</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5760" w:type="dxa"/>
            <w:vAlign w:val="bottom"/>
            <w:tcBorders>
              <w:top w:val="single" w:sz="8" w:color="auto"/>
              <w:bottom w:val="single" w:sz="8" w:color="auto"/>
            </w:tcBorders>
          </w:tcPr>
          <w:p>
            <w:pPr>
              <w:spacing w:after="0"/>
              <w:rPr>
                <w:sz w:val="21"/>
                <w:szCs w:val="21"/>
                <w:color w:val="auto"/>
              </w:rPr>
            </w:pPr>
          </w:p>
        </w:tc>
        <w:tc>
          <w:tcPr>
            <w:tcW w:w="3020" w:type="dxa"/>
            <w:vAlign w:val="bottom"/>
            <w:tcBorders>
              <w:top w:val="single" w:sz="8" w:color="auto"/>
              <w:bottom w:val="single" w:sz="8" w:color="auto"/>
            </w:tcBorders>
            <w:gridSpan w:val="2"/>
          </w:tcPr>
          <w:p>
            <w:pPr>
              <w:jc w:val="right"/>
              <w:ind w:right="710"/>
              <w:spacing w:after="0"/>
              <w:rPr>
                <w:sz w:val="20"/>
                <w:szCs w:val="20"/>
                <w:color w:val="auto"/>
              </w:rPr>
            </w:pPr>
            <w:r>
              <w:rPr>
                <w:rFonts w:ascii="Arial" w:cs="Arial" w:eastAsia="Arial" w:hAnsi="Arial"/>
                <w:sz w:val="18"/>
                <w:szCs w:val="18"/>
                <w:color w:val="auto"/>
              </w:rPr>
              <w:t>Three months ended</w:t>
            </w:r>
          </w:p>
        </w:tc>
        <w:tc>
          <w:tcPr>
            <w:tcW w:w="2460" w:type="dxa"/>
            <w:vAlign w:val="bottom"/>
            <w:tcBorders>
              <w:top w:val="single" w:sz="8" w:color="auto"/>
              <w:bottom w:val="single" w:sz="8" w:color="auto"/>
            </w:tcBorders>
            <w:gridSpan w:val="2"/>
          </w:tcPr>
          <w:p>
            <w:pPr>
              <w:jc w:val="right"/>
              <w:ind w:right="550"/>
              <w:spacing w:after="0"/>
              <w:rPr>
                <w:sz w:val="20"/>
                <w:szCs w:val="20"/>
                <w:color w:val="auto"/>
              </w:rPr>
            </w:pPr>
            <w:r>
              <w:rPr>
                <w:rFonts w:ascii="Arial" w:cs="Arial" w:eastAsia="Arial" w:hAnsi="Arial"/>
                <w:sz w:val="18"/>
                <w:szCs w:val="18"/>
                <w:color w:val="auto"/>
              </w:rPr>
              <w:t>Six months ended</w:t>
            </w:r>
          </w:p>
        </w:tc>
        <w:tc>
          <w:tcPr>
            <w:tcW w:w="0" w:type="dxa"/>
            <w:vAlign w:val="bottom"/>
          </w:tcPr>
          <w:p>
            <w:pPr>
              <w:spacing w:after="0"/>
              <w:rPr>
                <w:sz w:val="1"/>
                <w:szCs w:val="1"/>
                <w:color w:val="auto"/>
              </w:rPr>
            </w:pPr>
          </w:p>
        </w:tc>
      </w:tr>
      <w:tr>
        <w:trPr>
          <w:trHeight w:val="169"/>
        </w:trPr>
        <w:tc>
          <w:tcPr>
            <w:tcW w:w="5760" w:type="dxa"/>
            <w:vAlign w:val="bottom"/>
            <w:vMerge w:val="restart"/>
          </w:tcPr>
          <w:p>
            <w:pPr>
              <w:ind w:left="20"/>
              <w:spacing w:after="0"/>
              <w:rPr>
                <w:sz w:val="20"/>
                <w:szCs w:val="20"/>
                <w:color w:val="auto"/>
              </w:rPr>
            </w:pPr>
            <w:r>
              <w:rPr>
                <w:rFonts w:ascii="Arial" w:cs="Arial" w:eastAsia="Arial" w:hAnsi="Arial"/>
                <w:sz w:val="18"/>
                <w:szCs w:val="18"/>
                <w:i w:val="1"/>
                <w:iCs w:val="1"/>
                <w:color w:val="auto"/>
              </w:rPr>
              <w:t>(Thousands of Dollars, Except Per Common Share Data)</w:t>
            </w:r>
          </w:p>
        </w:tc>
        <w:tc>
          <w:tcPr>
            <w:tcW w:w="1660" w:type="dxa"/>
            <w:vAlign w:val="bottom"/>
          </w:tcPr>
          <w:p>
            <w:pPr>
              <w:jc w:val="right"/>
              <w:ind w:right="190"/>
              <w:spacing w:after="0" w:line="169" w:lineRule="exact"/>
              <w:rPr>
                <w:sz w:val="20"/>
                <w:szCs w:val="20"/>
                <w:color w:val="auto"/>
              </w:rPr>
            </w:pPr>
            <w:r>
              <w:rPr>
                <w:rFonts w:ascii="Arial" w:cs="Arial" w:eastAsia="Arial" w:hAnsi="Arial"/>
                <w:sz w:val="18"/>
                <w:szCs w:val="18"/>
                <w:color w:val="auto"/>
              </w:rPr>
              <w:t>March 24,</w:t>
            </w:r>
          </w:p>
        </w:tc>
        <w:tc>
          <w:tcPr>
            <w:tcW w:w="1360" w:type="dxa"/>
            <w:vAlign w:val="bottom"/>
          </w:tcPr>
          <w:p>
            <w:pPr>
              <w:jc w:val="right"/>
              <w:ind w:right="190"/>
              <w:spacing w:after="0" w:line="169" w:lineRule="exact"/>
              <w:rPr>
                <w:sz w:val="20"/>
                <w:szCs w:val="20"/>
                <w:color w:val="auto"/>
              </w:rPr>
            </w:pPr>
            <w:r>
              <w:rPr>
                <w:rFonts w:ascii="Arial" w:cs="Arial" w:eastAsia="Arial" w:hAnsi="Arial"/>
                <w:sz w:val="18"/>
                <w:szCs w:val="18"/>
                <w:color w:val="auto"/>
              </w:rPr>
              <w:t>March 26,</w:t>
            </w:r>
          </w:p>
        </w:tc>
        <w:tc>
          <w:tcPr>
            <w:tcW w:w="1360" w:type="dxa"/>
            <w:vAlign w:val="bottom"/>
          </w:tcPr>
          <w:p>
            <w:pPr>
              <w:jc w:val="right"/>
              <w:ind w:right="190"/>
              <w:spacing w:after="0" w:line="169" w:lineRule="exact"/>
              <w:rPr>
                <w:sz w:val="20"/>
                <w:szCs w:val="20"/>
                <w:color w:val="auto"/>
              </w:rPr>
            </w:pPr>
            <w:r>
              <w:rPr>
                <w:rFonts w:ascii="Arial" w:cs="Arial" w:eastAsia="Arial" w:hAnsi="Arial"/>
                <w:sz w:val="18"/>
                <w:szCs w:val="18"/>
                <w:color w:val="auto"/>
              </w:rPr>
              <w:t>March 24,</w:t>
            </w:r>
          </w:p>
        </w:tc>
        <w:tc>
          <w:tcPr>
            <w:tcW w:w="1100" w:type="dxa"/>
            <w:vAlign w:val="bottom"/>
          </w:tcPr>
          <w:p>
            <w:pPr>
              <w:jc w:val="right"/>
              <w:spacing w:after="0" w:line="169" w:lineRule="exact"/>
              <w:rPr>
                <w:sz w:val="20"/>
                <w:szCs w:val="20"/>
                <w:color w:val="auto"/>
              </w:rPr>
            </w:pPr>
            <w:r>
              <w:rPr>
                <w:rFonts w:ascii="Arial" w:cs="Arial" w:eastAsia="Arial" w:hAnsi="Arial"/>
                <w:sz w:val="18"/>
                <w:szCs w:val="18"/>
                <w:color w:val="auto"/>
              </w:rPr>
              <w:t>March 26,</w:t>
            </w:r>
          </w:p>
        </w:tc>
        <w:tc>
          <w:tcPr>
            <w:tcW w:w="0" w:type="dxa"/>
            <w:vAlign w:val="bottom"/>
          </w:tcPr>
          <w:p>
            <w:pPr>
              <w:spacing w:after="0"/>
              <w:rPr>
                <w:sz w:val="1"/>
                <w:szCs w:val="1"/>
                <w:color w:val="auto"/>
              </w:rPr>
            </w:pPr>
          </w:p>
        </w:tc>
      </w:tr>
      <w:tr>
        <w:trPr>
          <w:trHeight w:val="243"/>
        </w:trPr>
        <w:tc>
          <w:tcPr>
            <w:tcW w:w="5760" w:type="dxa"/>
            <w:vAlign w:val="bottom"/>
            <w:tcBorders>
              <w:bottom w:val="single" w:sz="8" w:color="auto"/>
            </w:tcBorders>
            <w:vMerge w:val="continue"/>
          </w:tcPr>
          <w:p>
            <w:pPr>
              <w:spacing w:after="0"/>
              <w:rPr>
                <w:sz w:val="21"/>
                <w:szCs w:val="21"/>
                <w:color w:val="auto"/>
              </w:rPr>
            </w:pPr>
          </w:p>
        </w:tc>
        <w:tc>
          <w:tcPr>
            <w:tcW w:w="16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2024</w:t>
            </w:r>
          </w:p>
        </w:tc>
        <w:tc>
          <w:tcPr>
            <w:tcW w:w="13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2023</w:t>
            </w:r>
          </w:p>
        </w:tc>
        <w:tc>
          <w:tcPr>
            <w:tcW w:w="13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2024</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2023</w:t>
            </w:r>
          </w:p>
        </w:tc>
        <w:tc>
          <w:tcPr>
            <w:tcW w:w="0" w:type="dxa"/>
            <w:vAlign w:val="bottom"/>
          </w:tcPr>
          <w:p>
            <w:pPr>
              <w:spacing w:after="0"/>
              <w:rPr>
                <w:sz w:val="1"/>
                <w:szCs w:val="1"/>
                <w:color w:val="auto"/>
              </w:rPr>
            </w:pPr>
          </w:p>
        </w:tc>
      </w:tr>
      <w:tr>
        <w:trPr>
          <w:trHeight w:val="250"/>
        </w:trPr>
        <w:tc>
          <w:tcPr>
            <w:tcW w:w="576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5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revenue:</w:t>
            </w:r>
          </w:p>
        </w:tc>
        <w:tc>
          <w:tcPr>
            <w:tcW w:w="166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760" w:type="dxa"/>
            <w:vAlign w:val="bottom"/>
          </w:tcPr>
          <w:p>
            <w:pPr>
              <w:ind w:left="180"/>
              <w:spacing w:after="0"/>
              <w:rPr>
                <w:sz w:val="20"/>
                <w:szCs w:val="20"/>
                <w:color w:val="auto"/>
              </w:rPr>
            </w:pPr>
            <w:r>
              <w:rPr>
                <w:rFonts w:ascii="Arial" w:cs="Arial" w:eastAsia="Arial" w:hAnsi="Arial"/>
                <w:sz w:val="18"/>
                <w:szCs w:val="18"/>
                <w:color w:val="auto"/>
              </w:rPr>
              <w:t>Advertising and marketing services</w:t>
            </w:r>
          </w:p>
        </w:tc>
        <w:tc>
          <w:tcPr>
            <w:tcW w:w="1660" w:type="dxa"/>
            <w:vAlign w:val="bottom"/>
          </w:tcPr>
          <w:p>
            <w:pPr>
              <w:jc w:val="right"/>
              <w:ind w:right="250"/>
              <w:spacing w:after="0"/>
              <w:rPr>
                <w:sz w:val="20"/>
                <w:szCs w:val="20"/>
                <w:color w:val="auto"/>
              </w:rPr>
            </w:pPr>
            <w:r>
              <w:rPr>
                <w:rFonts w:ascii="Arial" w:cs="Arial" w:eastAsia="Arial" w:hAnsi="Arial"/>
                <w:sz w:val="18"/>
                <w:szCs w:val="18"/>
                <w:color w:val="auto"/>
              </w:rPr>
              <w:t>64,134</w:t>
            </w:r>
          </w:p>
        </w:tc>
        <w:tc>
          <w:tcPr>
            <w:tcW w:w="1360" w:type="dxa"/>
            <w:vAlign w:val="bottom"/>
          </w:tcPr>
          <w:p>
            <w:pPr>
              <w:jc w:val="right"/>
              <w:ind w:right="250"/>
              <w:spacing w:after="0"/>
              <w:rPr>
                <w:sz w:val="20"/>
                <w:szCs w:val="20"/>
                <w:color w:val="auto"/>
              </w:rPr>
            </w:pPr>
            <w:r>
              <w:rPr>
                <w:rFonts w:ascii="Arial" w:cs="Arial" w:eastAsia="Arial" w:hAnsi="Arial"/>
                <w:sz w:val="18"/>
                <w:szCs w:val="18"/>
                <w:color w:val="auto"/>
              </w:rPr>
              <w:t>77,700</w:t>
            </w:r>
          </w:p>
        </w:tc>
        <w:tc>
          <w:tcPr>
            <w:tcW w:w="1360" w:type="dxa"/>
            <w:vAlign w:val="bottom"/>
          </w:tcPr>
          <w:p>
            <w:pPr>
              <w:jc w:val="right"/>
              <w:ind w:right="250"/>
              <w:spacing w:after="0"/>
              <w:rPr>
                <w:sz w:val="20"/>
                <w:szCs w:val="20"/>
                <w:color w:val="auto"/>
              </w:rPr>
            </w:pPr>
            <w:r>
              <w:rPr>
                <w:rFonts w:ascii="Arial" w:cs="Arial" w:eastAsia="Arial" w:hAnsi="Arial"/>
                <w:sz w:val="18"/>
                <w:szCs w:val="18"/>
                <w:color w:val="auto"/>
              </w:rPr>
              <w:t>135,021</w:t>
            </w:r>
          </w:p>
        </w:tc>
        <w:tc>
          <w:tcPr>
            <w:tcW w:w="1100" w:type="dxa"/>
            <w:vAlign w:val="bottom"/>
          </w:tcPr>
          <w:p>
            <w:pPr>
              <w:jc w:val="right"/>
              <w:spacing w:after="0"/>
              <w:rPr>
                <w:sz w:val="20"/>
                <w:szCs w:val="20"/>
                <w:color w:val="auto"/>
              </w:rPr>
            </w:pPr>
            <w:r>
              <w:rPr>
                <w:rFonts w:ascii="Arial" w:cs="Arial" w:eastAsia="Arial" w:hAnsi="Arial"/>
                <w:sz w:val="18"/>
                <w:szCs w:val="18"/>
                <w:color w:val="auto"/>
              </w:rPr>
              <w:t>167,285</w:t>
            </w:r>
          </w:p>
        </w:tc>
        <w:tc>
          <w:tcPr>
            <w:tcW w:w="0" w:type="dxa"/>
            <w:vAlign w:val="bottom"/>
          </w:tcPr>
          <w:p>
            <w:pPr>
              <w:spacing w:after="0"/>
              <w:rPr>
                <w:sz w:val="1"/>
                <w:szCs w:val="1"/>
                <w:color w:val="auto"/>
              </w:rPr>
            </w:pPr>
          </w:p>
        </w:tc>
      </w:tr>
      <w:tr>
        <w:trPr>
          <w:trHeight w:val="230"/>
        </w:trPr>
        <w:tc>
          <w:tcPr>
            <w:tcW w:w="57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Subscription</w:t>
            </w:r>
          </w:p>
        </w:tc>
        <w:tc>
          <w:tcPr>
            <w:tcW w:w="16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69,227</w:t>
            </w:r>
          </w:p>
        </w:tc>
        <w:tc>
          <w:tcPr>
            <w:tcW w:w="13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78,582</w:t>
            </w:r>
          </w:p>
        </w:tc>
        <w:tc>
          <w:tcPr>
            <w:tcW w:w="13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140,566</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158,281</w:t>
            </w:r>
          </w:p>
        </w:tc>
        <w:tc>
          <w:tcPr>
            <w:tcW w:w="0" w:type="dxa"/>
            <w:vAlign w:val="bottom"/>
          </w:tcPr>
          <w:p>
            <w:pPr>
              <w:spacing w:after="0"/>
              <w:rPr>
                <w:sz w:val="1"/>
                <w:szCs w:val="1"/>
                <w:color w:val="auto"/>
              </w:rPr>
            </w:pPr>
          </w:p>
        </w:tc>
      </w:tr>
      <w:tr>
        <w:trPr>
          <w:trHeight w:val="229"/>
        </w:trPr>
        <w:tc>
          <w:tcPr>
            <w:tcW w:w="576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Other</w:t>
            </w:r>
          </w:p>
        </w:tc>
        <w:tc>
          <w:tcPr>
            <w:tcW w:w="16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13,189</w:t>
            </w:r>
          </w:p>
        </w:tc>
        <w:tc>
          <w:tcPr>
            <w:tcW w:w="13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14,405</w:t>
            </w:r>
          </w:p>
        </w:tc>
        <w:tc>
          <w:tcPr>
            <w:tcW w:w="13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26,641</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30,252</w:t>
            </w:r>
          </w:p>
        </w:tc>
        <w:tc>
          <w:tcPr>
            <w:tcW w:w="0" w:type="dxa"/>
            <w:vAlign w:val="bottom"/>
          </w:tcPr>
          <w:p>
            <w:pPr>
              <w:spacing w:after="0"/>
              <w:rPr>
                <w:sz w:val="1"/>
                <w:szCs w:val="1"/>
                <w:color w:val="auto"/>
              </w:rPr>
            </w:pPr>
          </w:p>
        </w:tc>
      </w:tr>
      <w:tr>
        <w:trPr>
          <w:trHeight w:val="223"/>
        </w:trPr>
        <w:tc>
          <w:tcPr>
            <w:tcW w:w="57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Total operating revenue</w:t>
            </w:r>
          </w:p>
        </w:tc>
        <w:tc>
          <w:tcPr>
            <w:tcW w:w="16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rPr>
              <w:t>146,550</w:t>
            </w:r>
          </w:p>
        </w:tc>
        <w:tc>
          <w:tcPr>
            <w:tcW w:w="13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rPr>
              <w:t>170,687</w:t>
            </w:r>
          </w:p>
        </w:tc>
        <w:tc>
          <w:tcPr>
            <w:tcW w:w="13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rPr>
              <w:t>302,228</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355,818</w:t>
            </w:r>
          </w:p>
        </w:tc>
        <w:tc>
          <w:tcPr>
            <w:tcW w:w="0" w:type="dxa"/>
            <w:vAlign w:val="bottom"/>
          </w:tcPr>
          <w:p>
            <w:pPr>
              <w:spacing w:after="0"/>
              <w:rPr>
                <w:sz w:val="1"/>
                <w:szCs w:val="1"/>
                <w:color w:val="auto"/>
              </w:rPr>
            </w:pPr>
          </w:p>
        </w:tc>
      </w:tr>
      <w:tr>
        <w:trPr>
          <w:trHeight w:val="223"/>
        </w:trPr>
        <w:tc>
          <w:tcPr>
            <w:tcW w:w="576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16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Compensation</w:t>
            </w:r>
          </w:p>
        </w:tc>
        <w:tc>
          <w:tcPr>
            <w:tcW w:w="16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56,803</w:t>
            </w:r>
          </w:p>
        </w:tc>
        <w:tc>
          <w:tcPr>
            <w:tcW w:w="13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68,831</w:t>
            </w:r>
          </w:p>
        </w:tc>
        <w:tc>
          <w:tcPr>
            <w:tcW w:w="13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116,479</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144,277</w:t>
            </w:r>
          </w:p>
        </w:tc>
        <w:tc>
          <w:tcPr>
            <w:tcW w:w="0" w:type="dxa"/>
            <w:vAlign w:val="bottom"/>
          </w:tcPr>
          <w:p>
            <w:pPr>
              <w:spacing w:after="0"/>
              <w:rPr>
                <w:sz w:val="1"/>
                <w:szCs w:val="1"/>
                <w:color w:val="auto"/>
              </w:rPr>
            </w:pPr>
          </w:p>
        </w:tc>
      </w:tr>
      <w:tr>
        <w:trPr>
          <w:trHeight w:val="229"/>
        </w:trPr>
        <w:tc>
          <w:tcPr>
            <w:tcW w:w="5760" w:type="dxa"/>
            <w:vAlign w:val="bottom"/>
          </w:tcPr>
          <w:p>
            <w:pPr>
              <w:ind w:left="180"/>
              <w:spacing w:after="0"/>
              <w:rPr>
                <w:sz w:val="20"/>
                <w:szCs w:val="20"/>
                <w:color w:val="auto"/>
              </w:rPr>
            </w:pPr>
            <w:r>
              <w:rPr>
                <w:rFonts w:ascii="Arial" w:cs="Arial" w:eastAsia="Arial" w:hAnsi="Arial"/>
                <w:sz w:val="18"/>
                <w:szCs w:val="18"/>
                <w:color w:val="auto"/>
              </w:rPr>
              <w:t>Newsprint and ink</w:t>
            </w:r>
          </w:p>
        </w:tc>
        <w:tc>
          <w:tcPr>
            <w:tcW w:w="1660" w:type="dxa"/>
            <w:vAlign w:val="bottom"/>
          </w:tcPr>
          <w:p>
            <w:pPr>
              <w:jc w:val="right"/>
              <w:ind w:right="250"/>
              <w:spacing w:after="0"/>
              <w:rPr>
                <w:sz w:val="20"/>
                <w:szCs w:val="20"/>
                <w:color w:val="auto"/>
              </w:rPr>
            </w:pPr>
            <w:r>
              <w:rPr>
                <w:rFonts w:ascii="Arial" w:cs="Arial" w:eastAsia="Arial" w:hAnsi="Arial"/>
                <w:sz w:val="18"/>
                <w:szCs w:val="18"/>
                <w:color w:val="auto"/>
              </w:rPr>
              <w:t>4,162</w:t>
            </w:r>
          </w:p>
        </w:tc>
        <w:tc>
          <w:tcPr>
            <w:tcW w:w="1360" w:type="dxa"/>
            <w:vAlign w:val="bottom"/>
          </w:tcPr>
          <w:p>
            <w:pPr>
              <w:jc w:val="right"/>
              <w:ind w:right="250"/>
              <w:spacing w:after="0"/>
              <w:rPr>
                <w:sz w:val="20"/>
                <w:szCs w:val="20"/>
                <w:color w:val="auto"/>
              </w:rPr>
            </w:pPr>
            <w:r>
              <w:rPr>
                <w:rFonts w:ascii="Arial" w:cs="Arial" w:eastAsia="Arial" w:hAnsi="Arial"/>
                <w:sz w:val="18"/>
                <w:szCs w:val="18"/>
                <w:color w:val="auto"/>
              </w:rPr>
              <w:t>6,466</w:t>
            </w:r>
          </w:p>
        </w:tc>
        <w:tc>
          <w:tcPr>
            <w:tcW w:w="1360" w:type="dxa"/>
            <w:vAlign w:val="bottom"/>
          </w:tcPr>
          <w:p>
            <w:pPr>
              <w:jc w:val="right"/>
              <w:ind w:right="250"/>
              <w:spacing w:after="0"/>
              <w:rPr>
                <w:sz w:val="20"/>
                <w:szCs w:val="20"/>
                <w:color w:val="auto"/>
              </w:rPr>
            </w:pPr>
            <w:r>
              <w:rPr>
                <w:rFonts w:ascii="Arial" w:cs="Arial" w:eastAsia="Arial" w:hAnsi="Arial"/>
                <w:sz w:val="18"/>
                <w:szCs w:val="18"/>
                <w:color w:val="auto"/>
              </w:rPr>
              <w:t>9,005</w:t>
            </w:r>
          </w:p>
        </w:tc>
        <w:tc>
          <w:tcPr>
            <w:tcW w:w="1100" w:type="dxa"/>
            <w:vAlign w:val="bottom"/>
          </w:tcPr>
          <w:p>
            <w:pPr>
              <w:jc w:val="right"/>
              <w:spacing w:after="0"/>
              <w:rPr>
                <w:sz w:val="20"/>
                <w:szCs w:val="20"/>
                <w:color w:val="auto"/>
              </w:rPr>
            </w:pPr>
            <w:r>
              <w:rPr>
                <w:rFonts w:ascii="Arial" w:cs="Arial" w:eastAsia="Arial" w:hAnsi="Arial"/>
                <w:sz w:val="18"/>
                <w:szCs w:val="18"/>
                <w:color w:val="auto"/>
              </w:rPr>
              <w:t>13,898</w:t>
            </w:r>
          </w:p>
        </w:tc>
        <w:tc>
          <w:tcPr>
            <w:tcW w:w="0" w:type="dxa"/>
            <w:vAlign w:val="bottom"/>
          </w:tcPr>
          <w:p>
            <w:pPr>
              <w:spacing w:after="0"/>
              <w:rPr>
                <w:sz w:val="1"/>
                <w:szCs w:val="1"/>
                <w:color w:val="auto"/>
              </w:rPr>
            </w:pPr>
          </w:p>
        </w:tc>
      </w:tr>
      <w:tr>
        <w:trPr>
          <w:trHeight w:val="229"/>
        </w:trPr>
        <w:tc>
          <w:tcPr>
            <w:tcW w:w="57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operating expenses</w:t>
            </w:r>
          </w:p>
        </w:tc>
        <w:tc>
          <w:tcPr>
            <w:tcW w:w="16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72,294</w:t>
            </w:r>
          </w:p>
        </w:tc>
        <w:tc>
          <w:tcPr>
            <w:tcW w:w="13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82,569</w:t>
            </w:r>
          </w:p>
        </w:tc>
        <w:tc>
          <w:tcPr>
            <w:tcW w:w="13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147,070</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169,343</w:t>
            </w:r>
          </w:p>
        </w:tc>
        <w:tc>
          <w:tcPr>
            <w:tcW w:w="0" w:type="dxa"/>
            <w:vAlign w:val="bottom"/>
          </w:tcPr>
          <w:p>
            <w:pPr>
              <w:spacing w:after="0"/>
              <w:rPr>
                <w:sz w:val="1"/>
                <w:szCs w:val="1"/>
                <w:color w:val="auto"/>
              </w:rPr>
            </w:pPr>
          </w:p>
        </w:tc>
      </w:tr>
      <w:tr>
        <w:trPr>
          <w:trHeight w:val="230"/>
        </w:trPr>
        <w:tc>
          <w:tcPr>
            <w:tcW w:w="5760" w:type="dxa"/>
            <w:vAlign w:val="bottom"/>
          </w:tcPr>
          <w:p>
            <w:pPr>
              <w:ind w:left="180"/>
              <w:spacing w:after="0"/>
              <w:rPr>
                <w:sz w:val="20"/>
                <w:szCs w:val="20"/>
                <w:color w:val="auto"/>
              </w:rPr>
            </w:pPr>
            <w:r>
              <w:rPr>
                <w:rFonts w:ascii="Arial" w:cs="Arial" w:eastAsia="Arial" w:hAnsi="Arial"/>
                <w:sz w:val="18"/>
                <w:szCs w:val="18"/>
                <w:color w:val="auto"/>
              </w:rPr>
              <w:t>Depreciation and amortization</w:t>
            </w:r>
          </w:p>
        </w:tc>
        <w:tc>
          <w:tcPr>
            <w:tcW w:w="1660" w:type="dxa"/>
            <w:vAlign w:val="bottom"/>
          </w:tcPr>
          <w:p>
            <w:pPr>
              <w:jc w:val="right"/>
              <w:ind w:right="250"/>
              <w:spacing w:after="0"/>
              <w:rPr>
                <w:sz w:val="20"/>
                <w:szCs w:val="20"/>
                <w:color w:val="auto"/>
              </w:rPr>
            </w:pPr>
            <w:r>
              <w:rPr>
                <w:rFonts w:ascii="Arial" w:cs="Arial" w:eastAsia="Arial" w:hAnsi="Arial"/>
                <w:sz w:val="18"/>
                <w:szCs w:val="18"/>
                <w:color w:val="auto"/>
              </w:rPr>
              <w:t>7,293</w:t>
            </w:r>
          </w:p>
        </w:tc>
        <w:tc>
          <w:tcPr>
            <w:tcW w:w="1360" w:type="dxa"/>
            <w:vAlign w:val="bottom"/>
          </w:tcPr>
          <w:p>
            <w:pPr>
              <w:jc w:val="right"/>
              <w:ind w:right="250"/>
              <w:spacing w:after="0"/>
              <w:rPr>
                <w:sz w:val="20"/>
                <w:szCs w:val="20"/>
                <w:color w:val="auto"/>
              </w:rPr>
            </w:pPr>
            <w:r>
              <w:rPr>
                <w:rFonts w:ascii="Arial" w:cs="Arial" w:eastAsia="Arial" w:hAnsi="Arial"/>
                <w:sz w:val="18"/>
                <w:szCs w:val="18"/>
                <w:color w:val="auto"/>
              </w:rPr>
              <w:t>7,733</w:t>
            </w:r>
          </w:p>
        </w:tc>
        <w:tc>
          <w:tcPr>
            <w:tcW w:w="1360" w:type="dxa"/>
            <w:vAlign w:val="bottom"/>
          </w:tcPr>
          <w:p>
            <w:pPr>
              <w:jc w:val="right"/>
              <w:ind w:right="250"/>
              <w:spacing w:after="0"/>
              <w:rPr>
                <w:sz w:val="20"/>
                <w:szCs w:val="20"/>
                <w:color w:val="auto"/>
              </w:rPr>
            </w:pPr>
            <w:r>
              <w:rPr>
                <w:rFonts w:ascii="Arial" w:cs="Arial" w:eastAsia="Arial" w:hAnsi="Arial"/>
                <w:sz w:val="18"/>
                <w:szCs w:val="18"/>
                <w:color w:val="auto"/>
              </w:rPr>
              <w:t>14,588</w:t>
            </w:r>
          </w:p>
        </w:tc>
        <w:tc>
          <w:tcPr>
            <w:tcW w:w="1100" w:type="dxa"/>
            <w:vAlign w:val="bottom"/>
          </w:tcPr>
          <w:p>
            <w:pPr>
              <w:jc w:val="right"/>
              <w:spacing w:after="0"/>
              <w:rPr>
                <w:sz w:val="20"/>
                <w:szCs w:val="20"/>
                <w:color w:val="auto"/>
              </w:rPr>
            </w:pPr>
            <w:r>
              <w:rPr>
                <w:rFonts w:ascii="Arial" w:cs="Arial" w:eastAsia="Arial" w:hAnsi="Arial"/>
                <w:sz w:val="18"/>
                <w:szCs w:val="18"/>
                <w:color w:val="auto"/>
              </w:rPr>
              <w:t>15,619</w:t>
            </w:r>
          </w:p>
        </w:tc>
        <w:tc>
          <w:tcPr>
            <w:tcW w:w="0" w:type="dxa"/>
            <w:vAlign w:val="bottom"/>
          </w:tcPr>
          <w:p>
            <w:pPr>
              <w:spacing w:after="0"/>
              <w:rPr>
                <w:sz w:val="1"/>
                <w:szCs w:val="1"/>
                <w:color w:val="auto"/>
              </w:rPr>
            </w:pPr>
          </w:p>
        </w:tc>
      </w:tr>
      <w:tr>
        <w:trPr>
          <w:trHeight w:val="229"/>
        </w:trPr>
        <w:tc>
          <w:tcPr>
            <w:tcW w:w="57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Assets loss (gain) on sales, impairments and other, net</w:t>
            </w:r>
          </w:p>
        </w:tc>
        <w:tc>
          <w:tcPr>
            <w:tcW w:w="16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7,617</w:t>
            </w:r>
          </w:p>
        </w:tc>
        <w:tc>
          <w:tcPr>
            <w:tcW w:w="136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(792)</w:t>
            </w:r>
          </w:p>
        </w:tc>
        <w:tc>
          <w:tcPr>
            <w:tcW w:w="13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6,148</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(3,355)</w:t>
            </w:r>
          </w:p>
        </w:tc>
        <w:tc>
          <w:tcPr>
            <w:tcW w:w="0" w:type="dxa"/>
            <w:vAlign w:val="bottom"/>
          </w:tcPr>
          <w:p>
            <w:pPr>
              <w:spacing w:after="0"/>
              <w:rPr>
                <w:sz w:val="1"/>
                <w:szCs w:val="1"/>
                <w:color w:val="auto"/>
              </w:rPr>
            </w:pPr>
          </w:p>
        </w:tc>
      </w:tr>
      <w:tr>
        <w:trPr>
          <w:trHeight w:val="230"/>
        </w:trPr>
        <w:tc>
          <w:tcPr>
            <w:tcW w:w="576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Restructuring costs and other</w:t>
            </w:r>
          </w:p>
        </w:tc>
        <w:tc>
          <w:tcPr>
            <w:tcW w:w="16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4,139</w:t>
            </w:r>
          </w:p>
        </w:tc>
        <w:tc>
          <w:tcPr>
            <w:tcW w:w="13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3,694</w:t>
            </w:r>
          </w:p>
        </w:tc>
        <w:tc>
          <w:tcPr>
            <w:tcW w:w="13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8,404</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4,340</w:t>
            </w:r>
          </w:p>
        </w:tc>
        <w:tc>
          <w:tcPr>
            <w:tcW w:w="0" w:type="dxa"/>
            <w:vAlign w:val="bottom"/>
          </w:tcPr>
          <w:p>
            <w:pPr>
              <w:spacing w:after="0"/>
              <w:rPr>
                <w:sz w:val="1"/>
                <w:szCs w:val="1"/>
                <w:color w:val="auto"/>
              </w:rPr>
            </w:pPr>
          </w:p>
        </w:tc>
      </w:tr>
      <w:tr>
        <w:trPr>
          <w:trHeight w:val="223"/>
        </w:trPr>
        <w:tc>
          <w:tcPr>
            <w:tcW w:w="57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Total operating expenses</w:t>
            </w:r>
          </w:p>
        </w:tc>
        <w:tc>
          <w:tcPr>
            <w:tcW w:w="16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rPr>
              <w:t>152,308</w:t>
            </w:r>
          </w:p>
        </w:tc>
        <w:tc>
          <w:tcPr>
            <w:tcW w:w="13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rPr>
              <w:t>168,501</w:t>
            </w:r>
          </w:p>
        </w:tc>
        <w:tc>
          <w:tcPr>
            <w:tcW w:w="13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rPr>
              <w:t>301,694</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344,122</w:t>
            </w:r>
          </w:p>
        </w:tc>
        <w:tc>
          <w:tcPr>
            <w:tcW w:w="0" w:type="dxa"/>
            <w:vAlign w:val="bottom"/>
          </w:tcPr>
          <w:p>
            <w:pPr>
              <w:spacing w:after="0"/>
              <w:rPr>
                <w:sz w:val="1"/>
                <w:szCs w:val="1"/>
                <w:color w:val="auto"/>
              </w:rPr>
            </w:pPr>
          </w:p>
        </w:tc>
      </w:tr>
      <w:tr>
        <w:trPr>
          <w:trHeight w:val="223"/>
        </w:trPr>
        <w:tc>
          <w:tcPr>
            <w:tcW w:w="57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Equity in earnings of associated companies</w:t>
            </w:r>
          </w:p>
        </w:tc>
        <w:tc>
          <w:tcPr>
            <w:tcW w:w="16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1,206</w:t>
            </w:r>
          </w:p>
        </w:tc>
        <w:tc>
          <w:tcPr>
            <w:tcW w:w="13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672</w:t>
            </w:r>
          </w:p>
        </w:tc>
        <w:tc>
          <w:tcPr>
            <w:tcW w:w="13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2,747</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2,340</w:t>
            </w:r>
          </w:p>
        </w:tc>
        <w:tc>
          <w:tcPr>
            <w:tcW w:w="0" w:type="dxa"/>
            <w:vAlign w:val="bottom"/>
          </w:tcPr>
          <w:p>
            <w:pPr>
              <w:spacing w:after="0"/>
              <w:rPr>
                <w:sz w:val="1"/>
                <w:szCs w:val="1"/>
                <w:color w:val="auto"/>
              </w:rPr>
            </w:pPr>
          </w:p>
        </w:tc>
      </w:tr>
      <w:tr>
        <w:trPr>
          <w:trHeight w:val="223"/>
        </w:trPr>
        <w:tc>
          <w:tcPr>
            <w:tcW w:w="57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Operating (loss) income</w:t>
            </w:r>
          </w:p>
        </w:tc>
        <w:tc>
          <w:tcPr>
            <w:tcW w:w="166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rPr>
              <w:t>(4,552)</w:t>
            </w:r>
          </w:p>
        </w:tc>
        <w:tc>
          <w:tcPr>
            <w:tcW w:w="13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rPr>
              <w:t>2,858</w:t>
            </w:r>
          </w:p>
        </w:tc>
        <w:tc>
          <w:tcPr>
            <w:tcW w:w="13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rPr>
              <w:t>3,281</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14,036</w:t>
            </w:r>
          </w:p>
        </w:tc>
        <w:tc>
          <w:tcPr>
            <w:tcW w:w="0" w:type="dxa"/>
            <w:vAlign w:val="bottom"/>
          </w:tcPr>
          <w:p>
            <w:pPr>
              <w:spacing w:after="0"/>
              <w:rPr>
                <w:sz w:val="1"/>
                <w:szCs w:val="1"/>
                <w:color w:val="auto"/>
              </w:rPr>
            </w:pPr>
          </w:p>
        </w:tc>
      </w:tr>
      <w:tr>
        <w:trPr>
          <w:trHeight w:val="223"/>
        </w:trPr>
        <w:tc>
          <w:tcPr>
            <w:tcW w:w="5760" w:type="dxa"/>
            <w:vAlign w:val="bottom"/>
          </w:tcPr>
          <w:p>
            <w:pPr>
              <w:ind w:left="20"/>
              <w:spacing w:after="0"/>
              <w:rPr>
                <w:sz w:val="20"/>
                <w:szCs w:val="20"/>
                <w:color w:val="auto"/>
              </w:rPr>
            </w:pPr>
            <w:r>
              <w:rPr>
                <w:rFonts w:ascii="Arial" w:cs="Arial" w:eastAsia="Arial" w:hAnsi="Arial"/>
                <w:sz w:val="18"/>
                <w:szCs w:val="18"/>
                <w:color w:val="auto"/>
              </w:rPr>
              <w:t>Non-operating (expense) income:</w:t>
            </w:r>
          </w:p>
        </w:tc>
        <w:tc>
          <w:tcPr>
            <w:tcW w:w="16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7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Interest expense</w:t>
            </w:r>
          </w:p>
        </w:tc>
        <w:tc>
          <w:tcPr>
            <w:tcW w:w="166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(10,214)</w:t>
            </w:r>
          </w:p>
        </w:tc>
        <w:tc>
          <w:tcPr>
            <w:tcW w:w="136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(10,501)</w:t>
            </w:r>
          </w:p>
        </w:tc>
        <w:tc>
          <w:tcPr>
            <w:tcW w:w="136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(20,345)</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(20,909)</w:t>
            </w:r>
          </w:p>
        </w:tc>
        <w:tc>
          <w:tcPr>
            <w:tcW w:w="0" w:type="dxa"/>
            <w:vAlign w:val="bottom"/>
          </w:tcPr>
          <w:p>
            <w:pPr>
              <w:spacing w:after="0"/>
              <w:rPr>
                <w:sz w:val="1"/>
                <w:szCs w:val="1"/>
                <w:color w:val="auto"/>
              </w:rPr>
            </w:pPr>
          </w:p>
        </w:tc>
      </w:tr>
      <w:tr>
        <w:trPr>
          <w:trHeight w:val="230"/>
        </w:trPr>
        <w:tc>
          <w:tcPr>
            <w:tcW w:w="5760" w:type="dxa"/>
            <w:vAlign w:val="bottom"/>
          </w:tcPr>
          <w:p>
            <w:pPr>
              <w:ind w:left="180"/>
              <w:spacing w:after="0"/>
              <w:rPr>
                <w:sz w:val="20"/>
                <w:szCs w:val="20"/>
                <w:color w:val="auto"/>
              </w:rPr>
            </w:pPr>
            <w:r>
              <w:rPr>
                <w:rFonts w:ascii="Arial" w:cs="Arial" w:eastAsia="Arial" w:hAnsi="Arial"/>
                <w:sz w:val="18"/>
                <w:szCs w:val="18"/>
                <w:color w:val="auto"/>
              </w:rPr>
              <w:t>Pension and OPEB related benefit and other, net</w:t>
            </w:r>
          </w:p>
        </w:tc>
        <w:tc>
          <w:tcPr>
            <w:tcW w:w="1660" w:type="dxa"/>
            <w:vAlign w:val="bottom"/>
          </w:tcPr>
          <w:p>
            <w:pPr>
              <w:jc w:val="right"/>
              <w:ind w:right="250"/>
              <w:spacing w:after="0"/>
              <w:rPr>
                <w:sz w:val="20"/>
                <w:szCs w:val="20"/>
                <w:color w:val="auto"/>
              </w:rPr>
            </w:pPr>
            <w:r>
              <w:rPr>
                <w:rFonts w:ascii="Arial" w:cs="Arial" w:eastAsia="Arial" w:hAnsi="Arial"/>
                <w:sz w:val="18"/>
                <w:szCs w:val="18"/>
                <w:color w:val="auto"/>
              </w:rPr>
              <w:t>293</w:t>
            </w:r>
          </w:p>
        </w:tc>
        <w:tc>
          <w:tcPr>
            <w:tcW w:w="1360" w:type="dxa"/>
            <w:vAlign w:val="bottom"/>
          </w:tcPr>
          <w:p>
            <w:pPr>
              <w:jc w:val="right"/>
              <w:ind w:right="250"/>
              <w:spacing w:after="0"/>
              <w:rPr>
                <w:sz w:val="20"/>
                <w:szCs w:val="20"/>
                <w:color w:val="auto"/>
              </w:rPr>
            </w:pPr>
            <w:r>
              <w:rPr>
                <w:rFonts w:ascii="Arial" w:cs="Arial" w:eastAsia="Arial" w:hAnsi="Arial"/>
                <w:sz w:val="18"/>
                <w:szCs w:val="18"/>
                <w:color w:val="auto"/>
              </w:rPr>
              <w:t>206</w:t>
            </w:r>
          </w:p>
        </w:tc>
        <w:tc>
          <w:tcPr>
            <w:tcW w:w="1360" w:type="dxa"/>
            <w:vAlign w:val="bottom"/>
          </w:tcPr>
          <w:p>
            <w:pPr>
              <w:jc w:val="right"/>
              <w:ind w:right="250"/>
              <w:spacing w:after="0"/>
              <w:rPr>
                <w:sz w:val="20"/>
                <w:szCs w:val="20"/>
                <w:color w:val="auto"/>
              </w:rPr>
            </w:pPr>
            <w:r>
              <w:rPr>
                <w:rFonts w:ascii="Arial" w:cs="Arial" w:eastAsia="Arial" w:hAnsi="Arial"/>
                <w:sz w:val="18"/>
                <w:szCs w:val="18"/>
                <w:color w:val="auto"/>
              </w:rPr>
              <w:t>479</w:t>
            </w:r>
          </w:p>
        </w:tc>
        <w:tc>
          <w:tcPr>
            <w:tcW w:w="1100" w:type="dxa"/>
            <w:vAlign w:val="bottom"/>
          </w:tcPr>
          <w:p>
            <w:pPr>
              <w:jc w:val="right"/>
              <w:spacing w:after="0"/>
              <w:rPr>
                <w:sz w:val="20"/>
                <w:szCs w:val="20"/>
                <w:color w:val="auto"/>
              </w:rPr>
            </w:pPr>
            <w:r>
              <w:rPr>
                <w:rFonts w:ascii="Arial" w:cs="Arial" w:eastAsia="Arial" w:hAnsi="Arial"/>
                <w:sz w:val="18"/>
                <w:szCs w:val="18"/>
                <w:color w:val="auto"/>
              </w:rPr>
              <w:t>1,700</w:t>
            </w:r>
          </w:p>
        </w:tc>
        <w:tc>
          <w:tcPr>
            <w:tcW w:w="0" w:type="dxa"/>
            <w:vAlign w:val="bottom"/>
          </w:tcPr>
          <w:p>
            <w:pPr>
              <w:spacing w:after="0"/>
              <w:rPr>
                <w:sz w:val="1"/>
                <w:szCs w:val="1"/>
                <w:color w:val="auto"/>
              </w:rPr>
            </w:pPr>
          </w:p>
        </w:tc>
      </w:tr>
      <w:tr>
        <w:trPr>
          <w:trHeight w:val="230"/>
        </w:trPr>
        <w:tc>
          <w:tcPr>
            <w:tcW w:w="576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rPr>
              <w:t>Curtailment/Settlement gains</w:t>
            </w:r>
          </w:p>
        </w:tc>
        <w:tc>
          <w:tcPr>
            <w:tcW w:w="16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rPr>
              <w:t>3,593</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7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Total non-operating expense, net</w:t>
            </w:r>
          </w:p>
        </w:tc>
        <w:tc>
          <w:tcPr>
            <w:tcW w:w="16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(9,921)</w:t>
            </w:r>
          </w:p>
        </w:tc>
        <w:tc>
          <w:tcPr>
            <w:tcW w:w="13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(10,295)</w:t>
            </w:r>
          </w:p>
        </w:tc>
        <w:tc>
          <w:tcPr>
            <w:tcW w:w="13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(16,273)</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(19,209)</w:t>
            </w:r>
          </w:p>
        </w:tc>
        <w:tc>
          <w:tcPr>
            <w:tcW w:w="0" w:type="dxa"/>
            <w:vAlign w:val="bottom"/>
          </w:tcPr>
          <w:p>
            <w:pPr>
              <w:spacing w:after="0"/>
              <w:rPr>
                <w:sz w:val="1"/>
                <w:szCs w:val="1"/>
                <w:color w:val="auto"/>
              </w:rPr>
            </w:pPr>
          </w:p>
        </w:tc>
      </w:tr>
      <w:tr>
        <w:trPr>
          <w:trHeight w:val="223"/>
        </w:trPr>
        <w:tc>
          <w:tcPr>
            <w:tcW w:w="5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before income taxes</w:t>
            </w:r>
          </w:p>
        </w:tc>
        <w:tc>
          <w:tcPr>
            <w:tcW w:w="166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(14,473)</w:t>
            </w:r>
          </w:p>
        </w:tc>
        <w:tc>
          <w:tcPr>
            <w:tcW w:w="136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(7,437)</w:t>
            </w:r>
          </w:p>
        </w:tc>
        <w:tc>
          <w:tcPr>
            <w:tcW w:w="136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(12,992)</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(5,173)</w:t>
            </w:r>
          </w:p>
        </w:tc>
        <w:tc>
          <w:tcPr>
            <w:tcW w:w="0" w:type="dxa"/>
            <w:vAlign w:val="bottom"/>
          </w:tcPr>
          <w:p>
            <w:pPr>
              <w:spacing w:after="0"/>
              <w:rPr>
                <w:sz w:val="1"/>
                <w:szCs w:val="1"/>
                <w:color w:val="auto"/>
              </w:rPr>
            </w:pPr>
          </w:p>
        </w:tc>
      </w:tr>
      <w:tr>
        <w:trPr>
          <w:trHeight w:val="230"/>
        </w:trPr>
        <w:tc>
          <w:tcPr>
            <w:tcW w:w="57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Income tax benefit</w:t>
            </w:r>
          </w:p>
        </w:tc>
        <w:tc>
          <w:tcPr>
            <w:tcW w:w="16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(2,837)</w:t>
            </w:r>
          </w:p>
        </w:tc>
        <w:tc>
          <w:tcPr>
            <w:tcW w:w="13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(2,071)</w:t>
            </w:r>
          </w:p>
        </w:tc>
        <w:tc>
          <w:tcPr>
            <w:tcW w:w="13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(2,589)</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(1,631)</w:t>
            </w:r>
          </w:p>
        </w:tc>
        <w:tc>
          <w:tcPr>
            <w:tcW w:w="0" w:type="dxa"/>
            <w:vAlign w:val="bottom"/>
          </w:tcPr>
          <w:p>
            <w:pPr>
              <w:spacing w:after="0"/>
              <w:rPr>
                <w:sz w:val="1"/>
                <w:szCs w:val="1"/>
                <w:color w:val="auto"/>
              </w:rPr>
            </w:pPr>
          </w:p>
        </w:tc>
      </w:tr>
      <w:tr>
        <w:trPr>
          <w:trHeight w:val="223"/>
        </w:trPr>
        <w:tc>
          <w:tcPr>
            <w:tcW w:w="5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166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(11,636)</w:t>
            </w:r>
          </w:p>
        </w:tc>
        <w:tc>
          <w:tcPr>
            <w:tcW w:w="136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(5,366)</w:t>
            </w:r>
          </w:p>
        </w:tc>
        <w:tc>
          <w:tcPr>
            <w:tcW w:w="136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(10,403)</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(3,542)</w:t>
            </w:r>
          </w:p>
        </w:tc>
        <w:tc>
          <w:tcPr>
            <w:tcW w:w="0" w:type="dxa"/>
            <w:vAlign w:val="bottom"/>
          </w:tcPr>
          <w:p>
            <w:pPr>
              <w:spacing w:after="0"/>
              <w:rPr>
                <w:sz w:val="1"/>
                <w:szCs w:val="1"/>
                <w:color w:val="auto"/>
              </w:rPr>
            </w:pPr>
          </w:p>
        </w:tc>
      </w:tr>
      <w:tr>
        <w:trPr>
          <w:trHeight w:val="230"/>
        </w:trPr>
        <w:tc>
          <w:tcPr>
            <w:tcW w:w="57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Net income attributable to non-controlling interests</w:t>
            </w:r>
          </w:p>
        </w:tc>
        <w:tc>
          <w:tcPr>
            <w:tcW w:w="16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(543)</w:t>
            </w:r>
          </w:p>
        </w:tc>
        <w:tc>
          <w:tcPr>
            <w:tcW w:w="13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(519)</w:t>
            </w:r>
          </w:p>
        </w:tc>
        <w:tc>
          <w:tcPr>
            <w:tcW w:w="13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(1,088)</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(1,244)</w:t>
            </w:r>
          </w:p>
        </w:tc>
        <w:tc>
          <w:tcPr>
            <w:tcW w:w="0" w:type="dxa"/>
            <w:vAlign w:val="bottom"/>
          </w:tcPr>
          <w:p>
            <w:pPr>
              <w:spacing w:after="0"/>
              <w:rPr>
                <w:sz w:val="1"/>
                <w:szCs w:val="1"/>
                <w:color w:val="auto"/>
              </w:rPr>
            </w:pPr>
          </w:p>
        </w:tc>
      </w:tr>
      <w:tr>
        <w:trPr>
          <w:trHeight w:val="223"/>
        </w:trPr>
        <w:tc>
          <w:tcPr>
            <w:tcW w:w="5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attributable to Lee Enterprises, Incorporated</w:t>
            </w:r>
          </w:p>
        </w:tc>
        <w:tc>
          <w:tcPr>
            <w:tcW w:w="166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(12,179)</w:t>
            </w:r>
          </w:p>
        </w:tc>
        <w:tc>
          <w:tcPr>
            <w:tcW w:w="136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(5,885)</w:t>
            </w:r>
          </w:p>
        </w:tc>
        <w:tc>
          <w:tcPr>
            <w:tcW w:w="136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(11,491)</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(4,786)</w:t>
            </w:r>
          </w:p>
        </w:tc>
        <w:tc>
          <w:tcPr>
            <w:tcW w:w="0" w:type="dxa"/>
            <w:vAlign w:val="bottom"/>
          </w:tcPr>
          <w:p>
            <w:pPr>
              <w:spacing w:after="0"/>
              <w:rPr>
                <w:sz w:val="1"/>
                <w:szCs w:val="1"/>
                <w:color w:val="auto"/>
              </w:rPr>
            </w:pPr>
          </w:p>
        </w:tc>
      </w:tr>
      <w:tr>
        <w:trPr>
          <w:trHeight w:val="230"/>
        </w:trPr>
        <w:tc>
          <w:tcPr>
            <w:tcW w:w="57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Other comprehensive loss, net of income taxes</w:t>
            </w:r>
          </w:p>
        </w:tc>
        <w:tc>
          <w:tcPr>
            <w:tcW w:w="16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(148)</w:t>
            </w:r>
          </w:p>
        </w:tc>
        <w:tc>
          <w:tcPr>
            <w:tcW w:w="13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(140)</w:t>
            </w:r>
          </w:p>
        </w:tc>
        <w:tc>
          <w:tcPr>
            <w:tcW w:w="13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(2,462)</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(280)</w:t>
            </w:r>
          </w:p>
        </w:tc>
        <w:tc>
          <w:tcPr>
            <w:tcW w:w="0" w:type="dxa"/>
            <w:vAlign w:val="bottom"/>
          </w:tcPr>
          <w:p>
            <w:pPr>
              <w:spacing w:after="0"/>
              <w:rPr>
                <w:sz w:val="1"/>
                <w:szCs w:val="1"/>
                <w:color w:val="auto"/>
              </w:rPr>
            </w:pPr>
          </w:p>
        </w:tc>
      </w:tr>
      <w:tr>
        <w:trPr>
          <w:trHeight w:val="248"/>
        </w:trPr>
        <w:tc>
          <w:tcPr>
            <w:tcW w:w="57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Comprehensive loss attributable to Lee Enterprises, Incorporated</w:t>
            </w:r>
          </w:p>
        </w:tc>
        <w:tc>
          <w:tcPr>
            <w:tcW w:w="166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rPr>
              <w:t>(12,327)</w:t>
            </w:r>
          </w:p>
        </w:tc>
        <w:tc>
          <w:tcPr>
            <w:tcW w:w="136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rPr>
              <w:t>(6,025)</w:t>
            </w:r>
          </w:p>
        </w:tc>
        <w:tc>
          <w:tcPr>
            <w:tcW w:w="136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rPr>
              <w:t>(13,953)</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(5,066)</w:t>
            </w:r>
          </w:p>
        </w:tc>
        <w:tc>
          <w:tcPr>
            <w:tcW w:w="0" w:type="dxa"/>
            <w:vAlign w:val="bottom"/>
          </w:tcPr>
          <w:p>
            <w:pPr>
              <w:spacing w:after="0"/>
              <w:rPr>
                <w:sz w:val="1"/>
                <w:szCs w:val="1"/>
                <w:color w:val="auto"/>
              </w:rPr>
            </w:pPr>
          </w:p>
        </w:tc>
      </w:tr>
      <w:tr>
        <w:trPr>
          <w:trHeight w:val="20"/>
        </w:trPr>
        <w:tc>
          <w:tcPr>
            <w:tcW w:w="576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760" w:type="dxa"/>
            <w:vAlign w:val="bottom"/>
          </w:tcPr>
          <w:p>
            <w:pPr>
              <w:ind w:left="20"/>
              <w:spacing w:after="0" w:line="203" w:lineRule="exact"/>
              <w:rPr>
                <w:sz w:val="20"/>
                <w:szCs w:val="20"/>
                <w:color w:val="auto"/>
              </w:rPr>
            </w:pPr>
            <w:r>
              <w:rPr>
                <w:rFonts w:ascii="Arial" w:cs="Arial" w:eastAsia="Arial" w:hAnsi="Arial"/>
                <w:sz w:val="18"/>
                <w:szCs w:val="18"/>
                <w:color w:val="auto"/>
              </w:rPr>
              <w:t>Loss per common share:</w:t>
            </w:r>
          </w:p>
        </w:tc>
        <w:tc>
          <w:tcPr>
            <w:tcW w:w="16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7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Basic:</w:t>
            </w:r>
          </w:p>
        </w:tc>
        <w:tc>
          <w:tcPr>
            <w:tcW w:w="166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(2.06)</w:t>
            </w:r>
          </w:p>
        </w:tc>
        <w:tc>
          <w:tcPr>
            <w:tcW w:w="136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(1.01)</w:t>
            </w:r>
          </w:p>
        </w:tc>
        <w:tc>
          <w:tcPr>
            <w:tcW w:w="136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(1.94)</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(0.82)</w:t>
            </w:r>
          </w:p>
        </w:tc>
        <w:tc>
          <w:tcPr>
            <w:tcW w:w="0" w:type="dxa"/>
            <w:vAlign w:val="bottom"/>
          </w:tcPr>
          <w:p>
            <w:pPr>
              <w:spacing w:after="0"/>
              <w:rPr>
                <w:sz w:val="1"/>
                <w:szCs w:val="1"/>
                <w:color w:val="auto"/>
              </w:rPr>
            </w:pPr>
          </w:p>
        </w:tc>
      </w:tr>
      <w:tr>
        <w:trPr>
          <w:trHeight w:val="230"/>
        </w:trPr>
        <w:tc>
          <w:tcPr>
            <w:tcW w:w="576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Diluted:</w:t>
            </w:r>
          </w:p>
        </w:tc>
        <w:tc>
          <w:tcPr>
            <w:tcW w:w="16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(2.06)</w:t>
            </w:r>
          </w:p>
        </w:tc>
        <w:tc>
          <w:tcPr>
            <w:tcW w:w="13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(1.01)</w:t>
            </w:r>
          </w:p>
        </w:tc>
        <w:tc>
          <w:tcPr>
            <w:tcW w:w="13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(1.94)</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(0.82)</w:t>
            </w:r>
          </w:p>
        </w:tc>
        <w:tc>
          <w:tcPr>
            <w:tcW w:w="0" w:type="dxa"/>
            <w:vAlign w:val="bottom"/>
          </w:tcPr>
          <w:p>
            <w:pPr>
              <w:spacing w:after="0"/>
              <w:rPr>
                <w:sz w:val="1"/>
                <w:szCs w:val="1"/>
                <w:color w:val="auto"/>
              </w:rPr>
            </w:pPr>
          </w:p>
        </w:tc>
      </w:tr>
      <w:tr>
        <w:trPr>
          <w:trHeight w:val="20"/>
        </w:trPr>
        <w:tc>
          <w:tcPr>
            <w:tcW w:w="576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STOCKHOLDERS' EQUITY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400" w:type="dxa"/>
            <w:vAlign w:val="bottom"/>
            <w:tcBorders>
              <w:top w:val="single" w:sz="8" w:color="auto"/>
            </w:tcBorders>
          </w:tcPr>
          <w:p>
            <w:pPr>
              <w:spacing w:after="0"/>
              <w:rPr>
                <w:sz w:val="16"/>
                <w:szCs w:val="16"/>
                <w:color w:val="auto"/>
              </w:rPr>
            </w:pPr>
          </w:p>
        </w:tc>
        <w:tc>
          <w:tcPr>
            <w:tcW w:w="1820" w:type="dxa"/>
            <w:vAlign w:val="bottom"/>
            <w:tcBorders>
              <w:top w:val="single" w:sz="8" w:color="auto"/>
            </w:tcBorders>
          </w:tcPr>
          <w:p>
            <w:pPr>
              <w:spacing w:after="0"/>
              <w:rPr>
                <w:sz w:val="16"/>
                <w:szCs w:val="16"/>
                <w:color w:val="auto"/>
              </w:rPr>
            </w:pPr>
          </w:p>
        </w:tc>
        <w:tc>
          <w:tcPr>
            <w:tcW w:w="1360" w:type="dxa"/>
            <w:vAlign w:val="bottom"/>
            <w:tcBorders>
              <w:top w:val="single" w:sz="8" w:color="auto"/>
            </w:tcBorders>
          </w:tcPr>
          <w:p>
            <w:pPr>
              <w:spacing w:after="0"/>
              <w:rPr>
                <w:sz w:val="16"/>
                <w:szCs w:val="16"/>
                <w:color w:val="auto"/>
              </w:rPr>
            </w:pPr>
          </w:p>
        </w:tc>
        <w:tc>
          <w:tcPr>
            <w:tcW w:w="1620" w:type="dxa"/>
            <w:vAlign w:val="bottom"/>
            <w:tcBorders>
              <w:top w:val="single" w:sz="8" w:color="auto"/>
            </w:tcBorders>
          </w:tcPr>
          <w:p>
            <w:pPr>
              <w:spacing w:after="0"/>
              <w:rPr>
                <w:sz w:val="16"/>
                <w:szCs w:val="16"/>
                <w:color w:val="auto"/>
              </w:rPr>
            </w:pPr>
          </w:p>
        </w:tc>
        <w:tc>
          <w:tcPr>
            <w:tcW w:w="1860" w:type="dxa"/>
            <w:vAlign w:val="bottom"/>
            <w:tcBorders>
              <w:top w:val="single" w:sz="8" w:color="auto"/>
            </w:tcBorders>
          </w:tcPr>
          <w:p>
            <w:pPr>
              <w:jc w:val="right"/>
              <w:ind w:right="350"/>
              <w:spacing w:after="0" w:line="189" w:lineRule="exact"/>
              <w:rPr>
                <w:sz w:val="20"/>
                <w:szCs w:val="20"/>
                <w:color w:val="auto"/>
              </w:rPr>
            </w:pPr>
            <w:r>
              <w:rPr>
                <w:rFonts w:ascii="Arial" w:cs="Arial" w:eastAsia="Arial" w:hAnsi="Arial"/>
                <w:sz w:val="18"/>
                <w:szCs w:val="18"/>
                <w:color w:val="auto"/>
              </w:rPr>
              <w:t>Accumulated</w:t>
            </w:r>
          </w:p>
        </w:tc>
        <w:tc>
          <w:tcPr>
            <w:tcW w:w="110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3400" w:type="dxa"/>
            <w:vAlign w:val="bottom"/>
          </w:tcPr>
          <w:p>
            <w:pPr>
              <w:spacing w:after="0"/>
              <w:rPr>
                <w:sz w:val="15"/>
                <w:szCs w:val="15"/>
                <w:color w:val="auto"/>
              </w:rPr>
            </w:pPr>
          </w:p>
        </w:tc>
        <w:tc>
          <w:tcPr>
            <w:tcW w:w="1820" w:type="dxa"/>
            <w:vAlign w:val="bottom"/>
            <w:vMerge w:val="restart"/>
          </w:tcPr>
          <w:p>
            <w:pPr>
              <w:jc w:val="right"/>
              <w:ind w:right="410"/>
              <w:spacing w:after="0"/>
              <w:rPr>
                <w:sz w:val="20"/>
                <w:szCs w:val="20"/>
                <w:color w:val="auto"/>
              </w:rPr>
            </w:pPr>
            <w:r>
              <w:rPr>
                <w:rFonts w:ascii="Arial" w:cs="Arial" w:eastAsia="Arial" w:hAnsi="Arial"/>
                <w:sz w:val="18"/>
                <w:szCs w:val="18"/>
                <w:color w:val="auto"/>
              </w:rPr>
              <w:t>Accumulated</w:t>
            </w:r>
          </w:p>
        </w:tc>
        <w:tc>
          <w:tcPr>
            <w:tcW w:w="1360" w:type="dxa"/>
            <w:vAlign w:val="bottom"/>
            <w:vMerge w:val="restart"/>
          </w:tcPr>
          <w:p>
            <w:pPr>
              <w:jc w:val="right"/>
              <w:ind w:right="190"/>
              <w:spacing w:after="0"/>
              <w:rPr>
                <w:sz w:val="20"/>
                <w:szCs w:val="20"/>
                <w:color w:val="auto"/>
              </w:rPr>
            </w:pPr>
            <w:r>
              <w:rPr>
                <w:rFonts w:ascii="Arial" w:cs="Arial" w:eastAsia="Arial" w:hAnsi="Arial"/>
                <w:sz w:val="18"/>
                <w:szCs w:val="18"/>
                <w:color w:val="auto"/>
              </w:rPr>
              <w:t>Common</w:t>
            </w:r>
          </w:p>
        </w:tc>
        <w:tc>
          <w:tcPr>
            <w:tcW w:w="1620" w:type="dxa"/>
            <w:vAlign w:val="bottom"/>
            <w:vMerge w:val="restart"/>
          </w:tcPr>
          <w:p>
            <w:pPr>
              <w:jc w:val="right"/>
              <w:ind w:right="210"/>
              <w:spacing w:after="0"/>
              <w:rPr>
                <w:sz w:val="20"/>
                <w:szCs w:val="20"/>
                <w:color w:val="auto"/>
              </w:rPr>
            </w:pPr>
            <w:r>
              <w:rPr>
                <w:rFonts w:ascii="Arial" w:cs="Arial" w:eastAsia="Arial" w:hAnsi="Arial"/>
                <w:sz w:val="18"/>
                <w:szCs w:val="18"/>
                <w:color w:val="auto"/>
              </w:rPr>
              <w:t>Additional</w:t>
            </w:r>
          </w:p>
        </w:tc>
        <w:tc>
          <w:tcPr>
            <w:tcW w:w="1860" w:type="dxa"/>
            <w:vAlign w:val="bottom"/>
          </w:tcPr>
          <w:p>
            <w:pPr>
              <w:jc w:val="right"/>
              <w:ind w:right="350"/>
              <w:spacing w:after="0" w:line="176" w:lineRule="exact"/>
              <w:rPr>
                <w:sz w:val="20"/>
                <w:szCs w:val="20"/>
                <w:color w:val="auto"/>
              </w:rPr>
            </w:pPr>
            <w:r>
              <w:rPr>
                <w:rFonts w:ascii="Arial" w:cs="Arial" w:eastAsia="Arial" w:hAnsi="Arial"/>
                <w:sz w:val="18"/>
                <w:szCs w:val="18"/>
                <w:color w:val="auto"/>
              </w:rPr>
              <w:t>Other</w:t>
            </w:r>
          </w:p>
        </w:tc>
        <w:tc>
          <w:tcPr>
            <w:tcW w:w="1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400" w:type="dxa"/>
            <w:vAlign w:val="bottom"/>
            <w:vMerge w:val="restart"/>
          </w:tcPr>
          <w:p>
            <w:pPr>
              <w:ind w:left="20"/>
              <w:spacing w:after="0"/>
              <w:rPr>
                <w:sz w:val="20"/>
                <w:szCs w:val="20"/>
                <w:color w:val="auto"/>
              </w:rPr>
            </w:pPr>
            <w:r>
              <w:rPr>
                <w:rFonts w:ascii="Arial" w:cs="Arial" w:eastAsia="Arial" w:hAnsi="Arial"/>
                <w:sz w:val="18"/>
                <w:szCs w:val="18"/>
                <w:i w:val="1"/>
                <w:iCs w:val="1"/>
                <w:color w:val="auto"/>
              </w:rPr>
              <w:t>(Thousands of Dollars)</w:t>
            </w:r>
          </w:p>
        </w:tc>
        <w:tc>
          <w:tcPr>
            <w:tcW w:w="1820" w:type="dxa"/>
            <w:vAlign w:val="bottom"/>
            <w:vMerge w:val="continue"/>
          </w:tcPr>
          <w:p>
            <w:pPr>
              <w:spacing w:after="0"/>
              <w:rPr>
                <w:sz w:val="15"/>
                <w:szCs w:val="15"/>
                <w:color w:val="auto"/>
              </w:rPr>
            </w:pPr>
          </w:p>
        </w:tc>
        <w:tc>
          <w:tcPr>
            <w:tcW w:w="1360" w:type="dxa"/>
            <w:vAlign w:val="bottom"/>
            <w:vMerge w:val="continue"/>
          </w:tcPr>
          <w:p>
            <w:pPr>
              <w:spacing w:after="0"/>
              <w:rPr>
                <w:sz w:val="15"/>
                <w:szCs w:val="15"/>
                <w:color w:val="auto"/>
              </w:rPr>
            </w:pPr>
          </w:p>
        </w:tc>
        <w:tc>
          <w:tcPr>
            <w:tcW w:w="1620" w:type="dxa"/>
            <w:vAlign w:val="bottom"/>
            <w:vMerge w:val="continue"/>
          </w:tcPr>
          <w:p>
            <w:pPr>
              <w:spacing w:after="0"/>
              <w:rPr>
                <w:sz w:val="15"/>
                <w:szCs w:val="15"/>
                <w:color w:val="auto"/>
              </w:rPr>
            </w:pPr>
          </w:p>
        </w:tc>
        <w:tc>
          <w:tcPr>
            <w:tcW w:w="1860" w:type="dxa"/>
            <w:vAlign w:val="bottom"/>
          </w:tcPr>
          <w:p>
            <w:pPr>
              <w:jc w:val="right"/>
              <w:ind w:right="350"/>
              <w:spacing w:after="0" w:line="176" w:lineRule="exact"/>
              <w:rPr>
                <w:sz w:val="20"/>
                <w:szCs w:val="20"/>
                <w:color w:val="auto"/>
              </w:rPr>
            </w:pPr>
            <w:r>
              <w:rPr>
                <w:rFonts w:ascii="Arial" w:cs="Arial" w:eastAsia="Arial" w:hAnsi="Arial"/>
                <w:sz w:val="18"/>
                <w:szCs w:val="18"/>
                <w:color w:val="auto"/>
              </w:rPr>
              <w:t>Comprehensive</w:t>
            </w:r>
          </w:p>
        </w:tc>
        <w:tc>
          <w:tcPr>
            <w:tcW w:w="118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243"/>
        </w:trPr>
        <w:tc>
          <w:tcPr>
            <w:tcW w:w="3400" w:type="dxa"/>
            <w:vAlign w:val="bottom"/>
            <w:tcBorders>
              <w:bottom w:val="single" w:sz="8" w:color="auto"/>
            </w:tcBorders>
            <w:vMerge w:val="continue"/>
          </w:tcPr>
          <w:p>
            <w:pPr>
              <w:spacing w:after="0"/>
              <w:rPr>
                <w:sz w:val="21"/>
                <w:szCs w:val="21"/>
                <w:color w:val="auto"/>
              </w:rPr>
            </w:pPr>
          </w:p>
        </w:tc>
        <w:tc>
          <w:tcPr>
            <w:tcW w:w="18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Deficit</w:t>
            </w:r>
          </w:p>
        </w:tc>
        <w:tc>
          <w:tcPr>
            <w:tcW w:w="13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Stock</w:t>
            </w:r>
          </w:p>
        </w:tc>
        <w:tc>
          <w:tcPr>
            <w:tcW w:w="16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paid-in capital</w:t>
            </w:r>
          </w:p>
        </w:tc>
        <w:tc>
          <w:tcPr>
            <w:tcW w:w="18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Income</w:t>
            </w:r>
          </w:p>
        </w:tc>
        <w:tc>
          <w:tcPr>
            <w:tcW w:w="1180" w:type="dxa"/>
            <w:vAlign w:val="bottom"/>
            <w:tcBorders>
              <w:bottom w:val="single" w:sz="8" w:color="auto"/>
            </w:tcBorders>
            <w:gridSpan w:val="2"/>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3400" w:type="dxa"/>
            <w:vAlign w:val="bottom"/>
          </w:tcPr>
          <w:p>
            <w:pPr>
              <w:spacing w:after="0"/>
              <w:rPr>
                <w:sz w:val="21"/>
                <w:szCs w:val="21"/>
                <w:color w:val="auto"/>
              </w:rPr>
            </w:pPr>
          </w:p>
        </w:tc>
        <w:tc>
          <w:tcPr>
            <w:tcW w:w="18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18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3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September 25, 2023</w:t>
            </w:r>
          </w:p>
        </w:tc>
        <w:tc>
          <w:tcPr>
            <w:tcW w:w="182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rPr>
              <w:t>(266,496)</w:t>
            </w:r>
          </w:p>
        </w:tc>
        <w:tc>
          <w:tcPr>
            <w:tcW w:w="13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61</w:t>
            </w:r>
          </w:p>
        </w:tc>
        <w:tc>
          <w:tcPr>
            <w:tcW w:w="162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260,832</w:t>
            </w:r>
          </w:p>
        </w:tc>
        <w:tc>
          <w:tcPr>
            <w:tcW w:w="186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26,843</w:t>
            </w: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21,240</w:t>
            </w:r>
          </w:p>
        </w:tc>
        <w:tc>
          <w:tcPr>
            <w:tcW w:w="0" w:type="dxa"/>
            <w:vAlign w:val="bottom"/>
          </w:tcPr>
          <w:p>
            <w:pPr>
              <w:spacing w:after="0"/>
              <w:rPr>
                <w:sz w:val="1"/>
                <w:szCs w:val="1"/>
                <w:color w:val="auto"/>
              </w:rPr>
            </w:pPr>
          </w:p>
        </w:tc>
      </w:tr>
      <w:tr>
        <w:trPr>
          <w:trHeight w:val="230"/>
        </w:trPr>
        <w:tc>
          <w:tcPr>
            <w:tcW w:w="3400" w:type="dxa"/>
            <w:vAlign w:val="bottom"/>
          </w:tcPr>
          <w:p>
            <w:pPr>
              <w:ind w:left="20"/>
              <w:spacing w:after="0"/>
              <w:rPr>
                <w:sz w:val="20"/>
                <w:szCs w:val="20"/>
                <w:color w:val="auto"/>
              </w:rPr>
            </w:pPr>
            <w:r>
              <w:rPr>
                <w:rFonts w:ascii="Arial" w:cs="Arial" w:eastAsia="Arial" w:hAnsi="Arial"/>
                <w:sz w:val="18"/>
                <w:szCs w:val="18"/>
                <w:color w:val="auto"/>
              </w:rPr>
              <w:t>Shares redeemed</w:t>
            </w:r>
          </w:p>
        </w:tc>
        <w:tc>
          <w:tcPr>
            <w:tcW w:w="1820" w:type="dxa"/>
            <w:vAlign w:val="bottom"/>
          </w:tcPr>
          <w:p>
            <w:pPr>
              <w:jc w:val="right"/>
              <w:ind w:right="470"/>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1620" w:type="dxa"/>
            <w:vAlign w:val="bottom"/>
          </w:tcPr>
          <w:p>
            <w:pPr>
              <w:jc w:val="right"/>
              <w:ind w:right="210"/>
              <w:spacing w:after="0"/>
              <w:rPr>
                <w:sz w:val="20"/>
                <w:szCs w:val="20"/>
                <w:color w:val="auto"/>
              </w:rPr>
            </w:pPr>
            <w:r>
              <w:rPr>
                <w:rFonts w:ascii="Arial" w:cs="Arial" w:eastAsia="Arial" w:hAnsi="Arial"/>
                <w:sz w:val="18"/>
                <w:szCs w:val="18"/>
                <w:color w:val="auto"/>
              </w:rPr>
              <w:t>(96)</w:t>
            </w:r>
          </w:p>
        </w:tc>
        <w:tc>
          <w:tcPr>
            <w:tcW w:w="1860" w:type="dxa"/>
            <w:vAlign w:val="bottom"/>
          </w:tcPr>
          <w:p>
            <w:pPr>
              <w:jc w:val="right"/>
              <w:ind w:right="39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175"/>
        </w:trPr>
        <w:tc>
          <w:tcPr>
            <w:tcW w:w="340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Income attributable to Lee Enterprises,</w:t>
            </w:r>
          </w:p>
        </w:tc>
        <w:tc>
          <w:tcPr>
            <w:tcW w:w="1820" w:type="dxa"/>
            <w:vAlign w:val="bottom"/>
            <w:vMerge w:val="restart"/>
            <w:shd w:val="clear" w:color="auto" w:fill="CCEEFF"/>
          </w:tcPr>
          <w:p>
            <w:pPr>
              <w:jc w:val="right"/>
              <w:ind w:right="470"/>
              <w:spacing w:after="0"/>
              <w:rPr>
                <w:sz w:val="20"/>
                <w:szCs w:val="20"/>
                <w:color w:val="auto"/>
              </w:rPr>
            </w:pPr>
            <w:r>
              <w:rPr>
                <w:rFonts w:ascii="Arial" w:cs="Arial" w:eastAsia="Arial" w:hAnsi="Arial"/>
                <w:sz w:val="18"/>
                <w:szCs w:val="18"/>
                <w:color w:val="auto"/>
              </w:rPr>
              <w:t>688</w:t>
            </w:r>
          </w:p>
        </w:tc>
        <w:tc>
          <w:tcPr>
            <w:tcW w:w="1360" w:type="dxa"/>
            <w:vAlign w:val="bottom"/>
            <w:vMerge w:val="restart"/>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1620" w:type="dxa"/>
            <w:vAlign w:val="bottom"/>
            <w:vMerge w:val="restart"/>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1860" w:type="dxa"/>
            <w:vAlign w:val="bottom"/>
            <w:vMerge w:val="restart"/>
            <w:shd w:val="clear" w:color="auto" w:fill="CCEEFF"/>
          </w:tcPr>
          <w:p>
            <w:pPr>
              <w:jc w:val="right"/>
              <w:ind w:right="390"/>
              <w:spacing w:after="0"/>
              <w:rPr>
                <w:sz w:val="20"/>
                <w:szCs w:val="20"/>
                <w:color w:val="auto"/>
              </w:rPr>
            </w:pPr>
            <w:r>
              <w:rPr>
                <w:rFonts w:ascii="Arial" w:cs="Arial" w:eastAsia="Arial" w:hAnsi="Arial"/>
                <w:sz w:val="18"/>
                <w:szCs w:val="18"/>
                <w:color w:val="auto"/>
              </w:rPr>
              <w:t>—</w:t>
            </w:r>
          </w:p>
        </w:tc>
        <w:tc>
          <w:tcPr>
            <w:tcW w:w="118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8"/>
                <w:szCs w:val="18"/>
                <w:color w:val="auto"/>
              </w:rPr>
              <w:t>688</w:t>
            </w:r>
          </w:p>
        </w:tc>
        <w:tc>
          <w:tcPr>
            <w:tcW w:w="0" w:type="dxa"/>
            <w:vAlign w:val="bottom"/>
          </w:tcPr>
          <w:p>
            <w:pPr>
              <w:spacing w:after="0"/>
              <w:rPr>
                <w:sz w:val="1"/>
                <w:szCs w:val="1"/>
                <w:color w:val="auto"/>
              </w:rPr>
            </w:pPr>
          </w:p>
        </w:tc>
      </w:tr>
      <w:tr>
        <w:trPr>
          <w:trHeight w:val="243"/>
        </w:trPr>
        <w:tc>
          <w:tcPr>
            <w:tcW w:w="3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Incorporated</w:t>
            </w:r>
          </w:p>
        </w:tc>
        <w:tc>
          <w:tcPr>
            <w:tcW w:w="1820" w:type="dxa"/>
            <w:vAlign w:val="bottom"/>
            <w:vMerge w:val="continue"/>
            <w:shd w:val="clear" w:color="auto" w:fill="CCEEFF"/>
          </w:tcPr>
          <w:p>
            <w:pPr>
              <w:spacing w:after="0"/>
              <w:rPr>
                <w:sz w:val="21"/>
                <w:szCs w:val="21"/>
                <w:color w:val="auto"/>
              </w:rPr>
            </w:pPr>
          </w:p>
        </w:tc>
        <w:tc>
          <w:tcPr>
            <w:tcW w:w="1360" w:type="dxa"/>
            <w:vAlign w:val="bottom"/>
            <w:vMerge w:val="continue"/>
            <w:shd w:val="clear" w:color="auto" w:fill="CCEEFF"/>
          </w:tcPr>
          <w:p>
            <w:pPr>
              <w:spacing w:after="0"/>
              <w:rPr>
                <w:sz w:val="21"/>
                <w:szCs w:val="21"/>
                <w:color w:val="auto"/>
              </w:rPr>
            </w:pPr>
          </w:p>
        </w:tc>
        <w:tc>
          <w:tcPr>
            <w:tcW w:w="1620" w:type="dxa"/>
            <w:vAlign w:val="bottom"/>
            <w:vMerge w:val="continue"/>
            <w:shd w:val="clear" w:color="auto" w:fill="CCEEFF"/>
          </w:tcPr>
          <w:p>
            <w:pPr>
              <w:spacing w:after="0"/>
              <w:rPr>
                <w:sz w:val="21"/>
                <w:szCs w:val="21"/>
                <w:color w:val="auto"/>
              </w:rPr>
            </w:pPr>
          </w:p>
        </w:tc>
        <w:tc>
          <w:tcPr>
            <w:tcW w:w="1860" w:type="dxa"/>
            <w:vAlign w:val="bottom"/>
            <w:vMerge w:val="continue"/>
            <w:shd w:val="clear" w:color="auto" w:fill="CCEEFF"/>
          </w:tcPr>
          <w:p>
            <w:pPr>
              <w:spacing w:after="0"/>
              <w:rPr>
                <w:sz w:val="21"/>
                <w:szCs w:val="21"/>
                <w:color w:val="auto"/>
              </w:rPr>
            </w:pPr>
          </w:p>
        </w:tc>
        <w:tc>
          <w:tcPr>
            <w:tcW w:w="1180" w:type="dxa"/>
            <w:vAlign w:val="bottom"/>
            <w:gridSpan w:val="2"/>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3400" w:type="dxa"/>
            <w:vAlign w:val="bottom"/>
          </w:tcPr>
          <w:p>
            <w:pPr>
              <w:ind w:left="20"/>
              <w:spacing w:after="0"/>
              <w:rPr>
                <w:sz w:val="20"/>
                <w:szCs w:val="20"/>
                <w:color w:val="auto"/>
              </w:rPr>
            </w:pPr>
            <w:r>
              <w:rPr>
                <w:rFonts w:ascii="Arial" w:cs="Arial" w:eastAsia="Arial" w:hAnsi="Arial"/>
                <w:sz w:val="18"/>
                <w:szCs w:val="18"/>
                <w:color w:val="auto"/>
              </w:rPr>
              <w:t>Stock compensation</w:t>
            </w:r>
          </w:p>
        </w:tc>
        <w:tc>
          <w:tcPr>
            <w:tcW w:w="1820" w:type="dxa"/>
            <w:vAlign w:val="bottom"/>
          </w:tcPr>
          <w:p>
            <w:pPr>
              <w:jc w:val="right"/>
              <w:ind w:right="470"/>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1620" w:type="dxa"/>
            <w:vAlign w:val="bottom"/>
          </w:tcPr>
          <w:p>
            <w:pPr>
              <w:jc w:val="right"/>
              <w:ind w:right="270"/>
              <w:spacing w:after="0"/>
              <w:rPr>
                <w:sz w:val="20"/>
                <w:szCs w:val="20"/>
                <w:color w:val="auto"/>
              </w:rPr>
            </w:pPr>
            <w:r>
              <w:rPr>
                <w:rFonts w:ascii="Arial" w:cs="Arial" w:eastAsia="Arial" w:hAnsi="Arial"/>
                <w:sz w:val="18"/>
                <w:szCs w:val="18"/>
                <w:color w:val="auto"/>
              </w:rPr>
              <w:t>214</w:t>
            </w:r>
          </w:p>
        </w:tc>
        <w:tc>
          <w:tcPr>
            <w:tcW w:w="1860" w:type="dxa"/>
            <w:vAlign w:val="bottom"/>
          </w:tcPr>
          <w:p>
            <w:pPr>
              <w:jc w:val="right"/>
              <w:ind w:right="39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214</w:t>
            </w:r>
          </w:p>
        </w:tc>
        <w:tc>
          <w:tcPr>
            <w:tcW w:w="0" w:type="dxa"/>
            <w:vAlign w:val="bottom"/>
          </w:tcPr>
          <w:p>
            <w:pPr>
              <w:spacing w:after="0"/>
              <w:rPr>
                <w:sz w:val="1"/>
                <w:szCs w:val="1"/>
                <w:color w:val="auto"/>
              </w:rPr>
            </w:pPr>
          </w:p>
        </w:tc>
      </w:tr>
      <w:tr>
        <w:trPr>
          <w:trHeight w:val="230"/>
        </w:trPr>
        <w:tc>
          <w:tcPr>
            <w:tcW w:w="3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comprehensive loss</w:t>
            </w:r>
          </w:p>
        </w:tc>
        <w:tc>
          <w:tcPr>
            <w:tcW w:w="182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162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186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(2,286)</w:t>
            </w: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(2,286)</w:t>
            </w:r>
          </w:p>
        </w:tc>
        <w:tc>
          <w:tcPr>
            <w:tcW w:w="0" w:type="dxa"/>
            <w:vAlign w:val="bottom"/>
          </w:tcPr>
          <w:p>
            <w:pPr>
              <w:spacing w:after="0"/>
              <w:rPr>
                <w:sz w:val="1"/>
                <w:szCs w:val="1"/>
                <w:color w:val="auto"/>
              </w:rPr>
            </w:pPr>
          </w:p>
        </w:tc>
      </w:tr>
      <w:tr>
        <w:trPr>
          <w:trHeight w:val="229"/>
        </w:trPr>
        <w:tc>
          <w:tcPr>
            <w:tcW w:w="34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Deferred income taxes, net</w:t>
            </w:r>
          </w:p>
        </w:tc>
        <w:tc>
          <w:tcPr>
            <w:tcW w:w="182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w:t>
            </w:r>
          </w:p>
        </w:tc>
        <w:tc>
          <w:tcPr>
            <w:tcW w:w="16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w:t>
            </w:r>
          </w:p>
        </w:tc>
        <w:tc>
          <w:tcPr>
            <w:tcW w:w="18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(28)</w:t>
            </w:r>
          </w:p>
        </w:tc>
        <w:tc>
          <w:tcPr>
            <w:tcW w:w="11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48"/>
        </w:trPr>
        <w:tc>
          <w:tcPr>
            <w:tcW w:w="34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December 24, 2023</w:t>
            </w:r>
          </w:p>
        </w:tc>
        <w:tc>
          <w:tcPr>
            <w:tcW w:w="1820" w:type="dxa"/>
            <w:vAlign w:val="bottom"/>
            <w:tcBorders>
              <w:bottom w:val="single" w:sz="8" w:color="auto"/>
            </w:tcBorders>
            <w:shd w:val="clear" w:color="auto" w:fill="CCEEFF"/>
          </w:tcPr>
          <w:p>
            <w:pPr>
              <w:jc w:val="right"/>
              <w:ind w:right="430"/>
              <w:spacing w:after="0"/>
              <w:rPr>
                <w:sz w:val="20"/>
                <w:szCs w:val="20"/>
                <w:color w:val="auto"/>
              </w:rPr>
            </w:pPr>
            <w:r>
              <w:rPr>
                <w:rFonts w:ascii="Arial" w:cs="Arial" w:eastAsia="Arial" w:hAnsi="Arial"/>
                <w:sz w:val="18"/>
                <w:szCs w:val="18"/>
                <w:color w:val="auto"/>
              </w:rPr>
              <w:t>(265,808)</w:t>
            </w:r>
          </w:p>
        </w:tc>
        <w:tc>
          <w:tcPr>
            <w:tcW w:w="13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rPr>
              <w:t>61</w:t>
            </w:r>
          </w:p>
        </w:tc>
        <w:tc>
          <w:tcPr>
            <w:tcW w:w="162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rPr>
              <w:t>260,950</w:t>
            </w:r>
          </w:p>
        </w:tc>
        <w:tc>
          <w:tcPr>
            <w:tcW w:w="1860" w:type="dxa"/>
            <w:vAlign w:val="bottom"/>
            <w:tcBorders>
              <w:bottom w:val="single" w:sz="8" w:color="auto"/>
            </w:tcBorders>
            <w:shd w:val="clear" w:color="auto" w:fill="CCEEFF"/>
          </w:tcPr>
          <w:p>
            <w:pPr>
              <w:jc w:val="right"/>
              <w:ind w:right="390"/>
              <w:spacing w:after="0"/>
              <w:rPr>
                <w:sz w:val="20"/>
                <w:szCs w:val="20"/>
                <w:color w:val="auto"/>
              </w:rPr>
            </w:pPr>
            <w:r>
              <w:rPr>
                <w:rFonts w:ascii="Arial" w:cs="Arial" w:eastAsia="Arial" w:hAnsi="Arial"/>
                <w:sz w:val="18"/>
                <w:szCs w:val="18"/>
                <w:color w:val="auto"/>
              </w:rPr>
              <w:t>24,529</w:t>
            </w:r>
          </w:p>
        </w:tc>
        <w:tc>
          <w:tcPr>
            <w:tcW w:w="118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19,732</w:t>
            </w:r>
          </w:p>
        </w:tc>
        <w:tc>
          <w:tcPr>
            <w:tcW w:w="0" w:type="dxa"/>
            <w:vAlign w:val="bottom"/>
          </w:tcPr>
          <w:p>
            <w:pPr>
              <w:spacing w:after="0"/>
              <w:rPr>
                <w:sz w:val="1"/>
                <w:szCs w:val="1"/>
                <w:color w:val="auto"/>
              </w:rPr>
            </w:pPr>
          </w:p>
        </w:tc>
      </w:tr>
      <w:tr>
        <w:trPr>
          <w:trHeight w:val="20"/>
        </w:trPr>
        <w:tc>
          <w:tcPr>
            <w:tcW w:w="3400" w:type="dxa"/>
            <w:vAlign w:val="bottom"/>
            <w:tcBorders>
              <w:top w:val="single" w:sz="8" w:color="CCEEFF"/>
              <w:bottom w:val="single" w:sz="8" w:color="auto"/>
            </w:tcBorders>
          </w:tcPr>
          <w:p>
            <w:pPr>
              <w:spacing w:after="0" w:line="20" w:lineRule="exact"/>
              <w:rPr>
                <w:sz w:val="1"/>
                <w:szCs w:val="1"/>
                <w:color w:val="auto"/>
              </w:rPr>
            </w:pPr>
          </w:p>
        </w:tc>
        <w:tc>
          <w:tcPr>
            <w:tcW w:w="18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18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1"/>
        </w:trPr>
        <w:tc>
          <w:tcPr>
            <w:tcW w:w="3400" w:type="dxa"/>
            <w:vAlign w:val="bottom"/>
          </w:tcPr>
          <w:p>
            <w:pPr>
              <w:spacing w:after="0"/>
              <w:rPr>
                <w:sz w:val="23"/>
                <w:szCs w:val="23"/>
                <w:color w:val="auto"/>
              </w:rPr>
            </w:pPr>
          </w:p>
        </w:tc>
        <w:tc>
          <w:tcPr>
            <w:tcW w:w="182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1620" w:type="dxa"/>
            <w:vAlign w:val="bottom"/>
          </w:tcPr>
          <w:p>
            <w:pPr>
              <w:spacing w:after="0"/>
              <w:rPr>
                <w:sz w:val="23"/>
                <w:szCs w:val="23"/>
                <w:color w:val="auto"/>
              </w:rPr>
            </w:pPr>
          </w:p>
        </w:tc>
        <w:tc>
          <w:tcPr>
            <w:tcW w:w="186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75"/>
        </w:trPr>
        <w:tc>
          <w:tcPr>
            <w:tcW w:w="340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Loss attributable to Lee Enterprises,</w:t>
            </w:r>
          </w:p>
        </w:tc>
        <w:tc>
          <w:tcPr>
            <w:tcW w:w="1820" w:type="dxa"/>
            <w:vAlign w:val="bottom"/>
            <w:vMerge w:val="restart"/>
            <w:shd w:val="clear" w:color="auto" w:fill="CCEEFF"/>
          </w:tcPr>
          <w:p>
            <w:pPr>
              <w:jc w:val="right"/>
              <w:ind w:right="350"/>
              <w:spacing w:after="0"/>
              <w:rPr>
                <w:sz w:val="20"/>
                <w:szCs w:val="20"/>
                <w:color w:val="auto"/>
              </w:rPr>
            </w:pPr>
            <w:r>
              <w:rPr>
                <w:rFonts w:ascii="Arial" w:cs="Arial" w:eastAsia="Arial" w:hAnsi="Arial"/>
                <w:sz w:val="18"/>
                <w:szCs w:val="18"/>
                <w:color w:val="auto"/>
              </w:rPr>
              <w:t>(12,179)</w:t>
            </w:r>
          </w:p>
        </w:tc>
        <w:tc>
          <w:tcPr>
            <w:tcW w:w="1360" w:type="dxa"/>
            <w:vAlign w:val="bottom"/>
            <w:vMerge w:val="restart"/>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620" w:type="dxa"/>
            <w:vAlign w:val="bottom"/>
            <w:vMerge w:val="restart"/>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860" w:type="dxa"/>
            <w:vAlign w:val="bottom"/>
            <w:vMerge w:val="restart"/>
            <w:shd w:val="clear" w:color="auto" w:fill="CCEEFF"/>
          </w:tcPr>
          <w:p>
            <w:pPr>
              <w:jc w:val="right"/>
              <w:ind w:right="490"/>
              <w:spacing w:after="0"/>
              <w:rPr>
                <w:sz w:val="20"/>
                <w:szCs w:val="20"/>
                <w:color w:val="auto"/>
              </w:rPr>
            </w:pPr>
            <w:r>
              <w:rPr>
                <w:rFonts w:ascii="Arial" w:cs="Arial" w:eastAsia="Arial" w:hAnsi="Arial"/>
                <w:sz w:val="18"/>
                <w:szCs w:val="18"/>
                <w:color w:val="auto"/>
              </w:rPr>
              <w:t>—</w:t>
            </w: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(12,179)</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Incorporated</w:t>
            </w:r>
          </w:p>
        </w:tc>
        <w:tc>
          <w:tcPr>
            <w:tcW w:w="1820" w:type="dxa"/>
            <w:vAlign w:val="bottom"/>
            <w:vMerge w:val="continue"/>
            <w:shd w:val="clear" w:color="auto" w:fill="CCEEFF"/>
          </w:tcPr>
          <w:p>
            <w:pPr>
              <w:spacing w:after="0"/>
              <w:rPr>
                <w:sz w:val="21"/>
                <w:szCs w:val="21"/>
                <w:color w:val="auto"/>
              </w:rPr>
            </w:pPr>
          </w:p>
        </w:tc>
        <w:tc>
          <w:tcPr>
            <w:tcW w:w="1360" w:type="dxa"/>
            <w:vAlign w:val="bottom"/>
            <w:vMerge w:val="continue"/>
            <w:shd w:val="clear" w:color="auto" w:fill="CCEEFF"/>
          </w:tcPr>
          <w:p>
            <w:pPr>
              <w:spacing w:after="0"/>
              <w:rPr>
                <w:sz w:val="21"/>
                <w:szCs w:val="21"/>
                <w:color w:val="auto"/>
              </w:rPr>
            </w:pPr>
          </w:p>
        </w:tc>
        <w:tc>
          <w:tcPr>
            <w:tcW w:w="1620" w:type="dxa"/>
            <w:vAlign w:val="bottom"/>
            <w:vMerge w:val="continue"/>
            <w:shd w:val="clear" w:color="auto" w:fill="CCEEFF"/>
          </w:tcPr>
          <w:p>
            <w:pPr>
              <w:spacing w:after="0"/>
              <w:rPr>
                <w:sz w:val="21"/>
                <w:szCs w:val="21"/>
                <w:color w:val="auto"/>
              </w:rPr>
            </w:pPr>
          </w:p>
        </w:tc>
        <w:tc>
          <w:tcPr>
            <w:tcW w:w="1860" w:type="dxa"/>
            <w:vAlign w:val="bottom"/>
            <w:vMerge w:val="continue"/>
            <w:shd w:val="clear" w:color="auto" w:fill="CCEEFF"/>
          </w:tcPr>
          <w:p>
            <w:pPr>
              <w:spacing w:after="0"/>
              <w:rPr>
                <w:sz w:val="21"/>
                <w:szCs w:val="21"/>
                <w:color w:val="auto"/>
              </w:rPr>
            </w:pPr>
          </w:p>
        </w:tc>
        <w:tc>
          <w:tcPr>
            <w:tcW w:w="1100" w:type="dxa"/>
            <w:vAlign w:val="bottom"/>
            <w:vMerge w:val="continue"/>
            <w:shd w:val="clear" w:color="auto" w:fill="CCEEFF"/>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3400" w:type="dxa"/>
            <w:vAlign w:val="bottom"/>
          </w:tcPr>
          <w:p>
            <w:pPr>
              <w:ind w:left="20"/>
              <w:spacing w:after="0"/>
              <w:rPr>
                <w:sz w:val="20"/>
                <w:szCs w:val="20"/>
                <w:color w:val="auto"/>
              </w:rPr>
            </w:pPr>
            <w:r>
              <w:rPr>
                <w:rFonts w:ascii="Arial" w:cs="Arial" w:eastAsia="Arial" w:hAnsi="Arial"/>
                <w:sz w:val="18"/>
                <w:szCs w:val="18"/>
                <w:color w:val="auto"/>
              </w:rPr>
              <w:t>Stock compensation</w:t>
            </w:r>
          </w:p>
        </w:tc>
        <w:tc>
          <w:tcPr>
            <w:tcW w:w="1820" w:type="dxa"/>
            <w:vAlign w:val="bottom"/>
          </w:tcPr>
          <w:p>
            <w:pPr>
              <w:jc w:val="right"/>
              <w:ind w:right="410"/>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1620" w:type="dxa"/>
            <w:vAlign w:val="bottom"/>
          </w:tcPr>
          <w:p>
            <w:pPr>
              <w:jc w:val="right"/>
              <w:ind w:right="210"/>
              <w:spacing w:after="0"/>
              <w:rPr>
                <w:sz w:val="20"/>
                <w:szCs w:val="20"/>
                <w:color w:val="auto"/>
              </w:rPr>
            </w:pPr>
            <w:r>
              <w:rPr>
                <w:rFonts w:ascii="Arial" w:cs="Arial" w:eastAsia="Arial" w:hAnsi="Arial"/>
                <w:sz w:val="18"/>
                <w:szCs w:val="18"/>
                <w:color w:val="auto"/>
              </w:rPr>
              <w:t>501</w:t>
            </w:r>
          </w:p>
        </w:tc>
        <w:tc>
          <w:tcPr>
            <w:tcW w:w="1860" w:type="dxa"/>
            <w:vAlign w:val="bottom"/>
          </w:tcPr>
          <w:p>
            <w:pPr>
              <w:jc w:val="right"/>
              <w:ind w:right="49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501</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comprehensive loss</w:t>
            </w:r>
          </w:p>
        </w:tc>
        <w:tc>
          <w:tcPr>
            <w:tcW w:w="182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6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86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rPr>
              <w:t>(192)</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4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Deferred income taxes, net</w:t>
            </w:r>
          </w:p>
        </w:tc>
        <w:tc>
          <w:tcPr>
            <w:tcW w:w="18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w:t>
            </w:r>
          </w:p>
        </w:tc>
        <w:tc>
          <w:tcPr>
            <w:tcW w:w="16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w:t>
            </w:r>
          </w:p>
        </w:tc>
        <w:tc>
          <w:tcPr>
            <w:tcW w:w="186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rPr>
              <w:t>44</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34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March 24, 2024</w:t>
            </w:r>
          </w:p>
        </w:tc>
        <w:tc>
          <w:tcPr>
            <w:tcW w:w="182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rPr>
              <w:t>(277,987)</w:t>
            </w:r>
          </w:p>
        </w:tc>
        <w:tc>
          <w:tcPr>
            <w:tcW w:w="136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rPr>
              <w:t>61</w:t>
            </w:r>
          </w:p>
        </w:tc>
        <w:tc>
          <w:tcPr>
            <w:tcW w:w="16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rPr>
              <w:t>261,451</w:t>
            </w:r>
          </w:p>
        </w:tc>
        <w:tc>
          <w:tcPr>
            <w:tcW w:w="1860" w:type="dxa"/>
            <w:vAlign w:val="bottom"/>
            <w:tcBorders>
              <w:bottom w:val="single" w:sz="8" w:color="auto"/>
            </w:tcBorders>
            <w:shd w:val="clear" w:color="auto" w:fill="CCEEFF"/>
          </w:tcPr>
          <w:p>
            <w:pPr>
              <w:jc w:val="right"/>
              <w:ind w:right="490"/>
              <w:spacing w:after="0"/>
              <w:rPr>
                <w:sz w:val="20"/>
                <w:szCs w:val="20"/>
                <w:color w:val="auto"/>
              </w:rPr>
            </w:pPr>
            <w:r>
              <w:rPr>
                <w:rFonts w:ascii="Arial" w:cs="Arial" w:eastAsia="Arial" w:hAnsi="Arial"/>
                <w:sz w:val="18"/>
                <w:szCs w:val="18"/>
                <w:color w:val="auto"/>
              </w:rPr>
              <w:t>24,381</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7,906</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400" w:type="dxa"/>
            <w:vAlign w:val="bottom"/>
            <w:tcBorders>
              <w:top w:val="single" w:sz="8" w:color="CCEEFF"/>
              <w:bottom w:val="single" w:sz="8" w:color="auto"/>
            </w:tcBorders>
          </w:tcPr>
          <w:p>
            <w:pPr>
              <w:spacing w:after="0" w:line="20" w:lineRule="exact"/>
              <w:rPr>
                <w:sz w:val="1"/>
                <w:szCs w:val="1"/>
                <w:color w:val="auto"/>
              </w:rPr>
            </w:pPr>
          </w:p>
        </w:tc>
        <w:tc>
          <w:tcPr>
            <w:tcW w:w="18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18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1"/>
        </w:trPr>
        <w:tc>
          <w:tcPr>
            <w:tcW w:w="3400" w:type="dxa"/>
            <w:vAlign w:val="bottom"/>
            <w:tcBorders>
              <w:bottom w:val="single" w:sz="8" w:color="auto"/>
            </w:tcBorders>
          </w:tcPr>
          <w:p>
            <w:pPr>
              <w:spacing w:after="0"/>
              <w:rPr>
                <w:sz w:val="23"/>
                <w:szCs w:val="23"/>
                <w:color w:val="auto"/>
              </w:rPr>
            </w:pPr>
          </w:p>
        </w:tc>
        <w:tc>
          <w:tcPr>
            <w:tcW w:w="1820" w:type="dxa"/>
            <w:vAlign w:val="bottom"/>
            <w:tcBorders>
              <w:bottom w:val="single" w:sz="8" w:color="auto"/>
            </w:tcBorders>
          </w:tcPr>
          <w:p>
            <w:pPr>
              <w:spacing w:after="0"/>
              <w:rPr>
                <w:sz w:val="23"/>
                <w:szCs w:val="23"/>
                <w:color w:val="auto"/>
              </w:rPr>
            </w:pPr>
          </w:p>
        </w:tc>
        <w:tc>
          <w:tcPr>
            <w:tcW w:w="1360" w:type="dxa"/>
            <w:vAlign w:val="bottom"/>
            <w:tcBorders>
              <w:bottom w:val="single" w:sz="8" w:color="auto"/>
            </w:tcBorders>
          </w:tcPr>
          <w:p>
            <w:pPr>
              <w:spacing w:after="0"/>
              <w:rPr>
                <w:sz w:val="23"/>
                <w:szCs w:val="23"/>
                <w:color w:val="auto"/>
              </w:rPr>
            </w:pPr>
          </w:p>
        </w:tc>
        <w:tc>
          <w:tcPr>
            <w:tcW w:w="1620" w:type="dxa"/>
            <w:vAlign w:val="bottom"/>
            <w:tcBorders>
              <w:bottom w:val="single" w:sz="8" w:color="auto"/>
            </w:tcBorders>
          </w:tcPr>
          <w:p>
            <w:pPr>
              <w:spacing w:after="0"/>
              <w:rPr>
                <w:sz w:val="23"/>
                <w:szCs w:val="23"/>
                <w:color w:val="auto"/>
              </w:rPr>
            </w:pPr>
          </w:p>
        </w:tc>
        <w:tc>
          <w:tcPr>
            <w:tcW w:w="186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spacing w:after="0"/>
              <w:rPr>
                <w:sz w:val="23"/>
                <w:szCs w:val="23"/>
                <w:color w:val="auto"/>
              </w:rPr>
            </w:pPr>
          </w:p>
        </w:tc>
        <w:tc>
          <w:tcPr>
            <w:tcW w:w="8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9"/>
        </w:trPr>
        <w:tc>
          <w:tcPr>
            <w:tcW w:w="340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860" w:type="dxa"/>
            <w:vAlign w:val="bottom"/>
          </w:tcPr>
          <w:p>
            <w:pPr>
              <w:jc w:val="right"/>
              <w:ind w:right="310"/>
              <w:spacing w:after="0" w:line="169" w:lineRule="exact"/>
              <w:rPr>
                <w:sz w:val="20"/>
                <w:szCs w:val="20"/>
                <w:color w:val="auto"/>
              </w:rPr>
            </w:pPr>
            <w:r>
              <w:rPr>
                <w:rFonts w:ascii="Arial" w:cs="Arial" w:eastAsia="Arial" w:hAnsi="Arial"/>
                <w:sz w:val="18"/>
                <w:szCs w:val="18"/>
                <w:color w:val="auto"/>
              </w:rPr>
              <w:t>Accumulated</w:t>
            </w:r>
          </w:p>
        </w:tc>
        <w:tc>
          <w:tcPr>
            <w:tcW w:w="1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3400" w:type="dxa"/>
            <w:vAlign w:val="bottom"/>
          </w:tcPr>
          <w:p>
            <w:pPr>
              <w:spacing w:after="0"/>
              <w:rPr>
                <w:sz w:val="15"/>
                <w:szCs w:val="15"/>
                <w:color w:val="auto"/>
              </w:rPr>
            </w:pPr>
          </w:p>
        </w:tc>
        <w:tc>
          <w:tcPr>
            <w:tcW w:w="1820" w:type="dxa"/>
            <w:vAlign w:val="bottom"/>
            <w:vMerge w:val="restart"/>
          </w:tcPr>
          <w:p>
            <w:pPr>
              <w:jc w:val="right"/>
              <w:ind w:right="410"/>
              <w:spacing w:after="0"/>
              <w:rPr>
                <w:sz w:val="20"/>
                <w:szCs w:val="20"/>
                <w:color w:val="auto"/>
              </w:rPr>
            </w:pPr>
            <w:r>
              <w:rPr>
                <w:rFonts w:ascii="Arial" w:cs="Arial" w:eastAsia="Arial" w:hAnsi="Arial"/>
                <w:sz w:val="18"/>
                <w:szCs w:val="18"/>
                <w:color w:val="auto"/>
              </w:rPr>
              <w:t>Accumulated</w:t>
            </w:r>
          </w:p>
        </w:tc>
        <w:tc>
          <w:tcPr>
            <w:tcW w:w="1360" w:type="dxa"/>
            <w:vAlign w:val="bottom"/>
            <w:vMerge w:val="restart"/>
          </w:tcPr>
          <w:p>
            <w:pPr>
              <w:jc w:val="right"/>
              <w:ind w:right="170"/>
              <w:spacing w:after="0"/>
              <w:rPr>
                <w:sz w:val="20"/>
                <w:szCs w:val="20"/>
                <w:color w:val="auto"/>
              </w:rPr>
            </w:pPr>
            <w:r>
              <w:rPr>
                <w:rFonts w:ascii="Arial" w:cs="Arial" w:eastAsia="Arial" w:hAnsi="Arial"/>
                <w:sz w:val="18"/>
                <w:szCs w:val="18"/>
                <w:color w:val="auto"/>
              </w:rPr>
              <w:t>Common</w:t>
            </w:r>
          </w:p>
        </w:tc>
        <w:tc>
          <w:tcPr>
            <w:tcW w:w="1620" w:type="dxa"/>
            <w:vAlign w:val="bottom"/>
            <w:vMerge w:val="restart"/>
          </w:tcPr>
          <w:p>
            <w:pPr>
              <w:jc w:val="right"/>
              <w:ind w:right="190"/>
              <w:spacing w:after="0"/>
              <w:rPr>
                <w:sz w:val="20"/>
                <w:szCs w:val="20"/>
                <w:color w:val="auto"/>
              </w:rPr>
            </w:pPr>
            <w:r>
              <w:rPr>
                <w:rFonts w:ascii="Arial" w:cs="Arial" w:eastAsia="Arial" w:hAnsi="Arial"/>
                <w:sz w:val="18"/>
                <w:szCs w:val="18"/>
                <w:color w:val="auto"/>
              </w:rPr>
              <w:t>Additional</w:t>
            </w:r>
          </w:p>
        </w:tc>
        <w:tc>
          <w:tcPr>
            <w:tcW w:w="1860" w:type="dxa"/>
            <w:vAlign w:val="bottom"/>
          </w:tcPr>
          <w:p>
            <w:pPr>
              <w:jc w:val="right"/>
              <w:ind w:right="310"/>
              <w:spacing w:after="0" w:line="176" w:lineRule="exact"/>
              <w:rPr>
                <w:sz w:val="20"/>
                <w:szCs w:val="20"/>
                <w:color w:val="auto"/>
              </w:rPr>
            </w:pPr>
            <w:r>
              <w:rPr>
                <w:rFonts w:ascii="Arial" w:cs="Arial" w:eastAsia="Arial" w:hAnsi="Arial"/>
                <w:sz w:val="18"/>
                <w:szCs w:val="18"/>
                <w:color w:val="auto"/>
              </w:rPr>
              <w:t>Other</w:t>
            </w:r>
          </w:p>
        </w:tc>
        <w:tc>
          <w:tcPr>
            <w:tcW w:w="1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400" w:type="dxa"/>
            <w:vAlign w:val="bottom"/>
            <w:vMerge w:val="restart"/>
          </w:tcPr>
          <w:p>
            <w:pPr>
              <w:ind w:left="20"/>
              <w:spacing w:after="0"/>
              <w:rPr>
                <w:sz w:val="20"/>
                <w:szCs w:val="20"/>
                <w:color w:val="auto"/>
              </w:rPr>
            </w:pPr>
            <w:r>
              <w:rPr>
                <w:rFonts w:ascii="Arial" w:cs="Arial" w:eastAsia="Arial" w:hAnsi="Arial"/>
                <w:sz w:val="18"/>
                <w:szCs w:val="18"/>
                <w:i w:val="1"/>
                <w:iCs w:val="1"/>
                <w:color w:val="auto"/>
              </w:rPr>
              <w:t>(Thousands of Dollars)</w:t>
            </w:r>
          </w:p>
        </w:tc>
        <w:tc>
          <w:tcPr>
            <w:tcW w:w="1820" w:type="dxa"/>
            <w:vAlign w:val="bottom"/>
            <w:vMerge w:val="continue"/>
          </w:tcPr>
          <w:p>
            <w:pPr>
              <w:spacing w:after="0"/>
              <w:rPr>
                <w:sz w:val="15"/>
                <w:szCs w:val="15"/>
                <w:color w:val="auto"/>
              </w:rPr>
            </w:pPr>
          </w:p>
        </w:tc>
        <w:tc>
          <w:tcPr>
            <w:tcW w:w="1360" w:type="dxa"/>
            <w:vAlign w:val="bottom"/>
            <w:vMerge w:val="continue"/>
          </w:tcPr>
          <w:p>
            <w:pPr>
              <w:spacing w:after="0"/>
              <w:rPr>
                <w:sz w:val="15"/>
                <w:szCs w:val="15"/>
                <w:color w:val="auto"/>
              </w:rPr>
            </w:pPr>
          </w:p>
        </w:tc>
        <w:tc>
          <w:tcPr>
            <w:tcW w:w="1620" w:type="dxa"/>
            <w:vAlign w:val="bottom"/>
            <w:vMerge w:val="continue"/>
          </w:tcPr>
          <w:p>
            <w:pPr>
              <w:spacing w:after="0"/>
              <w:rPr>
                <w:sz w:val="15"/>
                <w:szCs w:val="15"/>
                <w:color w:val="auto"/>
              </w:rPr>
            </w:pPr>
          </w:p>
        </w:tc>
        <w:tc>
          <w:tcPr>
            <w:tcW w:w="1860" w:type="dxa"/>
            <w:vAlign w:val="bottom"/>
          </w:tcPr>
          <w:p>
            <w:pPr>
              <w:jc w:val="right"/>
              <w:ind w:right="310"/>
              <w:spacing w:after="0" w:line="176" w:lineRule="exact"/>
              <w:rPr>
                <w:sz w:val="20"/>
                <w:szCs w:val="20"/>
                <w:color w:val="auto"/>
              </w:rPr>
            </w:pPr>
            <w:r>
              <w:rPr>
                <w:rFonts w:ascii="Arial" w:cs="Arial" w:eastAsia="Arial" w:hAnsi="Arial"/>
                <w:sz w:val="18"/>
                <w:szCs w:val="18"/>
                <w:color w:val="auto"/>
              </w:rPr>
              <w:t>Comprehensive</w:t>
            </w:r>
          </w:p>
        </w:tc>
        <w:tc>
          <w:tcPr>
            <w:tcW w:w="118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243"/>
        </w:trPr>
        <w:tc>
          <w:tcPr>
            <w:tcW w:w="3400" w:type="dxa"/>
            <w:vAlign w:val="bottom"/>
            <w:tcBorders>
              <w:bottom w:val="single" w:sz="8" w:color="auto"/>
            </w:tcBorders>
            <w:vMerge w:val="continue"/>
          </w:tcPr>
          <w:p>
            <w:pPr>
              <w:spacing w:after="0"/>
              <w:rPr>
                <w:sz w:val="21"/>
                <w:szCs w:val="21"/>
                <w:color w:val="auto"/>
              </w:rPr>
            </w:pPr>
          </w:p>
        </w:tc>
        <w:tc>
          <w:tcPr>
            <w:tcW w:w="18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Deficit</w:t>
            </w:r>
          </w:p>
        </w:tc>
        <w:tc>
          <w:tcPr>
            <w:tcW w:w="1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Stock</w:t>
            </w:r>
          </w:p>
        </w:tc>
        <w:tc>
          <w:tcPr>
            <w:tcW w:w="16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paid-in capital</w:t>
            </w:r>
          </w:p>
        </w:tc>
        <w:tc>
          <w:tcPr>
            <w:tcW w:w="18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Income</w:t>
            </w:r>
          </w:p>
        </w:tc>
        <w:tc>
          <w:tcPr>
            <w:tcW w:w="1180" w:type="dxa"/>
            <w:vAlign w:val="bottom"/>
            <w:tcBorders>
              <w:bottom w:val="single" w:sz="8" w:color="auto"/>
            </w:tcBorders>
            <w:gridSpan w:val="2"/>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3400" w:type="dxa"/>
            <w:vAlign w:val="bottom"/>
          </w:tcPr>
          <w:p>
            <w:pPr>
              <w:spacing w:after="0"/>
              <w:rPr>
                <w:sz w:val="21"/>
                <w:szCs w:val="21"/>
                <w:color w:val="auto"/>
              </w:rPr>
            </w:pPr>
          </w:p>
        </w:tc>
        <w:tc>
          <w:tcPr>
            <w:tcW w:w="18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18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3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September 26, 2022</w:t>
            </w:r>
          </w:p>
        </w:tc>
        <w:tc>
          <w:tcPr>
            <w:tcW w:w="182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rPr>
              <w:t>(261,229)</w:t>
            </w:r>
          </w:p>
        </w:tc>
        <w:tc>
          <w:tcPr>
            <w:tcW w:w="136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60</w:t>
            </w:r>
          </w:p>
        </w:tc>
        <w:tc>
          <w:tcPr>
            <w:tcW w:w="162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259,521</w:t>
            </w:r>
          </w:p>
        </w:tc>
        <w:tc>
          <w:tcPr>
            <w:tcW w:w="186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16,653</w:t>
            </w: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15,005</w:t>
            </w:r>
          </w:p>
        </w:tc>
        <w:tc>
          <w:tcPr>
            <w:tcW w:w="0" w:type="dxa"/>
            <w:vAlign w:val="bottom"/>
          </w:tcPr>
          <w:p>
            <w:pPr>
              <w:spacing w:after="0"/>
              <w:rPr>
                <w:sz w:val="1"/>
                <w:szCs w:val="1"/>
                <w:color w:val="auto"/>
              </w:rPr>
            </w:pPr>
          </w:p>
        </w:tc>
      </w:tr>
      <w:tr>
        <w:trPr>
          <w:trHeight w:val="229"/>
        </w:trPr>
        <w:tc>
          <w:tcPr>
            <w:tcW w:w="3400" w:type="dxa"/>
            <w:vAlign w:val="bottom"/>
          </w:tcPr>
          <w:p>
            <w:pPr>
              <w:ind w:left="20"/>
              <w:spacing w:after="0"/>
              <w:rPr>
                <w:sz w:val="20"/>
                <w:szCs w:val="20"/>
                <w:color w:val="auto"/>
              </w:rPr>
            </w:pPr>
            <w:r>
              <w:rPr>
                <w:rFonts w:ascii="Arial" w:cs="Arial" w:eastAsia="Arial" w:hAnsi="Arial"/>
                <w:sz w:val="18"/>
                <w:szCs w:val="18"/>
                <w:color w:val="auto"/>
              </w:rPr>
              <w:t>Shares redeemed</w:t>
            </w:r>
          </w:p>
        </w:tc>
        <w:tc>
          <w:tcPr>
            <w:tcW w:w="1820" w:type="dxa"/>
            <w:vAlign w:val="bottom"/>
          </w:tcPr>
          <w:p>
            <w:pPr>
              <w:jc w:val="right"/>
              <w:ind w:right="470"/>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620" w:type="dxa"/>
            <w:vAlign w:val="bottom"/>
          </w:tcPr>
          <w:p>
            <w:pPr>
              <w:jc w:val="right"/>
              <w:ind w:right="210"/>
              <w:spacing w:after="0"/>
              <w:rPr>
                <w:sz w:val="20"/>
                <w:szCs w:val="20"/>
                <w:color w:val="auto"/>
              </w:rPr>
            </w:pPr>
            <w:r>
              <w:rPr>
                <w:rFonts w:ascii="Arial" w:cs="Arial" w:eastAsia="Arial" w:hAnsi="Arial"/>
                <w:sz w:val="18"/>
                <w:szCs w:val="18"/>
                <w:color w:val="auto"/>
              </w:rPr>
              <w:t>(383)</w:t>
            </w:r>
          </w:p>
        </w:tc>
        <w:tc>
          <w:tcPr>
            <w:tcW w:w="1860" w:type="dxa"/>
            <w:vAlign w:val="bottom"/>
          </w:tcPr>
          <w:p>
            <w:pPr>
              <w:jc w:val="right"/>
              <w:ind w:right="37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(383)</w:t>
            </w:r>
          </w:p>
        </w:tc>
        <w:tc>
          <w:tcPr>
            <w:tcW w:w="0" w:type="dxa"/>
            <w:vAlign w:val="bottom"/>
          </w:tcPr>
          <w:p>
            <w:pPr>
              <w:spacing w:after="0"/>
              <w:rPr>
                <w:sz w:val="1"/>
                <w:szCs w:val="1"/>
                <w:color w:val="auto"/>
              </w:rPr>
            </w:pPr>
          </w:p>
        </w:tc>
      </w:tr>
      <w:tr>
        <w:trPr>
          <w:trHeight w:val="175"/>
        </w:trPr>
        <w:tc>
          <w:tcPr>
            <w:tcW w:w="340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Income attributable to Lee Enterprises,</w:t>
            </w:r>
          </w:p>
        </w:tc>
        <w:tc>
          <w:tcPr>
            <w:tcW w:w="1820" w:type="dxa"/>
            <w:vAlign w:val="bottom"/>
            <w:vMerge w:val="restart"/>
            <w:shd w:val="clear" w:color="auto" w:fill="CCEEFF"/>
          </w:tcPr>
          <w:p>
            <w:pPr>
              <w:jc w:val="right"/>
              <w:ind w:right="470"/>
              <w:spacing w:after="0"/>
              <w:rPr>
                <w:sz w:val="20"/>
                <w:szCs w:val="20"/>
                <w:color w:val="auto"/>
              </w:rPr>
            </w:pPr>
            <w:r>
              <w:rPr>
                <w:rFonts w:ascii="Arial" w:cs="Arial" w:eastAsia="Arial" w:hAnsi="Arial"/>
                <w:sz w:val="18"/>
                <w:szCs w:val="18"/>
                <w:color w:val="auto"/>
              </w:rPr>
              <w:t>1,099</w:t>
            </w:r>
          </w:p>
        </w:tc>
        <w:tc>
          <w:tcPr>
            <w:tcW w:w="1360" w:type="dxa"/>
            <w:vAlign w:val="bottom"/>
            <w:vMerge w:val="restart"/>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620" w:type="dxa"/>
            <w:vAlign w:val="bottom"/>
            <w:vMerge w:val="restart"/>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1860" w:type="dxa"/>
            <w:vAlign w:val="bottom"/>
            <w:vMerge w:val="restart"/>
            <w:shd w:val="clear" w:color="auto" w:fill="CCEEFF"/>
          </w:tcPr>
          <w:p>
            <w:pPr>
              <w:jc w:val="right"/>
              <w:ind w:right="370"/>
              <w:spacing w:after="0"/>
              <w:rPr>
                <w:sz w:val="20"/>
                <w:szCs w:val="20"/>
                <w:color w:val="auto"/>
              </w:rPr>
            </w:pPr>
            <w:r>
              <w:rPr>
                <w:rFonts w:ascii="Arial" w:cs="Arial" w:eastAsia="Arial" w:hAnsi="Arial"/>
                <w:sz w:val="18"/>
                <w:szCs w:val="18"/>
                <w:color w:val="auto"/>
              </w:rPr>
              <w:t>—</w:t>
            </w:r>
          </w:p>
        </w:tc>
        <w:tc>
          <w:tcPr>
            <w:tcW w:w="118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8"/>
                <w:szCs w:val="18"/>
                <w:color w:val="auto"/>
              </w:rPr>
              <w:t>1,099</w:t>
            </w:r>
          </w:p>
        </w:tc>
        <w:tc>
          <w:tcPr>
            <w:tcW w:w="0" w:type="dxa"/>
            <w:vAlign w:val="bottom"/>
          </w:tcPr>
          <w:p>
            <w:pPr>
              <w:spacing w:after="0"/>
              <w:rPr>
                <w:sz w:val="1"/>
                <w:szCs w:val="1"/>
                <w:color w:val="auto"/>
              </w:rPr>
            </w:pPr>
          </w:p>
        </w:tc>
      </w:tr>
      <w:tr>
        <w:trPr>
          <w:trHeight w:val="243"/>
        </w:trPr>
        <w:tc>
          <w:tcPr>
            <w:tcW w:w="3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Incorporated</w:t>
            </w:r>
          </w:p>
        </w:tc>
        <w:tc>
          <w:tcPr>
            <w:tcW w:w="1820" w:type="dxa"/>
            <w:vAlign w:val="bottom"/>
            <w:vMerge w:val="continue"/>
            <w:shd w:val="clear" w:color="auto" w:fill="CCEEFF"/>
          </w:tcPr>
          <w:p>
            <w:pPr>
              <w:spacing w:after="0"/>
              <w:rPr>
                <w:sz w:val="21"/>
                <w:szCs w:val="21"/>
                <w:color w:val="auto"/>
              </w:rPr>
            </w:pPr>
          </w:p>
        </w:tc>
        <w:tc>
          <w:tcPr>
            <w:tcW w:w="1360" w:type="dxa"/>
            <w:vAlign w:val="bottom"/>
            <w:vMerge w:val="continue"/>
            <w:shd w:val="clear" w:color="auto" w:fill="CCEEFF"/>
          </w:tcPr>
          <w:p>
            <w:pPr>
              <w:spacing w:after="0"/>
              <w:rPr>
                <w:sz w:val="21"/>
                <w:szCs w:val="21"/>
                <w:color w:val="auto"/>
              </w:rPr>
            </w:pPr>
          </w:p>
        </w:tc>
        <w:tc>
          <w:tcPr>
            <w:tcW w:w="1620" w:type="dxa"/>
            <w:vAlign w:val="bottom"/>
            <w:vMerge w:val="continue"/>
            <w:shd w:val="clear" w:color="auto" w:fill="CCEEFF"/>
          </w:tcPr>
          <w:p>
            <w:pPr>
              <w:spacing w:after="0"/>
              <w:rPr>
                <w:sz w:val="21"/>
                <w:szCs w:val="21"/>
                <w:color w:val="auto"/>
              </w:rPr>
            </w:pPr>
          </w:p>
        </w:tc>
        <w:tc>
          <w:tcPr>
            <w:tcW w:w="1860" w:type="dxa"/>
            <w:vAlign w:val="bottom"/>
            <w:vMerge w:val="continue"/>
            <w:shd w:val="clear" w:color="auto" w:fill="CCEEFF"/>
          </w:tcPr>
          <w:p>
            <w:pPr>
              <w:spacing w:after="0"/>
              <w:rPr>
                <w:sz w:val="21"/>
                <w:szCs w:val="21"/>
                <w:color w:val="auto"/>
              </w:rPr>
            </w:pPr>
          </w:p>
        </w:tc>
        <w:tc>
          <w:tcPr>
            <w:tcW w:w="1180" w:type="dxa"/>
            <w:vAlign w:val="bottom"/>
            <w:gridSpan w:val="2"/>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3400" w:type="dxa"/>
            <w:vAlign w:val="bottom"/>
          </w:tcPr>
          <w:p>
            <w:pPr>
              <w:ind w:left="20"/>
              <w:spacing w:after="0"/>
              <w:rPr>
                <w:sz w:val="20"/>
                <w:szCs w:val="20"/>
                <w:color w:val="auto"/>
              </w:rPr>
            </w:pPr>
            <w:r>
              <w:rPr>
                <w:rFonts w:ascii="Arial" w:cs="Arial" w:eastAsia="Arial" w:hAnsi="Arial"/>
                <w:sz w:val="18"/>
                <w:szCs w:val="18"/>
                <w:color w:val="auto"/>
              </w:rPr>
              <w:t>Stock compensation</w:t>
            </w:r>
          </w:p>
        </w:tc>
        <w:tc>
          <w:tcPr>
            <w:tcW w:w="1820" w:type="dxa"/>
            <w:vAlign w:val="bottom"/>
          </w:tcPr>
          <w:p>
            <w:pPr>
              <w:jc w:val="right"/>
              <w:ind w:right="470"/>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620" w:type="dxa"/>
            <w:vAlign w:val="bottom"/>
          </w:tcPr>
          <w:p>
            <w:pPr>
              <w:jc w:val="right"/>
              <w:ind w:right="250"/>
              <w:spacing w:after="0"/>
              <w:rPr>
                <w:sz w:val="20"/>
                <w:szCs w:val="20"/>
                <w:color w:val="auto"/>
              </w:rPr>
            </w:pPr>
            <w:r>
              <w:rPr>
                <w:rFonts w:ascii="Arial" w:cs="Arial" w:eastAsia="Arial" w:hAnsi="Arial"/>
                <w:sz w:val="18"/>
                <w:szCs w:val="18"/>
                <w:color w:val="auto"/>
              </w:rPr>
              <w:t>349</w:t>
            </w:r>
          </w:p>
        </w:tc>
        <w:tc>
          <w:tcPr>
            <w:tcW w:w="1860" w:type="dxa"/>
            <w:vAlign w:val="bottom"/>
          </w:tcPr>
          <w:p>
            <w:pPr>
              <w:jc w:val="right"/>
              <w:ind w:right="37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349</w:t>
            </w:r>
          </w:p>
        </w:tc>
        <w:tc>
          <w:tcPr>
            <w:tcW w:w="0" w:type="dxa"/>
            <w:vAlign w:val="bottom"/>
          </w:tcPr>
          <w:p>
            <w:pPr>
              <w:spacing w:after="0"/>
              <w:rPr>
                <w:sz w:val="1"/>
                <w:szCs w:val="1"/>
                <w:color w:val="auto"/>
              </w:rPr>
            </w:pPr>
          </w:p>
        </w:tc>
      </w:tr>
      <w:tr>
        <w:trPr>
          <w:trHeight w:val="230"/>
        </w:trPr>
        <w:tc>
          <w:tcPr>
            <w:tcW w:w="3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comprehensive loss</w:t>
            </w:r>
          </w:p>
        </w:tc>
        <w:tc>
          <w:tcPr>
            <w:tcW w:w="182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62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186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(200)</w:t>
            </w: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r>
        <w:trPr>
          <w:trHeight w:val="230"/>
        </w:trPr>
        <w:tc>
          <w:tcPr>
            <w:tcW w:w="34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Deferred income taxes, net</w:t>
            </w:r>
          </w:p>
        </w:tc>
        <w:tc>
          <w:tcPr>
            <w:tcW w:w="182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w:t>
            </w:r>
          </w:p>
        </w:tc>
        <w:tc>
          <w:tcPr>
            <w:tcW w:w="16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w:t>
            </w:r>
          </w:p>
        </w:tc>
        <w:tc>
          <w:tcPr>
            <w:tcW w:w="186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60</w:t>
            </w:r>
          </w:p>
        </w:tc>
        <w:tc>
          <w:tcPr>
            <w:tcW w:w="118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48"/>
        </w:trPr>
        <w:tc>
          <w:tcPr>
            <w:tcW w:w="34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December 25, 2022</w:t>
            </w:r>
          </w:p>
        </w:tc>
        <w:tc>
          <w:tcPr>
            <w:tcW w:w="1820" w:type="dxa"/>
            <w:vAlign w:val="bottom"/>
            <w:tcBorders>
              <w:bottom w:val="single" w:sz="8" w:color="auto"/>
            </w:tcBorders>
            <w:shd w:val="clear" w:color="auto" w:fill="CCEEFF"/>
          </w:tcPr>
          <w:p>
            <w:pPr>
              <w:jc w:val="right"/>
              <w:ind w:right="410"/>
              <w:spacing w:after="0"/>
              <w:rPr>
                <w:sz w:val="20"/>
                <w:szCs w:val="20"/>
                <w:color w:val="auto"/>
              </w:rPr>
            </w:pPr>
            <w:r>
              <w:rPr>
                <w:rFonts w:ascii="Arial" w:cs="Arial" w:eastAsia="Arial" w:hAnsi="Arial"/>
                <w:sz w:val="18"/>
                <w:szCs w:val="18"/>
                <w:color w:val="auto"/>
              </w:rPr>
              <w:t>(260,130)</w:t>
            </w:r>
          </w:p>
        </w:tc>
        <w:tc>
          <w:tcPr>
            <w:tcW w:w="136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rPr>
              <w:t>60</w:t>
            </w:r>
          </w:p>
        </w:tc>
        <w:tc>
          <w:tcPr>
            <w:tcW w:w="162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rPr>
              <w:t>259,487</w:t>
            </w:r>
          </w:p>
        </w:tc>
        <w:tc>
          <w:tcPr>
            <w:tcW w:w="1860" w:type="dxa"/>
            <w:vAlign w:val="bottom"/>
            <w:tcBorders>
              <w:bottom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rPr>
              <w:t>16,513</w:t>
            </w:r>
          </w:p>
        </w:tc>
        <w:tc>
          <w:tcPr>
            <w:tcW w:w="118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15,930</w:t>
            </w:r>
          </w:p>
        </w:tc>
        <w:tc>
          <w:tcPr>
            <w:tcW w:w="0" w:type="dxa"/>
            <w:vAlign w:val="bottom"/>
          </w:tcPr>
          <w:p>
            <w:pPr>
              <w:spacing w:after="0"/>
              <w:rPr>
                <w:sz w:val="1"/>
                <w:szCs w:val="1"/>
                <w:color w:val="auto"/>
              </w:rPr>
            </w:pPr>
          </w:p>
        </w:tc>
      </w:tr>
      <w:tr>
        <w:trPr>
          <w:trHeight w:val="20"/>
        </w:trPr>
        <w:tc>
          <w:tcPr>
            <w:tcW w:w="3400" w:type="dxa"/>
            <w:vAlign w:val="bottom"/>
            <w:tcBorders>
              <w:top w:val="single" w:sz="8" w:color="CCEEFF"/>
              <w:bottom w:val="single" w:sz="8" w:color="auto"/>
            </w:tcBorders>
          </w:tcPr>
          <w:p>
            <w:pPr>
              <w:spacing w:after="0" w:line="20" w:lineRule="exact"/>
              <w:rPr>
                <w:sz w:val="1"/>
                <w:szCs w:val="1"/>
                <w:color w:val="auto"/>
              </w:rPr>
            </w:pPr>
          </w:p>
        </w:tc>
        <w:tc>
          <w:tcPr>
            <w:tcW w:w="18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18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1"/>
        </w:trPr>
        <w:tc>
          <w:tcPr>
            <w:tcW w:w="3400" w:type="dxa"/>
            <w:vAlign w:val="bottom"/>
          </w:tcPr>
          <w:p>
            <w:pPr>
              <w:spacing w:after="0"/>
              <w:rPr>
                <w:sz w:val="23"/>
                <w:szCs w:val="23"/>
                <w:color w:val="auto"/>
              </w:rPr>
            </w:pPr>
          </w:p>
        </w:tc>
        <w:tc>
          <w:tcPr>
            <w:tcW w:w="182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1620" w:type="dxa"/>
            <w:vAlign w:val="bottom"/>
          </w:tcPr>
          <w:p>
            <w:pPr>
              <w:spacing w:after="0"/>
              <w:rPr>
                <w:sz w:val="23"/>
                <w:szCs w:val="23"/>
                <w:color w:val="auto"/>
              </w:rPr>
            </w:pPr>
          </w:p>
        </w:tc>
        <w:tc>
          <w:tcPr>
            <w:tcW w:w="1860" w:type="dxa"/>
            <w:vAlign w:val="bottom"/>
          </w:tcPr>
          <w:p>
            <w:pPr>
              <w:spacing w:after="0"/>
              <w:rPr>
                <w:sz w:val="23"/>
                <w:szCs w:val="23"/>
                <w:color w:val="auto"/>
              </w:rPr>
            </w:pPr>
          </w:p>
        </w:tc>
        <w:tc>
          <w:tcPr>
            <w:tcW w:w="1180" w:type="dxa"/>
            <w:vAlign w:val="bottom"/>
            <w:gridSpan w:val="2"/>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3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Shares redeemed</w:t>
            </w:r>
          </w:p>
        </w:tc>
        <w:tc>
          <w:tcPr>
            <w:tcW w:w="182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6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(97)</w:t>
            </w:r>
          </w:p>
        </w:tc>
        <w:tc>
          <w:tcPr>
            <w:tcW w:w="186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175"/>
        </w:trPr>
        <w:tc>
          <w:tcPr>
            <w:tcW w:w="3400" w:type="dxa"/>
            <w:vAlign w:val="bottom"/>
          </w:tcPr>
          <w:p>
            <w:pPr>
              <w:ind w:left="20"/>
              <w:spacing w:after="0" w:line="176" w:lineRule="exact"/>
              <w:rPr>
                <w:sz w:val="20"/>
                <w:szCs w:val="20"/>
                <w:color w:val="auto"/>
              </w:rPr>
            </w:pPr>
            <w:r>
              <w:rPr>
                <w:rFonts w:ascii="Arial" w:cs="Arial" w:eastAsia="Arial" w:hAnsi="Arial"/>
                <w:sz w:val="18"/>
                <w:szCs w:val="18"/>
                <w:color w:val="auto"/>
              </w:rPr>
              <w:t>Loss attributable to Lee Enterprises,</w:t>
            </w:r>
          </w:p>
        </w:tc>
        <w:tc>
          <w:tcPr>
            <w:tcW w:w="1820" w:type="dxa"/>
            <w:vAlign w:val="bottom"/>
            <w:vMerge w:val="restart"/>
          </w:tcPr>
          <w:p>
            <w:pPr>
              <w:jc w:val="right"/>
              <w:ind w:right="270"/>
              <w:spacing w:after="0"/>
              <w:rPr>
                <w:sz w:val="20"/>
                <w:szCs w:val="20"/>
                <w:color w:val="auto"/>
              </w:rPr>
            </w:pPr>
            <w:r>
              <w:rPr>
                <w:rFonts w:ascii="Arial" w:cs="Arial" w:eastAsia="Arial" w:hAnsi="Arial"/>
                <w:sz w:val="18"/>
                <w:szCs w:val="18"/>
                <w:color w:val="auto"/>
              </w:rPr>
              <w:t>(5,885)</w:t>
            </w:r>
          </w:p>
        </w:tc>
        <w:tc>
          <w:tcPr>
            <w:tcW w:w="1360" w:type="dxa"/>
            <w:vAlign w:val="bottom"/>
            <w:vMerge w:val="restart"/>
          </w:tcPr>
          <w:p>
            <w:pPr>
              <w:jc w:val="right"/>
              <w:ind w:right="110"/>
              <w:spacing w:after="0"/>
              <w:rPr>
                <w:sz w:val="20"/>
                <w:szCs w:val="20"/>
                <w:color w:val="auto"/>
              </w:rPr>
            </w:pPr>
            <w:r>
              <w:rPr>
                <w:rFonts w:ascii="Arial" w:cs="Arial" w:eastAsia="Arial" w:hAnsi="Arial"/>
                <w:sz w:val="18"/>
                <w:szCs w:val="18"/>
                <w:color w:val="auto"/>
              </w:rPr>
              <w:t>—</w:t>
            </w:r>
          </w:p>
        </w:tc>
        <w:tc>
          <w:tcPr>
            <w:tcW w:w="1620" w:type="dxa"/>
            <w:vAlign w:val="bottom"/>
            <w:vMerge w:val="restart"/>
          </w:tcPr>
          <w:p>
            <w:pPr>
              <w:jc w:val="right"/>
              <w:ind w:right="130"/>
              <w:spacing w:after="0"/>
              <w:rPr>
                <w:sz w:val="20"/>
                <w:szCs w:val="20"/>
                <w:color w:val="auto"/>
              </w:rPr>
            </w:pPr>
            <w:r>
              <w:rPr>
                <w:rFonts w:ascii="Arial" w:cs="Arial" w:eastAsia="Arial" w:hAnsi="Arial"/>
                <w:sz w:val="18"/>
                <w:szCs w:val="18"/>
                <w:color w:val="auto"/>
              </w:rPr>
              <w:t>—</w:t>
            </w:r>
          </w:p>
        </w:tc>
        <w:tc>
          <w:tcPr>
            <w:tcW w:w="1860" w:type="dxa"/>
            <w:vAlign w:val="bottom"/>
            <w:vMerge w:val="restart"/>
          </w:tcPr>
          <w:p>
            <w:pPr>
              <w:jc w:val="right"/>
              <w:ind w:right="390"/>
              <w:spacing w:after="0"/>
              <w:rPr>
                <w:sz w:val="20"/>
                <w:szCs w:val="20"/>
                <w:color w:val="auto"/>
              </w:rPr>
            </w:pPr>
            <w:r>
              <w:rPr>
                <w:rFonts w:ascii="Arial" w:cs="Arial" w:eastAsia="Arial" w:hAnsi="Arial"/>
                <w:sz w:val="18"/>
                <w:szCs w:val="18"/>
                <w:color w:val="auto"/>
              </w:rPr>
              <w:t>—</w:t>
            </w:r>
          </w:p>
        </w:tc>
        <w:tc>
          <w:tcPr>
            <w:tcW w:w="118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rPr>
              <w:t>(5,885)</w:t>
            </w:r>
          </w:p>
        </w:tc>
        <w:tc>
          <w:tcPr>
            <w:tcW w:w="0" w:type="dxa"/>
            <w:vAlign w:val="bottom"/>
          </w:tcPr>
          <w:p>
            <w:pPr>
              <w:spacing w:after="0"/>
              <w:rPr>
                <w:sz w:val="1"/>
                <w:szCs w:val="1"/>
                <w:color w:val="auto"/>
              </w:rPr>
            </w:pPr>
          </w:p>
        </w:tc>
      </w:tr>
      <w:tr>
        <w:trPr>
          <w:trHeight w:val="243"/>
        </w:trPr>
        <w:tc>
          <w:tcPr>
            <w:tcW w:w="3400" w:type="dxa"/>
            <w:vAlign w:val="bottom"/>
          </w:tcPr>
          <w:p>
            <w:pPr>
              <w:ind w:left="20"/>
              <w:spacing w:after="0"/>
              <w:rPr>
                <w:sz w:val="20"/>
                <w:szCs w:val="20"/>
                <w:color w:val="auto"/>
              </w:rPr>
            </w:pPr>
            <w:r>
              <w:rPr>
                <w:rFonts w:ascii="Arial" w:cs="Arial" w:eastAsia="Arial" w:hAnsi="Arial"/>
                <w:sz w:val="18"/>
                <w:szCs w:val="18"/>
                <w:color w:val="auto"/>
              </w:rPr>
              <w:t>Incorporated</w:t>
            </w:r>
          </w:p>
        </w:tc>
        <w:tc>
          <w:tcPr>
            <w:tcW w:w="1820" w:type="dxa"/>
            <w:vAlign w:val="bottom"/>
            <w:vMerge w:val="continue"/>
          </w:tcPr>
          <w:p>
            <w:pPr>
              <w:spacing w:after="0"/>
              <w:rPr>
                <w:sz w:val="21"/>
                <w:szCs w:val="21"/>
                <w:color w:val="auto"/>
              </w:rPr>
            </w:pPr>
          </w:p>
        </w:tc>
        <w:tc>
          <w:tcPr>
            <w:tcW w:w="1360" w:type="dxa"/>
            <w:vAlign w:val="bottom"/>
            <w:vMerge w:val="continue"/>
          </w:tcPr>
          <w:p>
            <w:pPr>
              <w:spacing w:after="0"/>
              <w:rPr>
                <w:sz w:val="21"/>
                <w:szCs w:val="21"/>
                <w:color w:val="auto"/>
              </w:rPr>
            </w:pPr>
          </w:p>
        </w:tc>
        <w:tc>
          <w:tcPr>
            <w:tcW w:w="1620" w:type="dxa"/>
            <w:vAlign w:val="bottom"/>
            <w:vMerge w:val="continue"/>
          </w:tcPr>
          <w:p>
            <w:pPr>
              <w:spacing w:after="0"/>
              <w:rPr>
                <w:sz w:val="21"/>
                <w:szCs w:val="21"/>
                <w:color w:val="auto"/>
              </w:rPr>
            </w:pPr>
          </w:p>
        </w:tc>
        <w:tc>
          <w:tcPr>
            <w:tcW w:w="1860" w:type="dxa"/>
            <w:vAlign w:val="bottom"/>
            <w:vMerge w:val="continue"/>
          </w:tcPr>
          <w:p>
            <w:pPr>
              <w:spacing w:after="0"/>
              <w:rPr>
                <w:sz w:val="21"/>
                <w:szCs w:val="21"/>
                <w:color w:val="auto"/>
              </w:rPr>
            </w:pPr>
          </w:p>
        </w:tc>
        <w:tc>
          <w:tcPr>
            <w:tcW w:w="1180" w:type="dxa"/>
            <w:vAlign w:val="bottom"/>
            <w:gridSpan w:val="2"/>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3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 compensation</w:t>
            </w:r>
          </w:p>
        </w:tc>
        <w:tc>
          <w:tcPr>
            <w:tcW w:w="182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6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574</w:t>
            </w:r>
          </w:p>
        </w:tc>
        <w:tc>
          <w:tcPr>
            <w:tcW w:w="186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574</w:t>
            </w:r>
          </w:p>
        </w:tc>
        <w:tc>
          <w:tcPr>
            <w:tcW w:w="0" w:type="dxa"/>
            <w:vAlign w:val="bottom"/>
          </w:tcPr>
          <w:p>
            <w:pPr>
              <w:spacing w:after="0"/>
              <w:rPr>
                <w:sz w:val="1"/>
                <w:szCs w:val="1"/>
                <w:color w:val="auto"/>
              </w:rPr>
            </w:pPr>
          </w:p>
        </w:tc>
      </w:tr>
      <w:tr>
        <w:trPr>
          <w:trHeight w:val="230"/>
        </w:trPr>
        <w:tc>
          <w:tcPr>
            <w:tcW w:w="3400" w:type="dxa"/>
            <w:vAlign w:val="bottom"/>
          </w:tcPr>
          <w:p>
            <w:pPr>
              <w:ind w:left="20"/>
              <w:spacing w:after="0"/>
              <w:rPr>
                <w:sz w:val="20"/>
                <w:szCs w:val="20"/>
                <w:color w:val="auto"/>
              </w:rPr>
            </w:pPr>
            <w:r>
              <w:rPr>
                <w:rFonts w:ascii="Arial" w:cs="Arial" w:eastAsia="Arial" w:hAnsi="Arial"/>
                <w:sz w:val="18"/>
                <w:szCs w:val="18"/>
                <w:color w:val="auto"/>
              </w:rPr>
              <w:t>Other comprehensive loss</w:t>
            </w:r>
          </w:p>
        </w:tc>
        <w:tc>
          <w:tcPr>
            <w:tcW w:w="182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62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860" w:type="dxa"/>
            <w:vAlign w:val="bottom"/>
          </w:tcPr>
          <w:p>
            <w:pPr>
              <w:jc w:val="right"/>
              <w:ind w:right="350"/>
              <w:spacing w:after="0"/>
              <w:rPr>
                <w:sz w:val="20"/>
                <w:szCs w:val="20"/>
                <w:color w:val="auto"/>
              </w:rPr>
            </w:pPr>
            <w:r>
              <w:rPr>
                <w:rFonts w:ascii="Arial" w:cs="Arial" w:eastAsia="Arial" w:hAnsi="Arial"/>
                <w:sz w:val="18"/>
                <w:szCs w:val="18"/>
                <w:color w:val="auto"/>
              </w:rPr>
              <w:t>(200)</w:t>
            </w: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r>
        <w:trPr>
          <w:trHeight w:val="230"/>
        </w:trPr>
        <w:tc>
          <w:tcPr>
            <w:tcW w:w="34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Deferred income taxes, net</w:t>
            </w:r>
          </w:p>
        </w:tc>
        <w:tc>
          <w:tcPr>
            <w:tcW w:w="182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6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860" w:type="dxa"/>
            <w:vAlign w:val="bottom"/>
            <w:tcBorders>
              <w:bottom w:val="single" w:sz="8" w:color="auto"/>
            </w:tcBorders>
            <w:shd w:val="clear" w:color="auto" w:fill="CCEEFF"/>
          </w:tcPr>
          <w:p>
            <w:pPr>
              <w:jc w:val="right"/>
              <w:ind w:right="390"/>
              <w:spacing w:after="0"/>
              <w:rPr>
                <w:sz w:val="20"/>
                <w:szCs w:val="20"/>
                <w:color w:val="auto"/>
              </w:rPr>
            </w:pPr>
            <w:r>
              <w:rPr>
                <w:rFonts w:ascii="Arial" w:cs="Arial" w:eastAsia="Arial" w:hAnsi="Arial"/>
                <w:sz w:val="18"/>
                <w:szCs w:val="18"/>
                <w:color w:val="auto"/>
              </w:rPr>
              <w:t>60</w:t>
            </w:r>
          </w:p>
        </w:tc>
        <w:tc>
          <w:tcPr>
            <w:tcW w:w="118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23"/>
        </w:trPr>
        <w:tc>
          <w:tcPr>
            <w:tcW w:w="34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March 26, 2023</w:t>
            </w:r>
          </w:p>
        </w:tc>
        <w:tc>
          <w:tcPr>
            <w:tcW w:w="18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(266,015)</w:t>
            </w:r>
          </w:p>
        </w:tc>
        <w:tc>
          <w:tcPr>
            <w:tcW w:w="136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60</w:t>
            </w:r>
          </w:p>
        </w:tc>
        <w:tc>
          <w:tcPr>
            <w:tcW w:w="16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259,964</w:t>
            </w:r>
          </w:p>
        </w:tc>
        <w:tc>
          <w:tcPr>
            <w:tcW w:w="186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16,373</w:t>
            </w:r>
          </w:p>
        </w:tc>
        <w:tc>
          <w:tcPr>
            <w:tcW w:w="118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10,382</w:t>
            </w:r>
          </w:p>
        </w:tc>
        <w:tc>
          <w:tcPr>
            <w:tcW w:w="0" w:type="dxa"/>
            <w:vAlign w:val="bottom"/>
          </w:tcPr>
          <w:p>
            <w:pPr>
              <w:spacing w:after="0"/>
              <w:rPr>
                <w:sz w:val="1"/>
                <w:szCs w:val="1"/>
                <w:color w:val="auto"/>
              </w:rPr>
            </w:pPr>
          </w:p>
        </w:tc>
      </w:tr>
      <w:tr>
        <w:trPr>
          <w:trHeight w:val="20"/>
        </w:trPr>
        <w:tc>
          <w:tcPr>
            <w:tcW w:w="340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LEE ENTERPRISES, INCORPORATED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143510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14" w:lineRule="exact"/>
        <w:rPr>
          <w:sz w:val="20"/>
          <w:szCs w:val="20"/>
          <w:color w:val="auto"/>
        </w:rPr>
      </w:pPr>
    </w:p>
    <w:p>
      <w:pPr>
        <w:ind w:left="8820"/>
        <w:spacing w:after="0"/>
        <w:rPr>
          <w:sz w:val="20"/>
          <w:szCs w:val="20"/>
          <w:color w:val="auto"/>
        </w:rPr>
      </w:pPr>
      <w:r>
        <w:rPr>
          <w:rFonts w:ascii="Arial" w:cs="Arial" w:eastAsia="Arial" w:hAnsi="Arial"/>
          <w:sz w:val="18"/>
          <w:szCs w:val="18"/>
          <w:color w:val="auto"/>
        </w:rPr>
        <w:t>Six months ended</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7980" w:type="dxa"/>
            <w:vAlign w:val="bottom"/>
            <w:tcBorders>
              <w:top w:val="single" w:sz="8" w:color="auto"/>
            </w:tcBorders>
          </w:tcPr>
          <w:p>
            <w:pPr>
              <w:spacing w:after="0"/>
              <w:rPr>
                <w:sz w:val="14"/>
                <w:szCs w:val="14"/>
                <w:color w:val="auto"/>
              </w:rPr>
            </w:pPr>
          </w:p>
        </w:tc>
        <w:tc>
          <w:tcPr>
            <w:tcW w:w="2000" w:type="dxa"/>
            <w:vAlign w:val="bottom"/>
            <w:tcBorders>
              <w:top w:val="single" w:sz="8" w:color="auto"/>
            </w:tcBorders>
          </w:tcPr>
          <w:p>
            <w:pPr>
              <w:jc w:val="right"/>
              <w:ind w:right="370"/>
              <w:spacing w:after="0" w:line="169" w:lineRule="exact"/>
              <w:rPr>
                <w:sz w:val="20"/>
                <w:szCs w:val="20"/>
                <w:color w:val="auto"/>
              </w:rPr>
            </w:pPr>
            <w:r>
              <w:rPr>
                <w:rFonts w:ascii="Arial" w:cs="Arial" w:eastAsia="Arial" w:hAnsi="Arial"/>
                <w:sz w:val="18"/>
                <w:szCs w:val="18"/>
                <w:color w:val="auto"/>
              </w:rPr>
              <w:t>March 24,</w:t>
            </w:r>
          </w:p>
        </w:tc>
        <w:tc>
          <w:tcPr>
            <w:tcW w:w="1260" w:type="dxa"/>
            <w:vAlign w:val="bottom"/>
            <w:tcBorders>
              <w:top w:val="single" w:sz="8" w:color="auto"/>
            </w:tcBorders>
          </w:tcPr>
          <w:p>
            <w:pPr>
              <w:jc w:val="right"/>
              <w:spacing w:after="0" w:line="169" w:lineRule="exact"/>
              <w:rPr>
                <w:sz w:val="20"/>
                <w:szCs w:val="20"/>
                <w:color w:val="auto"/>
              </w:rPr>
            </w:pPr>
            <w:r>
              <w:rPr>
                <w:rFonts w:ascii="Arial" w:cs="Arial" w:eastAsia="Arial" w:hAnsi="Arial"/>
                <w:sz w:val="18"/>
                <w:szCs w:val="18"/>
                <w:color w:val="auto"/>
              </w:rPr>
              <w:t>March 26,</w:t>
            </w:r>
          </w:p>
        </w:tc>
      </w:tr>
      <w:tr>
        <w:trPr>
          <w:trHeight w:val="242"/>
        </w:trPr>
        <w:tc>
          <w:tcPr>
            <w:tcW w:w="7980" w:type="dxa"/>
            <w:vAlign w:val="bottom"/>
            <w:tcBorders>
              <w:bottom w:val="single" w:sz="8" w:color="auto"/>
            </w:tcBorders>
          </w:tcPr>
          <w:p>
            <w:pPr>
              <w:ind w:left="20"/>
              <w:spacing w:after="0"/>
              <w:rPr>
                <w:sz w:val="20"/>
                <w:szCs w:val="20"/>
                <w:color w:val="auto"/>
              </w:rPr>
            </w:pPr>
            <w:r>
              <w:rPr>
                <w:rFonts w:ascii="Arial" w:cs="Arial" w:eastAsia="Arial" w:hAnsi="Arial"/>
                <w:sz w:val="16"/>
                <w:szCs w:val="16"/>
                <w:i w:val="1"/>
                <w:iCs w:val="1"/>
                <w:color w:val="auto"/>
              </w:rPr>
              <w:t>(Thousands of Dollars)</w:t>
            </w:r>
          </w:p>
        </w:tc>
        <w:tc>
          <w:tcPr>
            <w:tcW w:w="20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2024</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2023</w:t>
            </w:r>
          </w:p>
        </w:tc>
      </w:tr>
      <w:tr>
        <w:trPr>
          <w:trHeight w:val="251"/>
        </w:trPr>
        <w:tc>
          <w:tcPr>
            <w:tcW w:w="7980" w:type="dxa"/>
            <w:vAlign w:val="bottom"/>
          </w:tcPr>
          <w:p>
            <w:pPr>
              <w:spacing w:after="0"/>
              <w:rPr>
                <w:sz w:val="21"/>
                <w:szCs w:val="21"/>
                <w:color w:val="auto"/>
              </w:rPr>
            </w:pPr>
          </w:p>
        </w:tc>
        <w:tc>
          <w:tcPr>
            <w:tcW w:w="200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229"/>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provided by operating activities:</w:t>
            </w:r>
          </w:p>
        </w:tc>
        <w:tc>
          <w:tcPr>
            <w:tcW w:w="20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229"/>
        </w:trPr>
        <w:tc>
          <w:tcPr>
            <w:tcW w:w="7980" w:type="dxa"/>
            <w:vAlign w:val="bottom"/>
          </w:tcPr>
          <w:p>
            <w:pPr>
              <w:ind w:left="180"/>
              <w:spacing w:after="0"/>
              <w:rPr>
                <w:sz w:val="20"/>
                <w:szCs w:val="20"/>
                <w:color w:val="auto"/>
              </w:rPr>
            </w:pPr>
            <w:r>
              <w:rPr>
                <w:rFonts w:ascii="Arial" w:cs="Arial" w:eastAsia="Arial" w:hAnsi="Arial"/>
                <w:sz w:val="18"/>
                <w:szCs w:val="18"/>
                <w:color w:val="auto"/>
              </w:rPr>
              <w:t>Net loss</w:t>
            </w:r>
          </w:p>
        </w:tc>
        <w:tc>
          <w:tcPr>
            <w:tcW w:w="2000" w:type="dxa"/>
            <w:vAlign w:val="bottom"/>
          </w:tcPr>
          <w:p>
            <w:pPr>
              <w:jc w:val="right"/>
              <w:ind w:right="370"/>
              <w:spacing w:after="0"/>
              <w:rPr>
                <w:sz w:val="20"/>
                <w:szCs w:val="20"/>
                <w:color w:val="auto"/>
              </w:rPr>
            </w:pPr>
            <w:r>
              <w:rPr>
                <w:rFonts w:ascii="Arial" w:cs="Arial" w:eastAsia="Arial" w:hAnsi="Arial"/>
                <w:sz w:val="18"/>
                <w:szCs w:val="18"/>
                <w:color w:val="auto"/>
              </w:rPr>
              <w:t>(10,403)</w:t>
            </w:r>
          </w:p>
        </w:tc>
        <w:tc>
          <w:tcPr>
            <w:tcW w:w="1260" w:type="dxa"/>
            <w:vAlign w:val="bottom"/>
          </w:tcPr>
          <w:p>
            <w:pPr>
              <w:jc w:val="right"/>
              <w:spacing w:after="0"/>
              <w:rPr>
                <w:sz w:val="20"/>
                <w:szCs w:val="20"/>
                <w:color w:val="auto"/>
              </w:rPr>
            </w:pPr>
            <w:r>
              <w:rPr>
                <w:rFonts w:ascii="Arial" w:cs="Arial" w:eastAsia="Arial" w:hAnsi="Arial"/>
                <w:sz w:val="18"/>
                <w:szCs w:val="18"/>
                <w:color w:val="auto"/>
              </w:rPr>
              <w:t>(3,542)</w:t>
            </w:r>
          </w:p>
        </w:tc>
      </w:tr>
      <w:tr>
        <w:trPr>
          <w:trHeight w:val="230"/>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Adjustments to reconcile net loss to net cash provided by operating activities:</w:t>
            </w:r>
          </w:p>
        </w:tc>
        <w:tc>
          <w:tcPr>
            <w:tcW w:w="20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229"/>
        </w:trPr>
        <w:tc>
          <w:tcPr>
            <w:tcW w:w="7980" w:type="dxa"/>
            <w:vAlign w:val="bottom"/>
          </w:tcPr>
          <w:p>
            <w:pPr>
              <w:ind w:left="180"/>
              <w:spacing w:after="0"/>
              <w:rPr>
                <w:sz w:val="20"/>
                <w:szCs w:val="20"/>
                <w:color w:val="auto"/>
              </w:rPr>
            </w:pPr>
            <w:r>
              <w:rPr>
                <w:rFonts w:ascii="Arial" w:cs="Arial" w:eastAsia="Arial" w:hAnsi="Arial"/>
                <w:sz w:val="18"/>
                <w:szCs w:val="18"/>
                <w:color w:val="auto"/>
              </w:rPr>
              <w:t>Depreciation and amortization</w:t>
            </w:r>
          </w:p>
        </w:tc>
        <w:tc>
          <w:tcPr>
            <w:tcW w:w="2000" w:type="dxa"/>
            <w:vAlign w:val="bottom"/>
          </w:tcPr>
          <w:p>
            <w:pPr>
              <w:jc w:val="right"/>
              <w:ind w:right="430"/>
              <w:spacing w:after="0"/>
              <w:rPr>
                <w:sz w:val="20"/>
                <w:szCs w:val="20"/>
                <w:color w:val="auto"/>
              </w:rPr>
            </w:pPr>
            <w:r>
              <w:rPr>
                <w:rFonts w:ascii="Arial" w:cs="Arial" w:eastAsia="Arial" w:hAnsi="Arial"/>
                <w:sz w:val="18"/>
                <w:szCs w:val="18"/>
                <w:color w:val="auto"/>
              </w:rPr>
              <w:t>14,588</w:t>
            </w:r>
          </w:p>
        </w:tc>
        <w:tc>
          <w:tcPr>
            <w:tcW w:w="1260" w:type="dxa"/>
            <w:vAlign w:val="bottom"/>
          </w:tcPr>
          <w:p>
            <w:pPr>
              <w:jc w:val="right"/>
              <w:spacing w:after="0"/>
              <w:rPr>
                <w:sz w:val="20"/>
                <w:szCs w:val="20"/>
                <w:color w:val="auto"/>
              </w:rPr>
            </w:pPr>
            <w:r>
              <w:rPr>
                <w:rFonts w:ascii="Arial" w:cs="Arial" w:eastAsia="Arial" w:hAnsi="Arial"/>
                <w:sz w:val="18"/>
                <w:szCs w:val="18"/>
                <w:color w:val="auto"/>
              </w:rPr>
              <w:t>15,619</w:t>
            </w:r>
          </w:p>
        </w:tc>
      </w:tr>
      <w:tr>
        <w:trPr>
          <w:trHeight w:val="230"/>
        </w:trPr>
        <w:tc>
          <w:tcPr>
            <w:tcW w:w="7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Bad debt expense</w:t>
            </w:r>
          </w:p>
        </w:tc>
        <w:tc>
          <w:tcPr>
            <w:tcW w:w="200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rPr>
              <w:t>6,579</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3,236</w:t>
            </w:r>
          </w:p>
        </w:tc>
      </w:tr>
      <w:tr>
        <w:trPr>
          <w:trHeight w:val="229"/>
        </w:trPr>
        <w:tc>
          <w:tcPr>
            <w:tcW w:w="7980" w:type="dxa"/>
            <w:vAlign w:val="bottom"/>
          </w:tcPr>
          <w:p>
            <w:pPr>
              <w:ind w:left="180"/>
              <w:spacing w:after="0"/>
              <w:rPr>
                <w:sz w:val="20"/>
                <w:szCs w:val="20"/>
                <w:color w:val="auto"/>
              </w:rPr>
            </w:pPr>
            <w:r>
              <w:rPr>
                <w:rFonts w:ascii="Arial" w:cs="Arial" w:eastAsia="Arial" w:hAnsi="Arial"/>
                <w:sz w:val="18"/>
                <w:szCs w:val="18"/>
                <w:color w:val="auto"/>
              </w:rPr>
              <w:t>Curtailment/Settlement gain</w:t>
            </w:r>
          </w:p>
        </w:tc>
        <w:tc>
          <w:tcPr>
            <w:tcW w:w="2000" w:type="dxa"/>
            <w:vAlign w:val="bottom"/>
          </w:tcPr>
          <w:p>
            <w:pPr>
              <w:jc w:val="right"/>
              <w:ind w:right="370"/>
              <w:spacing w:after="0"/>
              <w:rPr>
                <w:sz w:val="20"/>
                <w:szCs w:val="20"/>
                <w:color w:val="auto"/>
              </w:rPr>
            </w:pPr>
            <w:r>
              <w:rPr>
                <w:rFonts w:ascii="Arial" w:cs="Arial" w:eastAsia="Arial" w:hAnsi="Arial"/>
                <w:sz w:val="18"/>
                <w:szCs w:val="18"/>
                <w:color w:val="auto"/>
              </w:rPr>
              <w:t>(3,593)</w:t>
            </w:r>
          </w:p>
        </w:tc>
        <w:tc>
          <w:tcPr>
            <w:tcW w:w="12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7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Stock compensation expense</w:t>
            </w:r>
          </w:p>
        </w:tc>
        <w:tc>
          <w:tcPr>
            <w:tcW w:w="200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rPr>
              <w:t>715</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922</w:t>
            </w:r>
          </w:p>
        </w:tc>
      </w:tr>
      <w:tr>
        <w:trPr>
          <w:trHeight w:val="230"/>
        </w:trPr>
        <w:tc>
          <w:tcPr>
            <w:tcW w:w="7980" w:type="dxa"/>
            <w:vAlign w:val="bottom"/>
          </w:tcPr>
          <w:p>
            <w:pPr>
              <w:ind w:left="180"/>
              <w:spacing w:after="0"/>
              <w:rPr>
                <w:sz w:val="20"/>
                <w:szCs w:val="20"/>
                <w:color w:val="auto"/>
              </w:rPr>
            </w:pPr>
            <w:r>
              <w:rPr>
                <w:rFonts w:ascii="Arial" w:cs="Arial" w:eastAsia="Arial" w:hAnsi="Arial"/>
                <w:sz w:val="18"/>
                <w:szCs w:val="18"/>
                <w:color w:val="auto"/>
              </w:rPr>
              <w:t>Assets (loss) gain on sales, impairments and other, net</w:t>
            </w:r>
          </w:p>
        </w:tc>
        <w:tc>
          <w:tcPr>
            <w:tcW w:w="2000" w:type="dxa"/>
            <w:vAlign w:val="bottom"/>
          </w:tcPr>
          <w:p>
            <w:pPr>
              <w:jc w:val="right"/>
              <w:ind w:right="430"/>
              <w:spacing w:after="0"/>
              <w:rPr>
                <w:sz w:val="20"/>
                <w:szCs w:val="20"/>
                <w:color w:val="auto"/>
              </w:rPr>
            </w:pPr>
            <w:r>
              <w:rPr>
                <w:rFonts w:ascii="Arial" w:cs="Arial" w:eastAsia="Arial" w:hAnsi="Arial"/>
                <w:sz w:val="18"/>
                <w:szCs w:val="18"/>
                <w:color w:val="auto"/>
              </w:rPr>
              <w:t>6,148</w:t>
            </w:r>
          </w:p>
        </w:tc>
        <w:tc>
          <w:tcPr>
            <w:tcW w:w="1260" w:type="dxa"/>
            <w:vAlign w:val="bottom"/>
          </w:tcPr>
          <w:p>
            <w:pPr>
              <w:jc w:val="right"/>
              <w:spacing w:after="0"/>
              <w:rPr>
                <w:sz w:val="20"/>
                <w:szCs w:val="20"/>
                <w:color w:val="auto"/>
              </w:rPr>
            </w:pPr>
            <w:r>
              <w:rPr>
                <w:rFonts w:ascii="Arial" w:cs="Arial" w:eastAsia="Arial" w:hAnsi="Arial"/>
                <w:sz w:val="18"/>
                <w:szCs w:val="18"/>
                <w:color w:val="auto"/>
              </w:rPr>
              <w:t>(3,355)</w:t>
            </w:r>
          </w:p>
        </w:tc>
      </w:tr>
      <w:tr>
        <w:trPr>
          <w:trHeight w:val="229"/>
        </w:trPr>
        <w:tc>
          <w:tcPr>
            <w:tcW w:w="7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Earnings, net of distributions, deemed returns on investment of TNI and MNI</w:t>
            </w:r>
          </w:p>
        </w:tc>
        <w:tc>
          <w:tcPr>
            <w:tcW w:w="200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(26)</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374</w:t>
            </w:r>
          </w:p>
        </w:tc>
      </w:tr>
      <w:tr>
        <w:trPr>
          <w:trHeight w:val="229"/>
        </w:trPr>
        <w:tc>
          <w:tcPr>
            <w:tcW w:w="7980" w:type="dxa"/>
            <w:vAlign w:val="bottom"/>
          </w:tcPr>
          <w:p>
            <w:pPr>
              <w:ind w:left="180"/>
              <w:spacing w:after="0"/>
              <w:rPr>
                <w:sz w:val="20"/>
                <w:szCs w:val="20"/>
                <w:color w:val="auto"/>
              </w:rPr>
            </w:pPr>
            <w:r>
              <w:rPr>
                <w:rFonts w:ascii="Arial" w:cs="Arial" w:eastAsia="Arial" w:hAnsi="Arial"/>
                <w:sz w:val="18"/>
                <w:szCs w:val="18"/>
                <w:color w:val="auto"/>
              </w:rPr>
              <w:t>Gain on sale of investment</w:t>
            </w:r>
          </w:p>
        </w:tc>
        <w:tc>
          <w:tcPr>
            <w:tcW w:w="2000" w:type="dxa"/>
            <w:vAlign w:val="bottom"/>
          </w:tcPr>
          <w:p>
            <w:pPr>
              <w:jc w:val="right"/>
              <w:ind w:right="430"/>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(1,408)</w:t>
            </w:r>
          </w:p>
        </w:tc>
      </w:tr>
      <w:tr>
        <w:trPr>
          <w:trHeight w:val="230"/>
        </w:trPr>
        <w:tc>
          <w:tcPr>
            <w:tcW w:w="7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Deferred income taxes</w:t>
            </w:r>
          </w:p>
        </w:tc>
        <w:tc>
          <w:tcPr>
            <w:tcW w:w="200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(577)</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(368)</w:t>
            </w:r>
          </w:p>
        </w:tc>
      </w:tr>
      <w:tr>
        <w:trPr>
          <w:trHeight w:val="229"/>
        </w:trPr>
        <w:tc>
          <w:tcPr>
            <w:tcW w:w="7980" w:type="dxa"/>
            <w:vAlign w:val="bottom"/>
          </w:tcPr>
          <w:p>
            <w:pPr>
              <w:ind w:left="180"/>
              <w:spacing w:after="0"/>
              <w:rPr>
                <w:sz w:val="20"/>
                <w:szCs w:val="20"/>
                <w:color w:val="auto"/>
              </w:rPr>
            </w:pPr>
            <w:r>
              <w:rPr>
                <w:rFonts w:ascii="Arial" w:cs="Arial" w:eastAsia="Arial" w:hAnsi="Arial"/>
                <w:sz w:val="18"/>
                <w:szCs w:val="18"/>
                <w:color w:val="auto"/>
              </w:rPr>
              <w:t>Return of letters of credit collateral</w:t>
            </w:r>
          </w:p>
        </w:tc>
        <w:tc>
          <w:tcPr>
            <w:tcW w:w="2000" w:type="dxa"/>
            <w:vAlign w:val="bottom"/>
          </w:tcPr>
          <w:p>
            <w:pPr>
              <w:jc w:val="right"/>
              <w:ind w:right="430"/>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778</w:t>
            </w:r>
          </w:p>
        </w:tc>
      </w:tr>
      <w:tr>
        <w:trPr>
          <w:trHeight w:val="230"/>
        </w:trPr>
        <w:tc>
          <w:tcPr>
            <w:tcW w:w="7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net</w:t>
            </w:r>
          </w:p>
        </w:tc>
        <w:tc>
          <w:tcPr>
            <w:tcW w:w="200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(1,036)</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(895)</w:t>
            </w:r>
          </w:p>
        </w:tc>
      </w:tr>
      <w:tr>
        <w:trPr>
          <w:trHeight w:val="229"/>
        </w:trPr>
        <w:tc>
          <w:tcPr>
            <w:tcW w:w="7980" w:type="dxa"/>
            <w:vAlign w:val="bottom"/>
          </w:tcPr>
          <w:p>
            <w:pPr>
              <w:ind w:left="180"/>
              <w:spacing w:after="0"/>
              <w:rPr>
                <w:sz w:val="20"/>
                <w:szCs w:val="20"/>
                <w:color w:val="auto"/>
              </w:rPr>
            </w:pPr>
            <w:r>
              <w:rPr>
                <w:rFonts w:ascii="Arial" w:cs="Arial" w:eastAsia="Arial" w:hAnsi="Arial"/>
                <w:sz w:val="18"/>
                <w:szCs w:val="18"/>
                <w:color w:val="auto"/>
              </w:rPr>
              <w:t>Changes in operating assets and liabilities:</w:t>
            </w:r>
          </w:p>
        </w:tc>
        <w:tc>
          <w:tcPr>
            <w:tcW w:w="200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29"/>
        </w:trPr>
        <w:tc>
          <w:tcPr>
            <w:tcW w:w="79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Increase (decrease) in receivables</w:t>
            </w:r>
          </w:p>
        </w:tc>
        <w:tc>
          <w:tcPr>
            <w:tcW w:w="200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rPr>
              <w:t>3,022</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(1,516)</w:t>
            </w:r>
          </w:p>
        </w:tc>
      </w:tr>
      <w:tr>
        <w:trPr>
          <w:trHeight w:val="230"/>
        </w:trPr>
        <w:tc>
          <w:tcPr>
            <w:tcW w:w="7980" w:type="dxa"/>
            <w:vAlign w:val="bottom"/>
          </w:tcPr>
          <w:p>
            <w:pPr>
              <w:ind w:left="360"/>
              <w:spacing w:after="0"/>
              <w:rPr>
                <w:sz w:val="20"/>
                <w:szCs w:val="20"/>
                <w:color w:val="auto"/>
              </w:rPr>
            </w:pPr>
            <w:r>
              <w:rPr>
                <w:rFonts w:ascii="Arial" w:cs="Arial" w:eastAsia="Arial" w:hAnsi="Arial"/>
                <w:sz w:val="18"/>
                <w:szCs w:val="18"/>
                <w:color w:val="auto"/>
              </w:rPr>
              <w:t>Decrease in inventories and other</w:t>
            </w:r>
          </w:p>
        </w:tc>
        <w:tc>
          <w:tcPr>
            <w:tcW w:w="2000" w:type="dxa"/>
            <w:vAlign w:val="bottom"/>
          </w:tcPr>
          <w:p>
            <w:pPr>
              <w:jc w:val="right"/>
              <w:ind w:right="370"/>
              <w:spacing w:after="0"/>
              <w:rPr>
                <w:sz w:val="20"/>
                <w:szCs w:val="20"/>
                <w:color w:val="auto"/>
              </w:rPr>
            </w:pPr>
            <w:r>
              <w:rPr>
                <w:rFonts w:ascii="Arial" w:cs="Arial" w:eastAsia="Arial" w:hAnsi="Arial"/>
                <w:sz w:val="18"/>
                <w:szCs w:val="18"/>
                <w:color w:val="auto"/>
              </w:rPr>
              <w:t>(110)</w:t>
            </w:r>
          </w:p>
        </w:tc>
        <w:tc>
          <w:tcPr>
            <w:tcW w:w="1260" w:type="dxa"/>
            <w:vAlign w:val="bottom"/>
          </w:tcPr>
          <w:p>
            <w:pPr>
              <w:jc w:val="right"/>
              <w:spacing w:after="0"/>
              <w:rPr>
                <w:sz w:val="20"/>
                <w:szCs w:val="20"/>
                <w:color w:val="auto"/>
              </w:rPr>
            </w:pPr>
            <w:r>
              <w:rPr>
                <w:rFonts w:ascii="Arial" w:cs="Arial" w:eastAsia="Arial" w:hAnsi="Arial"/>
                <w:sz w:val="18"/>
                <w:szCs w:val="18"/>
                <w:color w:val="auto"/>
              </w:rPr>
              <w:t>(1,921)</w:t>
            </w:r>
          </w:p>
        </w:tc>
      </w:tr>
      <w:tr>
        <w:trPr>
          <w:trHeight w:val="230"/>
        </w:trPr>
        <w:tc>
          <w:tcPr>
            <w:tcW w:w="79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Decrease in accounts payable and other accrued liabilities</w:t>
            </w:r>
          </w:p>
        </w:tc>
        <w:tc>
          <w:tcPr>
            <w:tcW w:w="200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(506)</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(4,977)</w:t>
            </w:r>
          </w:p>
        </w:tc>
      </w:tr>
      <w:tr>
        <w:trPr>
          <w:trHeight w:val="230"/>
        </w:trPr>
        <w:tc>
          <w:tcPr>
            <w:tcW w:w="7980" w:type="dxa"/>
            <w:vAlign w:val="bottom"/>
          </w:tcPr>
          <w:p>
            <w:pPr>
              <w:ind w:left="360"/>
              <w:spacing w:after="0"/>
              <w:rPr>
                <w:sz w:val="20"/>
                <w:szCs w:val="20"/>
                <w:color w:val="auto"/>
              </w:rPr>
            </w:pPr>
            <w:r>
              <w:rPr>
                <w:rFonts w:ascii="Arial" w:cs="Arial" w:eastAsia="Arial" w:hAnsi="Arial"/>
                <w:sz w:val="18"/>
                <w:szCs w:val="18"/>
                <w:color w:val="auto"/>
              </w:rPr>
              <w:t>Decrease in pension and other postretirement and postemployment benefit obligations</w:t>
            </w:r>
          </w:p>
        </w:tc>
        <w:tc>
          <w:tcPr>
            <w:tcW w:w="2000" w:type="dxa"/>
            <w:vAlign w:val="bottom"/>
          </w:tcPr>
          <w:p>
            <w:pPr>
              <w:jc w:val="right"/>
              <w:ind w:right="370"/>
              <w:spacing w:after="0"/>
              <w:rPr>
                <w:sz w:val="20"/>
                <w:szCs w:val="20"/>
                <w:color w:val="auto"/>
              </w:rPr>
            </w:pPr>
            <w:r>
              <w:rPr>
                <w:rFonts w:ascii="Arial" w:cs="Arial" w:eastAsia="Arial" w:hAnsi="Arial"/>
                <w:sz w:val="18"/>
                <w:szCs w:val="18"/>
                <w:color w:val="auto"/>
              </w:rPr>
              <w:t>(1,195)</w:t>
            </w:r>
          </w:p>
        </w:tc>
        <w:tc>
          <w:tcPr>
            <w:tcW w:w="126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30"/>
        </w:trPr>
        <w:tc>
          <w:tcPr>
            <w:tcW w:w="79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Change in income taxes payable</w:t>
            </w:r>
          </w:p>
        </w:tc>
        <w:tc>
          <w:tcPr>
            <w:tcW w:w="200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(8,944)</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w:t>
            </w:r>
          </w:p>
        </w:tc>
      </w:tr>
      <w:tr>
        <w:trPr>
          <w:trHeight w:val="229"/>
        </w:trPr>
        <w:tc>
          <w:tcPr>
            <w:tcW w:w="7980" w:type="dxa"/>
            <w:vAlign w:val="bottom"/>
            <w:tcBorders>
              <w:bottom w:val="single" w:sz="8" w:color="auto"/>
            </w:tcBorders>
          </w:tcPr>
          <w:p>
            <w:pPr>
              <w:ind w:left="360"/>
              <w:spacing w:after="0"/>
              <w:rPr>
                <w:sz w:val="20"/>
                <w:szCs w:val="20"/>
                <w:color w:val="auto"/>
              </w:rPr>
            </w:pPr>
            <w:r>
              <w:rPr>
                <w:rFonts w:ascii="Arial" w:cs="Arial" w:eastAsia="Arial" w:hAnsi="Arial"/>
                <w:sz w:val="18"/>
                <w:szCs w:val="18"/>
                <w:color w:val="auto"/>
              </w:rPr>
              <w:t>Other</w:t>
            </w:r>
          </w:p>
        </w:tc>
        <w:tc>
          <w:tcPr>
            <w:tcW w:w="20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(1,382)</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(2,128)</w:t>
            </w:r>
          </w:p>
        </w:tc>
      </w:tr>
      <w:tr>
        <w:trPr>
          <w:trHeight w:val="223"/>
        </w:trPr>
        <w:tc>
          <w:tcPr>
            <w:tcW w:w="79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2000" w:type="dxa"/>
            <w:vAlign w:val="bottom"/>
            <w:tcBorders>
              <w:bottom w:val="single" w:sz="8" w:color="auto"/>
            </w:tcBorders>
            <w:shd w:val="clear" w:color="auto" w:fill="CCEEFF"/>
          </w:tcPr>
          <w:p>
            <w:pPr>
              <w:jc w:val="right"/>
              <w:ind w:right="430"/>
              <w:spacing w:after="0"/>
              <w:rPr>
                <w:sz w:val="20"/>
                <w:szCs w:val="20"/>
                <w:color w:val="auto"/>
              </w:rPr>
            </w:pPr>
            <w:r>
              <w:rPr>
                <w:rFonts w:ascii="Arial" w:cs="Arial" w:eastAsia="Arial" w:hAnsi="Arial"/>
                <w:sz w:val="18"/>
                <w:szCs w:val="18"/>
                <w:color w:val="auto"/>
              </w:rPr>
              <w:t>3,280</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1,021</w:t>
            </w:r>
          </w:p>
        </w:tc>
      </w:tr>
      <w:tr>
        <w:trPr>
          <w:trHeight w:val="223"/>
        </w:trPr>
        <w:tc>
          <w:tcPr>
            <w:tcW w:w="7980" w:type="dxa"/>
            <w:vAlign w:val="bottom"/>
          </w:tcPr>
          <w:p>
            <w:pPr>
              <w:ind w:left="20"/>
              <w:spacing w:after="0"/>
              <w:rPr>
                <w:sz w:val="20"/>
                <w:szCs w:val="20"/>
                <w:color w:val="auto"/>
              </w:rPr>
            </w:pPr>
            <w:r>
              <w:rPr>
                <w:rFonts w:ascii="Arial" w:cs="Arial" w:eastAsia="Arial" w:hAnsi="Arial"/>
                <w:sz w:val="18"/>
                <w:szCs w:val="18"/>
                <w:color w:val="auto"/>
              </w:rPr>
              <w:t>Cash provided by investing activities:</w:t>
            </w:r>
          </w:p>
        </w:tc>
        <w:tc>
          <w:tcPr>
            <w:tcW w:w="200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30"/>
        </w:trPr>
        <w:tc>
          <w:tcPr>
            <w:tcW w:w="7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Purchases of property and equipment</w:t>
            </w:r>
          </w:p>
        </w:tc>
        <w:tc>
          <w:tcPr>
            <w:tcW w:w="200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(2,978)</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(2,279)</w:t>
            </w:r>
          </w:p>
        </w:tc>
      </w:tr>
      <w:tr>
        <w:trPr>
          <w:trHeight w:val="229"/>
        </w:trPr>
        <w:tc>
          <w:tcPr>
            <w:tcW w:w="7980" w:type="dxa"/>
            <w:vAlign w:val="bottom"/>
          </w:tcPr>
          <w:p>
            <w:pPr>
              <w:ind w:left="180"/>
              <w:spacing w:after="0"/>
              <w:rPr>
                <w:sz w:val="20"/>
                <w:szCs w:val="20"/>
                <w:color w:val="auto"/>
              </w:rPr>
            </w:pPr>
            <w:r>
              <w:rPr>
                <w:rFonts w:ascii="Arial" w:cs="Arial" w:eastAsia="Arial" w:hAnsi="Arial"/>
                <w:sz w:val="18"/>
                <w:szCs w:val="18"/>
                <w:color w:val="auto"/>
              </w:rPr>
              <w:t>Proceeds from sales of assets</w:t>
            </w:r>
          </w:p>
        </w:tc>
        <w:tc>
          <w:tcPr>
            <w:tcW w:w="2000" w:type="dxa"/>
            <w:vAlign w:val="bottom"/>
          </w:tcPr>
          <w:p>
            <w:pPr>
              <w:jc w:val="right"/>
              <w:ind w:right="430"/>
              <w:spacing w:after="0"/>
              <w:rPr>
                <w:sz w:val="20"/>
                <w:szCs w:val="20"/>
                <w:color w:val="auto"/>
              </w:rPr>
            </w:pPr>
            <w:r>
              <w:rPr>
                <w:rFonts w:ascii="Arial" w:cs="Arial" w:eastAsia="Arial" w:hAnsi="Arial"/>
                <w:sz w:val="18"/>
                <w:szCs w:val="18"/>
                <w:color w:val="auto"/>
              </w:rPr>
              <w:t>3,155</w:t>
            </w:r>
          </w:p>
        </w:tc>
        <w:tc>
          <w:tcPr>
            <w:tcW w:w="1260" w:type="dxa"/>
            <w:vAlign w:val="bottom"/>
          </w:tcPr>
          <w:p>
            <w:pPr>
              <w:jc w:val="right"/>
              <w:spacing w:after="0"/>
              <w:rPr>
                <w:sz w:val="20"/>
                <w:szCs w:val="20"/>
                <w:color w:val="auto"/>
              </w:rPr>
            </w:pPr>
            <w:r>
              <w:rPr>
                <w:rFonts w:ascii="Arial" w:cs="Arial" w:eastAsia="Arial" w:hAnsi="Arial"/>
                <w:sz w:val="18"/>
                <w:szCs w:val="18"/>
                <w:color w:val="auto"/>
              </w:rPr>
              <w:t>5,309</w:t>
            </w:r>
          </w:p>
        </w:tc>
      </w:tr>
      <w:tr>
        <w:trPr>
          <w:trHeight w:val="230"/>
        </w:trPr>
        <w:tc>
          <w:tcPr>
            <w:tcW w:w="798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rPr>
              <w:t>Other, net</w:t>
            </w:r>
          </w:p>
        </w:tc>
        <w:tc>
          <w:tcPr>
            <w:tcW w:w="2000" w:type="dxa"/>
            <w:vAlign w:val="bottom"/>
            <w:tcBorders>
              <w:bottom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rPr>
              <w:t>(22)</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1,619</w:t>
            </w:r>
          </w:p>
        </w:tc>
      </w:tr>
      <w:tr>
        <w:trPr>
          <w:trHeight w:val="223"/>
        </w:trPr>
        <w:tc>
          <w:tcPr>
            <w:tcW w:w="79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Net cash provided by investing activities</w:t>
            </w:r>
          </w:p>
        </w:tc>
        <w:tc>
          <w:tcPr>
            <w:tcW w:w="200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155</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4,649</w:t>
            </w:r>
          </w:p>
        </w:tc>
      </w:tr>
      <w:tr>
        <w:trPr>
          <w:trHeight w:val="223"/>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required for financing activities:</w:t>
            </w:r>
          </w:p>
        </w:tc>
        <w:tc>
          <w:tcPr>
            <w:tcW w:w="20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230"/>
        </w:trPr>
        <w:tc>
          <w:tcPr>
            <w:tcW w:w="7980" w:type="dxa"/>
            <w:vAlign w:val="bottom"/>
          </w:tcPr>
          <w:p>
            <w:pPr>
              <w:ind w:left="180"/>
              <w:spacing w:after="0"/>
              <w:rPr>
                <w:sz w:val="20"/>
                <w:szCs w:val="20"/>
                <w:color w:val="auto"/>
              </w:rPr>
            </w:pPr>
            <w:r>
              <w:rPr>
                <w:rFonts w:ascii="Arial" w:cs="Arial" w:eastAsia="Arial" w:hAnsi="Arial"/>
                <w:sz w:val="18"/>
                <w:szCs w:val="18"/>
                <w:color w:val="auto"/>
              </w:rPr>
              <w:t>Principal payments on long-term debt</w:t>
            </w:r>
          </w:p>
        </w:tc>
        <w:tc>
          <w:tcPr>
            <w:tcW w:w="2000" w:type="dxa"/>
            <w:vAlign w:val="bottom"/>
          </w:tcPr>
          <w:p>
            <w:pPr>
              <w:jc w:val="right"/>
              <w:ind w:right="370"/>
              <w:spacing w:after="0"/>
              <w:rPr>
                <w:sz w:val="20"/>
                <w:szCs w:val="20"/>
                <w:color w:val="auto"/>
              </w:rPr>
            </w:pPr>
            <w:r>
              <w:rPr>
                <w:rFonts w:ascii="Arial" w:cs="Arial" w:eastAsia="Arial" w:hAnsi="Arial"/>
                <w:sz w:val="18"/>
                <w:szCs w:val="18"/>
                <w:color w:val="auto"/>
              </w:rPr>
              <w:t>(2,097)</w:t>
            </w:r>
          </w:p>
        </w:tc>
        <w:tc>
          <w:tcPr>
            <w:tcW w:w="1260" w:type="dxa"/>
            <w:vAlign w:val="bottom"/>
          </w:tcPr>
          <w:p>
            <w:pPr>
              <w:jc w:val="right"/>
              <w:spacing w:after="0"/>
              <w:rPr>
                <w:sz w:val="20"/>
                <w:szCs w:val="20"/>
                <w:color w:val="auto"/>
              </w:rPr>
            </w:pPr>
            <w:r>
              <w:rPr>
                <w:rFonts w:ascii="Arial" w:cs="Arial" w:eastAsia="Arial" w:hAnsi="Arial"/>
                <w:sz w:val="18"/>
                <w:szCs w:val="18"/>
                <w:color w:val="auto"/>
              </w:rPr>
              <w:t>(2,560)</w:t>
            </w:r>
          </w:p>
        </w:tc>
      </w:tr>
      <w:tr>
        <w:trPr>
          <w:trHeight w:val="230"/>
        </w:trPr>
        <w:tc>
          <w:tcPr>
            <w:tcW w:w="798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rPr>
              <w:t>Common stock transactions, net</w:t>
            </w:r>
          </w:p>
        </w:tc>
        <w:tc>
          <w:tcPr>
            <w:tcW w:w="2000" w:type="dxa"/>
            <w:vAlign w:val="bottom"/>
            <w:tcBorders>
              <w:bottom w:val="single" w:sz="8" w:color="auto"/>
            </w:tcBorders>
            <w:shd w:val="clear" w:color="auto" w:fill="CCEEFF"/>
          </w:tcPr>
          <w:p>
            <w:pPr>
              <w:jc w:val="right"/>
              <w:ind w:right="430"/>
              <w:spacing w:after="0"/>
              <w:rPr>
                <w:sz w:val="20"/>
                <w:szCs w:val="20"/>
                <w:color w:val="auto"/>
              </w:rPr>
            </w:pPr>
            <w:r>
              <w:rPr>
                <w:rFonts w:ascii="Arial" w:cs="Arial" w:eastAsia="Arial" w:hAnsi="Arial"/>
                <w:sz w:val="18"/>
                <w:szCs w:val="18"/>
                <w:color w:val="auto"/>
              </w:rPr>
              <w:t>221</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(265)</w:t>
            </w:r>
          </w:p>
        </w:tc>
      </w:tr>
      <w:tr>
        <w:trPr>
          <w:trHeight w:val="223"/>
        </w:trPr>
        <w:tc>
          <w:tcPr>
            <w:tcW w:w="79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Net cash required for financing activities</w:t>
            </w:r>
          </w:p>
        </w:tc>
        <w:tc>
          <w:tcPr>
            <w:tcW w:w="20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(1,876)</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(2,825)</w:t>
            </w:r>
          </w:p>
        </w:tc>
      </w:tr>
      <w:tr>
        <w:trPr>
          <w:trHeight w:val="223"/>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increase in cash and cash equivalents</w:t>
            </w:r>
          </w:p>
        </w:tc>
        <w:tc>
          <w:tcPr>
            <w:tcW w:w="200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rPr>
              <w:t>1,559</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2,845</w:t>
            </w:r>
          </w:p>
        </w:tc>
      </w:tr>
      <w:tr>
        <w:trPr>
          <w:trHeight w:val="230"/>
        </w:trPr>
        <w:tc>
          <w:tcPr>
            <w:tcW w:w="7980" w:type="dxa"/>
            <w:vAlign w:val="bottom"/>
          </w:tcPr>
          <w:p>
            <w:pPr>
              <w:ind w:left="20"/>
              <w:spacing w:after="0"/>
              <w:rPr>
                <w:sz w:val="20"/>
                <w:szCs w:val="20"/>
                <w:color w:val="auto"/>
              </w:rPr>
            </w:pPr>
            <w:r>
              <w:rPr>
                <w:rFonts w:ascii="Arial" w:cs="Arial" w:eastAsia="Arial" w:hAnsi="Arial"/>
                <w:sz w:val="18"/>
                <w:szCs w:val="18"/>
                <w:color w:val="auto"/>
              </w:rPr>
              <w:t>Cash and cash equivalents:</w:t>
            </w:r>
          </w:p>
        </w:tc>
        <w:tc>
          <w:tcPr>
            <w:tcW w:w="200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30"/>
        </w:trPr>
        <w:tc>
          <w:tcPr>
            <w:tcW w:w="798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rPr>
              <w:t>Beginning of period</w:t>
            </w:r>
          </w:p>
        </w:tc>
        <w:tc>
          <w:tcPr>
            <w:tcW w:w="2000" w:type="dxa"/>
            <w:vAlign w:val="bottom"/>
            <w:tcBorders>
              <w:bottom w:val="single" w:sz="8" w:color="auto"/>
            </w:tcBorders>
            <w:shd w:val="clear" w:color="auto" w:fill="CCEEFF"/>
          </w:tcPr>
          <w:p>
            <w:pPr>
              <w:jc w:val="right"/>
              <w:ind w:right="430"/>
              <w:spacing w:after="0"/>
              <w:rPr>
                <w:sz w:val="20"/>
                <w:szCs w:val="20"/>
                <w:color w:val="auto"/>
              </w:rPr>
            </w:pPr>
            <w:r>
              <w:rPr>
                <w:rFonts w:ascii="Arial" w:cs="Arial" w:eastAsia="Arial" w:hAnsi="Arial"/>
                <w:sz w:val="18"/>
                <w:szCs w:val="18"/>
                <w:color w:val="auto"/>
              </w:rPr>
              <w:t>14,548</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16,185</w:t>
            </w:r>
          </w:p>
        </w:tc>
      </w:tr>
      <w:tr>
        <w:trPr>
          <w:trHeight w:val="223"/>
        </w:trPr>
        <w:tc>
          <w:tcPr>
            <w:tcW w:w="798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End of period</w:t>
            </w:r>
          </w:p>
        </w:tc>
        <w:tc>
          <w:tcPr>
            <w:tcW w:w="200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16,107</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19,030</w:t>
            </w:r>
          </w:p>
        </w:tc>
      </w:tr>
      <w:tr>
        <w:trPr>
          <w:trHeight w:val="20"/>
        </w:trPr>
        <w:tc>
          <w:tcPr>
            <w:tcW w:w="7980" w:type="dxa"/>
            <w:vAlign w:val="bottom"/>
            <w:tcBorders>
              <w:bottom w:val="single" w:sz="8" w:color="auto"/>
            </w:tcBorders>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LEE ENTERPRISES, INCORPORATED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180" w:lineRule="exact"/>
        <w:rPr>
          <w:sz w:val="20"/>
          <w:szCs w:val="20"/>
          <w:color w:val="auto"/>
        </w:rPr>
      </w:pPr>
    </w:p>
    <w:p>
      <w:pPr>
        <w:ind w:left="300" w:hanging="292"/>
        <w:spacing w:after="0"/>
        <w:tabs>
          <w:tab w:leader="none" w:pos="30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BASIS OF PRESENTATION AND SUMMARY OF SIGNIFICANT ACCOUNTING POLICIES</w:t>
      </w:r>
    </w:p>
    <w:p>
      <w:pPr>
        <w:spacing w:after="0" w:line="185" w:lineRule="exact"/>
        <w:rPr>
          <w:sz w:val="20"/>
          <w:szCs w:val="20"/>
          <w:color w:val="auto"/>
        </w:rPr>
      </w:pPr>
    </w:p>
    <w:p>
      <w:pPr>
        <w:jc w:val="both"/>
        <w:ind w:left="660"/>
        <w:spacing w:after="0" w:line="257" w:lineRule="auto"/>
        <w:rPr>
          <w:sz w:val="20"/>
          <w:szCs w:val="20"/>
          <w:color w:val="auto"/>
        </w:rPr>
      </w:pPr>
      <w:r>
        <w:rPr>
          <w:rFonts w:ascii="Arial" w:cs="Arial" w:eastAsia="Arial" w:hAnsi="Arial"/>
          <w:sz w:val="18"/>
          <w:szCs w:val="18"/>
          <w:color w:val="auto"/>
        </w:rPr>
        <w:t>The accompanying unaudited, interim, Consolidated Financial Statements included herein have been prepared pursuant to the rules and regulations of the Securities and Exchange Commission for quarterly reports. In the opinion of management, these financial statements contain all adjustments (consisting of only normal recurring items) necessary to present fairly the financial position of Lee Enterprises, Incorporated and its subsidiaries (the “Company”) as of March 24, 2024, and our results of operations and cash flows for the periods presented. The Consolidated Financial Statements should be read in conjunction with the Consolidated Financial Statements and Notes thereto included in the Company's 2023 Annual Report on Form 10-K.</w:t>
      </w:r>
    </w:p>
    <w:p>
      <w:pPr>
        <w:spacing w:after="0" w:line="142" w:lineRule="exact"/>
        <w:rPr>
          <w:sz w:val="20"/>
          <w:szCs w:val="20"/>
          <w:color w:val="auto"/>
        </w:rPr>
      </w:pPr>
    </w:p>
    <w:p>
      <w:pPr>
        <w:jc w:val="both"/>
        <w:ind w:left="660"/>
        <w:spacing w:after="0" w:line="262" w:lineRule="auto"/>
        <w:rPr>
          <w:sz w:val="20"/>
          <w:szCs w:val="20"/>
          <w:color w:val="auto"/>
        </w:rPr>
      </w:pPr>
      <w:r>
        <w:rPr>
          <w:rFonts w:ascii="Arial" w:cs="Arial" w:eastAsia="Arial" w:hAnsi="Arial"/>
          <w:sz w:val="18"/>
          <w:szCs w:val="18"/>
          <w:color w:val="auto"/>
        </w:rPr>
        <w:t>The Company's fiscal year ends on the last Sunday in September. Fiscal year 2024 ends September 29, 2024, and fiscal year 2023 ended September 24, 2023. Fiscal year 2024 includes 53 weeks of operations and 2023 included 52 weeks of operations. Because of seasonal and other factors, the results of operations for the three and six months ended March 24, 2024, are not necessarily indicative of the results to be expected for the full year.</w:t>
      </w:r>
    </w:p>
    <w:p>
      <w:pPr>
        <w:spacing w:after="0" w:line="149" w:lineRule="exact"/>
        <w:rPr>
          <w:sz w:val="20"/>
          <w:szCs w:val="20"/>
          <w:color w:val="auto"/>
        </w:rPr>
      </w:pPr>
    </w:p>
    <w:p>
      <w:pPr>
        <w:jc w:val="both"/>
        <w:ind w:left="660"/>
        <w:spacing w:after="0" w:line="287" w:lineRule="auto"/>
        <w:rPr>
          <w:sz w:val="20"/>
          <w:szCs w:val="20"/>
          <w:color w:val="auto"/>
        </w:rPr>
      </w:pPr>
      <w:r>
        <w:rPr>
          <w:rFonts w:ascii="Arial" w:cs="Arial" w:eastAsia="Arial" w:hAnsi="Arial"/>
          <w:sz w:val="18"/>
          <w:szCs w:val="18"/>
          <w:color w:val="auto"/>
        </w:rPr>
        <w:t>The Consolidated Financial Statements include our accounts and those of our wholly owned subsidiaries, as well as our 82.5% interest in INN Partners, L.C. (“BLOX Digital" formerly "TownNews”).</w:t>
      </w:r>
    </w:p>
    <w:p>
      <w:pPr>
        <w:spacing w:after="0" w:line="112" w:lineRule="exact"/>
        <w:rPr>
          <w:sz w:val="20"/>
          <w:szCs w:val="20"/>
          <w:color w:val="auto"/>
        </w:rPr>
      </w:pPr>
    </w:p>
    <w:p>
      <w:pPr>
        <w:jc w:val="both"/>
        <w:ind w:left="660"/>
        <w:spacing w:after="0" w:line="268" w:lineRule="auto"/>
        <w:rPr>
          <w:sz w:val="20"/>
          <w:szCs w:val="20"/>
          <w:color w:val="auto"/>
        </w:rPr>
      </w:pPr>
      <w:r>
        <w:rPr>
          <w:rFonts w:ascii="Arial" w:cs="Arial" w:eastAsia="Arial" w:hAnsi="Arial"/>
          <w:sz w:val="18"/>
          <w:szCs w:val="18"/>
          <w:color w:val="auto"/>
        </w:rPr>
        <w:t>Our 50% interest in TNI Partners ("TNI") and our 50% interest in Madison Newspapers, Inc. ("MNI") are accounted for using the equity method and are reported at cost, plus our share of undistributed earnings since acquisition less, for TNI, amortization of intangible assets.</w:t>
      </w:r>
    </w:p>
    <w:p>
      <w:pPr>
        <w:spacing w:after="0" w:line="130" w:lineRule="exact"/>
        <w:rPr>
          <w:sz w:val="20"/>
          <w:szCs w:val="20"/>
          <w:color w:val="auto"/>
        </w:rPr>
      </w:pPr>
    </w:p>
    <w:p>
      <w:pPr>
        <w:jc w:val="both"/>
        <w:ind w:left="660"/>
        <w:spacing w:after="0" w:line="268" w:lineRule="auto"/>
        <w:rPr>
          <w:sz w:val="20"/>
          <w:szCs w:val="20"/>
          <w:color w:val="auto"/>
        </w:rPr>
      </w:pPr>
      <w:r>
        <w:rPr>
          <w:rFonts w:ascii="Arial" w:cs="Arial" w:eastAsia="Arial" w:hAnsi="Arial"/>
          <w:sz w:val="18"/>
          <w:szCs w:val="18"/>
          <w:color w:val="auto"/>
        </w:rPr>
        <w:t>In 2024, certain prior period amounts within the consolidated financial statements have been adjusted to conform with current period presentation. These matters did not change operating revenues, net income (loss), accumulated deficit, and earnings per share in all periods presented.</w:t>
      </w:r>
    </w:p>
    <w:p>
      <w:pPr>
        <w:spacing w:after="0" w:line="144" w:lineRule="exact"/>
        <w:rPr>
          <w:sz w:val="20"/>
          <w:szCs w:val="20"/>
          <w:color w:val="auto"/>
        </w:rPr>
      </w:pPr>
    </w:p>
    <w:p>
      <w:pPr>
        <w:ind w:left="300" w:hanging="292"/>
        <w:spacing w:after="0"/>
        <w:tabs>
          <w:tab w:leader="none" w:pos="30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REVENUE</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presents our revenue disaggregated by source:</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660" w:type="dxa"/>
            <w:vAlign w:val="bottom"/>
          </w:tcPr>
          <w:p>
            <w:pPr>
              <w:spacing w:after="0"/>
              <w:rPr>
                <w:sz w:val="21"/>
                <w:szCs w:val="21"/>
                <w:color w:val="auto"/>
              </w:rPr>
            </w:pPr>
          </w:p>
        </w:tc>
        <w:tc>
          <w:tcPr>
            <w:tcW w:w="3480" w:type="dxa"/>
            <w:vAlign w:val="bottom"/>
            <w:tcBorders>
              <w:top w:val="single" w:sz="8" w:color="auto"/>
              <w:bottom w:val="single" w:sz="8" w:color="auto"/>
            </w:tcBorders>
          </w:tcPr>
          <w:p>
            <w:pPr>
              <w:spacing w:after="0"/>
              <w:rPr>
                <w:sz w:val="21"/>
                <w:szCs w:val="21"/>
                <w:color w:val="auto"/>
              </w:rPr>
            </w:pPr>
          </w:p>
        </w:tc>
        <w:tc>
          <w:tcPr>
            <w:tcW w:w="3480" w:type="dxa"/>
            <w:vAlign w:val="bottom"/>
            <w:tcBorders>
              <w:top w:val="single" w:sz="8" w:color="auto"/>
              <w:bottom w:val="single" w:sz="8" w:color="auto"/>
            </w:tcBorders>
            <w:gridSpan w:val="2"/>
          </w:tcPr>
          <w:p>
            <w:pPr>
              <w:jc w:val="right"/>
              <w:ind w:right="1050"/>
              <w:spacing w:after="0"/>
              <w:rPr>
                <w:sz w:val="20"/>
                <w:szCs w:val="20"/>
                <w:color w:val="auto"/>
              </w:rPr>
            </w:pPr>
            <w:r>
              <w:rPr>
                <w:rFonts w:ascii="Arial" w:cs="Arial" w:eastAsia="Arial" w:hAnsi="Arial"/>
                <w:sz w:val="18"/>
                <w:szCs w:val="18"/>
                <w:color w:val="auto"/>
              </w:rPr>
              <w:t>Three months Ended</w:t>
            </w:r>
          </w:p>
        </w:tc>
        <w:tc>
          <w:tcPr>
            <w:tcW w:w="1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Six months Ended</w:t>
            </w:r>
          </w:p>
        </w:tc>
        <w:tc>
          <w:tcPr>
            <w:tcW w:w="860" w:type="dxa"/>
            <w:vAlign w:val="bottom"/>
            <w:tcBorders>
              <w:top w:val="single" w:sz="8" w:color="auto"/>
              <w:bottom w:val="single" w:sz="8" w:color="auto"/>
            </w:tcBorders>
          </w:tcPr>
          <w:p>
            <w:pPr>
              <w:spacing w:after="0"/>
              <w:rPr>
                <w:sz w:val="21"/>
                <w:szCs w:val="21"/>
                <w:color w:val="auto"/>
              </w:rPr>
            </w:pPr>
          </w:p>
        </w:tc>
        <w:tc>
          <w:tcPr>
            <w:tcW w:w="7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7"/>
        </w:trPr>
        <w:tc>
          <w:tcPr>
            <w:tcW w:w="660" w:type="dxa"/>
            <w:vAlign w:val="bottom"/>
          </w:tcPr>
          <w:p>
            <w:pPr>
              <w:spacing w:after="0"/>
              <w:rPr>
                <w:sz w:val="15"/>
                <w:szCs w:val="15"/>
                <w:color w:val="auto"/>
              </w:rPr>
            </w:pPr>
          </w:p>
        </w:tc>
        <w:tc>
          <w:tcPr>
            <w:tcW w:w="3480" w:type="dxa"/>
            <w:vAlign w:val="bottom"/>
            <w:vMerge w:val="restart"/>
          </w:tcPr>
          <w:p>
            <w:pPr>
              <w:ind w:left="20"/>
              <w:spacing w:after="0"/>
              <w:rPr>
                <w:sz w:val="20"/>
                <w:szCs w:val="20"/>
                <w:color w:val="auto"/>
              </w:rPr>
            </w:pPr>
            <w:r>
              <w:rPr>
                <w:rFonts w:ascii="Arial" w:cs="Arial" w:eastAsia="Arial" w:hAnsi="Arial"/>
                <w:sz w:val="18"/>
                <w:szCs w:val="18"/>
                <w:i w:val="1"/>
                <w:iCs w:val="1"/>
                <w:color w:val="auto"/>
              </w:rPr>
              <w:t>(Thousands of Dollars)</w:t>
            </w:r>
          </w:p>
        </w:tc>
        <w:tc>
          <w:tcPr>
            <w:tcW w:w="1920" w:type="dxa"/>
            <w:vAlign w:val="bottom"/>
          </w:tcPr>
          <w:p>
            <w:pPr>
              <w:jc w:val="right"/>
              <w:ind w:right="350"/>
              <w:spacing w:after="0" w:line="177" w:lineRule="exact"/>
              <w:rPr>
                <w:sz w:val="20"/>
                <w:szCs w:val="20"/>
                <w:color w:val="auto"/>
              </w:rPr>
            </w:pPr>
            <w:r>
              <w:rPr>
                <w:rFonts w:ascii="Arial" w:cs="Arial" w:eastAsia="Arial" w:hAnsi="Arial"/>
                <w:sz w:val="18"/>
                <w:szCs w:val="18"/>
                <w:color w:val="auto"/>
              </w:rPr>
              <w:t>March 24,</w:t>
            </w:r>
          </w:p>
        </w:tc>
        <w:tc>
          <w:tcPr>
            <w:tcW w:w="1560" w:type="dxa"/>
            <w:vAlign w:val="bottom"/>
          </w:tcPr>
          <w:p>
            <w:pPr>
              <w:jc w:val="right"/>
              <w:ind w:right="310"/>
              <w:spacing w:after="0" w:line="177" w:lineRule="exact"/>
              <w:rPr>
                <w:sz w:val="20"/>
                <w:szCs w:val="20"/>
                <w:color w:val="auto"/>
              </w:rPr>
            </w:pPr>
            <w:r>
              <w:rPr>
                <w:rFonts w:ascii="Arial" w:cs="Arial" w:eastAsia="Arial" w:hAnsi="Arial"/>
                <w:sz w:val="18"/>
                <w:szCs w:val="18"/>
                <w:color w:val="auto"/>
              </w:rPr>
              <w:t>March 26,</w:t>
            </w:r>
          </w:p>
        </w:tc>
        <w:tc>
          <w:tcPr>
            <w:tcW w:w="1980" w:type="dxa"/>
            <w:vAlign w:val="bottom"/>
          </w:tcPr>
          <w:p>
            <w:pPr>
              <w:jc w:val="right"/>
              <w:ind w:right="670"/>
              <w:spacing w:after="0" w:line="177" w:lineRule="exact"/>
              <w:rPr>
                <w:sz w:val="20"/>
                <w:szCs w:val="20"/>
                <w:color w:val="auto"/>
              </w:rPr>
            </w:pPr>
            <w:r>
              <w:rPr>
                <w:rFonts w:ascii="Arial" w:cs="Arial" w:eastAsia="Arial" w:hAnsi="Arial"/>
                <w:sz w:val="18"/>
                <w:szCs w:val="18"/>
                <w:color w:val="auto"/>
              </w:rPr>
              <w:t>March 24,</w:t>
            </w:r>
          </w:p>
        </w:tc>
        <w:tc>
          <w:tcPr>
            <w:tcW w:w="860" w:type="dxa"/>
            <w:vAlign w:val="bottom"/>
          </w:tcPr>
          <w:p>
            <w:pPr>
              <w:jc w:val="right"/>
              <w:spacing w:after="0" w:line="177" w:lineRule="exact"/>
              <w:rPr>
                <w:sz w:val="20"/>
                <w:szCs w:val="20"/>
                <w:color w:val="auto"/>
              </w:rPr>
            </w:pPr>
            <w:r>
              <w:rPr>
                <w:rFonts w:ascii="Arial" w:cs="Arial" w:eastAsia="Arial" w:hAnsi="Arial"/>
                <w:sz w:val="18"/>
                <w:szCs w:val="18"/>
                <w:color w:val="auto"/>
              </w:rPr>
              <w:t>March 26,</w:t>
            </w: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5"/>
        </w:trPr>
        <w:tc>
          <w:tcPr>
            <w:tcW w:w="660" w:type="dxa"/>
            <w:vAlign w:val="bottom"/>
          </w:tcPr>
          <w:p>
            <w:pPr>
              <w:spacing w:after="0"/>
              <w:rPr>
                <w:sz w:val="20"/>
                <w:szCs w:val="20"/>
                <w:color w:val="auto"/>
              </w:rPr>
            </w:pPr>
          </w:p>
        </w:tc>
        <w:tc>
          <w:tcPr>
            <w:tcW w:w="3480" w:type="dxa"/>
            <w:vAlign w:val="bottom"/>
            <w:tcBorders>
              <w:bottom w:val="single" w:sz="8" w:color="auto"/>
            </w:tcBorders>
            <w:vMerge w:val="continue"/>
          </w:tcPr>
          <w:p>
            <w:pPr>
              <w:spacing w:after="0"/>
              <w:rPr>
                <w:sz w:val="20"/>
                <w:szCs w:val="20"/>
                <w:color w:val="auto"/>
              </w:rPr>
            </w:pPr>
          </w:p>
        </w:tc>
        <w:tc>
          <w:tcPr>
            <w:tcW w:w="19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2024</w:t>
            </w:r>
          </w:p>
        </w:tc>
        <w:tc>
          <w:tcPr>
            <w:tcW w:w="15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2023</w:t>
            </w:r>
          </w:p>
        </w:tc>
        <w:tc>
          <w:tcPr>
            <w:tcW w:w="1980" w:type="dxa"/>
            <w:vAlign w:val="bottom"/>
            <w:tcBorders>
              <w:bottom w:val="single" w:sz="8" w:color="auto"/>
            </w:tcBorders>
          </w:tcPr>
          <w:p>
            <w:pPr>
              <w:jc w:val="right"/>
              <w:ind w:right="670"/>
              <w:spacing w:after="0"/>
              <w:rPr>
                <w:sz w:val="20"/>
                <w:szCs w:val="20"/>
                <w:color w:val="auto"/>
              </w:rPr>
            </w:pPr>
            <w:r>
              <w:rPr>
                <w:rFonts w:ascii="Arial" w:cs="Arial" w:eastAsia="Arial" w:hAnsi="Arial"/>
                <w:sz w:val="18"/>
                <w:szCs w:val="18"/>
                <w:color w:val="auto"/>
              </w:rPr>
              <w:t>2024</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2023</w:t>
            </w: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660" w:type="dxa"/>
            <w:vAlign w:val="bottom"/>
          </w:tcPr>
          <w:p>
            <w:pPr>
              <w:spacing w:after="0"/>
              <w:rPr>
                <w:sz w:val="21"/>
                <w:szCs w:val="21"/>
                <w:color w:val="auto"/>
              </w:rPr>
            </w:pPr>
          </w:p>
        </w:tc>
        <w:tc>
          <w:tcPr>
            <w:tcW w:w="3480" w:type="dxa"/>
            <w:vAlign w:val="bottom"/>
          </w:tcPr>
          <w:p>
            <w:pPr>
              <w:spacing w:after="0"/>
              <w:rPr>
                <w:sz w:val="21"/>
                <w:szCs w:val="21"/>
                <w:color w:val="auto"/>
              </w:rPr>
            </w:pPr>
          </w:p>
        </w:tc>
        <w:tc>
          <w:tcPr>
            <w:tcW w:w="192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19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660" w:type="dxa"/>
            <w:vAlign w:val="bottom"/>
          </w:tcPr>
          <w:p>
            <w:pPr>
              <w:spacing w:after="0"/>
              <w:rPr>
                <w:sz w:val="19"/>
                <w:szCs w:val="19"/>
                <w:color w:val="auto"/>
              </w:rPr>
            </w:pPr>
          </w:p>
        </w:tc>
        <w:tc>
          <w:tcPr>
            <w:tcW w:w="3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revenue:</w:t>
            </w:r>
          </w:p>
        </w:tc>
        <w:tc>
          <w:tcPr>
            <w:tcW w:w="192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19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0" w:type="dxa"/>
            <w:vAlign w:val="bottom"/>
          </w:tcPr>
          <w:p>
            <w:pPr>
              <w:spacing w:after="0"/>
              <w:rPr>
                <w:sz w:val="19"/>
                <w:szCs w:val="19"/>
                <w:color w:val="auto"/>
              </w:rPr>
            </w:pPr>
          </w:p>
        </w:tc>
        <w:tc>
          <w:tcPr>
            <w:tcW w:w="3480" w:type="dxa"/>
            <w:vAlign w:val="bottom"/>
          </w:tcPr>
          <w:p>
            <w:pPr>
              <w:ind w:left="180"/>
              <w:spacing w:after="0"/>
              <w:rPr>
                <w:sz w:val="20"/>
                <w:szCs w:val="20"/>
                <w:color w:val="auto"/>
              </w:rPr>
            </w:pPr>
            <w:r>
              <w:rPr>
                <w:rFonts w:ascii="Arial" w:cs="Arial" w:eastAsia="Arial" w:hAnsi="Arial"/>
                <w:sz w:val="18"/>
                <w:szCs w:val="18"/>
                <w:color w:val="auto"/>
              </w:rPr>
              <w:t>Print advertising revenue</w:t>
            </w:r>
          </w:p>
        </w:tc>
        <w:tc>
          <w:tcPr>
            <w:tcW w:w="1920" w:type="dxa"/>
            <w:vAlign w:val="bottom"/>
          </w:tcPr>
          <w:p>
            <w:pPr>
              <w:jc w:val="right"/>
              <w:ind w:right="410"/>
              <w:spacing w:after="0"/>
              <w:rPr>
                <w:sz w:val="20"/>
                <w:szCs w:val="20"/>
                <w:color w:val="auto"/>
              </w:rPr>
            </w:pPr>
            <w:r>
              <w:rPr>
                <w:rFonts w:ascii="Arial" w:cs="Arial" w:eastAsia="Arial" w:hAnsi="Arial"/>
                <w:sz w:val="18"/>
                <w:szCs w:val="18"/>
                <w:color w:val="auto"/>
              </w:rPr>
              <w:t>18,742</w:t>
            </w:r>
          </w:p>
        </w:tc>
        <w:tc>
          <w:tcPr>
            <w:tcW w:w="1560" w:type="dxa"/>
            <w:vAlign w:val="bottom"/>
          </w:tcPr>
          <w:p>
            <w:pPr>
              <w:jc w:val="right"/>
              <w:ind w:right="370"/>
              <w:spacing w:after="0"/>
              <w:rPr>
                <w:sz w:val="20"/>
                <w:szCs w:val="20"/>
                <w:color w:val="auto"/>
              </w:rPr>
            </w:pPr>
            <w:r>
              <w:rPr>
                <w:rFonts w:ascii="Arial" w:cs="Arial" w:eastAsia="Arial" w:hAnsi="Arial"/>
                <w:sz w:val="18"/>
                <w:szCs w:val="18"/>
                <w:color w:val="auto"/>
              </w:rPr>
              <w:t>31,450</w:t>
            </w:r>
          </w:p>
        </w:tc>
        <w:tc>
          <w:tcPr>
            <w:tcW w:w="1980" w:type="dxa"/>
            <w:vAlign w:val="bottom"/>
          </w:tcPr>
          <w:p>
            <w:pPr>
              <w:jc w:val="right"/>
              <w:ind w:right="730"/>
              <w:spacing w:after="0"/>
              <w:rPr>
                <w:sz w:val="20"/>
                <w:szCs w:val="20"/>
                <w:color w:val="auto"/>
              </w:rPr>
            </w:pPr>
            <w:r>
              <w:rPr>
                <w:rFonts w:ascii="Arial" w:cs="Arial" w:eastAsia="Arial" w:hAnsi="Arial"/>
                <w:sz w:val="18"/>
                <w:szCs w:val="18"/>
                <w:color w:val="auto"/>
              </w:rPr>
              <w:t>43,177</w:t>
            </w:r>
          </w:p>
        </w:tc>
        <w:tc>
          <w:tcPr>
            <w:tcW w:w="860" w:type="dxa"/>
            <w:vAlign w:val="bottom"/>
          </w:tcPr>
          <w:p>
            <w:pPr>
              <w:jc w:val="right"/>
              <w:spacing w:after="0"/>
              <w:rPr>
                <w:sz w:val="20"/>
                <w:szCs w:val="20"/>
                <w:color w:val="auto"/>
              </w:rPr>
            </w:pPr>
            <w:r>
              <w:rPr>
                <w:rFonts w:ascii="Arial" w:cs="Arial" w:eastAsia="Arial" w:hAnsi="Arial"/>
                <w:sz w:val="18"/>
                <w:szCs w:val="18"/>
                <w:color w:val="auto"/>
              </w:rPr>
              <w:t>73,286</w:t>
            </w: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0" w:type="dxa"/>
            <w:vAlign w:val="bottom"/>
          </w:tcPr>
          <w:p>
            <w:pPr>
              <w:spacing w:after="0"/>
              <w:rPr>
                <w:sz w:val="19"/>
                <w:szCs w:val="19"/>
                <w:color w:val="auto"/>
              </w:rPr>
            </w:pPr>
          </w:p>
        </w:tc>
        <w:tc>
          <w:tcPr>
            <w:tcW w:w="348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rPr>
              <w:t>Digital advertising revenue</w:t>
            </w:r>
          </w:p>
        </w:tc>
        <w:tc>
          <w:tcPr>
            <w:tcW w:w="1920" w:type="dxa"/>
            <w:vAlign w:val="bottom"/>
            <w:tcBorders>
              <w:bottom w:val="single" w:sz="8" w:color="auto"/>
            </w:tcBorders>
            <w:shd w:val="clear" w:color="auto" w:fill="CCEEFF"/>
          </w:tcPr>
          <w:p>
            <w:pPr>
              <w:jc w:val="right"/>
              <w:ind w:right="410"/>
              <w:spacing w:after="0"/>
              <w:rPr>
                <w:sz w:val="20"/>
                <w:szCs w:val="20"/>
                <w:color w:val="auto"/>
              </w:rPr>
            </w:pPr>
            <w:r>
              <w:rPr>
                <w:rFonts w:ascii="Arial" w:cs="Arial" w:eastAsia="Arial" w:hAnsi="Arial"/>
                <w:sz w:val="18"/>
                <w:szCs w:val="18"/>
                <w:color w:val="auto"/>
              </w:rPr>
              <w:t>45,392</w:t>
            </w:r>
          </w:p>
        </w:tc>
        <w:tc>
          <w:tcPr>
            <w:tcW w:w="1560" w:type="dxa"/>
            <w:vAlign w:val="bottom"/>
            <w:tcBorders>
              <w:bottom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rPr>
              <w:t>46,250</w:t>
            </w:r>
          </w:p>
        </w:tc>
        <w:tc>
          <w:tcPr>
            <w:tcW w:w="1980" w:type="dxa"/>
            <w:vAlign w:val="bottom"/>
            <w:tcBorders>
              <w:bottom w:val="single" w:sz="8" w:color="auto"/>
            </w:tcBorders>
            <w:shd w:val="clear" w:color="auto" w:fill="CCEEFF"/>
          </w:tcPr>
          <w:p>
            <w:pPr>
              <w:jc w:val="right"/>
              <w:ind w:right="730"/>
              <w:spacing w:after="0"/>
              <w:rPr>
                <w:sz w:val="20"/>
                <w:szCs w:val="20"/>
                <w:color w:val="auto"/>
              </w:rPr>
            </w:pPr>
            <w:r>
              <w:rPr>
                <w:rFonts w:ascii="Arial" w:cs="Arial" w:eastAsia="Arial" w:hAnsi="Arial"/>
                <w:sz w:val="18"/>
                <w:szCs w:val="18"/>
                <w:color w:val="auto"/>
              </w:rPr>
              <w:t>91,844</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93,999</w:t>
            </w: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7"/>
        </w:trPr>
        <w:tc>
          <w:tcPr>
            <w:tcW w:w="660" w:type="dxa"/>
            <w:vAlign w:val="bottom"/>
          </w:tcPr>
          <w:p>
            <w:pPr>
              <w:spacing w:after="0"/>
              <w:rPr>
                <w:sz w:val="15"/>
                <w:szCs w:val="15"/>
                <w:color w:val="auto"/>
              </w:rPr>
            </w:pPr>
          </w:p>
        </w:tc>
        <w:tc>
          <w:tcPr>
            <w:tcW w:w="3480" w:type="dxa"/>
            <w:vAlign w:val="bottom"/>
          </w:tcPr>
          <w:p>
            <w:pPr>
              <w:ind w:left="20"/>
              <w:spacing w:after="0" w:line="177" w:lineRule="exact"/>
              <w:rPr>
                <w:sz w:val="20"/>
                <w:szCs w:val="20"/>
                <w:color w:val="auto"/>
              </w:rPr>
            </w:pPr>
            <w:r>
              <w:rPr>
                <w:rFonts w:ascii="Arial" w:cs="Arial" w:eastAsia="Arial" w:hAnsi="Arial"/>
                <w:sz w:val="18"/>
                <w:szCs w:val="18"/>
                <w:color w:val="auto"/>
              </w:rPr>
              <w:t>Advertising and marketing services</w:t>
            </w:r>
          </w:p>
        </w:tc>
        <w:tc>
          <w:tcPr>
            <w:tcW w:w="1920" w:type="dxa"/>
            <w:vAlign w:val="bottom"/>
            <w:vMerge w:val="restart"/>
          </w:tcPr>
          <w:p>
            <w:pPr>
              <w:jc w:val="right"/>
              <w:ind w:right="410"/>
              <w:spacing w:after="0"/>
              <w:rPr>
                <w:sz w:val="20"/>
                <w:szCs w:val="20"/>
                <w:color w:val="auto"/>
              </w:rPr>
            </w:pPr>
            <w:r>
              <w:rPr>
                <w:rFonts w:ascii="Arial" w:cs="Arial" w:eastAsia="Arial" w:hAnsi="Arial"/>
                <w:sz w:val="18"/>
                <w:szCs w:val="18"/>
                <w:color w:val="auto"/>
              </w:rPr>
              <w:t>64,134</w:t>
            </w:r>
          </w:p>
        </w:tc>
        <w:tc>
          <w:tcPr>
            <w:tcW w:w="1560" w:type="dxa"/>
            <w:vAlign w:val="bottom"/>
            <w:vMerge w:val="restart"/>
          </w:tcPr>
          <w:p>
            <w:pPr>
              <w:jc w:val="right"/>
              <w:ind w:right="370"/>
              <w:spacing w:after="0"/>
              <w:rPr>
                <w:sz w:val="20"/>
                <w:szCs w:val="20"/>
                <w:color w:val="auto"/>
              </w:rPr>
            </w:pPr>
            <w:r>
              <w:rPr>
                <w:rFonts w:ascii="Arial" w:cs="Arial" w:eastAsia="Arial" w:hAnsi="Arial"/>
                <w:sz w:val="18"/>
                <w:szCs w:val="18"/>
                <w:color w:val="auto"/>
              </w:rPr>
              <w:t>77,700</w:t>
            </w:r>
          </w:p>
        </w:tc>
        <w:tc>
          <w:tcPr>
            <w:tcW w:w="1980" w:type="dxa"/>
            <w:vAlign w:val="bottom"/>
            <w:vMerge w:val="restart"/>
          </w:tcPr>
          <w:p>
            <w:pPr>
              <w:jc w:val="right"/>
              <w:ind w:right="730"/>
              <w:spacing w:after="0"/>
              <w:rPr>
                <w:sz w:val="20"/>
                <w:szCs w:val="20"/>
                <w:color w:val="auto"/>
              </w:rPr>
            </w:pPr>
            <w:r>
              <w:rPr>
                <w:rFonts w:ascii="Arial" w:cs="Arial" w:eastAsia="Arial" w:hAnsi="Arial"/>
                <w:sz w:val="18"/>
                <w:szCs w:val="18"/>
                <w:color w:val="auto"/>
              </w:rPr>
              <w:t>135,021</w:t>
            </w: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167,285</w:t>
            </w: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5"/>
        </w:trPr>
        <w:tc>
          <w:tcPr>
            <w:tcW w:w="660" w:type="dxa"/>
            <w:vAlign w:val="bottom"/>
          </w:tcPr>
          <w:p>
            <w:pPr>
              <w:spacing w:after="0"/>
              <w:rPr>
                <w:sz w:val="20"/>
                <w:szCs w:val="20"/>
                <w:color w:val="auto"/>
              </w:rPr>
            </w:pPr>
          </w:p>
        </w:tc>
        <w:tc>
          <w:tcPr>
            <w:tcW w:w="34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revenue</w:t>
            </w:r>
          </w:p>
        </w:tc>
        <w:tc>
          <w:tcPr>
            <w:tcW w:w="1920" w:type="dxa"/>
            <w:vAlign w:val="bottom"/>
            <w:tcBorders>
              <w:bottom w:val="single" w:sz="8" w:color="auto"/>
            </w:tcBorders>
            <w:vMerge w:val="continue"/>
          </w:tcPr>
          <w:p>
            <w:pPr>
              <w:spacing w:after="0"/>
              <w:rPr>
                <w:sz w:val="20"/>
                <w:szCs w:val="20"/>
                <w:color w:val="auto"/>
              </w:rPr>
            </w:pPr>
          </w:p>
        </w:tc>
        <w:tc>
          <w:tcPr>
            <w:tcW w:w="1560" w:type="dxa"/>
            <w:vAlign w:val="bottom"/>
            <w:tcBorders>
              <w:bottom w:val="single" w:sz="8" w:color="auto"/>
            </w:tcBorders>
            <w:vMerge w:val="continue"/>
          </w:tcPr>
          <w:p>
            <w:pPr>
              <w:spacing w:after="0"/>
              <w:rPr>
                <w:sz w:val="20"/>
                <w:szCs w:val="20"/>
                <w:color w:val="auto"/>
              </w:rPr>
            </w:pPr>
          </w:p>
        </w:tc>
        <w:tc>
          <w:tcPr>
            <w:tcW w:w="1980" w:type="dxa"/>
            <w:vAlign w:val="bottom"/>
            <w:tcBorders>
              <w:bottom w:val="single" w:sz="8" w:color="auto"/>
            </w:tcBorders>
            <w:vMerge w:val="continue"/>
          </w:tcPr>
          <w:p>
            <w:pPr>
              <w:spacing w:after="0"/>
              <w:rPr>
                <w:sz w:val="20"/>
                <w:szCs w:val="20"/>
                <w:color w:val="auto"/>
              </w:rPr>
            </w:pPr>
          </w:p>
        </w:tc>
        <w:tc>
          <w:tcPr>
            <w:tcW w:w="860" w:type="dxa"/>
            <w:vAlign w:val="bottom"/>
            <w:tcBorders>
              <w:bottom w:val="single" w:sz="8" w:color="auto"/>
            </w:tcBorders>
            <w:vMerge w:val="continue"/>
          </w:tcPr>
          <w:p>
            <w:pPr>
              <w:spacing w:after="0"/>
              <w:rPr>
                <w:sz w:val="20"/>
                <w:szCs w:val="20"/>
                <w:color w:val="auto"/>
              </w:rPr>
            </w:pP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660" w:type="dxa"/>
            <w:vAlign w:val="bottom"/>
          </w:tcPr>
          <w:p>
            <w:pPr>
              <w:spacing w:after="0"/>
              <w:rPr>
                <w:sz w:val="19"/>
                <w:szCs w:val="19"/>
                <w:color w:val="auto"/>
              </w:rPr>
            </w:pPr>
          </w:p>
        </w:tc>
        <w:tc>
          <w:tcPr>
            <w:tcW w:w="34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Print subscription revenue</w:t>
            </w:r>
          </w:p>
        </w:tc>
        <w:tc>
          <w:tcPr>
            <w:tcW w:w="192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rPr>
              <w:t>48,966</w:t>
            </w:r>
          </w:p>
        </w:tc>
        <w:tc>
          <w:tcPr>
            <w:tcW w:w="156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64,586</w:t>
            </w:r>
          </w:p>
        </w:tc>
        <w:tc>
          <w:tcPr>
            <w:tcW w:w="1980" w:type="dxa"/>
            <w:vAlign w:val="bottom"/>
            <w:shd w:val="clear" w:color="auto" w:fill="CCEEFF"/>
          </w:tcPr>
          <w:p>
            <w:pPr>
              <w:jc w:val="right"/>
              <w:ind w:right="730"/>
              <w:spacing w:after="0"/>
              <w:rPr>
                <w:sz w:val="20"/>
                <w:szCs w:val="20"/>
                <w:color w:val="auto"/>
              </w:rPr>
            </w:pPr>
            <w:r>
              <w:rPr>
                <w:rFonts w:ascii="Arial" w:cs="Arial" w:eastAsia="Arial" w:hAnsi="Arial"/>
                <w:sz w:val="18"/>
                <w:szCs w:val="18"/>
                <w:color w:val="auto"/>
              </w:rPr>
              <w:t>100,838</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131,956</w:t>
            </w: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0" w:type="dxa"/>
            <w:vAlign w:val="bottom"/>
          </w:tcPr>
          <w:p>
            <w:pPr>
              <w:spacing w:after="0"/>
              <w:rPr>
                <w:sz w:val="19"/>
                <w:szCs w:val="19"/>
                <w:color w:val="auto"/>
              </w:rPr>
            </w:pPr>
          </w:p>
        </w:tc>
        <w:tc>
          <w:tcPr>
            <w:tcW w:w="348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Digital subscription revenue</w:t>
            </w:r>
          </w:p>
        </w:tc>
        <w:tc>
          <w:tcPr>
            <w:tcW w:w="19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20,261</w:t>
            </w:r>
          </w:p>
        </w:tc>
        <w:tc>
          <w:tcPr>
            <w:tcW w:w="156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13,996</w:t>
            </w:r>
          </w:p>
        </w:tc>
        <w:tc>
          <w:tcPr>
            <w:tcW w:w="1980" w:type="dxa"/>
            <w:vAlign w:val="bottom"/>
            <w:tcBorders>
              <w:bottom w:val="single" w:sz="8" w:color="auto"/>
            </w:tcBorders>
          </w:tcPr>
          <w:p>
            <w:pPr>
              <w:jc w:val="right"/>
              <w:ind w:right="730"/>
              <w:spacing w:after="0"/>
              <w:rPr>
                <w:sz w:val="20"/>
                <w:szCs w:val="20"/>
                <w:color w:val="auto"/>
              </w:rPr>
            </w:pPr>
            <w:r>
              <w:rPr>
                <w:rFonts w:ascii="Arial" w:cs="Arial" w:eastAsia="Arial" w:hAnsi="Arial"/>
                <w:sz w:val="18"/>
                <w:szCs w:val="18"/>
                <w:color w:val="auto"/>
              </w:rPr>
              <w:t>39,728</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26,325</w:t>
            </w: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60" w:type="dxa"/>
            <w:vAlign w:val="bottom"/>
          </w:tcPr>
          <w:p>
            <w:pPr>
              <w:spacing w:after="0"/>
              <w:rPr>
                <w:sz w:val="19"/>
                <w:szCs w:val="19"/>
                <w:color w:val="auto"/>
              </w:rPr>
            </w:pPr>
          </w:p>
        </w:tc>
        <w:tc>
          <w:tcPr>
            <w:tcW w:w="34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Subscription revenue</w:t>
            </w:r>
          </w:p>
        </w:tc>
        <w:tc>
          <w:tcPr>
            <w:tcW w:w="1920" w:type="dxa"/>
            <w:vAlign w:val="bottom"/>
            <w:tcBorders>
              <w:bottom w:val="single" w:sz="8" w:color="auto"/>
            </w:tcBorders>
            <w:shd w:val="clear" w:color="auto" w:fill="CCEEFF"/>
          </w:tcPr>
          <w:p>
            <w:pPr>
              <w:jc w:val="right"/>
              <w:ind w:right="410"/>
              <w:spacing w:after="0"/>
              <w:rPr>
                <w:sz w:val="20"/>
                <w:szCs w:val="20"/>
                <w:color w:val="auto"/>
              </w:rPr>
            </w:pPr>
            <w:r>
              <w:rPr>
                <w:rFonts w:ascii="Arial" w:cs="Arial" w:eastAsia="Arial" w:hAnsi="Arial"/>
                <w:sz w:val="18"/>
                <w:szCs w:val="18"/>
                <w:color w:val="auto"/>
              </w:rPr>
              <w:t>69,227</w:t>
            </w:r>
          </w:p>
        </w:tc>
        <w:tc>
          <w:tcPr>
            <w:tcW w:w="1560" w:type="dxa"/>
            <w:vAlign w:val="bottom"/>
            <w:tcBorders>
              <w:bottom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rPr>
              <w:t>78,582</w:t>
            </w:r>
          </w:p>
        </w:tc>
        <w:tc>
          <w:tcPr>
            <w:tcW w:w="1980" w:type="dxa"/>
            <w:vAlign w:val="bottom"/>
            <w:tcBorders>
              <w:bottom w:val="single" w:sz="8" w:color="auto"/>
            </w:tcBorders>
            <w:shd w:val="clear" w:color="auto" w:fill="CCEEFF"/>
          </w:tcPr>
          <w:p>
            <w:pPr>
              <w:jc w:val="right"/>
              <w:ind w:right="730"/>
              <w:spacing w:after="0"/>
              <w:rPr>
                <w:sz w:val="20"/>
                <w:szCs w:val="20"/>
                <w:color w:val="auto"/>
              </w:rPr>
            </w:pPr>
            <w:r>
              <w:rPr>
                <w:rFonts w:ascii="Arial" w:cs="Arial" w:eastAsia="Arial" w:hAnsi="Arial"/>
                <w:sz w:val="18"/>
                <w:szCs w:val="18"/>
                <w:color w:val="auto"/>
              </w:rPr>
              <w:t>140,566</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158,281</w:t>
            </w: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60" w:type="dxa"/>
            <w:vAlign w:val="bottom"/>
          </w:tcPr>
          <w:p>
            <w:pPr>
              <w:spacing w:after="0"/>
              <w:rPr>
                <w:sz w:val="19"/>
                <w:szCs w:val="19"/>
                <w:color w:val="auto"/>
              </w:rPr>
            </w:pPr>
          </w:p>
        </w:tc>
        <w:tc>
          <w:tcPr>
            <w:tcW w:w="3480" w:type="dxa"/>
            <w:vAlign w:val="bottom"/>
          </w:tcPr>
          <w:p>
            <w:pPr>
              <w:ind w:left="180"/>
              <w:spacing w:after="0"/>
              <w:rPr>
                <w:sz w:val="20"/>
                <w:szCs w:val="20"/>
                <w:color w:val="auto"/>
              </w:rPr>
            </w:pPr>
            <w:r>
              <w:rPr>
                <w:rFonts w:ascii="Arial" w:cs="Arial" w:eastAsia="Arial" w:hAnsi="Arial"/>
                <w:sz w:val="18"/>
                <w:szCs w:val="18"/>
                <w:color w:val="auto"/>
              </w:rPr>
              <w:t>Print other revenue</w:t>
            </w:r>
          </w:p>
        </w:tc>
        <w:tc>
          <w:tcPr>
            <w:tcW w:w="1920" w:type="dxa"/>
            <w:vAlign w:val="bottom"/>
          </w:tcPr>
          <w:p>
            <w:pPr>
              <w:jc w:val="right"/>
              <w:ind w:right="410"/>
              <w:spacing w:after="0"/>
              <w:rPr>
                <w:sz w:val="20"/>
                <w:szCs w:val="20"/>
                <w:color w:val="auto"/>
              </w:rPr>
            </w:pPr>
            <w:r>
              <w:rPr>
                <w:rFonts w:ascii="Arial" w:cs="Arial" w:eastAsia="Arial" w:hAnsi="Arial"/>
                <w:sz w:val="18"/>
                <w:szCs w:val="18"/>
                <w:color w:val="auto"/>
              </w:rPr>
              <w:t>8,069</w:t>
            </w:r>
          </w:p>
        </w:tc>
        <w:tc>
          <w:tcPr>
            <w:tcW w:w="1560" w:type="dxa"/>
            <w:vAlign w:val="bottom"/>
          </w:tcPr>
          <w:p>
            <w:pPr>
              <w:jc w:val="right"/>
              <w:ind w:right="370"/>
              <w:spacing w:after="0"/>
              <w:rPr>
                <w:sz w:val="20"/>
                <w:szCs w:val="20"/>
                <w:color w:val="auto"/>
              </w:rPr>
            </w:pPr>
            <w:r>
              <w:rPr>
                <w:rFonts w:ascii="Arial" w:cs="Arial" w:eastAsia="Arial" w:hAnsi="Arial"/>
                <w:sz w:val="18"/>
                <w:szCs w:val="18"/>
                <w:color w:val="auto"/>
              </w:rPr>
              <w:t>9,649</w:t>
            </w:r>
          </w:p>
        </w:tc>
        <w:tc>
          <w:tcPr>
            <w:tcW w:w="1980" w:type="dxa"/>
            <w:vAlign w:val="bottom"/>
          </w:tcPr>
          <w:p>
            <w:pPr>
              <w:jc w:val="right"/>
              <w:ind w:right="730"/>
              <w:spacing w:after="0"/>
              <w:rPr>
                <w:sz w:val="20"/>
                <w:szCs w:val="20"/>
                <w:color w:val="auto"/>
              </w:rPr>
            </w:pPr>
            <w:r>
              <w:rPr>
                <w:rFonts w:ascii="Arial" w:cs="Arial" w:eastAsia="Arial" w:hAnsi="Arial"/>
                <w:sz w:val="18"/>
                <w:szCs w:val="18"/>
                <w:color w:val="auto"/>
              </w:rPr>
              <w:t>16,561</w:t>
            </w:r>
          </w:p>
        </w:tc>
        <w:tc>
          <w:tcPr>
            <w:tcW w:w="860" w:type="dxa"/>
            <w:vAlign w:val="bottom"/>
          </w:tcPr>
          <w:p>
            <w:pPr>
              <w:jc w:val="right"/>
              <w:spacing w:after="0"/>
              <w:rPr>
                <w:sz w:val="20"/>
                <w:szCs w:val="20"/>
                <w:color w:val="auto"/>
              </w:rPr>
            </w:pPr>
            <w:r>
              <w:rPr>
                <w:rFonts w:ascii="Arial" w:cs="Arial" w:eastAsia="Arial" w:hAnsi="Arial"/>
                <w:sz w:val="18"/>
                <w:szCs w:val="18"/>
                <w:color w:val="auto"/>
              </w:rPr>
              <w:t>20,769</w:t>
            </w: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0" w:type="dxa"/>
            <w:vAlign w:val="bottom"/>
          </w:tcPr>
          <w:p>
            <w:pPr>
              <w:spacing w:after="0"/>
              <w:rPr>
                <w:sz w:val="19"/>
                <w:szCs w:val="19"/>
                <w:color w:val="auto"/>
              </w:rPr>
            </w:pPr>
          </w:p>
        </w:tc>
        <w:tc>
          <w:tcPr>
            <w:tcW w:w="348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rPr>
              <w:t>Digital other revenue</w:t>
            </w:r>
          </w:p>
        </w:tc>
        <w:tc>
          <w:tcPr>
            <w:tcW w:w="1920" w:type="dxa"/>
            <w:vAlign w:val="bottom"/>
            <w:tcBorders>
              <w:bottom w:val="single" w:sz="8" w:color="auto"/>
            </w:tcBorders>
            <w:shd w:val="clear" w:color="auto" w:fill="CCEEFF"/>
          </w:tcPr>
          <w:p>
            <w:pPr>
              <w:jc w:val="right"/>
              <w:ind w:right="410"/>
              <w:spacing w:after="0"/>
              <w:rPr>
                <w:sz w:val="20"/>
                <w:szCs w:val="20"/>
                <w:color w:val="auto"/>
              </w:rPr>
            </w:pPr>
            <w:r>
              <w:rPr>
                <w:rFonts w:ascii="Arial" w:cs="Arial" w:eastAsia="Arial" w:hAnsi="Arial"/>
                <w:sz w:val="18"/>
                <w:szCs w:val="18"/>
                <w:color w:val="auto"/>
              </w:rPr>
              <w:t>5,120</w:t>
            </w:r>
          </w:p>
        </w:tc>
        <w:tc>
          <w:tcPr>
            <w:tcW w:w="1560" w:type="dxa"/>
            <w:vAlign w:val="bottom"/>
            <w:tcBorders>
              <w:bottom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rPr>
              <w:t>4,756</w:t>
            </w:r>
          </w:p>
        </w:tc>
        <w:tc>
          <w:tcPr>
            <w:tcW w:w="1980" w:type="dxa"/>
            <w:vAlign w:val="bottom"/>
            <w:tcBorders>
              <w:bottom w:val="single" w:sz="8" w:color="auto"/>
            </w:tcBorders>
            <w:shd w:val="clear" w:color="auto" w:fill="CCEEFF"/>
          </w:tcPr>
          <w:p>
            <w:pPr>
              <w:jc w:val="right"/>
              <w:ind w:right="730"/>
              <w:spacing w:after="0"/>
              <w:rPr>
                <w:sz w:val="20"/>
                <w:szCs w:val="20"/>
                <w:color w:val="auto"/>
              </w:rPr>
            </w:pPr>
            <w:r>
              <w:rPr>
                <w:rFonts w:ascii="Arial" w:cs="Arial" w:eastAsia="Arial" w:hAnsi="Arial"/>
                <w:sz w:val="18"/>
                <w:szCs w:val="18"/>
                <w:color w:val="auto"/>
              </w:rPr>
              <w:t>10,080</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9,483</w:t>
            </w: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60" w:type="dxa"/>
            <w:vAlign w:val="bottom"/>
          </w:tcPr>
          <w:p>
            <w:pPr>
              <w:spacing w:after="0"/>
              <w:rPr>
                <w:sz w:val="19"/>
                <w:szCs w:val="19"/>
                <w:color w:val="auto"/>
              </w:rPr>
            </w:pPr>
          </w:p>
        </w:tc>
        <w:tc>
          <w:tcPr>
            <w:tcW w:w="34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Other revenue</w:t>
            </w:r>
          </w:p>
        </w:tc>
        <w:tc>
          <w:tcPr>
            <w:tcW w:w="19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13,189</w:t>
            </w:r>
          </w:p>
        </w:tc>
        <w:tc>
          <w:tcPr>
            <w:tcW w:w="156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14,405</w:t>
            </w:r>
          </w:p>
        </w:tc>
        <w:tc>
          <w:tcPr>
            <w:tcW w:w="1980" w:type="dxa"/>
            <w:vAlign w:val="bottom"/>
            <w:tcBorders>
              <w:bottom w:val="single" w:sz="8" w:color="auto"/>
            </w:tcBorders>
          </w:tcPr>
          <w:p>
            <w:pPr>
              <w:jc w:val="right"/>
              <w:ind w:right="730"/>
              <w:spacing w:after="0"/>
              <w:rPr>
                <w:sz w:val="20"/>
                <w:szCs w:val="20"/>
                <w:color w:val="auto"/>
              </w:rPr>
            </w:pPr>
            <w:r>
              <w:rPr>
                <w:rFonts w:ascii="Arial" w:cs="Arial" w:eastAsia="Arial" w:hAnsi="Arial"/>
                <w:sz w:val="18"/>
                <w:szCs w:val="18"/>
                <w:color w:val="auto"/>
              </w:rPr>
              <w:t>26,641</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30,252</w:t>
            </w: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660" w:type="dxa"/>
            <w:vAlign w:val="bottom"/>
          </w:tcPr>
          <w:p>
            <w:pPr>
              <w:spacing w:after="0"/>
              <w:rPr>
                <w:sz w:val="21"/>
                <w:szCs w:val="21"/>
                <w:color w:val="auto"/>
              </w:rPr>
            </w:pPr>
          </w:p>
        </w:tc>
        <w:tc>
          <w:tcPr>
            <w:tcW w:w="34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Total operating revenue</w:t>
            </w:r>
          </w:p>
        </w:tc>
        <w:tc>
          <w:tcPr>
            <w:tcW w:w="1920" w:type="dxa"/>
            <w:vAlign w:val="bottom"/>
            <w:tcBorders>
              <w:bottom w:val="single" w:sz="8" w:color="auto"/>
            </w:tcBorders>
            <w:shd w:val="clear" w:color="auto" w:fill="CCEEFF"/>
          </w:tcPr>
          <w:p>
            <w:pPr>
              <w:jc w:val="right"/>
              <w:ind w:right="410"/>
              <w:spacing w:after="0"/>
              <w:rPr>
                <w:sz w:val="20"/>
                <w:szCs w:val="20"/>
                <w:color w:val="auto"/>
              </w:rPr>
            </w:pPr>
            <w:r>
              <w:rPr>
                <w:rFonts w:ascii="Arial" w:cs="Arial" w:eastAsia="Arial" w:hAnsi="Arial"/>
                <w:sz w:val="18"/>
                <w:szCs w:val="18"/>
                <w:color w:val="auto"/>
              </w:rPr>
              <w:t>146,550</w:t>
            </w:r>
          </w:p>
        </w:tc>
        <w:tc>
          <w:tcPr>
            <w:tcW w:w="1560" w:type="dxa"/>
            <w:vAlign w:val="bottom"/>
            <w:tcBorders>
              <w:bottom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rPr>
              <w:t>170,687</w:t>
            </w:r>
          </w:p>
        </w:tc>
        <w:tc>
          <w:tcPr>
            <w:tcW w:w="1980" w:type="dxa"/>
            <w:vAlign w:val="bottom"/>
            <w:tcBorders>
              <w:bottom w:val="single" w:sz="8" w:color="auto"/>
            </w:tcBorders>
            <w:shd w:val="clear" w:color="auto" w:fill="CCEEFF"/>
          </w:tcPr>
          <w:p>
            <w:pPr>
              <w:jc w:val="right"/>
              <w:ind w:right="730"/>
              <w:spacing w:after="0"/>
              <w:rPr>
                <w:sz w:val="20"/>
                <w:szCs w:val="20"/>
                <w:color w:val="auto"/>
              </w:rPr>
            </w:pPr>
            <w:r>
              <w:rPr>
                <w:rFonts w:ascii="Arial" w:cs="Arial" w:eastAsia="Arial" w:hAnsi="Arial"/>
                <w:sz w:val="18"/>
                <w:szCs w:val="18"/>
                <w:color w:val="auto"/>
              </w:rPr>
              <w:t>302,228</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355,818</w:t>
            </w:r>
          </w:p>
        </w:tc>
        <w:tc>
          <w:tcPr>
            <w:tcW w:w="7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3480" w:type="dxa"/>
            <w:vAlign w:val="bottom"/>
            <w:tcBorders>
              <w:top w:val="single" w:sz="8" w:color="CCEEFF"/>
              <w:bottom w:val="single" w:sz="8" w:color="auto"/>
            </w:tcBorders>
          </w:tcPr>
          <w:p>
            <w:pPr>
              <w:spacing w:after="0" w:line="20" w:lineRule="exact"/>
              <w:rPr>
                <w:sz w:val="1"/>
                <w:szCs w:val="1"/>
                <w:color w:val="auto"/>
              </w:rPr>
            </w:pPr>
          </w:p>
        </w:tc>
        <w:tc>
          <w:tcPr>
            <w:tcW w:w="192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9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2"/>
        </w:trPr>
        <w:tc>
          <w:tcPr>
            <w:tcW w:w="66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1920" w:type="dxa"/>
            <w:vAlign w:val="bottom"/>
          </w:tcPr>
          <w:p>
            <w:pPr>
              <w:jc w:val="right"/>
              <w:ind w:right="290"/>
              <w:spacing w:after="0"/>
              <w:rPr>
                <w:sz w:val="20"/>
                <w:szCs w:val="20"/>
                <w:color w:val="auto"/>
              </w:rPr>
            </w:pPr>
            <w:r>
              <w:rPr>
                <w:rFonts w:ascii="Arial" w:cs="Arial" w:eastAsia="Arial" w:hAnsi="Arial"/>
                <w:sz w:val="18"/>
                <w:szCs w:val="18"/>
                <w:color w:val="auto"/>
              </w:rPr>
              <w:t>7</w:t>
            </w:r>
          </w:p>
        </w:tc>
        <w:tc>
          <w:tcPr>
            <w:tcW w:w="156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1"/>
        </w:trPr>
        <w:tc>
          <w:tcPr>
            <w:tcW w:w="660" w:type="dxa"/>
            <w:vAlign w:val="bottom"/>
            <w:tcBorders>
              <w:bottom w:val="single" w:sz="8" w:color="9A9A9A"/>
            </w:tcBorders>
          </w:tcPr>
          <w:p>
            <w:pPr>
              <w:spacing w:after="0"/>
              <w:rPr>
                <w:sz w:val="9"/>
                <w:szCs w:val="9"/>
                <w:color w:val="auto"/>
              </w:rPr>
            </w:pPr>
          </w:p>
        </w:tc>
        <w:tc>
          <w:tcPr>
            <w:tcW w:w="3480" w:type="dxa"/>
            <w:vAlign w:val="bottom"/>
            <w:tcBorders>
              <w:bottom w:val="single" w:sz="8" w:color="9A9A9A"/>
            </w:tcBorders>
          </w:tcPr>
          <w:p>
            <w:pPr>
              <w:spacing w:after="0"/>
              <w:rPr>
                <w:sz w:val="9"/>
                <w:szCs w:val="9"/>
                <w:color w:val="auto"/>
              </w:rPr>
            </w:pPr>
          </w:p>
        </w:tc>
        <w:tc>
          <w:tcPr>
            <w:tcW w:w="1920" w:type="dxa"/>
            <w:vAlign w:val="bottom"/>
            <w:tcBorders>
              <w:bottom w:val="single" w:sz="8" w:color="9A9A9A"/>
            </w:tcBorders>
          </w:tcPr>
          <w:p>
            <w:pPr>
              <w:spacing w:after="0"/>
              <w:rPr>
                <w:sz w:val="9"/>
                <w:szCs w:val="9"/>
                <w:color w:val="auto"/>
              </w:rPr>
            </w:pPr>
          </w:p>
        </w:tc>
        <w:tc>
          <w:tcPr>
            <w:tcW w:w="1560" w:type="dxa"/>
            <w:vAlign w:val="bottom"/>
            <w:tcBorders>
              <w:bottom w:val="single" w:sz="8" w:color="9A9A9A"/>
            </w:tcBorders>
          </w:tcPr>
          <w:p>
            <w:pPr>
              <w:spacing w:after="0"/>
              <w:rPr>
                <w:sz w:val="9"/>
                <w:szCs w:val="9"/>
                <w:color w:val="auto"/>
              </w:rPr>
            </w:pPr>
          </w:p>
        </w:tc>
        <w:tc>
          <w:tcPr>
            <w:tcW w:w="1980" w:type="dxa"/>
            <w:vAlign w:val="bottom"/>
            <w:tcBorders>
              <w:bottom w:val="single" w:sz="8" w:color="9A9A9A"/>
            </w:tcBorders>
          </w:tcPr>
          <w:p>
            <w:pPr>
              <w:spacing w:after="0"/>
              <w:rPr>
                <w:sz w:val="9"/>
                <w:szCs w:val="9"/>
                <w:color w:val="auto"/>
              </w:rPr>
            </w:pPr>
          </w:p>
        </w:tc>
        <w:tc>
          <w:tcPr>
            <w:tcW w:w="860" w:type="dxa"/>
            <w:vAlign w:val="bottom"/>
            <w:tcBorders>
              <w:bottom w:val="single" w:sz="8" w:color="9A9A9A"/>
            </w:tcBorders>
          </w:tcPr>
          <w:p>
            <w:pPr>
              <w:spacing w:after="0"/>
              <w:rPr>
                <w:sz w:val="9"/>
                <w:szCs w:val="9"/>
                <w:color w:val="auto"/>
              </w:rPr>
            </w:pPr>
          </w:p>
        </w:tc>
        <w:tc>
          <w:tcPr>
            <w:tcW w:w="78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both"/>
        <w:ind w:left="660"/>
        <w:spacing w:after="0" w:line="268" w:lineRule="auto"/>
        <w:rPr>
          <w:sz w:val="20"/>
          <w:szCs w:val="20"/>
          <w:color w:val="auto"/>
        </w:rPr>
      </w:pPr>
      <w:r>
        <w:rPr>
          <w:rFonts w:ascii="Arial" w:cs="Arial" w:eastAsia="Arial" w:hAnsi="Arial"/>
          <w:sz w:val="18"/>
          <w:szCs w:val="18"/>
          <w:i w:val="1"/>
          <w:iCs w:val="1"/>
          <w:color w:val="auto"/>
        </w:rPr>
        <w:t xml:space="preserve">Recognition principles: </w:t>
      </w:r>
      <w:r>
        <w:rPr>
          <w:rFonts w:ascii="Arial" w:cs="Arial" w:eastAsia="Arial" w:hAnsi="Arial"/>
          <w:sz w:val="18"/>
          <w:szCs w:val="18"/>
          <w:color w:val="auto"/>
        </w:rPr>
        <w:t>Revenue is recognized when a performance obligation is satisfied by the transfer of control of the contracted</w:t>
      </w:r>
      <w:r>
        <w:rPr>
          <w:rFonts w:ascii="Arial" w:cs="Arial" w:eastAsia="Arial" w:hAnsi="Arial"/>
          <w:sz w:val="18"/>
          <w:szCs w:val="18"/>
          <w:i w:val="1"/>
          <w:iCs w:val="1"/>
          <w:color w:val="auto"/>
        </w:rPr>
        <w:t xml:space="preserve"> </w:t>
      </w:r>
      <w:r>
        <w:rPr>
          <w:rFonts w:ascii="Arial" w:cs="Arial" w:eastAsia="Arial" w:hAnsi="Arial"/>
          <w:sz w:val="18"/>
          <w:szCs w:val="18"/>
          <w:color w:val="auto"/>
        </w:rPr>
        <w:t>goods or services to our customers, in an amount that reflects the consideration we expect to receive in exchange for those goods or services.</w:t>
      </w:r>
    </w:p>
    <w:p>
      <w:pPr>
        <w:spacing w:after="0" w:line="144" w:lineRule="exact"/>
        <w:rPr>
          <w:sz w:val="20"/>
          <w:szCs w:val="20"/>
          <w:color w:val="auto"/>
        </w:rPr>
      </w:pPr>
    </w:p>
    <w:p>
      <w:pPr>
        <w:jc w:val="both"/>
        <w:ind w:left="660"/>
        <w:spacing w:after="0" w:line="262" w:lineRule="auto"/>
        <w:rPr>
          <w:sz w:val="20"/>
          <w:szCs w:val="20"/>
          <w:color w:val="auto"/>
        </w:rPr>
      </w:pPr>
      <w:r>
        <w:rPr>
          <w:rFonts w:ascii="Arial" w:cs="Arial" w:eastAsia="Arial" w:hAnsi="Arial"/>
          <w:sz w:val="18"/>
          <w:szCs w:val="18"/>
          <w:i w:val="1"/>
          <w:iCs w:val="1"/>
          <w:color w:val="auto"/>
        </w:rPr>
        <w:t xml:space="preserve">Arrangements with multiple performance obligations: </w:t>
      </w:r>
      <w:r>
        <w:rPr>
          <w:rFonts w:ascii="Arial" w:cs="Arial" w:eastAsia="Arial" w:hAnsi="Arial"/>
          <w:sz w:val="18"/>
          <w:szCs w:val="18"/>
          <w:color w:val="auto"/>
        </w:rPr>
        <w:t>We have various advertising and subscription agreements which include both</w:t>
      </w:r>
      <w:r>
        <w:rPr>
          <w:rFonts w:ascii="Arial" w:cs="Arial" w:eastAsia="Arial" w:hAnsi="Arial"/>
          <w:sz w:val="18"/>
          <w:szCs w:val="18"/>
          <w:i w:val="1"/>
          <w:iCs w:val="1"/>
          <w:color w:val="auto"/>
        </w:rPr>
        <w:t xml:space="preserve"> </w:t>
      </w:r>
      <w:r>
        <w:rPr>
          <w:rFonts w:ascii="Arial" w:cs="Arial" w:eastAsia="Arial" w:hAnsi="Arial"/>
          <w:sz w:val="18"/>
          <w:szCs w:val="18"/>
          <w:color w:val="auto"/>
        </w:rPr>
        <w:t>print and digital performance obligations. Revenue from sales agreements that contain multiple performance obligations are allocated to each obligation based on the relative standalone selling price. We determine standalone selling prices based on observable prices charged to customers.</w:t>
      </w:r>
    </w:p>
    <w:p>
      <w:pPr>
        <w:spacing w:after="0" w:line="136" w:lineRule="exact"/>
        <w:rPr>
          <w:sz w:val="20"/>
          <w:szCs w:val="20"/>
          <w:color w:val="auto"/>
        </w:rPr>
      </w:pPr>
    </w:p>
    <w:p>
      <w:pPr>
        <w:jc w:val="both"/>
        <w:ind w:left="660"/>
        <w:spacing w:after="0" w:line="262" w:lineRule="auto"/>
        <w:rPr>
          <w:sz w:val="20"/>
          <w:szCs w:val="20"/>
          <w:color w:val="auto"/>
        </w:rPr>
      </w:pPr>
      <w:r>
        <w:rPr>
          <w:rFonts w:ascii="Arial" w:cs="Arial" w:eastAsia="Arial" w:hAnsi="Arial"/>
          <w:sz w:val="18"/>
          <w:szCs w:val="18"/>
          <w:i w:val="1"/>
          <w:iCs w:val="1"/>
          <w:color w:val="auto"/>
        </w:rPr>
        <w:t xml:space="preserve">Contract Liabilities: </w:t>
      </w:r>
      <w:r>
        <w:rPr>
          <w:rFonts w:ascii="Arial" w:cs="Arial" w:eastAsia="Arial" w:hAnsi="Arial"/>
          <w:sz w:val="18"/>
          <w:szCs w:val="18"/>
          <w:color w:val="auto"/>
        </w:rPr>
        <w:t>The Company’s primary source of contract liabilities is unearned revenue from subscriptions paid in advance of</w:t>
      </w:r>
      <w:r>
        <w:rPr>
          <w:rFonts w:ascii="Arial" w:cs="Arial" w:eastAsia="Arial" w:hAnsi="Arial"/>
          <w:sz w:val="18"/>
          <w:szCs w:val="18"/>
          <w:i w:val="1"/>
          <w:iCs w:val="1"/>
          <w:color w:val="auto"/>
        </w:rPr>
        <w:t xml:space="preserve"> </w:t>
      </w:r>
      <w:r>
        <w:rPr>
          <w:rFonts w:ascii="Arial" w:cs="Arial" w:eastAsia="Arial" w:hAnsi="Arial"/>
          <w:sz w:val="18"/>
          <w:szCs w:val="18"/>
          <w:color w:val="auto"/>
        </w:rPr>
        <w:t>the service provided. The Company expects to recognize the revenue related to unsatisfied performance obligations over the next twelve months in accordance with the terms of the subscriptions and other contracts with customers. Revenue recognized in the six months ended March 24, 2024, that was included in the contract liability as of September 24, 2023, was $34.4 million.</w:t>
      </w:r>
    </w:p>
    <w:p>
      <w:pPr>
        <w:spacing w:after="0" w:line="136" w:lineRule="exact"/>
        <w:rPr>
          <w:sz w:val="20"/>
          <w:szCs w:val="20"/>
          <w:color w:val="auto"/>
        </w:rPr>
      </w:pPr>
    </w:p>
    <w:p>
      <w:pPr>
        <w:jc w:val="both"/>
        <w:ind w:left="660"/>
        <w:spacing w:after="0" w:line="268" w:lineRule="auto"/>
        <w:rPr>
          <w:sz w:val="20"/>
          <w:szCs w:val="20"/>
          <w:color w:val="auto"/>
        </w:rPr>
      </w:pPr>
      <w:r>
        <w:rPr>
          <w:rFonts w:ascii="Arial" w:cs="Arial" w:eastAsia="Arial" w:hAnsi="Arial"/>
          <w:sz w:val="18"/>
          <w:szCs w:val="18"/>
          <w:color w:val="auto"/>
        </w:rPr>
        <w:t>Accounts receivable, excluding allowance for credit losses was $65.7 million and $74.4 million as of March 24, 2024, and September 24, 2023</w:t>
      </w:r>
      <w:r>
        <w:rPr>
          <w:rFonts w:ascii="Arial" w:cs="Arial" w:eastAsia="Arial" w:hAnsi="Arial"/>
          <w:sz w:val="18"/>
          <w:szCs w:val="18"/>
          <w:i w:val="1"/>
          <w:iCs w:val="1"/>
          <w:color w:val="auto"/>
        </w:rPr>
        <w:t>,</w:t>
      </w:r>
      <w:r>
        <w:rPr>
          <w:rFonts w:ascii="Arial" w:cs="Arial" w:eastAsia="Arial" w:hAnsi="Arial"/>
          <w:sz w:val="18"/>
          <w:szCs w:val="18"/>
          <w:color w:val="auto"/>
        </w:rPr>
        <w:t xml:space="preserve"> respectively. Allowance for credit losses was $6.5 million and $5.3 million as of March 24, 2024, and September 24, 2023</w:t>
      </w:r>
      <w:r>
        <w:rPr>
          <w:rFonts w:ascii="Arial" w:cs="Arial" w:eastAsia="Arial" w:hAnsi="Arial"/>
          <w:sz w:val="18"/>
          <w:szCs w:val="18"/>
          <w:i w:val="1"/>
          <w:iCs w:val="1"/>
          <w:color w:val="auto"/>
        </w:rPr>
        <w:t>,</w:t>
      </w:r>
      <w:r>
        <w:rPr>
          <w:rFonts w:ascii="Arial" w:cs="Arial" w:eastAsia="Arial" w:hAnsi="Arial"/>
          <w:sz w:val="18"/>
          <w:szCs w:val="18"/>
          <w:color w:val="auto"/>
        </w:rPr>
        <w:t xml:space="preserve"> respectively.</w:t>
      </w:r>
    </w:p>
    <w:p>
      <w:pPr>
        <w:spacing w:after="0" w:line="144" w:lineRule="exact"/>
        <w:rPr>
          <w:sz w:val="20"/>
          <w:szCs w:val="20"/>
          <w:color w:val="auto"/>
        </w:rPr>
      </w:pPr>
    </w:p>
    <w:p>
      <w:pPr>
        <w:jc w:val="both"/>
        <w:ind w:left="660"/>
        <w:spacing w:after="0" w:line="268" w:lineRule="auto"/>
        <w:rPr>
          <w:sz w:val="20"/>
          <w:szCs w:val="20"/>
          <w:color w:val="auto"/>
        </w:rPr>
      </w:pPr>
      <w:r>
        <w:rPr>
          <w:rFonts w:ascii="Arial" w:cs="Arial" w:eastAsia="Arial" w:hAnsi="Arial"/>
          <w:sz w:val="18"/>
          <w:szCs w:val="18"/>
          <w:color w:val="auto"/>
        </w:rPr>
        <w:t>Sales commissions are expensed as incurred as the associated contractual periods are one year or less. These costs are recorded within compensation. Most of our contracts have original expected lengths of one year or less and revenue is earned at a rate and amount that corresponds directly with the value to the customer.</w:t>
      </w:r>
    </w:p>
    <w:p>
      <w:pPr>
        <w:spacing w:after="0" w:line="130" w:lineRule="exact"/>
        <w:rPr>
          <w:sz w:val="20"/>
          <w:szCs w:val="20"/>
          <w:color w:val="auto"/>
        </w:rPr>
      </w:pPr>
    </w:p>
    <w:p>
      <w:pPr>
        <w:ind w:left="660" w:right="7080" w:hanging="652"/>
        <w:spacing w:after="0" w:line="461" w:lineRule="auto"/>
        <w:tabs>
          <w:tab w:leader="none" w:pos="312"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INVESTMENTS IN ASSOCIATED COMPANIES TNI Partners</w:t>
      </w:r>
    </w:p>
    <w:p>
      <w:pPr>
        <w:spacing w:after="0" w:line="1" w:lineRule="exact"/>
        <w:rPr>
          <w:sz w:val="20"/>
          <w:szCs w:val="20"/>
          <w:color w:val="auto"/>
        </w:rPr>
      </w:pPr>
    </w:p>
    <w:p>
      <w:pPr>
        <w:jc w:val="both"/>
        <w:ind w:left="660"/>
        <w:spacing w:after="0" w:line="262" w:lineRule="auto"/>
        <w:rPr>
          <w:sz w:val="20"/>
          <w:szCs w:val="20"/>
          <w:color w:val="auto"/>
        </w:rPr>
      </w:pPr>
      <w:r>
        <w:rPr>
          <w:rFonts w:ascii="Arial" w:cs="Arial" w:eastAsia="Arial" w:hAnsi="Arial"/>
          <w:sz w:val="18"/>
          <w:szCs w:val="18"/>
          <w:color w:val="auto"/>
        </w:rPr>
        <w:t xml:space="preserve">In Tucson, Arizona, TNI, acting as agent for our subsidiary, Star Publishing Company (“Star Publishing”), and Gannett Co., Inc.'s subsidiary Citizen Publishing Company (“Citizen”), is responsible for printing, delivery, advertising, and subscription activities of the </w:t>
      </w:r>
      <w:r>
        <w:rPr>
          <w:rFonts w:ascii="Arial" w:cs="Arial" w:eastAsia="Arial" w:hAnsi="Arial"/>
          <w:sz w:val="18"/>
          <w:szCs w:val="18"/>
          <w:i w:val="1"/>
          <w:iCs w:val="1"/>
          <w:color w:val="auto"/>
        </w:rPr>
        <w:t xml:space="preserve">Arizona Daily Star </w:t>
      </w:r>
      <w:r>
        <w:rPr>
          <w:rFonts w:ascii="Arial" w:cs="Arial" w:eastAsia="Arial" w:hAnsi="Arial"/>
          <w:sz w:val="18"/>
          <w:szCs w:val="18"/>
          <w:color w:val="auto"/>
        </w:rPr>
        <w:t>as well as the related digital platforms and specialty publications. TNI collects all receipts and income and pays</w:t>
      </w:r>
      <w:r>
        <w:rPr>
          <w:rFonts w:ascii="Arial" w:cs="Arial" w:eastAsia="Arial" w:hAnsi="Arial"/>
          <w:sz w:val="18"/>
          <w:szCs w:val="18"/>
          <w:i w:val="1"/>
          <w:iCs w:val="1"/>
          <w:color w:val="auto"/>
        </w:rPr>
        <w:t xml:space="preserve"> </w:t>
      </w:r>
      <w:r>
        <w:rPr>
          <w:rFonts w:ascii="Arial" w:cs="Arial" w:eastAsia="Arial" w:hAnsi="Arial"/>
          <w:sz w:val="18"/>
          <w:szCs w:val="18"/>
          <w:color w:val="auto"/>
        </w:rPr>
        <w:t>substantially all operating expenses incident to the partnership's operations and publication of the newspaper and other media.</w:t>
      </w:r>
    </w:p>
    <w:p>
      <w:pPr>
        <w:spacing w:after="0" w:line="13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Income or loss of TNI (before income taxes) is allocated equally to Star Publishing and Citizen.</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Summarized results of TNI are as follows:</w:t>
      </w:r>
    </w:p>
    <w:p>
      <w:pPr>
        <w:spacing w:after="0" w:line="224" w:lineRule="exact"/>
        <w:rPr>
          <w:sz w:val="20"/>
          <w:szCs w:val="20"/>
          <w:color w:val="auto"/>
        </w:rPr>
      </w:pPr>
    </w:p>
    <w:tbl>
      <w:tblPr>
        <w:tblLayout w:type="fixed"/>
        <w:tblInd w:w="660" w:type="dxa"/>
        <w:tblCellMar>
          <w:top w:w="0" w:type="dxa"/>
          <w:left w:w="0" w:type="dxa"/>
          <w:bottom w:w="0" w:type="dxa"/>
          <w:right w:w="0" w:type="dxa"/>
        </w:tblCellMar>
      </w:tblPr>
      <w:tr>
        <w:trPr>
          <w:trHeight w:val="243"/>
        </w:trPr>
        <w:tc>
          <w:tcPr>
            <w:tcW w:w="3220" w:type="dxa"/>
            <w:vAlign w:val="bottom"/>
            <w:tcBorders>
              <w:top w:val="single" w:sz="8" w:color="auto"/>
              <w:bottom w:val="single" w:sz="8" w:color="auto"/>
            </w:tcBorders>
          </w:tcPr>
          <w:p>
            <w:pPr>
              <w:spacing w:after="0"/>
              <w:rPr>
                <w:sz w:val="21"/>
                <w:szCs w:val="21"/>
                <w:color w:val="auto"/>
              </w:rPr>
            </w:pPr>
          </w:p>
        </w:tc>
        <w:tc>
          <w:tcPr>
            <w:tcW w:w="3920" w:type="dxa"/>
            <w:vAlign w:val="bottom"/>
            <w:tcBorders>
              <w:top w:val="single" w:sz="8" w:color="auto"/>
              <w:bottom w:val="single" w:sz="8" w:color="auto"/>
            </w:tcBorders>
            <w:gridSpan w:val="2"/>
          </w:tcPr>
          <w:p>
            <w:pPr>
              <w:jc w:val="right"/>
              <w:ind w:right="910"/>
              <w:spacing w:after="0"/>
              <w:rPr>
                <w:sz w:val="20"/>
                <w:szCs w:val="20"/>
                <w:color w:val="auto"/>
              </w:rPr>
            </w:pPr>
            <w:r>
              <w:rPr>
                <w:rFonts w:ascii="Arial" w:cs="Arial" w:eastAsia="Arial" w:hAnsi="Arial"/>
                <w:sz w:val="18"/>
                <w:szCs w:val="18"/>
                <w:color w:val="auto"/>
              </w:rPr>
              <w:t>Three months ended</w:t>
            </w:r>
          </w:p>
        </w:tc>
        <w:tc>
          <w:tcPr>
            <w:tcW w:w="2660" w:type="dxa"/>
            <w:vAlign w:val="bottom"/>
            <w:tcBorders>
              <w:top w:val="single" w:sz="8" w:color="auto"/>
              <w:bottom w:val="single" w:sz="8" w:color="auto"/>
            </w:tcBorders>
            <w:gridSpan w:val="2"/>
          </w:tcPr>
          <w:p>
            <w:pPr>
              <w:jc w:val="right"/>
              <w:ind w:right="690"/>
              <w:spacing w:after="0"/>
              <w:rPr>
                <w:sz w:val="20"/>
                <w:szCs w:val="20"/>
                <w:color w:val="auto"/>
              </w:rPr>
            </w:pPr>
            <w:r>
              <w:rPr>
                <w:rFonts w:ascii="Arial" w:cs="Arial" w:eastAsia="Arial" w:hAnsi="Arial"/>
                <w:sz w:val="18"/>
                <w:szCs w:val="18"/>
                <w:color w:val="auto"/>
              </w:rPr>
              <w:t>Six months ended</w:t>
            </w:r>
          </w:p>
        </w:tc>
        <w:tc>
          <w:tcPr>
            <w:tcW w:w="0" w:type="dxa"/>
            <w:vAlign w:val="bottom"/>
          </w:tcPr>
          <w:p>
            <w:pPr>
              <w:spacing w:after="0"/>
              <w:rPr>
                <w:sz w:val="1"/>
                <w:szCs w:val="1"/>
                <w:color w:val="auto"/>
              </w:rPr>
            </w:pPr>
          </w:p>
        </w:tc>
      </w:tr>
      <w:tr>
        <w:trPr>
          <w:trHeight w:val="169"/>
        </w:trPr>
        <w:tc>
          <w:tcPr>
            <w:tcW w:w="3220" w:type="dxa"/>
            <w:vAlign w:val="bottom"/>
            <w:vMerge w:val="restart"/>
          </w:tcPr>
          <w:p>
            <w:pPr>
              <w:ind w:left="20"/>
              <w:spacing w:after="0"/>
              <w:rPr>
                <w:sz w:val="20"/>
                <w:szCs w:val="20"/>
                <w:color w:val="auto"/>
              </w:rPr>
            </w:pPr>
            <w:r>
              <w:rPr>
                <w:rFonts w:ascii="Arial" w:cs="Arial" w:eastAsia="Arial" w:hAnsi="Arial"/>
                <w:sz w:val="18"/>
                <w:szCs w:val="18"/>
                <w:i w:val="1"/>
                <w:iCs w:val="1"/>
                <w:color w:val="auto"/>
              </w:rPr>
              <w:t>(Thousands of Dollars)</w:t>
            </w:r>
          </w:p>
        </w:tc>
        <w:tc>
          <w:tcPr>
            <w:tcW w:w="2420" w:type="dxa"/>
            <w:vAlign w:val="bottom"/>
          </w:tcPr>
          <w:p>
            <w:pPr>
              <w:jc w:val="right"/>
              <w:ind w:right="270"/>
              <w:spacing w:after="0" w:line="169" w:lineRule="exact"/>
              <w:rPr>
                <w:sz w:val="20"/>
                <w:szCs w:val="20"/>
                <w:color w:val="auto"/>
              </w:rPr>
            </w:pPr>
            <w:r>
              <w:rPr>
                <w:rFonts w:ascii="Arial" w:cs="Arial" w:eastAsia="Arial" w:hAnsi="Arial"/>
                <w:sz w:val="18"/>
                <w:szCs w:val="18"/>
                <w:color w:val="auto"/>
              </w:rPr>
              <w:t>March 24,</w:t>
            </w:r>
          </w:p>
        </w:tc>
        <w:tc>
          <w:tcPr>
            <w:tcW w:w="1500" w:type="dxa"/>
            <w:vAlign w:val="bottom"/>
          </w:tcPr>
          <w:p>
            <w:pPr>
              <w:jc w:val="right"/>
              <w:ind w:right="270"/>
              <w:spacing w:after="0" w:line="169" w:lineRule="exact"/>
              <w:rPr>
                <w:sz w:val="20"/>
                <w:szCs w:val="20"/>
                <w:color w:val="auto"/>
              </w:rPr>
            </w:pPr>
            <w:r>
              <w:rPr>
                <w:rFonts w:ascii="Arial" w:cs="Arial" w:eastAsia="Arial" w:hAnsi="Arial"/>
                <w:sz w:val="18"/>
                <w:szCs w:val="18"/>
                <w:color w:val="auto"/>
              </w:rPr>
              <w:t>March 26,</w:t>
            </w:r>
          </w:p>
        </w:tc>
        <w:tc>
          <w:tcPr>
            <w:tcW w:w="1500" w:type="dxa"/>
            <w:vAlign w:val="bottom"/>
          </w:tcPr>
          <w:p>
            <w:pPr>
              <w:jc w:val="right"/>
              <w:ind w:right="270"/>
              <w:spacing w:after="0" w:line="169" w:lineRule="exact"/>
              <w:rPr>
                <w:sz w:val="20"/>
                <w:szCs w:val="20"/>
                <w:color w:val="auto"/>
              </w:rPr>
            </w:pPr>
            <w:r>
              <w:rPr>
                <w:rFonts w:ascii="Arial" w:cs="Arial" w:eastAsia="Arial" w:hAnsi="Arial"/>
                <w:sz w:val="18"/>
                <w:szCs w:val="18"/>
                <w:color w:val="auto"/>
              </w:rPr>
              <w:t>March 24,</w:t>
            </w:r>
          </w:p>
        </w:tc>
        <w:tc>
          <w:tcPr>
            <w:tcW w:w="1160" w:type="dxa"/>
            <w:vAlign w:val="bottom"/>
          </w:tcPr>
          <w:p>
            <w:pPr>
              <w:jc w:val="right"/>
              <w:spacing w:after="0" w:line="169" w:lineRule="exact"/>
              <w:rPr>
                <w:sz w:val="20"/>
                <w:szCs w:val="20"/>
                <w:color w:val="auto"/>
              </w:rPr>
            </w:pPr>
            <w:r>
              <w:rPr>
                <w:rFonts w:ascii="Arial" w:cs="Arial" w:eastAsia="Arial" w:hAnsi="Arial"/>
                <w:sz w:val="18"/>
                <w:szCs w:val="18"/>
                <w:color w:val="auto"/>
              </w:rPr>
              <w:t>March 26,</w:t>
            </w:r>
          </w:p>
        </w:tc>
        <w:tc>
          <w:tcPr>
            <w:tcW w:w="0" w:type="dxa"/>
            <w:vAlign w:val="bottom"/>
          </w:tcPr>
          <w:p>
            <w:pPr>
              <w:spacing w:after="0"/>
              <w:rPr>
                <w:sz w:val="1"/>
                <w:szCs w:val="1"/>
                <w:color w:val="auto"/>
              </w:rPr>
            </w:pPr>
          </w:p>
        </w:tc>
      </w:tr>
      <w:tr>
        <w:trPr>
          <w:trHeight w:val="243"/>
        </w:trPr>
        <w:tc>
          <w:tcPr>
            <w:tcW w:w="3220" w:type="dxa"/>
            <w:vAlign w:val="bottom"/>
            <w:tcBorders>
              <w:bottom w:val="single" w:sz="8" w:color="auto"/>
            </w:tcBorders>
            <w:vMerge w:val="continue"/>
          </w:tcPr>
          <w:p>
            <w:pPr>
              <w:spacing w:after="0"/>
              <w:rPr>
                <w:sz w:val="21"/>
                <w:szCs w:val="21"/>
                <w:color w:val="auto"/>
              </w:rPr>
            </w:pPr>
          </w:p>
        </w:tc>
        <w:tc>
          <w:tcPr>
            <w:tcW w:w="24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2024</w:t>
            </w:r>
          </w:p>
        </w:tc>
        <w:tc>
          <w:tcPr>
            <w:tcW w:w="15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2023</w:t>
            </w:r>
          </w:p>
        </w:tc>
        <w:tc>
          <w:tcPr>
            <w:tcW w:w="15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2024</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2023</w:t>
            </w:r>
          </w:p>
        </w:tc>
        <w:tc>
          <w:tcPr>
            <w:tcW w:w="0" w:type="dxa"/>
            <w:vAlign w:val="bottom"/>
          </w:tcPr>
          <w:p>
            <w:pPr>
              <w:spacing w:after="0"/>
              <w:rPr>
                <w:sz w:val="1"/>
                <w:szCs w:val="1"/>
                <w:color w:val="auto"/>
              </w:rPr>
            </w:pPr>
          </w:p>
        </w:tc>
      </w:tr>
      <w:tr>
        <w:trPr>
          <w:trHeight w:val="250"/>
        </w:trPr>
        <w:tc>
          <w:tcPr>
            <w:tcW w:w="3220" w:type="dxa"/>
            <w:vAlign w:val="bottom"/>
          </w:tcPr>
          <w:p>
            <w:pPr>
              <w:spacing w:after="0"/>
              <w:rPr>
                <w:sz w:val="21"/>
                <w:szCs w:val="21"/>
                <w:color w:val="auto"/>
              </w:rPr>
            </w:pPr>
          </w:p>
        </w:tc>
        <w:tc>
          <w:tcPr>
            <w:tcW w:w="242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3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revenue</w:t>
            </w:r>
          </w:p>
        </w:tc>
        <w:tc>
          <w:tcPr>
            <w:tcW w:w="242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7,360</w:t>
            </w:r>
          </w:p>
        </w:tc>
        <w:tc>
          <w:tcPr>
            <w:tcW w:w="150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8,169</w:t>
            </w:r>
          </w:p>
        </w:tc>
        <w:tc>
          <w:tcPr>
            <w:tcW w:w="150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14,351</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16,710</w:t>
            </w:r>
          </w:p>
        </w:tc>
        <w:tc>
          <w:tcPr>
            <w:tcW w:w="0" w:type="dxa"/>
            <w:vAlign w:val="bottom"/>
          </w:tcPr>
          <w:p>
            <w:pPr>
              <w:spacing w:after="0"/>
              <w:rPr>
                <w:sz w:val="1"/>
                <w:szCs w:val="1"/>
                <w:color w:val="auto"/>
              </w:rPr>
            </w:pPr>
          </w:p>
        </w:tc>
      </w:tr>
      <w:tr>
        <w:trPr>
          <w:trHeight w:val="230"/>
        </w:trPr>
        <w:tc>
          <w:tcPr>
            <w:tcW w:w="32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Operating expenses</w:t>
            </w:r>
          </w:p>
        </w:tc>
        <w:tc>
          <w:tcPr>
            <w:tcW w:w="24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5,450</w:t>
            </w:r>
          </w:p>
        </w:tc>
        <w:tc>
          <w:tcPr>
            <w:tcW w:w="150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6,889</w:t>
            </w:r>
          </w:p>
        </w:tc>
        <w:tc>
          <w:tcPr>
            <w:tcW w:w="150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10,131</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13,364</w:t>
            </w:r>
          </w:p>
        </w:tc>
        <w:tc>
          <w:tcPr>
            <w:tcW w:w="0" w:type="dxa"/>
            <w:vAlign w:val="bottom"/>
          </w:tcPr>
          <w:p>
            <w:pPr>
              <w:spacing w:after="0"/>
              <w:rPr>
                <w:sz w:val="1"/>
                <w:szCs w:val="1"/>
                <w:color w:val="auto"/>
              </w:rPr>
            </w:pPr>
          </w:p>
        </w:tc>
      </w:tr>
      <w:tr>
        <w:trPr>
          <w:trHeight w:val="248"/>
        </w:trPr>
        <w:tc>
          <w:tcPr>
            <w:tcW w:w="32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Operating income</w:t>
            </w:r>
          </w:p>
        </w:tc>
        <w:tc>
          <w:tcPr>
            <w:tcW w:w="242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rPr>
              <w:t>1,910</w:t>
            </w:r>
          </w:p>
        </w:tc>
        <w:tc>
          <w:tcPr>
            <w:tcW w:w="150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rPr>
              <w:t>1,280</w:t>
            </w:r>
          </w:p>
        </w:tc>
        <w:tc>
          <w:tcPr>
            <w:tcW w:w="150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rPr>
              <w:t>4,220</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3,346</w:t>
            </w:r>
          </w:p>
        </w:tc>
        <w:tc>
          <w:tcPr>
            <w:tcW w:w="0" w:type="dxa"/>
            <w:vAlign w:val="bottom"/>
          </w:tcPr>
          <w:p>
            <w:pPr>
              <w:spacing w:after="0"/>
              <w:rPr>
                <w:sz w:val="1"/>
                <w:szCs w:val="1"/>
                <w:color w:val="auto"/>
              </w:rPr>
            </w:pPr>
          </w:p>
        </w:tc>
      </w:tr>
      <w:tr>
        <w:trPr>
          <w:trHeight w:val="20"/>
        </w:trPr>
        <w:tc>
          <w:tcPr>
            <w:tcW w:w="3220" w:type="dxa"/>
            <w:vAlign w:val="bottom"/>
            <w:tcBorders>
              <w:top w:val="single" w:sz="8" w:color="CCEEFF"/>
              <w:bottom w:val="single" w:sz="8" w:color="auto"/>
            </w:tcBorders>
          </w:tcPr>
          <w:p>
            <w:pPr>
              <w:spacing w:after="0" w:line="20" w:lineRule="exact"/>
              <w:rPr>
                <w:sz w:val="1"/>
                <w:szCs w:val="1"/>
                <w:color w:val="auto"/>
              </w:rPr>
            </w:pPr>
          </w:p>
        </w:tc>
        <w:tc>
          <w:tcPr>
            <w:tcW w:w="242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220" w:type="dxa"/>
            <w:vAlign w:val="bottom"/>
            <w:tcBorders>
              <w:bottom w:val="single" w:sz="8" w:color="auto"/>
            </w:tcBorders>
          </w:tcPr>
          <w:p>
            <w:pPr>
              <w:ind w:left="20"/>
              <w:spacing w:after="0" w:line="203" w:lineRule="exact"/>
              <w:rPr>
                <w:sz w:val="20"/>
                <w:szCs w:val="20"/>
                <w:color w:val="auto"/>
              </w:rPr>
            </w:pPr>
            <w:r>
              <w:rPr>
                <w:rFonts w:ascii="Arial" w:cs="Arial" w:eastAsia="Arial" w:hAnsi="Arial"/>
                <w:sz w:val="18"/>
                <w:szCs w:val="18"/>
                <w:color w:val="auto"/>
              </w:rPr>
              <w:t>Net income</w:t>
            </w:r>
          </w:p>
        </w:tc>
        <w:tc>
          <w:tcPr>
            <w:tcW w:w="2420" w:type="dxa"/>
            <w:vAlign w:val="bottom"/>
            <w:tcBorders>
              <w:bottom w:val="single" w:sz="8" w:color="auto"/>
            </w:tcBorders>
          </w:tcPr>
          <w:p>
            <w:pPr>
              <w:jc w:val="right"/>
              <w:ind w:right="330"/>
              <w:spacing w:after="0" w:line="203" w:lineRule="exact"/>
              <w:rPr>
                <w:sz w:val="20"/>
                <w:szCs w:val="20"/>
                <w:color w:val="auto"/>
              </w:rPr>
            </w:pPr>
            <w:r>
              <w:rPr>
                <w:rFonts w:ascii="Arial" w:cs="Arial" w:eastAsia="Arial" w:hAnsi="Arial"/>
                <w:sz w:val="18"/>
                <w:szCs w:val="18"/>
                <w:color w:val="auto"/>
              </w:rPr>
              <w:t>1,910</w:t>
            </w:r>
          </w:p>
        </w:tc>
        <w:tc>
          <w:tcPr>
            <w:tcW w:w="1500" w:type="dxa"/>
            <w:vAlign w:val="bottom"/>
            <w:tcBorders>
              <w:bottom w:val="single" w:sz="8" w:color="auto"/>
            </w:tcBorders>
          </w:tcPr>
          <w:p>
            <w:pPr>
              <w:jc w:val="right"/>
              <w:ind w:right="330"/>
              <w:spacing w:after="0" w:line="203" w:lineRule="exact"/>
              <w:rPr>
                <w:sz w:val="20"/>
                <w:szCs w:val="20"/>
                <w:color w:val="auto"/>
              </w:rPr>
            </w:pPr>
            <w:r>
              <w:rPr>
                <w:rFonts w:ascii="Arial" w:cs="Arial" w:eastAsia="Arial" w:hAnsi="Arial"/>
                <w:sz w:val="18"/>
                <w:szCs w:val="18"/>
                <w:color w:val="auto"/>
              </w:rPr>
              <w:t>1,137</w:t>
            </w:r>
          </w:p>
        </w:tc>
        <w:tc>
          <w:tcPr>
            <w:tcW w:w="1500" w:type="dxa"/>
            <w:vAlign w:val="bottom"/>
            <w:tcBorders>
              <w:bottom w:val="single" w:sz="8" w:color="auto"/>
            </w:tcBorders>
          </w:tcPr>
          <w:p>
            <w:pPr>
              <w:jc w:val="right"/>
              <w:ind w:right="330"/>
              <w:spacing w:after="0" w:line="203" w:lineRule="exact"/>
              <w:rPr>
                <w:sz w:val="20"/>
                <w:szCs w:val="20"/>
                <w:color w:val="auto"/>
              </w:rPr>
            </w:pPr>
            <w:r>
              <w:rPr>
                <w:rFonts w:ascii="Arial" w:cs="Arial" w:eastAsia="Arial" w:hAnsi="Arial"/>
                <w:sz w:val="18"/>
                <w:szCs w:val="18"/>
                <w:color w:val="auto"/>
              </w:rPr>
              <w:t>4,220</w:t>
            </w:r>
          </w:p>
        </w:tc>
        <w:tc>
          <w:tcPr>
            <w:tcW w:w="11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3,666</w:t>
            </w:r>
          </w:p>
        </w:tc>
        <w:tc>
          <w:tcPr>
            <w:tcW w:w="0" w:type="dxa"/>
            <w:vAlign w:val="bottom"/>
          </w:tcPr>
          <w:p>
            <w:pPr>
              <w:spacing w:after="0"/>
              <w:rPr>
                <w:sz w:val="1"/>
                <w:szCs w:val="1"/>
                <w:color w:val="auto"/>
              </w:rPr>
            </w:pPr>
          </w:p>
        </w:tc>
      </w:tr>
      <w:tr>
        <w:trPr>
          <w:trHeight w:val="20"/>
        </w:trPr>
        <w:tc>
          <w:tcPr>
            <w:tcW w:w="3220" w:type="dxa"/>
            <w:vAlign w:val="bottom"/>
            <w:tcBorders>
              <w:bottom w:val="single" w:sz="8" w:color="auto"/>
            </w:tcBorders>
          </w:tcPr>
          <w:p>
            <w:pPr>
              <w:spacing w:after="0" w:line="20" w:lineRule="exact"/>
              <w:rPr>
                <w:sz w:val="1"/>
                <w:szCs w:val="1"/>
                <w:color w:val="auto"/>
              </w:rPr>
            </w:pPr>
          </w:p>
        </w:tc>
        <w:tc>
          <w:tcPr>
            <w:tcW w:w="24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32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Equity in earnings of TNI</w:t>
            </w:r>
          </w:p>
        </w:tc>
        <w:tc>
          <w:tcPr>
            <w:tcW w:w="242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rPr>
              <w:t>955</w:t>
            </w:r>
          </w:p>
        </w:tc>
        <w:tc>
          <w:tcPr>
            <w:tcW w:w="150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rPr>
              <w:t>569</w:t>
            </w:r>
          </w:p>
        </w:tc>
        <w:tc>
          <w:tcPr>
            <w:tcW w:w="150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rPr>
              <w:t>2,110</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1,833</w:t>
            </w:r>
          </w:p>
        </w:tc>
        <w:tc>
          <w:tcPr>
            <w:tcW w:w="0" w:type="dxa"/>
            <w:vAlign w:val="bottom"/>
          </w:tcPr>
          <w:p>
            <w:pPr>
              <w:spacing w:after="0"/>
              <w:rPr>
                <w:sz w:val="1"/>
                <w:szCs w:val="1"/>
                <w:color w:val="auto"/>
              </w:rPr>
            </w:pPr>
          </w:p>
        </w:tc>
      </w:tr>
      <w:tr>
        <w:trPr>
          <w:trHeight w:val="20"/>
        </w:trPr>
        <w:tc>
          <w:tcPr>
            <w:tcW w:w="3220" w:type="dxa"/>
            <w:vAlign w:val="bottom"/>
            <w:tcBorders>
              <w:top w:val="single" w:sz="8" w:color="CCEEFF"/>
              <w:bottom w:val="single" w:sz="8" w:color="auto"/>
            </w:tcBorders>
          </w:tcPr>
          <w:p>
            <w:pPr>
              <w:spacing w:after="0" w:line="20" w:lineRule="exact"/>
              <w:rPr>
                <w:sz w:val="1"/>
                <w:szCs w:val="1"/>
                <w:color w:val="auto"/>
              </w:rPr>
            </w:pPr>
          </w:p>
        </w:tc>
        <w:tc>
          <w:tcPr>
            <w:tcW w:w="242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1" w:lineRule="exact"/>
        <w:rPr>
          <w:sz w:val="20"/>
          <w:szCs w:val="20"/>
          <w:color w:val="auto"/>
        </w:rPr>
      </w:pPr>
    </w:p>
    <w:p>
      <w:pPr>
        <w:jc w:val="both"/>
        <w:ind w:left="660"/>
        <w:spacing w:after="0" w:line="268" w:lineRule="auto"/>
        <w:rPr>
          <w:sz w:val="20"/>
          <w:szCs w:val="20"/>
          <w:color w:val="auto"/>
        </w:rPr>
      </w:pPr>
      <w:r>
        <w:rPr>
          <w:rFonts w:ascii="Arial" w:cs="Arial" w:eastAsia="Arial" w:hAnsi="Arial"/>
          <w:sz w:val="18"/>
          <w:szCs w:val="18"/>
          <w:color w:val="auto"/>
        </w:rPr>
        <w:t>TNI makes periodic distributions of its earnings and for the three months ended March 24, 2024, and March 26, 2023, we received $0.9 million and $1.4 million in distributions, respectively. In the six months ended March 24, 2024 and March 26, 2023, we received $2.1 million and $2.3 million in distributions, respectively.</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Madison Newspapers, Inc.</w:t>
      </w:r>
    </w:p>
    <w:p>
      <w:pPr>
        <w:spacing w:after="0" w:line="198" w:lineRule="exact"/>
        <w:rPr>
          <w:sz w:val="20"/>
          <w:szCs w:val="20"/>
          <w:color w:val="auto"/>
        </w:rPr>
      </w:pPr>
    </w:p>
    <w:p>
      <w:pPr>
        <w:jc w:val="both"/>
        <w:ind w:left="660"/>
        <w:spacing w:after="0" w:line="262" w:lineRule="auto"/>
        <w:rPr>
          <w:sz w:val="20"/>
          <w:szCs w:val="20"/>
          <w:color w:val="auto"/>
        </w:rPr>
      </w:pPr>
      <w:r>
        <w:rPr>
          <w:rFonts w:ascii="Arial" w:cs="Arial" w:eastAsia="Arial" w:hAnsi="Arial"/>
          <w:sz w:val="18"/>
          <w:szCs w:val="18"/>
          <w:color w:val="auto"/>
        </w:rPr>
        <w:t>We have a 50% ownership interest in MNI, which publishes daily and Sunday newspapers, and other publications in Madison, Wisconsin, and other Wisconsin locations, and operates their related digital platforms. Net income or loss of MNI (after income taxes) is allocated equally to us and The Capital Times Company (“TCT”). MNI conducts its business under the trade name Capital Newspapers.</w:t>
      </w:r>
    </w:p>
    <w:p>
      <w:pPr>
        <w:spacing w:after="0" w:line="13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Summarized results of MNI are as follows:</w:t>
      </w:r>
    </w:p>
    <w:p>
      <w:pPr>
        <w:spacing w:after="0" w:line="210" w:lineRule="exact"/>
        <w:rPr>
          <w:sz w:val="20"/>
          <w:szCs w:val="20"/>
          <w:color w:val="auto"/>
        </w:rPr>
      </w:pPr>
    </w:p>
    <w:tbl>
      <w:tblPr>
        <w:tblLayout w:type="fixed"/>
        <w:tblInd w:w="660" w:type="dxa"/>
        <w:tblCellMar>
          <w:top w:w="0" w:type="dxa"/>
          <w:left w:w="0" w:type="dxa"/>
          <w:bottom w:w="0" w:type="dxa"/>
          <w:right w:w="0" w:type="dxa"/>
        </w:tblCellMar>
      </w:tblPr>
      <w:tr>
        <w:trPr>
          <w:trHeight w:val="243"/>
        </w:trPr>
        <w:tc>
          <w:tcPr>
            <w:tcW w:w="4000" w:type="dxa"/>
            <w:vAlign w:val="bottom"/>
            <w:tcBorders>
              <w:top w:val="single" w:sz="8" w:color="auto"/>
              <w:bottom w:val="single" w:sz="8" w:color="auto"/>
            </w:tcBorders>
          </w:tcPr>
          <w:p>
            <w:pPr>
              <w:spacing w:after="0"/>
              <w:rPr>
                <w:sz w:val="21"/>
                <w:szCs w:val="21"/>
                <w:color w:val="auto"/>
              </w:rPr>
            </w:pPr>
          </w:p>
        </w:tc>
        <w:tc>
          <w:tcPr>
            <w:tcW w:w="3140" w:type="dxa"/>
            <w:vAlign w:val="bottom"/>
            <w:tcBorders>
              <w:top w:val="single" w:sz="8" w:color="auto"/>
              <w:bottom w:val="single" w:sz="8" w:color="auto"/>
            </w:tcBorders>
            <w:gridSpan w:val="2"/>
          </w:tcPr>
          <w:p>
            <w:pPr>
              <w:jc w:val="right"/>
              <w:ind w:right="910"/>
              <w:spacing w:after="0"/>
              <w:rPr>
                <w:sz w:val="20"/>
                <w:szCs w:val="20"/>
                <w:color w:val="auto"/>
              </w:rPr>
            </w:pPr>
            <w:r>
              <w:rPr>
                <w:rFonts w:ascii="Arial" w:cs="Arial" w:eastAsia="Arial" w:hAnsi="Arial"/>
                <w:sz w:val="18"/>
                <w:szCs w:val="18"/>
                <w:color w:val="auto"/>
              </w:rPr>
              <w:t>Three months ended</w:t>
            </w:r>
          </w:p>
        </w:tc>
        <w:tc>
          <w:tcPr>
            <w:tcW w:w="2660" w:type="dxa"/>
            <w:vAlign w:val="bottom"/>
            <w:tcBorders>
              <w:top w:val="single" w:sz="8" w:color="auto"/>
              <w:bottom w:val="single" w:sz="8" w:color="auto"/>
            </w:tcBorders>
            <w:gridSpan w:val="2"/>
          </w:tcPr>
          <w:p>
            <w:pPr>
              <w:jc w:val="right"/>
              <w:ind w:right="690"/>
              <w:spacing w:after="0"/>
              <w:rPr>
                <w:sz w:val="20"/>
                <w:szCs w:val="20"/>
                <w:color w:val="auto"/>
              </w:rPr>
            </w:pPr>
            <w:r>
              <w:rPr>
                <w:rFonts w:ascii="Arial" w:cs="Arial" w:eastAsia="Arial" w:hAnsi="Arial"/>
                <w:sz w:val="18"/>
                <w:szCs w:val="18"/>
                <w:color w:val="auto"/>
              </w:rPr>
              <w:t>Six months ended</w:t>
            </w:r>
          </w:p>
        </w:tc>
        <w:tc>
          <w:tcPr>
            <w:tcW w:w="0" w:type="dxa"/>
            <w:vAlign w:val="bottom"/>
          </w:tcPr>
          <w:p>
            <w:pPr>
              <w:spacing w:after="0"/>
              <w:rPr>
                <w:sz w:val="1"/>
                <w:szCs w:val="1"/>
                <w:color w:val="auto"/>
              </w:rPr>
            </w:pPr>
          </w:p>
        </w:tc>
      </w:tr>
      <w:tr>
        <w:trPr>
          <w:trHeight w:val="177"/>
        </w:trPr>
        <w:tc>
          <w:tcPr>
            <w:tcW w:w="4000" w:type="dxa"/>
            <w:vAlign w:val="bottom"/>
            <w:vMerge w:val="restart"/>
          </w:tcPr>
          <w:p>
            <w:pPr>
              <w:ind w:left="20"/>
              <w:spacing w:after="0"/>
              <w:rPr>
                <w:sz w:val="20"/>
                <w:szCs w:val="20"/>
                <w:color w:val="auto"/>
              </w:rPr>
            </w:pPr>
            <w:r>
              <w:rPr>
                <w:rFonts w:ascii="Arial" w:cs="Arial" w:eastAsia="Arial" w:hAnsi="Arial"/>
                <w:sz w:val="18"/>
                <w:szCs w:val="18"/>
                <w:i w:val="1"/>
                <w:iCs w:val="1"/>
                <w:color w:val="auto"/>
              </w:rPr>
              <w:t>(Thousands of Dollars)</w:t>
            </w:r>
          </w:p>
        </w:tc>
        <w:tc>
          <w:tcPr>
            <w:tcW w:w="1640" w:type="dxa"/>
            <w:vAlign w:val="bottom"/>
          </w:tcPr>
          <w:p>
            <w:pPr>
              <w:jc w:val="right"/>
              <w:ind w:right="270"/>
              <w:spacing w:after="0" w:line="177" w:lineRule="exact"/>
              <w:rPr>
                <w:sz w:val="20"/>
                <w:szCs w:val="20"/>
                <w:color w:val="auto"/>
              </w:rPr>
            </w:pPr>
            <w:r>
              <w:rPr>
                <w:rFonts w:ascii="Arial" w:cs="Arial" w:eastAsia="Arial" w:hAnsi="Arial"/>
                <w:sz w:val="18"/>
                <w:szCs w:val="18"/>
                <w:color w:val="auto"/>
              </w:rPr>
              <w:t>March 24,</w:t>
            </w:r>
          </w:p>
        </w:tc>
        <w:tc>
          <w:tcPr>
            <w:tcW w:w="1500" w:type="dxa"/>
            <w:vAlign w:val="bottom"/>
          </w:tcPr>
          <w:p>
            <w:pPr>
              <w:jc w:val="right"/>
              <w:ind w:right="270"/>
              <w:spacing w:after="0" w:line="177" w:lineRule="exact"/>
              <w:rPr>
                <w:sz w:val="20"/>
                <w:szCs w:val="20"/>
                <w:color w:val="auto"/>
              </w:rPr>
            </w:pPr>
            <w:r>
              <w:rPr>
                <w:rFonts w:ascii="Arial" w:cs="Arial" w:eastAsia="Arial" w:hAnsi="Arial"/>
                <w:sz w:val="18"/>
                <w:szCs w:val="18"/>
                <w:color w:val="auto"/>
              </w:rPr>
              <w:t>March 26,</w:t>
            </w:r>
          </w:p>
        </w:tc>
        <w:tc>
          <w:tcPr>
            <w:tcW w:w="1500" w:type="dxa"/>
            <w:vAlign w:val="bottom"/>
          </w:tcPr>
          <w:p>
            <w:pPr>
              <w:jc w:val="right"/>
              <w:ind w:right="270"/>
              <w:spacing w:after="0" w:line="177" w:lineRule="exact"/>
              <w:rPr>
                <w:sz w:val="20"/>
                <w:szCs w:val="20"/>
                <w:color w:val="auto"/>
              </w:rPr>
            </w:pPr>
            <w:r>
              <w:rPr>
                <w:rFonts w:ascii="Arial" w:cs="Arial" w:eastAsia="Arial" w:hAnsi="Arial"/>
                <w:sz w:val="18"/>
                <w:szCs w:val="18"/>
                <w:color w:val="auto"/>
              </w:rPr>
              <w:t>March 24,</w:t>
            </w:r>
          </w:p>
        </w:tc>
        <w:tc>
          <w:tcPr>
            <w:tcW w:w="1160" w:type="dxa"/>
            <w:vAlign w:val="bottom"/>
          </w:tcPr>
          <w:p>
            <w:pPr>
              <w:jc w:val="right"/>
              <w:spacing w:after="0" w:line="177" w:lineRule="exact"/>
              <w:rPr>
                <w:sz w:val="20"/>
                <w:szCs w:val="20"/>
                <w:color w:val="auto"/>
              </w:rPr>
            </w:pPr>
            <w:r>
              <w:rPr>
                <w:rFonts w:ascii="Arial" w:cs="Arial" w:eastAsia="Arial" w:hAnsi="Arial"/>
                <w:sz w:val="18"/>
                <w:szCs w:val="18"/>
                <w:color w:val="auto"/>
              </w:rPr>
              <w:t>March 26,</w:t>
            </w:r>
          </w:p>
        </w:tc>
        <w:tc>
          <w:tcPr>
            <w:tcW w:w="0" w:type="dxa"/>
            <w:vAlign w:val="bottom"/>
          </w:tcPr>
          <w:p>
            <w:pPr>
              <w:spacing w:after="0"/>
              <w:rPr>
                <w:sz w:val="1"/>
                <w:szCs w:val="1"/>
                <w:color w:val="auto"/>
              </w:rPr>
            </w:pPr>
          </w:p>
        </w:tc>
      </w:tr>
      <w:tr>
        <w:trPr>
          <w:trHeight w:val="235"/>
        </w:trPr>
        <w:tc>
          <w:tcPr>
            <w:tcW w:w="4000" w:type="dxa"/>
            <w:vAlign w:val="bottom"/>
            <w:tcBorders>
              <w:bottom w:val="single" w:sz="8" w:color="auto"/>
            </w:tcBorders>
            <w:vMerge w:val="continue"/>
          </w:tcPr>
          <w:p>
            <w:pPr>
              <w:spacing w:after="0"/>
              <w:rPr>
                <w:sz w:val="20"/>
                <w:szCs w:val="20"/>
                <w:color w:val="auto"/>
              </w:rPr>
            </w:pPr>
          </w:p>
        </w:tc>
        <w:tc>
          <w:tcPr>
            <w:tcW w:w="16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2024</w:t>
            </w:r>
          </w:p>
        </w:tc>
        <w:tc>
          <w:tcPr>
            <w:tcW w:w="15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2023</w:t>
            </w:r>
          </w:p>
        </w:tc>
        <w:tc>
          <w:tcPr>
            <w:tcW w:w="15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2024</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2023</w:t>
            </w:r>
          </w:p>
        </w:tc>
        <w:tc>
          <w:tcPr>
            <w:tcW w:w="0" w:type="dxa"/>
            <w:vAlign w:val="bottom"/>
          </w:tcPr>
          <w:p>
            <w:pPr>
              <w:spacing w:after="0"/>
              <w:rPr>
                <w:sz w:val="1"/>
                <w:szCs w:val="1"/>
                <w:color w:val="auto"/>
              </w:rPr>
            </w:pPr>
          </w:p>
        </w:tc>
      </w:tr>
      <w:tr>
        <w:trPr>
          <w:trHeight w:val="250"/>
        </w:trPr>
        <w:tc>
          <w:tcPr>
            <w:tcW w:w="400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4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revenue</w:t>
            </w:r>
          </w:p>
        </w:tc>
        <w:tc>
          <w:tcPr>
            <w:tcW w:w="164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9,822</w:t>
            </w:r>
          </w:p>
        </w:tc>
        <w:tc>
          <w:tcPr>
            <w:tcW w:w="150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10,603</w:t>
            </w:r>
          </w:p>
        </w:tc>
        <w:tc>
          <w:tcPr>
            <w:tcW w:w="150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20,424</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22,507</w:t>
            </w:r>
          </w:p>
        </w:tc>
        <w:tc>
          <w:tcPr>
            <w:tcW w:w="0" w:type="dxa"/>
            <w:vAlign w:val="bottom"/>
          </w:tcPr>
          <w:p>
            <w:pPr>
              <w:spacing w:after="0"/>
              <w:rPr>
                <w:sz w:val="1"/>
                <w:szCs w:val="1"/>
                <w:color w:val="auto"/>
              </w:rPr>
            </w:pPr>
          </w:p>
        </w:tc>
      </w:tr>
      <w:tr>
        <w:trPr>
          <w:trHeight w:val="184"/>
        </w:trPr>
        <w:tc>
          <w:tcPr>
            <w:tcW w:w="4000" w:type="dxa"/>
            <w:vAlign w:val="bottom"/>
          </w:tcPr>
          <w:p>
            <w:pPr>
              <w:ind w:left="20"/>
              <w:spacing w:after="0" w:line="183" w:lineRule="exact"/>
              <w:rPr>
                <w:sz w:val="20"/>
                <w:szCs w:val="20"/>
                <w:color w:val="auto"/>
              </w:rPr>
            </w:pPr>
            <w:r>
              <w:rPr>
                <w:rFonts w:ascii="Arial" w:cs="Arial" w:eastAsia="Arial" w:hAnsi="Arial"/>
                <w:sz w:val="18"/>
                <w:szCs w:val="18"/>
                <w:color w:val="auto"/>
              </w:rPr>
              <w:t>Operating expenses, excluding restructuring</w:t>
            </w:r>
          </w:p>
        </w:tc>
        <w:tc>
          <w:tcPr>
            <w:tcW w:w="1640" w:type="dxa"/>
            <w:vAlign w:val="bottom"/>
            <w:vMerge w:val="restart"/>
          </w:tcPr>
          <w:p>
            <w:pPr>
              <w:jc w:val="right"/>
              <w:ind w:right="330"/>
              <w:spacing w:after="0"/>
              <w:rPr>
                <w:sz w:val="20"/>
                <w:szCs w:val="20"/>
                <w:color w:val="auto"/>
              </w:rPr>
            </w:pPr>
            <w:r>
              <w:rPr>
                <w:rFonts w:ascii="Arial" w:cs="Arial" w:eastAsia="Arial" w:hAnsi="Arial"/>
                <w:sz w:val="18"/>
                <w:szCs w:val="18"/>
                <w:color w:val="auto"/>
              </w:rPr>
              <w:t>7,636</w:t>
            </w:r>
          </w:p>
        </w:tc>
        <w:tc>
          <w:tcPr>
            <w:tcW w:w="1500" w:type="dxa"/>
            <w:vAlign w:val="bottom"/>
            <w:vMerge w:val="restart"/>
          </w:tcPr>
          <w:p>
            <w:pPr>
              <w:jc w:val="right"/>
              <w:ind w:right="330"/>
              <w:spacing w:after="0"/>
              <w:rPr>
                <w:sz w:val="20"/>
                <w:szCs w:val="20"/>
                <w:color w:val="auto"/>
              </w:rPr>
            </w:pPr>
            <w:r>
              <w:rPr>
                <w:rFonts w:ascii="Arial" w:cs="Arial" w:eastAsia="Arial" w:hAnsi="Arial"/>
                <w:sz w:val="18"/>
                <w:szCs w:val="18"/>
                <w:color w:val="auto"/>
              </w:rPr>
              <w:t>8,681</w:t>
            </w:r>
          </w:p>
        </w:tc>
        <w:tc>
          <w:tcPr>
            <w:tcW w:w="1500" w:type="dxa"/>
            <w:vAlign w:val="bottom"/>
            <w:vMerge w:val="restart"/>
          </w:tcPr>
          <w:p>
            <w:pPr>
              <w:jc w:val="right"/>
              <w:ind w:right="330"/>
              <w:spacing w:after="0"/>
              <w:rPr>
                <w:sz w:val="20"/>
                <w:szCs w:val="20"/>
                <w:color w:val="auto"/>
              </w:rPr>
            </w:pPr>
            <w:r>
              <w:rPr>
                <w:rFonts w:ascii="Arial" w:cs="Arial" w:eastAsia="Arial" w:hAnsi="Arial"/>
                <w:sz w:val="18"/>
                <w:szCs w:val="18"/>
                <w:color w:val="auto"/>
              </w:rPr>
              <w:t>15,446</w:t>
            </w:r>
          </w:p>
        </w:tc>
        <w:tc>
          <w:tcPr>
            <w:tcW w:w="1160" w:type="dxa"/>
            <w:vAlign w:val="bottom"/>
            <w:vMerge w:val="restart"/>
          </w:tcPr>
          <w:p>
            <w:pPr>
              <w:jc w:val="right"/>
              <w:spacing w:after="0"/>
              <w:rPr>
                <w:sz w:val="20"/>
                <w:szCs w:val="20"/>
                <w:color w:val="auto"/>
              </w:rPr>
            </w:pPr>
            <w:r>
              <w:rPr>
                <w:rFonts w:ascii="Arial" w:cs="Arial" w:eastAsia="Arial" w:hAnsi="Arial"/>
                <w:sz w:val="18"/>
                <w:szCs w:val="18"/>
                <w:color w:val="auto"/>
              </w:rPr>
              <w:t>18,026</w:t>
            </w:r>
          </w:p>
        </w:tc>
        <w:tc>
          <w:tcPr>
            <w:tcW w:w="0" w:type="dxa"/>
            <w:vAlign w:val="bottom"/>
          </w:tcPr>
          <w:p>
            <w:pPr>
              <w:spacing w:after="0"/>
              <w:rPr>
                <w:sz w:val="1"/>
                <w:szCs w:val="1"/>
                <w:color w:val="auto"/>
              </w:rPr>
            </w:pPr>
          </w:p>
        </w:tc>
      </w:tr>
      <w:tr>
        <w:trPr>
          <w:trHeight w:val="235"/>
        </w:trPr>
        <w:tc>
          <w:tcPr>
            <w:tcW w:w="4000" w:type="dxa"/>
            <w:vAlign w:val="bottom"/>
          </w:tcPr>
          <w:p>
            <w:pPr>
              <w:ind w:left="20"/>
              <w:spacing w:after="0"/>
              <w:rPr>
                <w:sz w:val="20"/>
                <w:szCs w:val="20"/>
                <w:color w:val="auto"/>
              </w:rPr>
            </w:pPr>
            <w:r>
              <w:rPr>
                <w:rFonts w:ascii="Arial" w:cs="Arial" w:eastAsia="Arial" w:hAnsi="Arial"/>
                <w:sz w:val="18"/>
                <w:szCs w:val="18"/>
                <w:color w:val="auto"/>
              </w:rPr>
              <w:t>costs, depreciation and amortization</w:t>
            </w:r>
          </w:p>
        </w:tc>
        <w:tc>
          <w:tcPr>
            <w:tcW w:w="1640" w:type="dxa"/>
            <w:vAlign w:val="bottom"/>
            <w:vMerge w:val="continue"/>
          </w:tcPr>
          <w:p>
            <w:pPr>
              <w:spacing w:after="0"/>
              <w:rPr>
                <w:sz w:val="20"/>
                <w:szCs w:val="20"/>
                <w:color w:val="auto"/>
              </w:rPr>
            </w:pPr>
          </w:p>
        </w:tc>
        <w:tc>
          <w:tcPr>
            <w:tcW w:w="1500" w:type="dxa"/>
            <w:vAlign w:val="bottom"/>
            <w:vMerge w:val="continue"/>
          </w:tcPr>
          <w:p>
            <w:pPr>
              <w:spacing w:after="0"/>
              <w:rPr>
                <w:sz w:val="20"/>
                <w:szCs w:val="20"/>
                <w:color w:val="auto"/>
              </w:rPr>
            </w:pPr>
          </w:p>
        </w:tc>
        <w:tc>
          <w:tcPr>
            <w:tcW w:w="1500" w:type="dxa"/>
            <w:vAlign w:val="bottom"/>
            <w:vMerge w:val="continue"/>
          </w:tcPr>
          <w:p>
            <w:pPr>
              <w:spacing w:after="0"/>
              <w:rPr>
                <w:sz w:val="20"/>
                <w:szCs w:val="20"/>
                <w:color w:val="auto"/>
              </w:rPr>
            </w:pPr>
          </w:p>
        </w:tc>
        <w:tc>
          <w:tcPr>
            <w:tcW w:w="11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4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Restructuring costs</w:t>
            </w:r>
          </w:p>
        </w:tc>
        <w:tc>
          <w:tcPr>
            <w:tcW w:w="164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48</w:t>
            </w:r>
          </w:p>
        </w:tc>
        <w:tc>
          <w:tcPr>
            <w:tcW w:w="150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101</w:t>
            </w:r>
          </w:p>
        </w:tc>
        <w:tc>
          <w:tcPr>
            <w:tcW w:w="150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109</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w:t>
            </w:r>
          </w:p>
        </w:tc>
        <w:tc>
          <w:tcPr>
            <w:tcW w:w="0" w:type="dxa"/>
            <w:vAlign w:val="bottom"/>
          </w:tcPr>
          <w:p>
            <w:pPr>
              <w:spacing w:after="0"/>
              <w:rPr>
                <w:sz w:val="1"/>
                <w:szCs w:val="1"/>
                <w:color w:val="auto"/>
              </w:rPr>
            </w:pPr>
          </w:p>
        </w:tc>
      </w:tr>
      <w:tr>
        <w:trPr>
          <w:trHeight w:val="230"/>
        </w:trPr>
        <w:tc>
          <w:tcPr>
            <w:tcW w:w="40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Depreciation and amortization</w:t>
            </w:r>
          </w:p>
        </w:tc>
        <w:tc>
          <w:tcPr>
            <w:tcW w:w="16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120</w:t>
            </w:r>
          </w:p>
        </w:tc>
        <w:tc>
          <w:tcPr>
            <w:tcW w:w="150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135</w:t>
            </w:r>
          </w:p>
        </w:tc>
        <w:tc>
          <w:tcPr>
            <w:tcW w:w="150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240</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273</w:t>
            </w:r>
          </w:p>
        </w:tc>
        <w:tc>
          <w:tcPr>
            <w:tcW w:w="0" w:type="dxa"/>
            <w:vAlign w:val="bottom"/>
          </w:tcPr>
          <w:p>
            <w:pPr>
              <w:spacing w:after="0"/>
              <w:rPr>
                <w:sz w:val="1"/>
                <w:szCs w:val="1"/>
                <w:color w:val="auto"/>
              </w:rPr>
            </w:pPr>
          </w:p>
        </w:tc>
      </w:tr>
      <w:tr>
        <w:trPr>
          <w:trHeight w:val="248"/>
        </w:trPr>
        <w:tc>
          <w:tcPr>
            <w:tcW w:w="40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Operating income</w:t>
            </w:r>
          </w:p>
        </w:tc>
        <w:tc>
          <w:tcPr>
            <w:tcW w:w="164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rPr>
              <w:t>2,018</w:t>
            </w:r>
          </w:p>
        </w:tc>
        <w:tc>
          <w:tcPr>
            <w:tcW w:w="150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rPr>
              <w:t>1,686</w:t>
            </w:r>
          </w:p>
        </w:tc>
        <w:tc>
          <w:tcPr>
            <w:tcW w:w="150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rPr>
              <w:t>4,629</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4,081</w:t>
            </w:r>
          </w:p>
        </w:tc>
        <w:tc>
          <w:tcPr>
            <w:tcW w:w="0" w:type="dxa"/>
            <w:vAlign w:val="bottom"/>
          </w:tcPr>
          <w:p>
            <w:pPr>
              <w:spacing w:after="0"/>
              <w:rPr>
                <w:sz w:val="1"/>
                <w:szCs w:val="1"/>
                <w:color w:val="auto"/>
              </w:rPr>
            </w:pPr>
          </w:p>
        </w:tc>
      </w:tr>
      <w:tr>
        <w:trPr>
          <w:trHeight w:val="20"/>
        </w:trPr>
        <w:tc>
          <w:tcPr>
            <w:tcW w:w="400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000" w:type="dxa"/>
            <w:vAlign w:val="bottom"/>
            <w:tcBorders>
              <w:bottom w:val="single" w:sz="8" w:color="auto"/>
            </w:tcBorders>
          </w:tcPr>
          <w:p>
            <w:pPr>
              <w:ind w:left="20"/>
              <w:spacing w:after="0" w:line="203" w:lineRule="exact"/>
              <w:rPr>
                <w:sz w:val="20"/>
                <w:szCs w:val="20"/>
                <w:color w:val="auto"/>
              </w:rPr>
            </w:pPr>
            <w:r>
              <w:rPr>
                <w:rFonts w:ascii="Arial" w:cs="Arial" w:eastAsia="Arial" w:hAnsi="Arial"/>
                <w:sz w:val="18"/>
                <w:szCs w:val="18"/>
                <w:color w:val="auto"/>
              </w:rPr>
              <w:t>Net income</w:t>
            </w:r>
          </w:p>
        </w:tc>
        <w:tc>
          <w:tcPr>
            <w:tcW w:w="1640" w:type="dxa"/>
            <w:vAlign w:val="bottom"/>
            <w:tcBorders>
              <w:bottom w:val="single" w:sz="8" w:color="auto"/>
            </w:tcBorders>
          </w:tcPr>
          <w:p>
            <w:pPr>
              <w:jc w:val="right"/>
              <w:ind w:right="330"/>
              <w:spacing w:after="0" w:line="203" w:lineRule="exact"/>
              <w:rPr>
                <w:sz w:val="20"/>
                <w:szCs w:val="20"/>
                <w:color w:val="auto"/>
              </w:rPr>
            </w:pPr>
            <w:r>
              <w:rPr>
                <w:rFonts w:ascii="Arial" w:cs="Arial" w:eastAsia="Arial" w:hAnsi="Arial"/>
                <w:sz w:val="18"/>
                <w:szCs w:val="18"/>
                <w:color w:val="auto"/>
              </w:rPr>
              <w:t>502</w:t>
            </w:r>
          </w:p>
        </w:tc>
        <w:tc>
          <w:tcPr>
            <w:tcW w:w="1500" w:type="dxa"/>
            <w:vAlign w:val="bottom"/>
            <w:tcBorders>
              <w:bottom w:val="single" w:sz="8" w:color="auto"/>
            </w:tcBorders>
          </w:tcPr>
          <w:p>
            <w:pPr>
              <w:jc w:val="right"/>
              <w:ind w:right="330"/>
              <w:spacing w:after="0" w:line="203" w:lineRule="exact"/>
              <w:rPr>
                <w:sz w:val="20"/>
                <w:szCs w:val="20"/>
                <w:color w:val="auto"/>
              </w:rPr>
            </w:pPr>
            <w:r>
              <w:rPr>
                <w:rFonts w:ascii="Arial" w:cs="Arial" w:eastAsia="Arial" w:hAnsi="Arial"/>
                <w:sz w:val="18"/>
                <w:szCs w:val="18"/>
                <w:color w:val="auto"/>
              </w:rPr>
              <w:t>207</w:t>
            </w:r>
          </w:p>
        </w:tc>
        <w:tc>
          <w:tcPr>
            <w:tcW w:w="1500" w:type="dxa"/>
            <w:vAlign w:val="bottom"/>
            <w:tcBorders>
              <w:bottom w:val="single" w:sz="8" w:color="auto"/>
            </w:tcBorders>
          </w:tcPr>
          <w:p>
            <w:pPr>
              <w:jc w:val="right"/>
              <w:ind w:right="330"/>
              <w:spacing w:after="0" w:line="203" w:lineRule="exact"/>
              <w:rPr>
                <w:sz w:val="20"/>
                <w:szCs w:val="20"/>
                <w:color w:val="auto"/>
              </w:rPr>
            </w:pPr>
            <w:r>
              <w:rPr>
                <w:rFonts w:ascii="Arial" w:cs="Arial" w:eastAsia="Arial" w:hAnsi="Arial"/>
                <w:sz w:val="18"/>
                <w:szCs w:val="18"/>
                <w:color w:val="auto"/>
              </w:rPr>
              <w:t>1,274</w:t>
            </w:r>
          </w:p>
        </w:tc>
        <w:tc>
          <w:tcPr>
            <w:tcW w:w="11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1,014</w:t>
            </w:r>
          </w:p>
        </w:tc>
        <w:tc>
          <w:tcPr>
            <w:tcW w:w="0" w:type="dxa"/>
            <w:vAlign w:val="bottom"/>
          </w:tcPr>
          <w:p>
            <w:pPr>
              <w:spacing w:after="0"/>
              <w:rPr>
                <w:sz w:val="1"/>
                <w:szCs w:val="1"/>
                <w:color w:val="auto"/>
              </w:rPr>
            </w:pPr>
          </w:p>
        </w:tc>
      </w:tr>
      <w:tr>
        <w:trPr>
          <w:trHeight w:val="20"/>
        </w:trPr>
        <w:tc>
          <w:tcPr>
            <w:tcW w:w="400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40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Equity in earnings of MNI</w:t>
            </w:r>
          </w:p>
        </w:tc>
        <w:tc>
          <w:tcPr>
            <w:tcW w:w="164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rPr>
              <w:t>251</w:t>
            </w:r>
          </w:p>
        </w:tc>
        <w:tc>
          <w:tcPr>
            <w:tcW w:w="150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rPr>
              <w:t>104</w:t>
            </w:r>
          </w:p>
        </w:tc>
        <w:tc>
          <w:tcPr>
            <w:tcW w:w="150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rPr>
              <w:t>637</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507</w:t>
            </w:r>
          </w:p>
        </w:tc>
        <w:tc>
          <w:tcPr>
            <w:tcW w:w="0" w:type="dxa"/>
            <w:vAlign w:val="bottom"/>
          </w:tcPr>
          <w:p>
            <w:pPr>
              <w:spacing w:after="0"/>
              <w:rPr>
                <w:sz w:val="1"/>
                <w:szCs w:val="1"/>
                <w:color w:val="auto"/>
              </w:rPr>
            </w:pPr>
          </w:p>
        </w:tc>
      </w:tr>
      <w:tr>
        <w:trPr>
          <w:trHeight w:val="20"/>
        </w:trPr>
        <w:tc>
          <w:tcPr>
            <w:tcW w:w="400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1" w:lineRule="exact"/>
        <w:rPr>
          <w:sz w:val="20"/>
          <w:szCs w:val="20"/>
          <w:color w:val="auto"/>
        </w:rPr>
      </w:pPr>
    </w:p>
    <w:p>
      <w:pPr>
        <w:jc w:val="both"/>
        <w:ind w:left="660"/>
        <w:spacing w:after="0" w:line="268" w:lineRule="auto"/>
        <w:rPr>
          <w:sz w:val="20"/>
          <w:szCs w:val="20"/>
          <w:color w:val="auto"/>
        </w:rPr>
      </w:pPr>
      <w:r>
        <w:rPr>
          <w:rFonts w:ascii="Arial" w:cs="Arial" w:eastAsia="Arial" w:hAnsi="Arial"/>
          <w:sz w:val="18"/>
          <w:szCs w:val="18"/>
          <w:color w:val="auto"/>
        </w:rPr>
        <w:t>MNI makes periodic distributions of its earnings and in the three months ended March 24, 2024 and March 26, 2023, we received $0.2 million and $0.1 million in distributions, respectively. In the six months ended March 24, 2024 and March 26, 2023, we received distributions of $0.6 million and $0.4 million, respectively.</w:t>
      </w:r>
    </w:p>
    <w:p>
      <w:pPr>
        <w:spacing w:after="0" w:line="144" w:lineRule="exact"/>
        <w:rPr>
          <w:sz w:val="20"/>
          <w:szCs w:val="20"/>
          <w:color w:val="auto"/>
        </w:rPr>
      </w:pPr>
    </w:p>
    <w:p>
      <w:pPr>
        <w:spacing w:after="0"/>
        <w:tabs>
          <w:tab w:leader="none" w:pos="280" w:val="left"/>
        </w:tabs>
        <w:rPr>
          <w:sz w:val="20"/>
          <w:szCs w:val="20"/>
          <w:color w:val="auto"/>
        </w:rPr>
      </w:pPr>
      <w:r>
        <w:rPr>
          <w:rFonts w:ascii="Arial" w:cs="Arial" w:eastAsia="Arial" w:hAnsi="Arial"/>
          <w:sz w:val="18"/>
          <w:szCs w:val="18"/>
          <w:b w:val="1"/>
          <w:bCs w:val="1"/>
          <w:color w:val="auto"/>
        </w:rPr>
        <w:t>4</w:t>
      </w:r>
      <w:r>
        <w:rPr>
          <w:sz w:val="20"/>
          <w:szCs w:val="20"/>
          <w:color w:val="auto"/>
        </w:rPr>
        <w:tab/>
      </w:r>
      <w:r>
        <w:rPr>
          <w:rFonts w:ascii="Arial" w:cs="Arial" w:eastAsia="Arial" w:hAnsi="Arial"/>
          <w:sz w:val="17"/>
          <w:szCs w:val="17"/>
          <w:b w:val="1"/>
          <w:bCs w:val="1"/>
          <w:color w:val="auto"/>
        </w:rPr>
        <w:t>GOODWILL AND OTHER INTANGIBLE ASSETS</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Goodwill and identified intangible assets consist of the following:</w:t>
      </w:r>
    </w:p>
    <w:p>
      <w:pPr>
        <w:spacing w:after="0" w:line="210" w:lineRule="exact"/>
        <w:rPr>
          <w:sz w:val="20"/>
          <w:szCs w:val="20"/>
          <w:color w:val="auto"/>
        </w:rPr>
      </w:pPr>
    </w:p>
    <w:tbl>
      <w:tblPr>
        <w:tblLayout w:type="fixed"/>
        <w:tblInd w:w="660" w:type="dxa"/>
        <w:tblCellMar>
          <w:top w:w="0" w:type="dxa"/>
          <w:left w:w="0" w:type="dxa"/>
          <w:bottom w:w="0" w:type="dxa"/>
          <w:right w:w="0" w:type="dxa"/>
        </w:tblCellMar>
      </w:tblPr>
      <w:tr>
        <w:trPr>
          <w:trHeight w:val="197"/>
        </w:trPr>
        <w:tc>
          <w:tcPr>
            <w:tcW w:w="5420" w:type="dxa"/>
            <w:vAlign w:val="bottom"/>
            <w:tcBorders>
              <w:top w:val="single" w:sz="8" w:color="auto"/>
            </w:tcBorders>
            <w:vMerge w:val="restart"/>
          </w:tcPr>
          <w:p>
            <w:pPr>
              <w:ind w:left="20"/>
              <w:spacing w:after="0"/>
              <w:rPr>
                <w:sz w:val="20"/>
                <w:szCs w:val="20"/>
                <w:color w:val="auto"/>
              </w:rPr>
            </w:pPr>
            <w:r>
              <w:rPr>
                <w:rFonts w:ascii="Arial" w:cs="Arial" w:eastAsia="Arial" w:hAnsi="Arial"/>
                <w:sz w:val="18"/>
                <w:szCs w:val="18"/>
                <w:i w:val="1"/>
                <w:iCs w:val="1"/>
                <w:color w:val="auto"/>
              </w:rPr>
              <w:t>(Thousands of Dollars)</w:t>
            </w:r>
          </w:p>
        </w:tc>
        <w:tc>
          <w:tcPr>
            <w:tcW w:w="2960" w:type="dxa"/>
            <w:vAlign w:val="bottom"/>
            <w:tcBorders>
              <w:top w:val="single" w:sz="8" w:color="auto"/>
            </w:tcBorders>
          </w:tcPr>
          <w:p>
            <w:pPr>
              <w:jc w:val="right"/>
              <w:ind w:right="110"/>
              <w:spacing w:after="0" w:line="197" w:lineRule="exact"/>
              <w:rPr>
                <w:sz w:val="20"/>
                <w:szCs w:val="20"/>
                <w:color w:val="auto"/>
              </w:rPr>
            </w:pPr>
            <w:r>
              <w:rPr>
                <w:rFonts w:ascii="Arial" w:cs="Arial" w:eastAsia="Arial" w:hAnsi="Arial"/>
                <w:sz w:val="18"/>
                <w:szCs w:val="18"/>
                <w:color w:val="auto"/>
              </w:rPr>
              <w:t>March 24,</w:t>
            </w:r>
          </w:p>
        </w:tc>
        <w:tc>
          <w:tcPr>
            <w:tcW w:w="1420" w:type="dxa"/>
            <w:vAlign w:val="bottom"/>
            <w:tcBorders>
              <w:top w:val="single" w:sz="8" w:color="auto"/>
            </w:tcBorders>
          </w:tcPr>
          <w:p>
            <w:pPr>
              <w:jc w:val="right"/>
              <w:spacing w:after="0" w:line="197" w:lineRule="exact"/>
              <w:rPr>
                <w:sz w:val="20"/>
                <w:szCs w:val="20"/>
                <w:color w:val="auto"/>
              </w:rPr>
            </w:pPr>
            <w:r>
              <w:rPr>
                <w:rFonts w:ascii="Arial" w:cs="Arial" w:eastAsia="Arial" w:hAnsi="Arial"/>
                <w:sz w:val="18"/>
                <w:szCs w:val="18"/>
                <w:color w:val="auto"/>
              </w:rPr>
              <w:t>September 24,</w:t>
            </w:r>
          </w:p>
        </w:tc>
        <w:tc>
          <w:tcPr>
            <w:tcW w:w="0" w:type="dxa"/>
            <w:vAlign w:val="bottom"/>
          </w:tcPr>
          <w:p>
            <w:pPr>
              <w:spacing w:after="0"/>
              <w:rPr>
                <w:sz w:val="1"/>
                <w:szCs w:val="1"/>
                <w:color w:val="auto"/>
              </w:rPr>
            </w:pPr>
          </w:p>
        </w:tc>
      </w:tr>
      <w:tr>
        <w:trPr>
          <w:trHeight w:val="235"/>
        </w:trPr>
        <w:tc>
          <w:tcPr>
            <w:tcW w:w="5420" w:type="dxa"/>
            <w:vAlign w:val="bottom"/>
            <w:tcBorders>
              <w:bottom w:val="single" w:sz="8" w:color="auto"/>
            </w:tcBorders>
            <w:vMerge w:val="continue"/>
          </w:tcPr>
          <w:p>
            <w:pPr>
              <w:spacing w:after="0"/>
              <w:rPr>
                <w:sz w:val="20"/>
                <w:szCs w:val="20"/>
                <w:color w:val="auto"/>
              </w:rPr>
            </w:pPr>
          </w:p>
        </w:tc>
        <w:tc>
          <w:tcPr>
            <w:tcW w:w="296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2024</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2023</w:t>
            </w:r>
          </w:p>
        </w:tc>
        <w:tc>
          <w:tcPr>
            <w:tcW w:w="0" w:type="dxa"/>
            <w:vAlign w:val="bottom"/>
          </w:tcPr>
          <w:p>
            <w:pPr>
              <w:spacing w:after="0"/>
              <w:rPr>
                <w:sz w:val="1"/>
                <w:szCs w:val="1"/>
                <w:color w:val="auto"/>
              </w:rPr>
            </w:pPr>
          </w:p>
        </w:tc>
      </w:tr>
      <w:tr>
        <w:trPr>
          <w:trHeight w:val="250"/>
        </w:trPr>
        <w:tc>
          <w:tcPr>
            <w:tcW w:w="5420" w:type="dxa"/>
            <w:vAlign w:val="bottom"/>
          </w:tcPr>
          <w:p>
            <w:pPr>
              <w:spacing w:after="0"/>
              <w:rPr>
                <w:sz w:val="21"/>
                <w:szCs w:val="21"/>
                <w:color w:val="auto"/>
              </w:rPr>
            </w:pPr>
          </w:p>
        </w:tc>
        <w:tc>
          <w:tcPr>
            <w:tcW w:w="296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5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Goodwill, beginning of period</w:t>
            </w:r>
          </w:p>
        </w:tc>
        <w:tc>
          <w:tcPr>
            <w:tcW w:w="29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329,504</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329,504</w:t>
            </w:r>
          </w:p>
        </w:tc>
        <w:tc>
          <w:tcPr>
            <w:tcW w:w="0" w:type="dxa"/>
            <w:vAlign w:val="bottom"/>
          </w:tcPr>
          <w:p>
            <w:pPr>
              <w:spacing w:after="0"/>
              <w:rPr>
                <w:sz w:val="1"/>
                <w:szCs w:val="1"/>
                <w:color w:val="auto"/>
              </w:rPr>
            </w:pPr>
          </w:p>
        </w:tc>
      </w:tr>
      <w:tr>
        <w:trPr>
          <w:trHeight w:val="230"/>
        </w:trPr>
        <w:tc>
          <w:tcPr>
            <w:tcW w:w="542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Allocated to sold operations</w:t>
            </w:r>
          </w:p>
        </w:tc>
        <w:tc>
          <w:tcPr>
            <w:tcW w:w="29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(1,261)</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Goodwill, end of period</w:t>
            </w:r>
          </w:p>
        </w:tc>
        <w:tc>
          <w:tcPr>
            <w:tcW w:w="29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328,243</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329,504</w:t>
            </w:r>
          </w:p>
        </w:tc>
        <w:tc>
          <w:tcPr>
            <w:tcW w:w="0" w:type="dxa"/>
            <w:vAlign w:val="bottom"/>
          </w:tcPr>
          <w:p>
            <w:pPr>
              <w:spacing w:after="0"/>
              <w:rPr>
                <w:sz w:val="1"/>
                <w:szCs w:val="1"/>
                <w:color w:val="auto"/>
              </w:rPr>
            </w:pPr>
          </w:p>
        </w:tc>
      </w:tr>
      <w:tr>
        <w:trPr>
          <w:trHeight w:val="230"/>
        </w:trPr>
        <w:tc>
          <w:tcPr>
            <w:tcW w:w="5420" w:type="dxa"/>
            <w:vAlign w:val="bottom"/>
          </w:tcPr>
          <w:p>
            <w:pPr>
              <w:ind w:left="20"/>
              <w:spacing w:after="0"/>
              <w:rPr>
                <w:sz w:val="20"/>
                <w:szCs w:val="20"/>
                <w:color w:val="auto"/>
              </w:rPr>
            </w:pPr>
            <w:r>
              <w:rPr>
                <w:rFonts w:ascii="Arial" w:cs="Arial" w:eastAsia="Arial" w:hAnsi="Arial"/>
                <w:sz w:val="18"/>
                <w:szCs w:val="18"/>
                <w:color w:val="auto"/>
              </w:rPr>
              <w:t>Non-amortized intangible assets:</w:t>
            </w:r>
          </w:p>
        </w:tc>
        <w:tc>
          <w:tcPr>
            <w:tcW w:w="296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Mastheads</w:t>
            </w:r>
          </w:p>
        </w:tc>
        <w:tc>
          <w:tcPr>
            <w:tcW w:w="29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11,096</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18,675</w:t>
            </w:r>
          </w:p>
        </w:tc>
        <w:tc>
          <w:tcPr>
            <w:tcW w:w="0" w:type="dxa"/>
            <w:vAlign w:val="bottom"/>
          </w:tcPr>
          <w:p>
            <w:pPr>
              <w:spacing w:after="0"/>
              <w:rPr>
                <w:sz w:val="1"/>
                <w:szCs w:val="1"/>
                <w:color w:val="auto"/>
              </w:rPr>
            </w:pPr>
          </w:p>
        </w:tc>
      </w:tr>
      <w:tr>
        <w:trPr>
          <w:trHeight w:val="230"/>
        </w:trPr>
        <w:tc>
          <w:tcPr>
            <w:tcW w:w="5420" w:type="dxa"/>
            <w:vAlign w:val="bottom"/>
          </w:tcPr>
          <w:p>
            <w:pPr>
              <w:ind w:left="20"/>
              <w:spacing w:after="0"/>
              <w:rPr>
                <w:sz w:val="20"/>
                <w:szCs w:val="20"/>
                <w:color w:val="auto"/>
              </w:rPr>
            </w:pPr>
            <w:r>
              <w:rPr>
                <w:rFonts w:ascii="Arial" w:cs="Arial" w:eastAsia="Arial" w:hAnsi="Arial"/>
                <w:sz w:val="18"/>
                <w:szCs w:val="18"/>
                <w:color w:val="auto"/>
              </w:rPr>
              <w:t>Amortizable intangible assets:</w:t>
            </w:r>
          </w:p>
        </w:tc>
        <w:tc>
          <w:tcPr>
            <w:tcW w:w="296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4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Customer and newspaper subscriber lists</w:t>
            </w:r>
          </w:p>
        </w:tc>
        <w:tc>
          <w:tcPr>
            <w:tcW w:w="29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305,100</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306,766</w:t>
            </w:r>
          </w:p>
        </w:tc>
        <w:tc>
          <w:tcPr>
            <w:tcW w:w="0" w:type="dxa"/>
            <w:vAlign w:val="bottom"/>
          </w:tcPr>
          <w:p>
            <w:pPr>
              <w:spacing w:after="0"/>
              <w:rPr>
                <w:sz w:val="1"/>
                <w:szCs w:val="1"/>
                <w:color w:val="auto"/>
              </w:rPr>
            </w:pPr>
          </w:p>
        </w:tc>
      </w:tr>
      <w:tr>
        <w:trPr>
          <w:trHeight w:val="230"/>
        </w:trPr>
        <w:tc>
          <w:tcPr>
            <w:tcW w:w="542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Less accumulated amortization</w:t>
            </w:r>
          </w:p>
        </w:tc>
        <w:tc>
          <w:tcPr>
            <w:tcW w:w="29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(238,009)</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(230,453)</w:t>
            </w:r>
          </w:p>
        </w:tc>
        <w:tc>
          <w:tcPr>
            <w:tcW w:w="0" w:type="dxa"/>
            <w:vAlign w:val="bottom"/>
          </w:tcPr>
          <w:p>
            <w:pPr>
              <w:spacing w:after="0"/>
              <w:rPr>
                <w:sz w:val="1"/>
                <w:szCs w:val="1"/>
                <w:color w:val="auto"/>
              </w:rPr>
            </w:pPr>
          </w:p>
        </w:tc>
      </w:tr>
      <w:tr>
        <w:trPr>
          <w:trHeight w:val="223"/>
        </w:trPr>
        <w:tc>
          <w:tcPr>
            <w:tcW w:w="5420" w:type="dxa"/>
            <w:vAlign w:val="bottom"/>
            <w:tcBorders>
              <w:bottom w:val="single" w:sz="8" w:color="auto"/>
            </w:tcBorders>
            <w:shd w:val="clear" w:color="auto" w:fill="CCEEFF"/>
          </w:tcPr>
          <w:p>
            <w:pPr>
              <w:spacing w:after="0"/>
              <w:rPr>
                <w:sz w:val="19"/>
                <w:szCs w:val="19"/>
                <w:color w:val="auto"/>
              </w:rPr>
            </w:pPr>
          </w:p>
        </w:tc>
        <w:tc>
          <w:tcPr>
            <w:tcW w:w="29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67,091</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76,313</w:t>
            </w:r>
          </w:p>
        </w:tc>
        <w:tc>
          <w:tcPr>
            <w:tcW w:w="0" w:type="dxa"/>
            <w:vAlign w:val="bottom"/>
          </w:tcPr>
          <w:p>
            <w:pPr>
              <w:spacing w:after="0"/>
              <w:rPr>
                <w:sz w:val="1"/>
                <w:szCs w:val="1"/>
                <w:color w:val="auto"/>
              </w:rPr>
            </w:pPr>
          </w:p>
        </w:tc>
      </w:tr>
      <w:tr>
        <w:trPr>
          <w:trHeight w:val="223"/>
        </w:trPr>
        <w:tc>
          <w:tcPr>
            <w:tcW w:w="54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Total intangibles, net</w:t>
            </w:r>
          </w:p>
        </w:tc>
        <w:tc>
          <w:tcPr>
            <w:tcW w:w="29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406,430</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424,492</w:t>
            </w:r>
          </w:p>
        </w:tc>
        <w:tc>
          <w:tcPr>
            <w:tcW w:w="0" w:type="dxa"/>
            <w:vAlign w:val="bottom"/>
          </w:tcPr>
          <w:p>
            <w:pPr>
              <w:spacing w:after="0"/>
              <w:rPr>
                <w:sz w:val="1"/>
                <w:szCs w:val="1"/>
                <w:color w:val="auto"/>
              </w:rPr>
            </w:pPr>
          </w:p>
        </w:tc>
      </w:tr>
      <w:tr>
        <w:trPr>
          <w:trHeight w:val="21"/>
        </w:trPr>
        <w:tc>
          <w:tcPr>
            <w:tcW w:w="5420" w:type="dxa"/>
            <w:vAlign w:val="bottom"/>
            <w:tcBorders>
              <w:bottom w:val="single" w:sz="8" w:color="auto"/>
            </w:tcBorders>
          </w:tcPr>
          <w:p>
            <w:pPr>
              <w:spacing w:after="0" w:line="20" w:lineRule="exact"/>
              <w:rPr>
                <w:sz w:val="1"/>
                <w:szCs w:val="1"/>
                <w:color w:val="auto"/>
              </w:rPr>
            </w:pPr>
          </w:p>
        </w:tc>
        <w:tc>
          <w:tcPr>
            <w:tcW w:w="29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5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weighted average amortization period for amortizable assets is approximately eleven years.</w:t>
      </w:r>
    </w:p>
    <w:p>
      <w:pPr>
        <w:spacing w:after="0" w:line="198" w:lineRule="exact"/>
        <w:rPr>
          <w:sz w:val="20"/>
          <w:szCs w:val="20"/>
          <w:color w:val="auto"/>
        </w:rPr>
      </w:pPr>
    </w:p>
    <w:p>
      <w:pPr>
        <w:jc w:val="both"/>
        <w:ind w:left="660"/>
        <w:spacing w:after="0" w:line="287" w:lineRule="auto"/>
        <w:rPr>
          <w:sz w:val="20"/>
          <w:szCs w:val="20"/>
          <w:color w:val="auto"/>
        </w:rPr>
      </w:pPr>
      <w:r>
        <w:rPr>
          <w:rFonts w:ascii="Arial" w:cs="Arial" w:eastAsia="Arial" w:hAnsi="Arial"/>
          <w:sz w:val="18"/>
          <w:szCs w:val="18"/>
          <w:color w:val="auto"/>
        </w:rPr>
        <w:t>During the six months ended March 24, 2024, the Company sold non-core operations. Goodwill was allocated to these operations, which totaled $1.3 million.</w:t>
      </w:r>
    </w:p>
    <w:p>
      <w:pPr>
        <w:spacing w:after="0" w:line="112" w:lineRule="exact"/>
        <w:rPr>
          <w:sz w:val="20"/>
          <w:szCs w:val="20"/>
          <w:color w:val="auto"/>
        </w:rPr>
      </w:pPr>
    </w:p>
    <w:p>
      <w:pPr>
        <w:jc w:val="both"/>
        <w:ind w:left="660"/>
        <w:spacing w:after="0" w:line="268" w:lineRule="auto"/>
        <w:rPr>
          <w:sz w:val="20"/>
          <w:szCs w:val="20"/>
          <w:color w:val="auto"/>
        </w:rPr>
      </w:pPr>
      <w:r>
        <w:rPr>
          <w:rFonts w:ascii="Arial" w:cs="Arial" w:eastAsia="Arial" w:hAnsi="Arial"/>
          <w:sz w:val="18"/>
          <w:szCs w:val="18"/>
          <w:color w:val="auto"/>
        </w:rPr>
        <w:t>The Company reviews property, plant and equipment, goodwill and non-amortized intangible assets, which include only newspaper mastheads, for impairment annually on the first day of the fourth quarter, or more frequently if events or changes in circumstances indicate that an asset may be impaired in</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both"/>
        <w:ind w:left="660"/>
        <w:spacing w:after="0" w:line="268" w:lineRule="auto"/>
        <w:rPr>
          <w:sz w:val="20"/>
          <w:szCs w:val="20"/>
          <w:color w:val="auto"/>
        </w:rPr>
      </w:pPr>
      <w:r>
        <w:rPr>
          <w:rFonts w:ascii="Arial" w:cs="Arial" w:eastAsia="Arial" w:hAnsi="Arial"/>
          <w:sz w:val="18"/>
          <w:szCs w:val="18"/>
          <w:color w:val="auto"/>
        </w:rPr>
        <w:t>accordance with Accounting Standards Codification ("ASC") 350, Intangibles - Goodwill and Other and ASC 360, Property, Plant and Equipment. All of the Company’s goodwill is attributed to the single reporting unit. There was no impairment related to goodwill in 2023. Impairment losses related to mastheads totaled $7.7 million were recorded in the fourth quarter of 2023.</w:t>
      </w:r>
    </w:p>
    <w:p>
      <w:pPr>
        <w:spacing w:after="0" w:line="144" w:lineRule="exact"/>
        <w:rPr>
          <w:sz w:val="20"/>
          <w:szCs w:val="20"/>
          <w:color w:val="auto"/>
        </w:rPr>
      </w:pPr>
    </w:p>
    <w:p>
      <w:pPr>
        <w:jc w:val="both"/>
        <w:ind w:left="660"/>
        <w:spacing w:after="0" w:line="255" w:lineRule="auto"/>
        <w:rPr>
          <w:sz w:val="20"/>
          <w:szCs w:val="20"/>
          <w:color w:val="auto"/>
        </w:rPr>
      </w:pPr>
      <w:r>
        <w:rPr>
          <w:rFonts w:ascii="Arial" w:cs="Arial" w:eastAsia="Arial" w:hAnsi="Arial"/>
          <w:sz w:val="18"/>
          <w:szCs w:val="18"/>
          <w:color w:val="auto"/>
        </w:rPr>
        <w:t>During the second quarter of 2024, the Company identified the continuing decline of revenues as a triggering event. Consequently, non-cash charges of $7.6 million were recorded to reduce the carrying value of mastheads, which are non-amortized intangible assets. No impairment related to goodwill or property, plant and equipment was identified during this period. The fair value of these mastheads were determined using the relief from royalty method and includes Level 3 inputs, which are fair values estimated using significant unobservable inputs. The key assumptions used in the fair value estimates under the relief from royalty method are revenue and market growth, royalty rates for newspaper mastheads, estimated tax rates, and appropriate risk-adjusted weighted cost of capital. The royalty rates utilized range from 0% to 1.0%. The weighted average cost of capital utilized is 12.5%. Such charges are recorded in assets loss (gain) on sales, impairments and other, net in the Consolidated Statements of loss and Comprehensive loss.</w:t>
      </w:r>
    </w:p>
    <w:p>
      <w:pPr>
        <w:spacing w:after="0" w:line="140" w:lineRule="exact"/>
        <w:rPr>
          <w:sz w:val="20"/>
          <w:szCs w:val="20"/>
          <w:color w:val="auto"/>
        </w:rPr>
      </w:pPr>
    </w:p>
    <w:p>
      <w:pPr>
        <w:ind w:left="300" w:hanging="292"/>
        <w:spacing w:after="0"/>
        <w:tabs>
          <w:tab w:leader="none" w:pos="30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DEBT</w:t>
      </w:r>
    </w:p>
    <w:p>
      <w:pPr>
        <w:spacing w:after="0" w:line="185" w:lineRule="exact"/>
        <w:rPr>
          <w:sz w:val="20"/>
          <w:szCs w:val="20"/>
          <w:color w:val="auto"/>
        </w:rPr>
      </w:pPr>
    </w:p>
    <w:p>
      <w:pPr>
        <w:jc w:val="both"/>
        <w:ind w:left="660"/>
        <w:spacing w:after="0" w:line="262" w:lineRule="auto"/>
        <w:rPr>
          <w:sz w:val="20"/>
          <w:szCs w:val="20"/>
          <w:color w:val="auto"/>
        </w:rPr>
      </w:pPr>
      <w:r>
        <w:rPr>
          <w:rFonts w:ascii="Arial" w:cs="Arial" w:eastAsia="Arial" w:hAnsi="Arial"/>
          <w:sz w:val="18"/>
          <w:szCs w:val="18"/>
          <w:color w:val="auto"/>
        </w:rPr>
        <w:t>The Company has debt consisting of a single 25-year term loan with BH Finance LLC, with an aggregate principal balance of $453.6 million at a 9% annual fixed rate and maturing on March 16, 2045 (referred to herein as “Credit Agreement” and “Term Loan”). On March 24, 2024, the fair value was $387.5 million, representing a Level 2 fair value measurement, which are fair values estimated using significant other observable inputs.</w:t>
      </w:r>
    </w:p>
    <w:p>
      <w:pPr>
        <w:spacing w:after="0" w:line="14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During the six months ended March 24, 2024, we made $2.1 million principal debt payments as a result of non-core asset sales.</w:t>
      </w:r>
    </w:p>
    <w:p>
      <w:pPr>
        <w:spacing w:after="0" w:line="2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Future payments are contingent on the Company's ability to generate future excess cash flow, as defined in the Credit Agreement.</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of March 24, 2024, there was no excess cash flow payment due.</w:t>
      </w:r>
    </w:p>
    <w:p>
      <w:pPr>
        <w:spacing w:after="0" w:line="167" w:lineRule="exact"/>
        <w:rPr>
          <w:sz w:val="20"/>
          <w:szCs w:val="20"/>
          <w:color w:val="auto"/>
        </w:rPr>
      </w:pPr>
    </w:p>
    <w:p>
      <w:pPr>
        <w:ind w:left="300" w:hanging="292"/>
        <w:spacing w:after="0"/>
        <w:tabs>
          <w:tab w:leader="none" w:pos="30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PENSION, POSTRETIREMENT AND POSTEMPLOYMENT DEFINED BENEFIT PLANS</w:t>
      </w:r>
    </w:p>
    <w:p>
      <w:pPr>
        <w:spacing w:after="0" w:line="185" w:lineRule="exact"/>
        <w:rPr>
          <w:sz w:val="20"/>
          <w:szCs w:val="20"/>
          <w:color w:val="auto"/>
        </w:rPr>
      </w:pPr>
    </w:p>
    <w:p>
      <w:pPr>
        <w:jc w:val="both"/>
        <w:ind w:left="660"/>
        <w:spacing w:after="0" w:line="262" w:lineRule="auto"/>
        <w:rPr>
          <w:sz w:val="20"/>
          <w:szCs w:val="20"/>
          <w:color w:val="auto"/>
        </w:rPr>
      </w:pPr>
      <w:r>
        <w:rPr>
          <w:rFonts w:ascii="Arial" w:cs="Arial" w:eastAsia="Arial" w:hAnsi="Arial"/>
          <w:sz w:val="18"/>
          <w:szCs w:val="18"/>
          <w:color w:val="auto"/>
        </w:rPr>
        <w:t>We have one defined benefit pension plan that covers certain employees, including plans established under collective bargaining agreements. Additionally, we provide retiree medical and life insurance benefits under postretirement plans at several of our operating locations. Through March 24, 2024, our liability and related expense for benefits under the plans are recorded over the service period of employees based upon annual actuarial calculations.</w:t>
      </w:r>
    </w:p>
    <w:p>
      <w:pPr>
        <w:spacing w:after="0" w:line="149" w:lineRule="exact"/>
        <w:rPr>
          <w:sz w:val="20"/>
          <w:szCs w:val="20"/>
          <w:color w:val="auto"/>
        </w:rPr>
      </w:pPr>
    </w:p>
    <w:p>
      <w:pPr>
        <w:jc w:val="both"/>
        <w:ind w:left="660"/>
        <w:spacing w:after="0" w:line="259" w:lineRule="auto"/>
        <w:rPr>
          <w:sz w:val="20"/>
          <w:szCs w:val="20"/>
          <w:color w:val="auto"/>
        </w:rPr>
      </w:pPr>
      <w:r>
        <w:rPr>
          <w:rFonts w:ascii="Arial" w:cs="Arial" w:eastAsia="Arial" w:hAnsi="Arial"/>
          <w:sz w:val="18"/>
          <w:szCs w:val="18"/>
          <w:color w:val="auto"/>
        </w:rPr>
        <w:t>During the six months ended March 24, 2024, the Company offered a voluntary lump sum payment of future benefits to terminated vested participants in the defined benefit pension plan. The offer was accepted by 522 participants, representing a $ 22.6 million settlement of related pension plan liability. The Company recognized a non-cash settlement gain of $2.4 million, which is reflected within "Curtailment/Settlement gains" on the Consolidated Statements of Loss and Comprehensive Loss. Pension plan assets and liabilities were reduced by $22.6 million.</w:t>
      </w:r>
    </w:p>
    <w:p>
      <w:pPr>
        <w:spacing w:after="0" w:line="139" w:lineRule="exact"/>
        <w:rPr>
          <w:sz w:val="20"/>
          <w:szCs w:val="20"/>
          <w:color w:val="auto"/>
        </w:rPr>
      </w:pPr>
    </w:p>
    <w:p>
      <w:pPr>
        <w:jc w:val="both"/>
        <w:ind w:left="660"/>
        <w:spacing w:after="0" w:line="268" w:lineRule="auto"/>
        <w:rPr>
          <w:sz w:val="20"/>
          <w:szCs w:val="20"/>
          <w:color w:val="auto"/>
        </w:rPr>
      </w:pPr>
      <w:r>
        <w:rPr>
          <w:rFonts w:ascii="Arial" w:cs="Arial" w:eastAsia="Arial" w:hAnsi="Arial"/>
          <w:sz w:val="18"/>
          <w:szCs w:val="18"/>
          <w:color w:val="auto"/>
        </w:rPr>
        <w:t>During the six months ended March 24, 2024, the Company completed the outsourcing of certain printing operations, which ceased postretirement medical benefits for a group of employees. The Company recognized a non-cash curtailment gain of $1.2 million which is reflected within "Curtailment/Settlement gains" on the Consolidated Statements of Loss and Comprehensive Loss.</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net periodic pension and postretirement cost (benefit) components for our plans are as follows:</w:t>
      </w:r>
    </w:p>
    <w:p>
      <w:pPr>
        <w:spacing w:after="0" w:line="224" w:lineRule="exact"/>
        <w:rPr>
          <w:sz w:val="20"/>
          <w:szCs w:val="20"/>
          <w:color w:val="auto"/>
        </w:rPr>
      </w:pPr>
    </w:p>
    <w:tbl>
      <w:tblPr>
        <w:tblLayout w:type="fixed"/>
        <w:tblInd w:w="660" w:type="dxa"/>
        <w:tblCellMar>
          <w:top w:w="0" w:type="dxa"/>
          <w:left w:w="0" w:type="dxa"/>
          <w:bottom w:w="0" w:type="dxa"/>
          <w:right w:w="0" w:type="dxa"/>
        </w:tblCellMar>
      </w:tblPr>
      <w:tr>
        <w:trPr>
          <w:trHeight w:val="243"/>
        </w:trPr>
        <w:tc>
          <w:tcPr>
            <w:tcW w:w="45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PENSION PLANS</w:t>
            </w:r>
          </w:p>
        </w:tc>
        <w:tc>
          <w:tcPr>
            <w:tcW w:w="2920" w:type="dxa"/>
            <w:vAlign w:val="bottom"/>
            <w:tcBorders>
              <w:top w:val="single" w:sz="8" w:color="auto"/>
              <w:bottom w:val="single" w:sz="8" w:color="auto"/>
            </w:tcBorders>
            <w:gridSpan w:val="2"/>
          </w:tcPr>
          <w:p>
            <w:pPr>
              <w:jc w:val="right"/>
              <w:ind w:right="590"/>
              <w:spacing w:after="0"/>
              <w:rPr>
                <w:sz w:val="20"/>
                <w:szCs w:val="20"/>
                <w:color w:val="auto"/>
              </w:rPr>
            </w:pPr>
            <w:r>
              <w:rPr>
                <w:rFonts w:ascii="Arial" w:cs="Arial" w:eastAsia="Arial" w:hAnsi="Arial"/>
                <w:sz w:val="18"/>
                <w:szCs w:val="18"/>
                <w:color w:val="auto"/>
              </w:rPr>
              <w:t>Three months ended</w:t>
            </w:r>
          </w:p>
        </w:tc>
        <w:tc>
          <w:tcPr>
            <w:tcW w:w="2340" w:type="dxa"/>
            <w:vAlign w:val="bottom"/>
            <w:tcBorders>
              <w:top w:val="single" w:sz="8" w:color="auto"/>
              <w:bottom w:val="single" w:sz="8" w:color="auto"/>
            </w:tcBorders>
            <w:gridSpan w:val="2"/>
          </w:tcPr>
          <w:p>
            <w:pPr>
              <w:jc w:val="right"/>
              <w:ind w:right="470"/>
              <w:spacing w:after="0"/>
              <w:rPr>
                <w:sz w:val="20"/>
                <w:szCs w:val="20"/>
                <w:color w:val="auto"/>
              </w:rPr>
            </w:pPr>
            <w:r>
              <w:rPr>
                <w:rFonts w:ascii="Arial" w:cs="Arial" w:eastAsia="Arial" w:hAnsi="Arial"/>
                <w:sz w:val="18"/>
                <w:szCs w:val="18"/>
                <w:color w:val="auto"/>
              </w:rPr>
              <w:t>Six months ended</w:t>
            </w:r>
          </w:p>
        </w:tc>
        <w:tc>
          <w:tcPr>
            <w:tcW w:w="0" w:type="dxa"/>
            <w:vAlign w:val="bottom"/>
          </w:tcPr>
          <w:p>
            <w:pPr>
              <w:spacing w:after="0"/>
              <w:rPr>
                <w:sz w:val="1"/>
                <w:szCs w:val="1"/>
                <w:color w:val="auto"/>
              </w:rPr>
            </w:pPr>
          </w:p>
        </w:tc>
      </w:tr>
      <w:tr>
        <w:trPr>
          <w:trHeight w:val="169"/>
        </w:trPr>
        <w:tc>
          <w:tcPr>
            <w:tcW w:w="4540" w:type="dxa"/>
            <w:vAlign w:val="bottom"/>
            <w:vMerge w:val="restart"/>
          </w:tcPr>
          <w:p>
            <w:pPr>
              <w:ind w:left="20"/>
              <w:spacing w:after="0"/>
              <w:rPr>
                <w:sz w:val="20"/>
                <w:szCs w:val="20"/>
                <w:color w:val="auto"/>
              </w:rPr>
            </w:pPr>
            <w:r>
              <w:rPr>
                <w:rFonts w:ascii="Arial" w:cs="Arial" w:eastAsia="Arial" w:hAnsi="Arial"/>
                <w:sz w:val="18"/>
                <w:szCs w:val="18"/>
                <w:i w:val="1"/>
                <w:iCs w:val="1"/>
                <w:color w:val="auto"/>
              </w:rPr>
              <w:t>(Thousands of Dollars)</w:t>
            </w:r>
          </w:p>
        </w:tc>
        <w:tc>
          <w:tcPr>
            <w:tcW w:w="1640" w:type="dxa"/>
            <w:vAlign w:val="bottom"/>
          </w:tcPr>
          <w:p>
            <w:pPr>
              <w:jc w:val="right"/>
              <w:ind w:right="150"/>
              <w:spacing w:after="0" w:line="169" w:lineRule="exact"/>
              <w:rPr>
                <w:sz w:val="20"/>
                <w:szCs w:val="20"/>
                <w:color w:val="auto"/>
              </w:rPr>
            </w:pPr>
            <w:r>
              <w:rPr>
                <w:rFonts w:ascii="Arial" w:cs="Arial" w:eastAsia="Arial" w:hAnsi="Arial"/>
                <w:sz w:val="18"/>
                <w:szCs w:val="18"/>
                <w:color w:val="auto"/>
              </w:rPr>
              <w:t>March 24,</w:t>
            </w:r>
          </w:p>
        </w:tc>
        <w:tc>
          <w:tcPr>
            <w:tcW w:w="1280" w:type="dxa"/>
            <w:vAlign w:val="bottom"/>
          </w:tcPr>
          <w:p>
            <w:pPr>
              <w:jc w:val="right"/>
              <w:ind w:right="150"/>
              <w:spacing w:after="0" w:line="169" w:lineRule="exact"/>
              <w:rPr>
                <w:sz w:val="20"/>
                <w:szCs w:val="20"/>
                <w:color w:val="auto"/>
              </w:rPr>
            </w:pPr>
            <w:r>
              <w:rPr>
                <w:rFonts w:ascii="Arial" w:cs="Arial" w:eastAsia="Arial" w:hAnsi="Arial"/>
                <w:sz w:val="18"/>
                <w:szCs w:val="18"/>
                <w:color w:val="auto"/>
              </w:rPr>
              <w:t>March 26,</w:t>
            </w:r>
          </w:p>
        </w:tc>
        <w:tc>
          <w:tcPr>
            <w:tcW w:w="1280" w:type="dxa"/>
            <w:vAlign w:val="bottom"/>
          </w:tcPr>
          <w:p>
            <w:pPr>
              <w:jc w:val="right"/>
              <w:ind w:right="150"/>
              <w:spacing w:after="0" w:line="169" w:lineRule="exact"/>
              <w:rPr>
                <w:sz w:val="20"/>
                <w:szCs w:val="20"/>
                <w:color w:val="auto"/>
              </w:rPr>
            </w:pPr>
            <w:r>
              <w:rPr>
                <w:rFonts w:ascii="Arial" w:cs="Arial" w:eastAsia="Arial" w:hAnsi="Arial"/>
                <w:sz w:val="18"/>
                <w:szCs w:val="18"/>
                <w:color w:val="auto"/>
              </w:rPr>
              <w:t>March 24,</w:t>
            </w:r>
          </w:p>
        </w:tc>
        <w:tc>
          <w:tcPr>
            <w:tcW w:w="1060" w:type="dxa"/>
            <w:vAlign w:val="bottom"/>
          </w:tcPr>
          <w:p>
            <w:pPr>
              <w:jc w:val="right"/>
              <w:spacing w:after="0" w:line="169" w:lineRule="exact"/>
              <w:rPr>
                <w:sz w:val="20"/>
                <w:szCs w:val="20"/>
                <w:color w:val="auto"/>
              </w:rPr>
            </w:pPr>
            <w:r>
              <w:rPr>
                <w:rFonts w:ascii="Arial" w:cs="Arial" w:eastAsia="Arial" w:hAnsi="Arial"/>
                <w:sz w:val="18"/>
                <w:szCs w:val="18"/>
                <w:color w:val="auto"/>
              </w:rPr>
              <w:t>March 26,</w:t>
            </w:r>
          </w:p>
        </w:tc>
        <w:tc>
          <w:tcPr>
            <w:tcW w:w="0" w:type="dxa"/>
            <w:vAlign w:val="bottom"/>
          </w:tcPr>
          <w:p>
            <w:pPr>
              <w:spacing w:after="0"/>
              <w:rPr>
                <w:sz w:val="1"/>
                <w:szCs w:val="1"/>
                <w:color w:val="auto"/>
              </w:rPr>
            </w:pPr>
          </w:p>
        </w:tc>
      </w:tr>
      <w:tr>
        <w:trPr>
          <w:trHeight w:val="243"/>
        </w:trPr>
        <w:tc>
          <w:tcPr>
            <w:tcW w:w="4540" w:type="dxa"/>
            <w:vAlign w:val="bottom"/>
            <w:tcBorders>
              <w:bottom w:val="single" w:sz="8" w:color="auto"/>
            </w:tcBorders>
            <w:vMerge w:val="continue"/>
          </w:tcPr>
          <w:p>
            <w:pPr>
              <w:spacing w:after="0"/>
              <w:rPr>
                <w:sz w:val="21"/>
                <w:szCs w:val="21"/>
                <w:color w:val="auto"/>
              </w:rPr>
            </w:pPr>
          </w:p>
        </w:tc>
        <w:tc>
          <w:tcPr>
            <w:tcW w:w="16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2024</w:t>
            </w:r>
          </w:p>
        </w:tc>
        <w:tc>
          <w:tcPr>
            <w:tcW w:w="12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2023</w:t>
            </w:r>
          </w:p>
        </w:tc>
        <w:tc>
          <w:tcPr>
            <w:tcW w:w="12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2024</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2023</w:t>
            </w:r>
          </w:p>
        </w:tc>
        <w:tc>
          <w:tcPr>
            <w:tcW w:w="0" w:type="dxa"/>
            <w:vAlign w:val="bottom"/>
          </w:tcPr>
          <w:p>
            <w:pPr>
              <w:spacing w:after="0"/>
              <w:rPr>
                <w:sz w:val="1"/>
                <w:szCs w:val="1"/>
                <w:color w:val="auto"/>
              </w:rPr>
            </w:pPr>
          </w:p>
        </w:tc>
      </w:tr>
      <w:tr>
        <w:trPr>
          <w:trHeight w:val="250"/>
        </w:trPr>
        <w:tc>
          <w:tcPr>
            <w:tcW w:w="454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4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Service cost for benefits earned during the period</w:t>
            </w:r>
          </w:p>
        </w:tc>
        <w:tc>
          <w:tcPr>
            <w:tcW w:w="164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1</w:t>
            </w:r>
          </w:p>
        </w:tc>
        <w:tc>
          <w:tcPr>
            <w:tcW w:w="128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5</w:t>
            </w:r>
          </w:p>
        </w:tc>
        <w:tc>
          <w:tcPr>
            <w:tcW w:w="128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2</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29"/>
        </w:trPr>
        <w:tc>
          <w:tcPr>
            <w:tcW w:w="4540" w:type="dxa"/>
            <w:vAlign w:val="bottom"/>
          </w:tcPr>
          <w:p>
            <w:pPr>
              <w:ind w:left="20"/>
              <w:spacing w:after="0"/>
              <w:rPr>
                <w:sz w:val="20"/>
                <w:szCs w:val="20"/>
                <w:color w:val="auto"/>
              </w:rPr>
            </w:pPr>
            <w:r>
              <w:rPr>
                <w:rFonts w:ascii="Arial" w:cs="Arial" w:eastAsia="Arial" w:hAnsi="Arial"/>
                <w:sz w:val="18"/>
                <w:szCs w:val="18"/>
                <w:color w:val="auto"/>
              </w:rPr>
              <w:t>Interest cost on projected benefit obligation</w:t>
            </w:r>
          </w:p>
        </w:tc>
        <w:tc>
          <w:tcPr>
            <w:tcW w:w="1640" w:type="dxa"/>
            <w:vAlign w:val="bottom"/>
          </w:tcPr>
          <w:p>
            <w:pPr>
              <w:jc w:val="right"/>
              <w:ind w:right="210"/>
              <w:spacing w:after="0"/>
              <w:rPr>
                <w:sz w:val="20"/>
                <w:szCs w:val="20"/>
                <w:color w:val="auto"/>
              </w:rPr>
            </w:pPr>
            <w:r>
              <w:rPr>
                <w:rFonts w:ascii="Arial" w:cs="Arial" w:eastAsia="Arial" w:hAnsi="Arial"/>
                <w:sz w:val="18"/>
                <w:szCs w:val="18"/>
                <w:color w:val="auto"/>
              </w:rPr>
              <w:t>2,253</w:t>
            </w:r>
          </w:p>
        </w:tc>
        <w:tc>
          <w:tcPr>
            <w:tcW w:w="1280" w:type="dxa"/>
            <w:vAlign w:val="bottom"/>
          </w:tcPr>
          <w:p>
            <w:pPr>
              <w:jc w:val="right"/>
              <w:ind w:right="210"/>
              <w:spacing w:after="0"/>
              <w:rPr>
                <w:sz w:val="20"/>
                <w:szCs w:val="20"/>
                <w:color w:val="auto"/>
              </w:rPr>
            </w:pPr>
            <w:r>
              <w:rPr>
                <w:rFonts w:ascii="Arial" w:cs="Arial" w:eastAsia="Arial" w:hAnsi="Arial"/>
                <w:sz w:val="18"/>
                <w:szCs w:val="18"/>
                <w:color w:val="auto"/>
              </w:rPr>
              <w:t>2,592</w:t>
            </w:r>
          </w:p>
        </w:tc>
        <w:tc>
          <w:tcPr>
            <w:tcW w:w="1280" w:type="dxa"/>
            <w:vAlign w:val="bottom"/>
          </w:tcPr>
          <w:p>
            <w:pPr>
              <w:jc w:val="right"/>
              <w:ind w:right="210"/>
              <w:spacing w:after="0"/>
              <w:rPr>
                <w:sz w:val="20"/>
                <w:szCs w:val="20"/>
                <w:color w:val="auto"/>
              </w:rPr>
            </w:pPr>
            <w:r>
              <w:rPr>
                <w:rFonts w:ascii="Arial" w:cs="Arial" w:eastAsia="Arial" w:hAnsi="Arial"/>
                <w:sz w:val="18"/>
                <w:szCs w:val="18"/>
                <w:color w:val="auto"/>
              </w:rPr>
              <w:t>4,768</w:t>
            </w:r>
          </w:p>
        </w:tc>
        <w:tc>
          <w:tcPr>
            <w:tcW w:w="1060" w:type="dxa"/>
            <w:vAlign w:val="bottom"/>
          </w:tcPr>
          <w:p>
            <w:pPr>
              <w:jc w:val="right"/>
              <w:spacing w:after="0"/>
              <w:rPr>
                <w:sz w:val="20"/>
                <w:szCs w:val="20"/>
                <w:color w:val="auto"/>
              </w:rPr>
            </w:pPr>
            <w:r>
              <w:rPr>
                <w:rFonts w:ascii="Arial" w:cs="Arial" w:eastAsia="Arial" w:hAnsi="Arial"/>
                <w:sz w:val="18"/>
                <w:szCs w:val="18"/>
                <w:color w:val="auto"/>
              </w:rPr>
              <w:t>5,184</w:t>
            </w:r>
          </w:p>
        </w:tc>
        <w:tc>
          <w:tcPr>
            <w:tcW w:w="0" w:type="dxa"/>
            <w:vAlign w:val="bottom"/>
          </w:tcPr>
          <w:p>
            <w:pPr>
              <w:spacing w:after="0"/>
              <w:rPr>
                <w:sz w:val="1"/>
                <w:szCs w:val="1"/>
                <w:color w:val="auto"/>
              </w:rPr>
            </w:pPr>
          </w:p>
        </w:tc>
      </w:tr>
      <w:tr>
        <w:trPr>
          <w:trHeight w:val="229"/>
        </w:trPr>
        <w:tc>
          <w:tcPr>
            <w:tcW w:w="4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return on plan assets</w:t>
            </w:r>
          </w:p>
        </w:tc>
        <w:tc>
          <w:tcPr>
            <w:tcW w:w="164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(2,310)</w:t>
            </w:r>
          </w:p>
        </w:tc>
        <w:tc>
          <w:tcPr>
            <w:tcW w:w="12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(2,548)</w:t>
            </w:r>
          </w:p>
        </w:tc>
        <w:tc>
          <w:tcPr>
            <w:tcW w:w="12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(4,763)</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(5,096)</w:t>
            </w:r>
          </w:p>
        </w:tc>
        <w:tc>
          <w:tcPr>
            <w:tcW w:w="0" w:type="dxa"/>
            <w:vAlign w:val="bottom"/>
          </w:tcPr>
          <w:p>
            <w:pPr>
              <w:spacing w:after="0"/>
              <w:rPr>
                <w:sz w:val="1"/>
                <w:szCs w:val="1"/>
                <w:color w:val="auto"/>
              </w:rPr>
            </w:pPr>
          </w:p>
        </w:tc>
      </w:tr>
      <w:tr>
        <w:trPr>
          <w:trHeight w:val="230"/>
        </w:trPr>
        <w:tc>
          <w:tcPr>
            <w:tcW w:w="4540" w:type="dxa"/>
            <w:vAlign w:val="bottom"/>
          </w:tcPr>
          <w:p>
            <w:pPr>
              <w:ind w:left="20"/>
              <w:spacing w:after="0"/>
              <w:rPr>
                <w:sz w:val="20"/>
                <w:szCs w:val="20"/>
                <w:color w:val="auto"/>
              </w:rPr>
            </w:pPr>
            <w:r>
              <w:rPr>
                <w:rFonts w:ascii="Arial" w:cs="Arial" w:eastAsia="Arial" w:hAnsi="Arial"/>
                <w:sz w:val="18"/>
                <w:szCs w:val="18"/>
                <w:color w:val="auto"/>
              </w:rPr>
              <w:t>Amortization of net (gain) loss</w:t>
            </w:r>
          </w:p>
        </w:tc>
        <w:tc>
          <w:tcPr>
            <w:tcW w:w="1640" w:type="dxa"/>
            <w:vAlign w:val="bottom"/>
          </w:tcPr>
          <w:p>
            <w:pPr>
              <w:jc w:val="right"/>
              <w:ind w:right="170"/>
              <w:spacing w:after="0"/>
              <w:rPr>
                <w:sz w:val="20"/>
                <w:szCs w:val="20"/>
                <w:color w:val="auto"/>
              </w:rPr>
            </w:pPr>
            <w:r>
              <w:rPr>
                <w:rFonts w:ascii="Arial" w:cs="Arial" w:eastAsia="Arial" w:hAnsi="Arial"/>
                <w:sz w:val="18"/>
                <w:szCs w:val="18"/>
                <w:color w:val="auto"/>
              </w:rPr>
              <w:t>(1)</w:t>
            </w:r>
          </w:p>
        </w:tc>
        <w:tc>
          <w:tcPr>
            <w:tcW w:w="1280" w:type="dxa"/>
            <w:vAlign w:val="bottom"/>
          </w:tcPr>
          <w:p>
            <w:pPr>
              <w:jc w:val="right"/>
              <w:ind w:right="210"/>
              <w:spacing w:after="0"/>
              <w:rPr>
                <w:sz w:val="20"/>
                <w:szCs w:val="20"/>
                <w:color w:val="auto"/>
              </w:rPr>
            </w:pPr>
            <w:r>
              <w:rPr>
                <w:rFonts w:ascii="Arial" w:cs="Arial" w:eastAsia="Arial" w:hAnsi="Arial"/>
                <w:sz w:val="18"/>
                <w:szCs w:val="18"/>
                <w:color w:val="auto"/>
              </w:rPr>
              <w:t>2</w:t>
            </w:r>
          </w:p>
        </w:tc>
        <w:tc>
          <w:tcPr>
            <w:tcW w:w="1280" w:type="dxa"/>
            <w:vAlign w:val="bottom"/>
          </w:tcPr>
          <w:p>
            <w:pPr>
              <w:jc w:val="right"/>
              <w:ind w:right="170"/>
              <w:spacing w:after="0"/>
              <w:rPr>
                <w:sz w:val="20"/>
                <w:szCs w:val="20"/>
                <w:color w:val="auto"/>
              </w:rPr>
            </w:pPr>
            <w:r>
              <w:rPr>
                <w:rFonts w:ascii="Arial" w:cs="Arial" w:eastAsia="Arial" w:hAnsi="Arial"/>
                <w:sz w:val="18"/>
                <w:szCs w:val="18"/>
                <w:color w:val="auto"/>
              </w:rPr>
              <w:t>(3)</w:t>
            </w:r>
          </w:p>
        </w:tc>
        <w:tc>
          <w:tcPr>
            <w:tcW w:w="106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29"/>
        </w:trPr>
        <w:tc>
          <w:tcPr>
            <w:tcW w:w="4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Amortization of prior service benefit</w:t>
            </w:r>
          </w:p>
        </w:tc>
        <w:tc>
          <w:tcPr>
            <w:tcW w:w="164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212</w:t>
            </w:r>
          </w:p>
        </w:tc>
        <w:tc>
          <w:tcPr>
            <w:tcW w:w="128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213</w:t>
            </w:r>
          </w:p>
        </w:tc>
        <w:tc>
          <w:tcPr>
            <w:tcW w:w="128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424</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426</w:t>
            </w:r>
          </w:p>
        </w:tc>
        <w:tc>
          <w:tcPr>
            <w:tcW w:w="0" w:type="dxa"/>
            <w:vAlign w:val="bottom"/>
          </w:tcPr>
          <w:p>
            <w:pPr>
              <w:spacing w:after="0"/>
              <w:rPr>
                <w:sz w:val="1"/>
                <w:szCs w:val="1"/>
                <w:color w:val="auto"/>
              </w:rPr>
            </w:pPr>
          </w:p>
        </w:tc>
      </w:tr>
      <w:tr>
        <w:trPr>
          <w:trHeight w:val="229"/>
        </w:trPr>
        <w:tc>
          <w:tcPr>
            <w:tcW w:w="45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Settlement gain</w:t>
            </w:r>
          </w:p>
        </w:tc>
        <w:tc>
          <w:tcPr>
            <w:tcW w:w="164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(2,409)</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8"/>
        </w:trPr>
        <w:tc>
          <w:tcPr>
            <w:tcW w:w="45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Net periodic pension (benefit) cost</w:t>
            </w:r>
          </w:p>
        </w:tc>
        <w:tc>
          <w:tcPr>
            <w:tcW w:w="164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rPr>
              <w:t>155</w:t>
            </w:r>
          </w:p>
        </w:tc>
        <w:tc>
          <w:tcPr>
            <w:tcW w:w="128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rPr>
              <w:t>264</w:t>
            </w:r>
          </w:p>
        </w:tc>
        <w:tc>
          <w:tcPr>
            <w:tcW w:w="12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(1,981)</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528</w:t>
            </w:r>
          </w:p>
        </w:tc>
        <w:tc>
          <w:tcPr>
            <w:tcW w:w="0" w:type="dxa"/>
            <w:vAlign w:val="bottom"/>
          </w:tcPr>
          <w:p>
            <w:pPr>
              <w:spacing w:after="0"/>
              <w:rPr>
                <w:sz w:val="1"/>
                <w:szCs w:val="1"/>
                <w:color w:val="auto"/>
              </w:rPr>
            </w:pPr>
          </w:p>
        </w:tc>
      </w:tr>
      <w:tr>
        <w:trPr>
          <w:trHeight w:val="20"/>
        </w:trPr>
        <w:tc>
          <w:tcPr>
            <w:tcW w:w="4540" w:type="dxa"/>
            <w:vAlign w:val="bottom"/>
            <w:tcBorders>
              <w:top w:val="single" w:sz="8" w:color="CCEEFF"/>
              <w:bottom w:val="single" w:sz="8" w:color="auto"/>
            </w:tcBorders>
          </w:tcPr>
          <w:p>
            <w:pPr>
              <w:spacing w:after="0" w:line="20" w:lineRule="exact"/>
              <w:rPr>
                <w:sz w:val="1"/>
                <w:szCs w:val="1"/>
                <w:color w:val="auto"/>
              </w:rPr>
            </w:pPr>
          </w:p>
        </w:tc>
        <w:tc>
          <w:tcPr>
            <w:tcW w:w="2920" w:type="dxa"/>
            <w:vAlign w:val="bottom"/>
            <w:tcBorders>
              <w:top w:val="single" w:sz="8" w:color="CCEEFF"/>
              <w:bottom w:val="single" w:sz="8" w:color="auto"/>
            </w:tcBorders>
            <w:gridSpan w:val="2"/>
          </w:tcPr>
          <w:p>
            <w:pPr>
              <w:spacing w:after="0" w:line="20" w:lineRule="exact"/>
              <w:rPr>
                <w:sz w:val="1"/>
                <w:szCs w:val="1"/>
                <w:color w:val="auto"/>
              </w:rPr>
            </w:pPr>
          </w:p>
        </w:tc>
        <w:tc>
          <w:tcPr>
            <w:tcW w:w="2340" w:type="dxa"/>
            <w:vAlign w:val="bottom"/>
            <w:tcBorders>
              <w:top w:val="single" w:sz="8" w:color="CCEEFF"/>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1"/>
        </w:trPr>
        <w:tc>
          <w:tcPr>
            <w:tcW w:w="4540" w:type="dxa"/>
            <w:vAlign w:val="bottom"/>
            <w:tcBorders>
              <w:bottom w:val="single" w:sz="8" w:color="auto"/>
            </w:tcBorders>
          </w:tcPr>
          <w:p>
            <w:pPr>
              <w:spacing w:after="0"/>
              <w:rPr>
                <w:sz w:val="23"/>
                <w:szCs w:val="23"/>
                <w:color w:val="auto"/>
              </w:rPr>
            </w:pPr>
          </w:p>
        </w:tc>
        <w:tc>
          <w:tcPr>
            <w:tcW w:w="2920" w:type="dxa"/>
            <w:vAlign w:val="bottom"/>
            <w:tcBorders>
              <w:bottom w:val="single" w:sz="8" w:color="auto"/>
            </w:tcBorders>
            <w:gridSpan w:val="2"/>
          </w:tcPr>
          <w:p>
            <w:pPr>
              <w:spacing w:after="0"/>
              <w:rPr>
                <w:sz w:val="23"/>
                <w:szCs w:val="23"/>
                <w:color w:val="auto"/>
              </w:rPr>
            </w:pPr>
          </w:p>
        </w:tc>
        <w:tc>
          <w:tcPr>
            <w:tcW w:w="2340" w:type="dxa"/>
            <w:vAlign w:val="bottom"/>
            <w:tcBorders>
              <w:bottom w:val="single" w:sz="8" w:color="auto"/>
            </w:tcBorders>
            <w:gridSpan w:val="2"/>
          </w:tcPr>
          <w:p>
            <w:pPr>
              <w:spacing w:after="0"/>
              <w:rPr>
                <w:sz w:val="23"/>
                <w:szCs w:val="23"/>
                <w:color w:val="auto"/>
              </w:rPr>
            </w:pPr>
          </w:p>
        </w:tc>
        <w:tc>
          <w:tcPr>
            <w:tcW w:w="0" w:type="dxa"/>
            <w:vAlign w:val="bottom"/>
          </w:tcPr>
          <w:p>
            <w:pPr>
              <w:spacing w:after="0"/>
              <w:rPr>
                <w:sz w:val="1"/>
                <w:szCs w:val="1"/>
                <w:color w:val="auto"/>
              </w:rPr>
            </w:pPr>
          </w:p>
        </w:tc>
      </w:tr>
      <w:tr>
        <w:trPr>
          <w:trHeight w:val="223"/>
        </w:trPr>
        <w:tc>
          <w:tcPr>
            <w:tcW w:w="45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POSTRETIREMENT MEDICAL PLANS</w:t>
            </w:r>
          </w:p>
        </w:tc>
        <w:tc>
          <w:tcPr>
            <w:tcW w:w="2920" w:type="dxa"/>
            <w:vAlign w:val="bottom"/>
            <w:tcBorders>
              <w:bottom w:val="single" w:sz="8" w:color="auto"/>
            </w:tcBorders>
            <w:gridSpan w:val="2"/>
          </w:tcPr>
          <w:p>
            <w:pPr>
              <w:jc w:val="right"/>
              <w:ind w:right="590"/>
              <w:spacing w:after="0"/>
              <w:rPr>
                <w:sz w:val="20"/>
                <w:szCs w:val="20"/>
                <w:color w:val="auto"/>
              </w:rPr>
            </w:pPr>
            <w:r>
              <w:rPr>
                <w:rFonts w:ascii="Arial" w:cs="Arial" w:eastAsia="Arial" w:hAnsi="Arial"/>
                <w:sz w:val="18"/>
                <w:szCs w:val="18"/>
                <w:color w:val="auto"/>
              </w:rPr>
              <w:t>Three months ended</w:t>
            </w:r>
          </w:p>
        </w:tc>
        <w:tc>
          <w:tcPr>
            <w:tcW w:w="2340" w:type="dxa"/>
            <w:vAlign w:val="bottom"/>
            <w:tcBorders>
              <w:bottom w:val="single" w:sz="8" w:color="auto"/>
            </w:tcBorders>
            <w:gridSpan w:val="2"/>
          </w:tcPr>
          <w:p>
            <w:pPr>
              <w:jc w:val="right"/>
              <w:ind w:right="470"/>
              <w:spacing w:after="0"/>
              <w:rPr>
                <w:sz w:val="20"/>
                <w:szCs w:val="20"/>
                <w:color w:val="auto"/>
              </w:rPr>
            </w:pPr>
            <w:r>
              <w:rPr>
                <w:rFonts w:ascii="Arial" w:cs="Arial" w:eastAsia="Arial" w:hAnsi="Arial"/>
                <w:sz w:val="18"/>
                <w:szCs w:val="18"/>
                <w:color w:val="auto"/>
              </w:rPr>
              <w:t>Six months ended</w:t>
            </w:r>
          </w:p>
        </w:tc>
        <w:tc>
          <w:tcPr>
            <w:tcW w:w="0" w:type="dxa"/>
            <w:vAlign w:val="bottom"/>
          </w:tcPr>
          <w:p>
            <w:pPr>
              <w:spacing w:after="0"/>
              <w:rPr>
                <w:sz w:val="1"/>
                <w:szCs w:val="1"/>
                <w:color w:val="auto"/>
              </w:rPr>
            </w:pPr>
          </w:p>
        </w:tc>
      </w:tr>
      <w:tr>
        <w:trPr>
          <w:trHeight w:val="169"/>
        </w:trPr>
        <w:tc>
          <w:tcPr>
            <w:tcW w:w="4540" w:type="dxa"/>
            <w:vAlign w:val="bottom"/>
            <w:vMerge w:val="restart"/>
          </w:tcPr>
          <w:p>
            <w:pPr>
              <w:ind w:left="20"/>
              <w:spacing w:after="0"/>
              <w:rPr>
                <w:sz w:val="20"/>
                <w:szCs w:val="20"/>
                <w:color w:val="auto"/>
              </w:rPr>
            </w:pPr>
            <w:r>
              <w:rPr>
                <w:rFonts w:ascii="Arial" w:cs="Arial" w:eastAsia="Arial" w:hAnsi="Arial"/>
                <w:sz w:val="18"/>
                <w:szCs w:val="18"/>
                <w:i w:val="1"/>
                <w:iCs w:val="1"/>
                <w:color w:val="auto"/>
              </w:rPr>
              <w:t>(Thousands of Dollars)</w:t>
            </w:r>
          </w:p>
        </w:tc>
        <w:tc>
          <w:tcPr>
            <w:tcW w:w="1640" w:type="dxa"/>
            <w:vAlign w:val="bottom"/>
          </w:tcPr>
          <w:p>
            <w:pPr>
              <w:jc w:val="right"/>
              <w:ind w:right="150"/>
              <w:spacing w:after="0" w:line="169" w:lineRule="exact"/>
              <w:rPr>
                <w:sz w:val="20"/>
                <w:szCs w:val="20"/>
                <w:color w:val="auto"/>
              </w:rPr>
            </w:pPr>
            <w:r>
              <w:rPr>
                <w:rFonts w:ascii="Arial" w:cs="Arial" w:eastAsia="Arial" w:hAnsi="Arial"/>
                <w:sz w:val="18"/>
                <w:szCs w:val="18"/>
                <w:color w:val="auto"/>
              </w:rPr>
              <w:t>March 24,</w:t>
            </w:r>
          </w:p>
        </w:tc>
        <w:tc>
          <w:tcPr>
            <w:tcW w:w="1280" w:type="dxa"/>
            <w:vAlign w:val="bottom"/>
          </w:tcPr>
          <w:p>
            <w:pPr>
              <w:jc w:val="right"/>
              <w:ind w:right="150"/>
              <w:spacing w:after="0" w:line="169" w:lineRule="exact"/>
              <w:rPr>
                <w:sz w:val="20"/>
                <w:szCs w:val="20"/>
                <w:color w:val="auto"/>
              </w:rPr>
            </w:pPr>
            <w:r>
              <w:rPr>
                <w:rFonts w:ascii="Arial" w:cs="Arial" w:eastAsia="Arial" w:hAnsi="Arial"/>
                <w:sz w:val="18"/>
                <w:szCs w:val="18"/>
                <w:color w:val="auto"/>
              </w:rPr>
              <w:t>March 26,</w:t>
            </w:r>
          </w:p>
        </w:tc>
        <w:tc>
          <w:tcPr>
            <w:tcW w:w="1280" w:type="dxa"/>
            <w:vAlign w:val="bottom"/>
          </w:tcPr>
          <w:p>
            <w:pPr>
              <w:jc w:val="right"/>
              <w:ind w:right="150"/>
              <w:spacing w:after="0" w:line="169" w:lineRule="exact"/>
              <w:rPr>
                <w:sz w:val="20"/>
                <w:szCs w:val="20"/>
                <w:color w:val="auto"/>
              </w:rPr>
            </w:pPr>
            <w:r>
              <w:rPr>
                <w:rFonts w:ascii="Arial" w:cs="Arial" w:eastAsia="Arial" w:hAnsi="Arial"/>
                <w:sz w:val="18"/>
                <w:szCs w:val="18"/>
                <w:color w:val="auto"/>
              </w:rPr>
              <w:t>March 24,</w:t>
            </w:r>
          </w:p>
        </w:tc>
        <w:tc>
          <w:tcPr>
            <w:tcW w:w="1060" w:type="dxa"/>
            <w:vAlign w:val="bottom"/>
          </w:tcPr>
          <w:p>
            <w:pPr>
              <w:jc w:val="right"/>
              <w:spacing w:after="0" w:line="169" w:lineRule="exact"/>
              <w:rPr>
                <w:sz w:val="20"/>
                <w:szCs w:val="20"/>
                <w:color w:val="auto"/>
              </w:rPr>
            </w:pPr>
            <w:r>
              <w:rPr>
                <w:rFonts w:ascii="Arial" w:cs="Arial" w:eastAsia="Arial" w:hAnsi="Arial"/>
                <w:sz w:val="18"/>
                <w:szCs w:val="18"/>
                <w:color w:val="auto"/>
              </w:rPr>
              <w:t>March 26,</w:t>
            </w:r>
          </w:p>
        </w:tc>
        <w:tc>
          <w:tcPr>
            <w:tcW w:w="0" w:type="dxa"/>
            <w:vAlign w:val="bottom"/>
          </w:tcPr>
          <w:p>
            <w:pPr>
              <w:spacing w:after="0"/>
              <w:rPr>
                <w:sz w:val="1"/>
                <w:szCs w:val="1"/>
                <w:color w:val="auto"/>
              </w:rPr>
            </w:pPr>
          </w:p>
        </w:tc>
      </w:tr>
      <w:tr>
        <w:trPr>
          <w:trHeight w:val="243"/>
        </w:trPr>
        <w:tc>
          <w:tcPr>
            <w:tcW w:w="4540" w:type="dxa"/>
            <w:vAlign w:val="bottom"/>
            <w:tcBorders>
              <w:bottom w:val="single" w:sz="8" w:color="auto"/>
            </w:tcBorders>
            <w:vMerge w:val="continue"/>
          </w:tcPr>
          <w:p>
            <w:pPr>
              <w:spacing w:after="0"/>
              <w:rPr>
                <w:sz w:val="21"/>
                <w:szCs w:val="21"/>
                <w:color w:val="auto"/>
              </w:rPr>
            </w:pPr>
          </w:p>
        </w:tc>
        <w:tc>
          <w:tcPr>
            <w:tcW w:w="16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2024</w:t>
            </w:r>
          </w:p>
        </w:tc>
        <w:tc>
          <w:tcPr>
            <w:tcW w:w="12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2023</w:t>
            </w:r>
          </w:p>
        </w:tc>
        <w:tc>
          <w:tcPr>
            <w:tcW w:w="12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2024</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2023</w:t>
            </w:r>
          </w:p>
        </w:tc>
        <w:tc>
          <w:tcPr>
            <w:tcW w:w="0" w:type="dxa"/>
            <w:vAlign w:val="bottom"/>
          </w:tcPr>
          <w:p>
            <w:pPr>
              <w:spacing w:after="0"/>
              <w:rPr>
                <w:sz w:val="1"/>
                <w:szCs w:val="1"/>
                <w:color w:val="auto"/>
              </w:rPr>
            </w:pPr>
          </w:p>
        </w:tc>
      </w:tr>
      <w:tr>
        <w:trPr>
          <w:trHeight w:val="250"/>
        </w:trPr>
        <w:tc>
          <w:tcPr>
            <w:tcW w:w="454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4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Service cost for benefits earned during the period</w:t>
            </w:r>
          </w:p>
        </w:tc>
        <w:tc>
          <w:tcPr>
            <w:tcW w:w="164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13</w:t>
            </w:r>
          </w:p>
        </w:tc>
        <w:tc>
          <w:tcPr>
            <w:tcW w:w="128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17</w:t>
            </w:r>
          </w:p>
        </w:tc>
        <w:tc>
          <w:tcPr>
            <w:tcW w:w="128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25</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29"/>
        </w:trPr>
        <w:tc>
          <w:tcPr>
            <w:tcW w:w="4540" w:type="dxa"/>
            <w:vAlign w:val="bottom"/>
          </w:tcPr>
          <w:p>
            <w:pPr>
              <w:ind w:left="20"/>
              <w:spacing w:after="0"/>
              <w:rPr>
                <w:sz w:val="20"/>
                <w:szCs w:val="20"/>
                <w:color w:val="auto"/>
              </w:rPr>
            </w:pPr>
            <w:r>
              <w:rPr>
                <w:rFonts w:ascii="Arial" w:cs="Arial" w:eastAsia="Arial" w:hAnsi="Arial"/>
                <w:sz w:val="18"/>
                <w:szCs w:val="18"/>
                <w:color w:val="auto"/>
              </w:rPr>
              <w:t>Interest cost on projected benefit obligation</w:t>
            </w:r>
          </w:p>
        </w:tc>
        <w:tc>
          <w:tcPr>
            <w:tcW w:w="1640" w:type="dxa"/>
            <w:vAlign w:val="bottom"/>
          </w:tcPr>
          <w:p>
            <w:pPr>
              <w:jc w:val="right"/>
              <w:ind w:right="210"/>
              <w:spacing w:after="0"/>
              <w:rPr>
                <w:sz w:val="20"/>
                <w:szCs w:val="20"/>
                <w:color w:val="auto"/>
              </w:rPr>
            </w:pPr>
            <w:r>
              <w:rPr>
                <w:rFonts w:ascii="Arial" w:cs="Arial" w:eastAsia="Arial" w:hAnsi="Arial"/>
                <w:sz w:val="18"/>
                <w:szCs w:val="18"/>
                <w:color w:val="auto"/>
              </w:rPr>
              <w:t>149</w:t>
            </w:r>
          </w:p>
        </w:tc>
        <w:tc>
          <w:tcPr>
            <w:tcW w:w="1280" w:type="dxa"/>
            <w:vAlign w:val="bottom"/>
          </w:tcPr>
          <w:p>
            <w:pPr>
              <w:jc w:val="right"/>
              <w:ind w:right="210"/>
              <w:spacing w:after="0"/>
              <w:rPr>
                <w:sz w:val="20"/>
                <w:szCs w:val="20"/>
                <w:color w:val="auto"/>
              </w:rPr>
            </w:pPr>
            <w:r>
              <w:rPr>
                <w:rFonts w:ascii="Arial" w:cs="Arial" w:eastAsia="Arial" w:hAnsi="Arial"/>
                <w:sz w:val="18"/>
                <w:szCs w:val="18"/>
                <w:color w:val="auto"/>
              </w:rPr>
              <w:t>149</w:t>
            </w:r>
          </w:p>
        </w:tc>
        <w:tc>
          <w:tcPr>
            <w:tcW w:w="1280" w:type="dxa"/>
            <w:vAlign w:val="bottom"/>
          </w:tcPr>
          <w:p>
            <w:pPr>
              <w:jc w:val="right"/>
              <w:ind w:right="210"/>
              <w:spacing w:after="0"/>
              <w:rPr>
                <w:sz w:val="20"/>
                <w:szCs w:val="20"/>
                <w:color w:val="auto"/>
              </w:rPr>
            </w:pPr>
            <w:r>
              <w:rPr>
                <w:rFonts w:ascii="Arial" w:cs="Arial" w:eastAsia="Arial" w:hAnsi="Arial"/>
                <w:sz w:val="18"/>
                <w:szCs w:val="18"/>
                <w:color w:val="auto"/>
              </w:rPr>
              <w:t>298</w:t>
            </w:r>
          </w:p>
        </w:tc>
        <w:tc>
          <w:tcPr>
            <w:tcW w:w="1060" w:type="dxa"/>
            <w:vAlign w:val="bottom"/>
          </w:tcPr>
          <w:p>
            <w:pPr>
              <w:jc w:val="right"/>
              <w:spacing w:after="0"/>
              <w:rPr>
                <w:sz w:val="20"/>
                <w:szCs w:val="20"/>
                <w:color w:val="auto"/>
              </w:rPr>
            </w:pPr>
            <w:r>
              <w:rPr>
                <w:rFonts w:ascii="Arial" w:cs="Arial" w:eastAsia="Arial" w:hAnsi="Arial"/>
                <w:sz w:val="18"/>
                <w:szCs w:val="18"/>
                <w:color w:val="auto"/>
              </w:rPr>
              <w:t>298</w:t>
            </w:r>
          </w:p>
        </w:tc>
        <w:tc>
          <w:tcPr>
            <w:tcW w:w="0" w:type="dxa"/>
            <w:vAlign w:val="bottom"/>
          </w:tcPr>
          <w:p>
            <w:pPr>
              <w:spacing w:after="0"/>
              <w:rPr>
                <w:sz w:val="1"/>
                <w:szCs w:val="1"/>
                <w:color w:val="auto"/>
              </w:rPr>
            </w:pPr>
          </w:p>
        </w:tc>
      </w:tr>
      <w:tr>
        <w:trPr>
          <w:trHeight w:val="229"/>
        </w:trPr>
        <w:tc>
          <w:tcPr>
            <w:tcW w:w="4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return on plan assets</w:t>
            </w:r>
          </w:p>
        </w:tc>
        <w:tc>
          <w:tcPr>
            <w:tcW w:w="164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(320)</w:t>
            </w:r>
          </w:p>
        </w:tc>
        <w:tc>
          <w:tcPr>
            <w:tcW w:w="12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(295)</w:t>
            </w:r>
          </w:p>
        </w:tc>
        <w:tc>
          <w:tcPr>
            <w:tcW w:w="12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(639)</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(590)</w:t>
            </w:r>
          </w:p>
        </w:tc>
        <w:tc>
          <w:tcPr>
            <w:tcW w:w="0" w:type="dxa"/>
            <w:vAlign w:val="bottom"/>
          </w:tcPr>
          <w:p>
            <w:pPr>
              <w:spacing w:after="0"/>
              <w:rPr>
                <w:sz w:val="1"/>
                <w:szCs w:val="1"/>
                <w:color w:val="auto"/>
              </w:rPr>
            </w:pPr>
          </w:p>
        </w:tc>
      </w:tr>
      <w:tr>
        <w:trPr>
          <w:trHeight w:val="230"/>
        </w:trPr>
        <w:tc>
          <w:tcPr>
            <w:tcW w:w="4540" w:type="dxa"/>
            <w:vAlign w:val="bottom"/>
          </w:tcPr>
          <w:p>
            <w:pPr>
              <w:ind w:left="20"/>
              <w:spacing w:after="0"/>
              <w:rPr>
                <w:sz w:val="20"/>
                <w:szCs w:val="20"/>
                <w:color w:val="auto"/>
              </w:rPr>
            </w:pPr>
            <w:r>
              <w:rPr>
                <w:rFonts w:ascii="Arial" w:cs="Arial" w:eastAsia="Arial" w:hAnsi="Arial"/>
                <w:sz w:val="18"/>
                <w:szCs w:val="18"/>
                <w:color w:val="auto"/>
              </w:rPr>
              <w:t>Amortization of net gain</w:t>
            </w:r>
          </w:p>
        </w:tc>
        <w:tc>
          <w:tcPr>
            <w:tcW w:w="1640" w:type="dxa"/>
            <w:vAlign w:val="bottom"/>
          </w:tcPr>
          <w:p>
            <w:pPr>
              <w:jc w:val="right"/>
              <w:ind w:right="170"/>
              <w:spacing w:after="0"/>
              <w:rPr>
                <w:sz w:val="20"/>
                <w:szCs w:val="20"/>
                <w:color w:val="auto"/>
              </w:rPr>
            </w:pPr>
            <w:r>
              <w:rPr>
                <w:rFonts w:ascii="Arial" w:cs="Arial" w:eastAsia="Arial" w:hAnsi="Arial"/>
                <w:sz w:val="18"/>
                <w:szCs w:val="18"/>
                <w:color w:val="auto"/>
              </w:rPr>
              <w:t>(308)</w:t>
            </w:r>
          </w:p>
        </w:tc>
        <w:tc>
          <w:tcPr>
            <w:tcW w:w="1280" w:type="dxa"/>
            <w:vAlign w:val="bottom"/>
          </w:tcPr>
          <w:p>
            <w:pPr>
              <w:jc w:val="right"/>
              <w:ind w:right="170"/>
              <w:spacing w:after="0"/>
              <w:rPr>
                <w:sz w:val="20"/>
                <w:szCs w:val="20"/>
                <w:color w:val="auto"/>
              </w:rPr>
            </w:pPr>
            <w:r>
              <w:rPr>
                <w:rFonts w:ascii="Arial" w:cs="Arial" w:eastAsia="Arial" w:hAnsi="Arial"/>
                <w:sz w:val="18"/>
                <w:szCs w:val="18"/>
                <w:color w:val="auto"/>
              </w:rPr>
              <w:t>(254)</w:t>
            </w:r>
          </w:p>
        </w:tc>
        <w:tc>
          <w:tcPr>
            <w:tcW w:w="1280" w:type="dxa"/>
            <w:vAlign w:val="bottom"/>
          </w:tcPr>
          <w:p>
            <w:pPr>
              <w:jc w:val="right"/>
              <w:ind w:right="170"/>
              <w:spacing w:after="0"/>
              <w:rPr>
                <w:sz w:val="20"/>
                <w:szCs w:val="20"/>
                <w:color w:val="auto"/>
              </w:rPr>
            </w:pPr>
            <w:r>
              <w:rPr>
                <w:rFonts w:ascii="Arial" w:cs="Arial" w:eastAsia="Arial" w:hAnsi="Arial"/>
                <w:sz w:val="18"/>
                <w:szCs w:val="18"/>
                <w:color w:val="auto"/>
              </w:rPr>
              <w:t>(617)</w:t>
            </w:r>
          </w:p>
        </w:tc>
        <w:tc>
          <w:tcPr>
            <w:tcW w:w="1060" w:type="dxa"/>
            <w:vAlign w:val="bottom"/>
          </w:tcPr>
          <w:p>
            <w:pPr>
              <w:jc w:val="right"/>
              <w:spacing w:after="0"/>
              <w:rPr>
                <w:sz w:val="20"/>
                <w:szCs w:val="20"/>
                <w:color w:val="auto"/>
              </w:rPr>
            </w:pPr>
            <w:r>
              <w:rPr>
                <w:rFonts w:ascii="Arial" w:cs="Arial" w:eastAsia="Arial" w:hAnsi="Arial"/>
                <w:sz w:val="18"/>
                <w:szCs w:val="18"/>
                <w:color w:val="auto"/>
              </w:rPr>
              <w:t>(508)</w:t>
            </w:r>
          </w:p>
        </w:tc>
        <w:tc>
          <w:tcPr>
            <w:tcW w:w="0" w:type="dxa"/>
            <w:vAlign w:val="bottom"/>
          </w:tcPr>
          <w:p>
            <w:pPr>
              <w:spacing w:after="0"/>
              <w:rPr>
                <w:sz w:val="1"/>
                <w:szCs w:val="1"/>
                <w:color w:val="auto"/>
              </w:rPr>
            </w:pPr>
          </w:p>
        </w:tc>
      </w:tr>
      <w:tr>
        <w:trPr>
          <w:trHeight w:val="229"/>
        </w:trPr>
        <w:tc>
          <w:tcPr>
            <w:tcW w:w="4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Amortization of prior service benefit</w:t>
            </w:r>
          </w:p>
        </w:tc>
        <w:tc>
          <w:tcPr>
            <w:tcW w:w="164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(94)</w:t>
            </w:r>
          </w:p>
        </w:tc>
        <w:tc>
          <w:tcPr>
            <w:tcW w:w="12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(162)</w:t>
            </w:r>
          </w:p>
        </w:tc>
        <w:tc>
          <w:tcPr>
            <w:tcW w:w="12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(188)</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(324)</w:t>
            </w:r>
          </w:p>
        </w:tc>
        <w:tc>
          <w:tcPr>
            <w:tcW w:w="0" w:type="dxa"/>
            <w:vAlign w:val="bottom"/>
          </w:tcPr>
          <w:p>
            <w:pPr>
              <w:spacing w:after="0"/>
              <w:rPr>
                <w:sz w:val="1"/>
                <w:szCs w:val="1"/>
                <w:color w:val="auto"/>
              </w:rPr>
            </w:pPr>
          </w:p>
        </w:tc>
      </w:tr>
      <w:tr>
        <w:trPr>
          <w:trHeight w:val="230"/>
        </w:trPr>
        <w:tc>
          <w:tcPr>
            <w:tcW w:w="45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Curtailment gain</w:t>
            </w:r>
          </w:p>
        </w:tc>
        <w:tc>
          <w:tcPr>
            <w:tcW w:w="164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(1,184)</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8"/>
        </w:trPr>
        <w:tc>
          <w:tcPr>
            <w:tcW w:w="45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Net periodic postretirement benefit</w:t>
            </w:r>
          </w:p>
        </w:tc>
        <w:tc>
          <w:tcPr>
            <w:tcW w:w="164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(560)</w:t>
            </w:r>
          </w:p>
        </w:tc>
        <w:tc>
          <w:tcPr>
            <w:tcW w:w="12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(545)</w:t>
            </w:r>
          </w:p>
        </w:tc>
        <w:tc>
          <w:tcPr>
            <w:tcW w:w="12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(2,305)</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(1,090)</w:t>
            </w:r>
          </w:p>
        </w:tc>
        <w:tc>
          <w:tcPr>
            <w:tcW w:w="0" w:type="dxa"/>
            <w:vAlign w:val="bottom"/>
          </w:tcPr>
          <w:p>
            <w:pPr>
              <w:spacing w:after="0"/>
              <w:rPr>
                <w:sz w:val="1"/>
                <w:szCs w:val="1"/>
                <w:color w:val="auto"/>
              </w:rPr>
            </w:pPr>
          </w:p>
        </w:tc>
      </w:tr>
      <w:tr>
        <w:trPr>
          <w:trHeight w:val="20"/>
        </w:trPr>
        <w:tc>
          <w:tcPr>
            <w:tcW w:w="454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1" w:lineRule="exact"/>
        <w:rPr>
          <w:sz w:val="20"/>
          <w:szCs w:val="20"/>
          <w:color w:val="auto"/>
        </w:rPr>
      </w:pPr>
    </w:p>
    <w:p>
      <w:pPr>
        <w:jc w:val="both"/>
        <w:ind w:left="660" w:right="20"/>
        <w:spacing w:after="0" w:line="287" w:lineRule="auto"/>
        <w:rPr>
          <w:sz w:val="20"/>
          <w:szCs w:val="20"/>
          <w:color w:val="auto"/>
        </w:rPr>
      </w:pPr>
      <w:r>
        <w:rPr>
          <w:rFonts w:ascii="Arial" w:cs="Arial" w:eastAsia="Arial" w:hAnsi="Arial"/>
          <w:sz w:val="18"/>
          <w:szCs w:val="18"/>
          <w:color w:val="auto"/>
        </w:rPr>
        <w:t>In the six months ended March 24, 2024 and March 26, 2023, we made no contributions to our pension plans. We have no required contributions to our pension plans for 2024.</w:t>
      </w:r>
    </w:p>
    <w:p>
      <w:pPr>
        <w:spacing w:after="0" w:line="112"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Multiemployer Pension Plans</w:t>
      </w:r>
    </w:p>
    <w:p>
      <w:pPr>
        <w:spacing w:after="0" w:line="185" w:lineRule="exact"/>
        <w:rPr>
          <w:sz w:val="20"/>
          <w:szCs w:val="20"/>
          <w:color w:val="auto"/>
        </w:rPr>
      </w:pPr>
    </w:p>
    <w:p>
      <w:pPr>
        <w:jc w:val="both"/>
        <w:ind w:left="660"/>
        <w:spacing w:after="0" w:line="268" w:lineRule="auto"/>
        <w:rPr>
          <w:sz w:val="20"/>
          <w:szCs w:val="20"/>
          <w:color w:val="auto"/>
        </w:rPr>
      </w:pPr>
      <w:r>
        <w:rPr>
          <w:rFonts w:ascii="Arial" w:cs="Arial" w:eastAsia="Arial" w:hAnsi="Arial"/>
          <w:sz w:val="18"/>
          <w:szCs w:val="18"/>
          <w:color w:val="auto"/>
        </w:rPr>
        <w:t>In prior periods, the Company effectuated withdrawals from several multiemployer plans. As of March 24, 2024 and September 24, 2023, we had $24.3 million and $25.1 million of accrued withdrawal liabilities. The liabilities reflect the estimated value of payments to the fund, payable over 20-years.</w:t>
      </w:r>
    </w:p>
    <w:p>
      <w:pPr>
        <w:spacing w:after="0" w:line="144" w:lineRule="exact"/>
        <w:rPr>
          <w:sz w:val="20"/>
          <w:szCs w:val="20"/>
          <w:color w:val="auto"/>
        </w:rPr>
      </w:pPr>
    </w:p>
    <w:p>
      <w:pPr>
        <w:ind w:left="300" w:hanging="292"/>
        <w:spacing w:after="0"/>
        <w:tabs>
          <w:tab w:leader="none" w:pos="30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185" w:lineRule="exact"/>
        <w:rPr>
          <w:sz w:val="20"/>
          <w:szCs w:val="20"/>
          <w:color w:val="auto"/>
        </w:rPr>
      </w:pPr>
    </w:p>
    <w:p>
      <w:pPr>
        <w:jc w:val="both"/>
        <w:ind w:left="660"/>
        <w:spacing w:after="0" w:line="257" w:lineRule="auto"/>
        <w:rPr>
          <w:sz w:val="20"/>
          <w:szCs w:val="20"/>
          <w:color w:val="auto"/>
        </w:rPr>
      </w:pPr>
      <w:r>
        <w:rPr>
          <w:rFonts w:ascii="Arial" w:cs="Arial" w:eastAsia="Arial" w:hAnsi="Arial"/>
          <w:sz w:val="18"/>
          <w:szCs w:val="18"/>
          <w:color w:val="auto"/>
        </w:rPr>
        <w:t>We recorded an income tax benefit of $2.8 million related to loss before taxes of $14.5 million for the three months ended March 24, 2024, and an income tax benefit of $2.6 million related to loss before income taxes of $13.0 million for the six months ended March 24, 2024. We recorded an income tax benefit of $2.1 million related to loss before taxes of $7.4 million for the three months ended March 26, 2023, and an income tax benefit of $1.6 million related to a loss before income taxes of $5.2 million for the six months ended March 26, 2023. The effective income tax rate for the three and six months ended March 24, 2024, was 19.6% and 19.9%, respectively. The effective income tax rate for the three and six months ended March 26, 2023, were 27.8% and 31.5%, respectively.</w:t>
      </w:r>
    </w:p>
    <w:p>
      <w:pPr>
        <w:spacing w:after="0" w:line="358" w:lineRule="exact"/>
        <w:rPr>
          <w:sz w:val="20"/>
          <w:szCs w:val="20"/>
          <w:color w:val="auto"/>
        </w:rPr>
      </w:pPr>
    </w:p>
    <w:p>
      <w:pPr>
        <w:jc w:val="both"/>
        <w:ind w:left="660"/>
        <w:spacing w:after="0" w:line="287" w:lineRule="auto"/>
        <w:rPr>
          <w:sz w:val="20"/>
          <w:szCs w:val="20"/>
          <w:color w:val="auto"/>
        </w:rPr>
      </w:pPr>
      <w:r>
        <w:rPr>
          <w:rFonts w:ascii="Arial" w:cs="Arial" w:eastAsia="Arial" w:hAnsi="Arial"/>
          <w:sz w:val="18"/>
          <w:szCs w:val="18"/>
          <w:color w:val="auto"/>
        </w:rPr>
        <w:t>The primary differences between these rates and the U.S. federal statutory rate of 21% are because of state taxes, non-deductible expenses and adjustments to reserves for uncertain tax positions, including any related interest.</w:t>
      </w:r>
    </w:p>
    <w:p>
      <w:pPr>
        <w:spacing w:after="0" w:line="126" w:lineRule="exact"/>
        <w:rPr>
          <w:sz w:val="20"/>
          <w:szCs w:val="20"/>
          <w:color w:val="auto"/>
        </w:rPr>
      </w:pPr>
    </w:p>
    <w:p>
      <w:pPr>
        <w:jc w:val="both"/>
        <w:ind w:left="660" w:right="20"/>
        <w:spacing w:after="0" w:line="287" w:lineRule="auto"/>
        <w:rPr>
          <w:sz w:val="20"/>
          <w:szCs w:val="20"/>
          <w:color w:val="auto"/>
        </w:rPr>
      </w:pPr>
      <w:r>
        <w:rPr>
          <w:rFonts w:ascii="Arial" w:cs="Arial" w:eastAsia="Arial" w:hAnsi="Arial"/>
          <w:sz w:val="18"/>
          <w:szCs w:val="18"/>
          <w:color w:val="auto"/>
        </w:rPr>
        <w:t>We file a consolidated federal tax return, as well as combined and separate tax returns in approximately 27 state and local jurisdictions. We do not currently have any federal or material state income tax</w:t>
      </w:r>
    </w:p>
    <w:p>
      <w:pPr>
        <w:spacing w:after="0" w:line="200" w:lineRule="exact"/>
        <w:rPr>
          <w:sz w:val="20"/>
          <w:szCs w:val="20"/>
          <w:color w:val="auto"/>
        </w:rPr>
      </w:pPr>
    </w:p>
    <w:p>
      <w:pPr>
        <w:spacing w:after="0" w:line="3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examinations in progress. Our income tax returns have generally been audited or closed to audit through 2015.</w:t>
      </w:r>
    </w:p>
    <w:p>
      <w:pPr>
        <w:spacing w:after="0" w:line="198" w:lineRule="exact"/>
        <w:rPr>
          <w:sz w:val="20"/>
          <w:szCs w:val="20"/>
          <w:color w:val="auto"/>
        </w:rPr>
      </w:pPr>
    </w:p>
    <w:p>
      <w:pPr>
        <w:ind w:left="300" w:hanging="292"/>
        <w:spacing w:after="0"/>
        <w:tabs>
          <w:tab w:leader="none" w:pos="30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LOSS PER COMMON SHARE</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sets forth the computation of basic and diluted earnings per common share:</w:t>
      </w:r>
    </w:p>
    <w:p>
      <w:pPr>
        <w:spacing w:after="0" w:line="210" w:lineRule="exact"/>
        <w:rPr>
          <w:sz w:val="20"/>
          <w:szCs w:val="20"/>
          <w:color w:val="auto"/>
        </w:rPr>
      </w:pPr>
    </w:p>
    <w:tbl>
      <w:tblPr>
        <w:tblLayout w:type="fixed"/>
        <w:tblInd w:w="660" w:type="dxa"/>
        <w:tblCellMar>
          <w:top w:w="0" w:type="dxa"/>
          <w:left w:w="0" w:type="dxa"/>
          <w:bottom w:w="0" w:type="dxa"/>
          <w:right w:w="0" w:type="dxa"/>
        </w:tblCellMar>
      </w:tblPr>
      <w:tr>
        <w:trPr>
          <w:trHeight w:val="243"/>
        </w:trPr>
        <w:tc>
          <w:tcPr>
            <w:tcW w:w="4100" w:type="dxa"/>
            <w:vAlign w:val="bottom"/>
            <w:tcBorders>
              <w:top w:val="single" w:sz="8" w:color="auto"/>
              <w:bottom w:val="single" w:sz="8" w:color="auto"/>
            </w:tcBorders>
          </w:tcPr>
          <w:p>
            <w:pPr>
              <w:spacing w:after="0"/>
              <w:rPr>
                <w:sz w:val="21"/>
                <w:szCs w:val="21"/>
                <w:color w:val="auto"/>
              </w:rPr>
            </w:pPr>
          </w:p>
        </w:tc>
        <w:tc>
          <w:tcPr>
            <w:tcW w:w="3040" w:type="dxa"/>
            <w:vAlign w:val="bottom"/>
            <w:tcBorders>
              <w:top w:val="single" w:sz="8" w:color="auto"/>
              <w:bottom w:val="single" w:sz="8" w:color="auto"/>
            </w:tcBorders>
            <w:gridSpan w:val="2"/>
          </w:tcPr>
          <w:p>
            <w:pPr>
              <w:jc w:val="right"/>
              <w:ind w:right="910"/>
              <w:spacing w:after="0"/>
              <w:rPr>
                <w:sz w:val="20"/>
                <w:szCs w:val="20"/>
                <w:color w:val="auto"/>
              </w:rPr>
            </w:pPr>
            <w:r>
              <w:rPr>
                <w:rFonts w:ascii="Arial" w:cs="Arial" w:eastAsia="Arial" w:hAnsi="Arial"/>
                <w:sz w:val="18"/>
                <w:szCs w:val="18"/>
                <w:color w:val="auto"/>
              </w:rPr>
              <w:t>Three months ended</w:t>
            </w:r>
          </w:p>
        </w:tc>
        <w:tc>
          <w:tcPr>
            <w:tcW w:w="2660" w:type="dxa"/>
            <w:vAlign w:val="bottom"/>
            <w:tcBorders>
              <w:top w:val="single" w:sz="8" w:color="auto"/>
              <w:bottom w:val="single" w:sz="8" w:color="auto"/>
            </w:tcBorders>
            <w:gridSpan w:val="2"/>
          </w:tcPr>
          <w:p>
            <w:pPr>
              <w:jc w:val="right"/>
              <w:ind w:right="690"/>
              <w:spacing w:after="0"/>
              <w:rPr>
                <w:sz w:val="20"/>
                <w:szCs w:val="20"/>
                <w:color w:val="auto"/>
              </w:rPr>
            </w:pPr>
            <w:r>
              <w:rPr>
                <w:rFonts w:ascii="Arial" w:cs="Arial" w:eastAsia="Arial" w:hAnsi="Arial"/>
                <w:sz w:val="18"/>
                <w:szCs w:val="18"/>
                <w:color w:val="auto"/>
              </w:rPr>
              <w:t>Six months ended</w:t>
            </w:r>
          </w:p>
        </w:tc>
        <w:tc>
          <w:tcPr>
            <w:tcW w:w="0" w:type="dxa"/>
            <w:vAlign w:val="bottom"/>
          </w:tcPr>
          <w:p>
            <w:pPr>
              <w:spacing w:after="0"/>
              <w:rPr>
                <w:sz w:val="1"/>
                <w:szCs w:val="1"/>
                <w:color w:val="auto"/>
              </w:rPr>
            </w:pPr>
          </w:p>
        </w:tc>
      </w:tr>
      <w:tr>
        <w:trPr>
          <w:trHeight w:val="177"/>
        </w:trPr>
        <w:tc>
          <w:tcPr>
            <w:tcW w:w="4100" w:type="dxa"/>
            <w:vAlign w:val="bottom"/>
          </w:tcPr>
          <w:p>
            <w:pPr>
              <w:ind w:left="20"/>
              <w:spacing w:after="0" w:line="177" w:lineRule="exact"/>
              <w:rPr>
                <w:sz w:val="20"/>
                <w:szCs w:val="20"/>
                <w:color w:val="auto"/>
              </w:rPr>
            </w:pPr>
            <w:r>
              <w:rPr>
                <w:rFonts w:ascii="Arial" w:cs="Arial" w:eastAsia="Arial" w:hAnsi="Arial"/>
                <w:sz w:val="18"/>
                <w:szCs w:val="18"/>
                <w:color w:val="auto"/>
              </w:rPr>
              <w:t>(Thousands of Dollars and Shares, Except Per</w:t>
            </w:r>
          </w:p>
        </w:tc>
        <w:tc>
          <w:tcPr>
            <w:tcW w:w="1540" w:type="dxa"/>
            <w:vAlign w:val="bottom"/>
          </w:tcPr>
          <w:p>
            <w:pPr>
              <w:jc w:val="right"/>
              <w:ind w:right="270"/>
              <w:spacing w:after="0" w:line="177" w:lineRule="exact"/>
              <w:rPr>
                <w:sz w:val="20"/>
                <w:szCs w:val="20"/>
                <w:color w:val="auto"/>
              </w:rPr>
            </w:pPr>
            <w:r>
              <w:rPr>
                <w:rFonts w:ascii="Arial" w:cs="Arial" w:eastAsia="Arial" w:hAnsi="Arial"/>
                <w:sz w:val="18"/>
                <w:szCs w:val="18"/>
                <w:color w:val="auto"/>
              </w:rPr>
              <w:t>March 24,</w:t>
            </w:r>
          </w:p>
        </w:tc>
        <w:tc>
          <w:tcPr>
            <w:tcW w:w="1500" w:type="dxa"/>
            <w:vAlign w:val="bottom"/>
          </w:tcPr>
          <w:p>
            <w:pPr>
              <w:jc w:val="right"/>
              <w:ind w:right="270"/>
              <w:spacing w:after="0" w:line="177" w:lineRule="exact"/>
              <w:rPr>
                <w:sz w:val="20"/>
                <w:szCs w:val="20"/>
                <w:color w:val="auto"/>
              </w:rPr>
            </w:pPr>
            <w:r>
              <w:rPr>
                <w:rFonts w:ascii="Arial" w:cs="Arial" w:eastAsia="Arial" w:hAnsi="Arial"/>
                <w:sz w:val="18"/>
                <w:szCs w:val="18"/>
                <w:color w:val="auto"/>
              </w:rPr>
              <w:t>March 26,</w:t>
            </w:r>
          </w:p>
        </w:tc>
        <w:tc>
          <w:tcPr>
            <w:tcW w:w="1500" w:type="dxa"/>
            <w:vAlign w:val="bottom"/>
          </w:tcPr>
          <w:p>
            <w:pPr>
              <w:jc w:val="right"/>
              <w:ind w:right="270"/>
              <w:spacing w:after="0" w:line="177" w:lineRule="exact"/>
              <w:rPr>
                <w:sz w:val="20"/>
                <w:szCs w:val="20"/>
                <w:color w:val="auto"/>
              </w:rPr>
            </w:pPr>
            <w:r>
              <w:rPr>
                <w:rFonts w:ascii="Arial" w:cs="Arial" w:eastAsia="Arial" w:hAnsi="Arial"/>
                <w:sz w:val="18"/>
                <w:szCs w:val="18"/>
                <w:color w:val="auto"/>
              </w:rPr>
              <w:t>March 24,</w:t>
            </w:r>
          </w:p>
        </w:tc>
        <w:tc>
          <w:tcPr>
            <w:tcW w:w="1160" w:type="dxa"/>
            <w:vAlign w:val="bottom"/>
          </w:tcPr>
          <w:p>
            <w:pPr>
              <w:jc w:val="right"/>
              <w:spacing w:after="0" w:line="177" w:lineRule="exact"/>
              <w:rPr>
                <w:sz w:val="20"/>
                <w:szCs w:val="20"/>
                <w:color w:val="auto"/>
              </w:rPr>
            </w:pPr>
            <w:r>
              <w:rPr>
                <w:rFonts w:ascii="Arial" w:cs="Arial" w:eastAsia="Arial" w:hAnsi="Arial"/>
                <w:sz w:val="18"/>
                <w:szCs w:val="18"/>
                <w:color w:val="auto"/>
              </w:rPr>
              <w:t>March 26,</w:t>
            </w:r>
          </w:p>
        </w:tc>
        <w:tc>
          <w:tcPr>
            <w:tcW w:w="0" w:type="dxa"/>
            <w:vAlign w:val="bottom"/>
          </w:tcPr>
          <w:p>
            <w:pPr>
              <w:spacing w:after="0"/>
              <w:rPr>
                <w:sz w:val="1"/>
                <w:szCs w:val="1"/>
                <w:color w:val="auto"/>
              </w:rPr>
            </w:pPr>
          </w:p>
        </w:tc>
      </w:tr>
      <w:tr>
        <w:trPr>
          <w:trHeight w:val="235"/>
        </w:trPr>
        <w:tc>
          <w:tcPr>
            <w:tcW w:w="41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Share Data)</w:t>
            </w:r>
          </w:p>
        </w:tc>
        <w:tc>
          <w:tcPr>
            <w:tcW w:w="15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2024</w:t>
            </w:r>
          </w:p>
        </w:tc>
        <w:tc>
          <w:tcPr>
            <w:tcW w:w="15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2023</w:t>
            </w:r>
          </w:p>
        </w:tc>
        <w:tc>
          <w:tcPr>
            <w:tcW w:w="15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2024</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2023</w:t>
            </w:r>
          </w:p>
        </w:tc>
        <w:tc>
          <w:tcPr>
            <w:tcW w:w="0" w:type="dxa"/>
            <w:vAlign w:val="bottom"/>
          </w:tcPr>
          <w:p>
            <w:pPr>
              <w:spacing w:after="0"/>
              <w:rPr>
                <w:sz w:val="1"/>
                <w:szCs w:val="1"/>
                <w:color w:val="auto"/>
              </w:rPr>
            </w:pPr>
          </w:p>
        </w:tc>
      </w:tr>
      <w:tr>
        <w:trPr>
          <w:trHeight w:val="250"/>
        </w:trPr>
        <w:tc>
          <w:tcPr>
            <w:tcW w:w="410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4"/>
        </w:trPr>
        <w:tc>
          <w:tcPr>
            <w:tcW w:w="4100" w:type="dxa"/>
            <w:vAlign w:val="bottom"/>
            <w:shd w:val="clear" w:color="auto" w:fill="CCEEFF"/>
          </w:tcPr>
          <w:p>
            <w:pPr>
              <w:ind w:left="20"/>
              <w:spacing w:after="0" w:line="183" w:lineRule="exact"/>
              <w:rPr>
                <w:sz w:val="20"/>
                <w:szCs w:val="20"/>
                <w:color w:val="auto"/>
              </w:rPr>
            </w:pPr>
            <w:r>
              <w:rPr>
                <w:rFonts w:ascii="Arial" w:cs="Arial" w:eastAsia="Arial" w:hAnsi="Arial"/>
                <w:sz w:val="18"/>
                <w:szCs w:val="18"/>
                <w:color w:val="auto"/>
              </w:rPr>
              <w:t>Loss attributable to Lee Enterprises,</w:t>
            </w:r>
          </w:p>
        </w:tc>
        <w:tc>
          <w:tcPr>
            <w:tcW w:w="1540" w:type="dxa"/>
            <w:vAlign w:val="bottom"/>
            <w:vMerge w:val="restart"/>
            <w:shd w:val="clear" w:color="auto" w:fill="CCEEFF"/>
          </w:tcPr>
          <w:p>
            <w:pPr>
              <w:jc w:val="right"/>
              <w:ind w:right="270"/>
              <w:spacing w:after="0"/>
              <w:rPr>
                <w:sz w:val="20"/>
                <w:szCs w:val="20"/>
                <w:color w:val="auto"/>
              </w:rPr>
            </w:pPr>
            <w:r>
              <w:rPr>
                <w:rFonts w:ascii="Arial" w:cs="Arial" w:eastAsia="Arial" w:hAnsi="Arial"/>
                <w:sz w:val="18"/>
                <w:szCs w:val="18"/>
                <w:color w:val="auto"/>
              </w:rPr>
              <w:t>(12,179)</w:t>
            </w:r>
          </w:p>
        </w:tc>
        <w:tc>
          <w:tcPr>
            <w:tcW w:w="1500" w:type="dxa"/>
            <w:vAlign w:val="bottom"/>
            <w:vMerge w:val="restart"/>
            <w:shd w:val="clear" w:color="auto" w:fill="CCEEFF"/>
          </w:tcPr>
          <w:p>
            <w:pPr>
              <w:jc w:val="right"/>
              <w:ind w:right="270"/>
              <w:spacing w:after="0"/>
              <w:rPr>
                <w:sz w:val="20"/>
                <w:szCs w:val="20"/>
                <w:color w:val="auto"/>
              </w:rPr>
            </w:pPr>
            <w:r>
              <w:rPr>
                <w:rFonts w:ascii="Arial" w:cs="Arial" w:eastAsia="Arial" w:hAnsi="Arial"/>
                <w:sz w:val="18"/>
                <w:szCs w:val="18"/>
                <w:color w:val="auto"/>
              </w:rPr>
              <w:t>(5,885)</w:t>
            </w:r>
          </w:p>
        </w:tc>
        <w:tc>
          <w:tcPr>
            <w:tcW w:w="1500" w:type="dxa"/>
            <w:vAlign w:val="bottom"/>
            <w:vMerge w:val="restart"/>
            <w:shd w:val="clear" w:color="auto" w:fill="CCEEFF"/>
          </w:tcPr>
          <w:p>
            <w:pPr>
              <w:jc w:val="right"/>
              <w:ind w:right="270"/>
              <w:spacing w:after="0"/>
              <w:rPr>
                <w:sz w:val="20"/>
                <w:szCs w:val="20"/>
                <w:color w:val="auto"/>
              </w:rPr>
            </w:pPr>
            <w:r>
              <w:rPr>
                <w:rFonts w:ascii="Arial" w:cs="Arial" w:eastAsia="Arial" w:hAnsi="Arial"/>
                <w:sz w:val="18"/>
                <w:szCs w:val="18"/>
                <w:color w:val="auto"/>
              </w:rPr>
              <w:t>(11,491)</w:t>
            </w: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(4,786)</w:t>
            </w:r>
          </w:p>
        </w:tc>
        <w:tc>
          <w:tcPr>
            <w:tcW w:w="0" w:type="dxa"/>
            <w:vAlign w:val="bottom"/>
          </w:tcPr>
          <w:p>
            <w:pPr>
              <w:spacing w:after="0"/>
              <w:rPr>
                <w:sz w:val="1"/>
                <w:szCs w:val="1"/>
                <w:color w:val="auto"/>
              </w:rPr>
            </w:pPr>
          </w:p>
        </w:tc>
      </w:tr>
      <w:tr>
        <w:trPr>
          <w:trHeight w:val="255"/>
        </w:trPr>
        <w:tc>
          <w:tcPr>
            <w:tcW w:w="41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Incorporated:</w:t>
            </w:r>
          </w:p>
        </w:tc>
        <w:tc>
          <w:tcPr>
            <w:tcW w:w="1540" w:type="dxa"/>
            <w:vAlign w:val="bottom"/>
            <w:tcBorders>
              <w:bottom w:val="single" w:sz="8" w:color="auto"/>
            </w:tcBorders>
            <w:vMerge w:val="continue"/>
            <w:shd w:val="clear" w:color="auto" w:fill="CCEEFF"/>
          </w:tcPr>
          <w:p>
            <w:pPr>
              <w:spacing w:after="0"/>
              <w:rPr>
                <w:sz w:val="22"/>
                <w:szCs w:val="22"/>
                <w:color w:val="auto"/>
              </w:rPr>
            </w:pPr>
          </w:p>
        </w:tc>
        <w:tc>
          <w:tcPr>
            <w:tcW w:w="1500" w:type="dxa"/>
            <w:vAlign w:val="bottom"/>
            <w:tcBorders>
              <w:bottom w:val="single" w:sz="8" w:color="auto"/>
            </w:tcBorders>
            <w:vMerge w:val="continue"/>
            <w:shd w:val="clear" w:color="auto" w:fill="CCEEFF"/>
          </w:tcPr>
          <w:p>
            <w:pPr>
              <w:spacing w:after="0"/>
              <w:rPr>
                <w:sz w:val="22"/>
                <w:szCs w:val="22"/>
                <w:color w:val="auto"/>
              </w:rPr>
            </w:pPr>
          </w:p>
        </w:tc>
        <w:tc>
          <w:tcPr>
            <w:tcW w:w="1500" w:type="dxa"/>
            <w:vAlign w:val="bottom"/>
            <w:tcBorders>
              <w:bottom w:val="single" w:sz="8" w:color="auto"/>
            </w:tcBorders>
            <w:vMerge w:val="continue"/>
            <w:shd w:val="clear" w:color="auto" w:fill="CCEEFF"/>
          </w:tcPr>
          <w:p>
            <w:pPr>
              <w:spacing w:after="0"/>
              <w:rPr>
                <w:sz w:val="22"/>
                <w:szCs w:val="22"/>
                <w:color w:val="auto"/>
              </w:rPr>
            </w:pPr>
          </w:p>
        </w:tc>
        <w:tc>
          <w:tcPr>
            <w:tcW w:w="1160" w:type="dxa"/>
            <w:vAlign w:val="bottom"/>
            <w:tcBorders>
              <w:bottom w:val="single" w:sz="8" w:color="auto"/>
            </w:tcBorders>
            <w:vMerge w:val="continue"/>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10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100" w:type="dxa"/>
            <w:vAlign w:val="bottom"/>
          </w:tcPr>
          <w:p>
            <w:pPr>
              <w:ind w:left="20"/>
              <w:spacing w:after="0" w:line="203" w:lineRule="exact"/>
              <w:rPr>
                <w:sz w:val="20"/>
                <w:szCs w:val="20"/>
                <w:color w:val="auto"/>
              </w:rPr>
            </w:pPr>
            <w:r>
              <w:rPr>
                <w:rFonts w:ascii="Arial" w:cs="Arial" w:eastAsia="Arial" w:hAnsi="Arial"/>
                <w:sz w:val="18"/>
                <w:szCs w:val="18"/>
                <w:color w:val="auto"/>
              </w:rPr>
              <w:t>Weighted average common shares</w:t>
            </w:r>
          </w:p>
        </w:tc>
        <w:tc>
          <w:tcPr>
            <w:tcW w:w="1540" w:type="dxa"/>
            <w:vAlign w:val="bottom"/>
          </w:tcPr>
          <w:p>
            <w:pPr>
              <w:jc w:val="right"/>
              <w:ind w:right="330"/>
              <w:spacing w:after="0" w:line="203" w:lineRule="exact"/>
              <w:rPr>
                <w:sz w:val="20"/>
                <w:szCs w:val="20"/>
                <w:color w:val="auto"/>
              </w:rPr>
            </w:pPr>
            <w:r>
              <w:rPr>
                <w:rFonts w:ascii="Arial" w:cs="Arial" w:eastAsia="Arial" w:hAnsi="Arial"/>
                <w:sz w:val="18"/>
                <w:szCs w:val="18"/>
                <w:color w:val="auto"/>
              </w:rPr>
              <w:t>6,080</w:t>
            </w:r>
          </w:p>
        </w:tc>
        <w:tc>
          <w:tcPr>
            <w:tcW w:w="1500" w:type="dxa"/>
            <w:vAlign w:val="bottom"/>
          </w:tcPr>
          <w:p>
            <w:pPr>
              <w:jc w:val="right"/>
              <w:ind w:right="330"/>
              <w:spacing w:after="0" w:line="203" w:lineRule="exact"/>
              <w:rPr>
                <w:sz w:val="20"/>
                <w:szCs w:val="20"/>
                <w:color w:val="auto"/>
              </w:rPr>
            </w:pPr>
            <w:r>
              <w:rPr>
                <w:rFonts w:ascii="Arial" w:cs="Arial" w:eastAsia="Arial" w:hAnsi="Arial"/>
                <w:sz w:val="18"/>
                <w:szCs w:val="18"/>
                <w:color w:val="auto"/>
              </w:rPr>
              <w:t>5,996</w:t>
            </w:r>
          </w:p>
        </w:tc>
        <w:tc>
          <w:tcPr>
            <w:tcW w:w="1500" w:type="dxa"/>
            <w:vAlign w:val="bottom"/>
          </w:tcPr>
          <w:p>
            <w:pPr>
              <w:jc w:val="right"/>
              <w:ind w:right="330"/>
              <w:spacing w:after="0" w:line="203" w:lineRule="exact"/>
              <w:rPr>
                <w:sz w:val="20"/>
                <w:szCs w:val="20"/>
                <w:color w:val="auto"/>
              </w:rPr>
            </w:pPr>
            <w:r>
              <w:rPr>
                <w:rFonts w:ascii="Arial" w:cs="Arial" w:eastAsia="Arial" w:hAnsi="Arial"/>
                <w:sz w:val="18"/>
                <w:szCs w:val="18"/>
                <w:color w:val="auto"/>
              </w:rPr>
              <w:t>6,080</w:t>
            </w:r>
          </w:p>
        </w:tc>
        <w:tc>
          <w:tcPr>
            <w:tcW w:w="1160" w:type="dxa"/>
            <w:vAlign w:val="bottom"/>
          </w:tcPr>
          <w:p>
            <w:pPr>
              <w:jc w:val="right"/>
              <w:spacing w:after="0" w:line="203" w:lineRule="exact"/>
              <w:rPr>
                <w:sz w:val="20"/>
                <w:szCs w:val="20"/>
                <w:color w:val="auto"/>
              </w:rPr>
            </w:pPr>
            <w:r>
              <w:rPr>
                <w:rFonts w:ascii="Arial" w:cs="Arial" w:eastAsia="Arial" w:hAnsi="Arial"/>
                <w:sz w:val="18"/>
                <w:szCs w:val="18"/>
                <w:color w:val="auto"/>
              </w:rPr>
              <w:t>6,018</w:t>
            </w:r>
          </w:p>
        </w:tc>
        <w:tc>
          <w:tcPr>
            <w:tcW w:w="0" w:type="dxa"/>
            <w:vAlign w:val="bottom"/>
          </w:tcPr>
          <w:p>
            <w:pPr>
              <w:spacing w:after="0"/>
              <w:rPr>
                <w:sz w:val="1"/>
                <w:szCs w:val="1"/>
                <w:color w:val="auto"/>
              </w:rPr>
            </w:pPr>
          </w:p>
        </w:tc>
      </w:tr>
      <w:tr>
        <w:trPr>
          <w:trHeight w:val="184"/>
        </w:trPr>
        <w:tc>
          <w:tcPr>
            <w:tcW w:w="4100" w:type="dxa"/>
            <w:vAlign w:val="bottom"/>
            <w:shd w:val="clear" w:color="auto" w:fill="CCEEFF"/>
          </w:tcPr>
          <w:p>
            <w:pPr>
              <w:ind w:left="20"/>
              <w:spacing w:after="0" w:line="183" w:lineRule="exact"/>
              <w:rPr>
                <w:sz w:val="20"/>
                <w:szCs w:val="20"/>
                <w:color w:val="auto"/>
              </w:rPr>
            </w:pPr>
            <w:r>
              <w:rPr>
                <w:rFonts w:ascii="Arial" w:cs="Arial" w:eastAsia="Arial" w:hAnsi="Arial"/>
                <w:sz w:val="18"/>
                <w:szCs w:val="18"/>
                <w:color w:val="auto"/>
              </w:rPr>
              <w:t>Less weighted average restricted Common</w:t>
            </w:r>
          </w:p>
        </w:tc>
        <w:tc>
          <w:tcPr>
            <w:tcW w:w="1540" w:type="dxa"/>
            <w:vAlign w:val="bottom"/>
            <w:vMerge w:val="restart"/>
            <w:shd w:val="clear" w:color="auto" w:fill="CCEEFF"/>
          </w:tcPr>
          <w:p>
            <w:pPr>
              <w:jc w:val="right"/>
              <w:ind w:right="270"/>
              <w:spacing w:after="0"/>
              <w:rPr>
                <w:sz w:val="20"/>
                <w:szCs w:val="20"/>
                <w:color w:val="auto"/>
              </w:rPr>
            </w:pPr>
            <w:r>
              <w:rPr>
                <w:rFonts w:ascii="Arial" w:cs="Arial" w:eastAsia="Arial" w:hAnsi="Arial"/>
                <w:sz w:val="18"/>
                <w:szCs w:val="18"/>
                <w:color w:val="auto"/>
              </w:rPr>
              <w:t>(170)</w:t>
            </w:r>
          </w:p>
        </w:tc>
        <w:tc>
          <w:tcPr>
            <w:tcW w:w="1500" w:type="dxa"/>
            <w:vAlign w:val="bottom"/>
            <w:vMerge w:val="restart"/>
            <w:shd w:val="clear" w:color="auto" w:fill="CCEEFF"/>
          </w:tcPr>
          <w:p>
            <w:pPr>
              <w:jc w:val="right"/>
              <w:ind w:right="270"/>
              <w:spacing w:after="0"/>
              <w:rPr>
                <w:sz w:val="20"/>
                <w:szCs w:val="20"/>
                <w:color w:val="auto"/>
              </w:rPr>
            </w:pPr>
            <w:r>
              <w:rPr>
                <w:rFonts w:ascii="Arial" w:cs="Arial" w:eastAsia="Arial" w:hAnsi="Arial"/>
                <w:sz w:val="18"/>
                <w:szCs w:val="18"/>
                <w:color w:val="auto"/>
              </w:rPr>
              <w:t>(173)</w:t>
            </w:r>
          </w:p>
        </w:tc>
        <w:tc>
          <w:tcPr>
            <w:tcW w:w="1500" w:type="dxa"/>
            <w:vAlign w:val="bottom"/>
            <w:vMerge w:val="restart"/>
            <w:shd w:val="clear" w:color="auto" w:fill="CCEEFF"/>
          </w:tcPr>
          <w:p>
            <w:pPr>
              <w:jc w:val="right"/>
              <w:ind w:right="270"/>
              <w:spacing w:after="0"/>
              <w:rPr>
                <w:sz w:val="20"/>
                <w:szCs w:val="20"/>
                <w:color w:val="auto"/>
              </w:rPr>
            </w:pPr>
            <w:r>
              <w:rPr>
                <w:rFonts w:ascii="Arial" w:cs="Arial" w:eastAsia="Arial" w:hAnsi="Arial"/>
                <w:sz w:val="18"/>
                <w:szCs w:val="18"/>
                <w:color w:val="auto"/>
              </w:rPr>
              <w:t>(170)</w:t>
            </w: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(172)</w:t>
            </w:r>
          </w:p>
        </w:tc>
        <w:tc>
          <w:tcPr>
            <w:tcW w:w="0" w:type="dxa"/>
            <w:vAlign w:val="bottom"/>
          </w:tcPr>
          <w:p>
            <w:pPr>
              <w:spacing w:after="0"/>
              <w:rPr>
                <w:sz w:val="1"/>
                <w:szCs w:val="1"/>
                <w:color w:val="auto"/>
              </w:rPr>
            </w:pPr>
          </w:p>
        </w:tc>
      </w:tr>
      <w:tr>
        <w:trPr>
          <w:trHeight w:val="235"/>
        </w:trPr>
        <w:tc>
          <w:tcPr>
            <w:tcW w:w="41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Stock</w:t>
            </w:r>
          </w:p>
        </w:tc>
        <w:tc>
          <w:tcPr>
            <w:tcW w:w="1540" w:type="dxa"/>
            <w:vAlign w:val="bottom"/>
            <w:tcBorders>
              <w:bottom w:val="single" w:sz="8" w:color="auto"/>
            </w:tcBorders>
            <w:vMerge w:val="continue"/>
            <w:shd w:val="clear" w:color="auto" w:fill="CCEEFF"/>
          </w:tcPr>
          <w:p>
            <w:pPr>
              <w:spacing w:after="0"/>
              <w:rPr>
                <w:sz w:val="20"/>
                <w:szCs w:val="20"/>
                <w:color w:val="auto"/>
              </w:rPr>
            </w:pPr>
          </w:p>
        </w:tc>
        <w:tc>
          <w:tcPr>
            <w:tcW w:w="1500" w:type="dxa"/>
            <w:vAlign w:val="bottom"/>
            <w:tcBorders>
              <w:bottom w:val="single" w:sz="8" w:color="auto"/>
            </w:tcBorders>
            <w:vMerge w:val="continue"/>
            <w:shd w:val="clear" w:color="auto" w:fill="CCEEFF"/>
          </w:tcPr>
          <w:p>
            <w:pPr>
              <w:spacing w:after="0"/>
              <w:rPr>
                <w:sz w:val="20"/>
                <w:szCs w:val="20"/>
                <w:color w:val="auto"/>
              </w:rPr>
            </w:pPr>
          </w:p>
        </w:tc>
        <w:tc>
          <w:tcPr>
            <w:tcW w:w="1500" w:type="dxa"/>
            <w:vAlign w:val="bottom"/>
            <w:tcBorders>
              <w:bottom w:val="single" w:sz="8" w:color="auto"/>
            </w:tcBorders>
            <w:vMerge w:val="continue"/>
            <w:shd w:val="clear" w:color="auto" w:fill="CCEEFF"/>
          </w:tcPr>
          <w:p>
            <w:pPr>
              <w:spacing w:after="0"/>
              <w:rPr>
                <w:sz w:val="20"/>
                <w:szCs w:val="20"/>
                <w:color w:val="auto"/>
              </w:rPr>
            </w:pPr>
          </w:p>
        </w:tc>
        <w:tc>
          <w:tcPr>
            <w:tcW w:w="116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100" w:type="dxa"/>
            <w:vAlign w:val="bottom"/>
          </w:tcPr>
          <w:p>
            <w:pPr>
              <w:ind w:left="20"/>
              <w:spacing w:after="0"/>
              <w:rPr>
                <w:sz w:val="20"/>
                <w:szCs w:val="20"/>
                <w:color w:val="auto"/>
              </w:rPr>
            </w:pPr>
            <w:r>
              <w:rPr>
                <w:rFonts w:ascii="Arial" w:cs="Arial" w:eastAsia="Arial" w:hAnsi="Arial"/>
                <w:sz w:val="18"/>
                <w:szCs w:val="18"/>
                <w:color w:val="auto"/>
              </w:rPr>
              <w:t>Basic average common shares</w:t>
            </w:r>
          </w:p>
        </w:tc>
        <w:tc>
          <w:tcPr>
            <w:tcW w:w="1540" w:type="dxa"/>
            <w:vAlign w:val="bottom"/>
          </w:tcPr>
          <w:p>
            <w:pPr>
              <w:jc w:val="right"/>
              <w:ind w:right="330"/>
              <w:spacing w:after="0"/>
              <w:rPr>
                <w:sz w:val="20"/>
                <w:szCs w:val="20"/>
                <w:color w:val="auto"/>
              </w:rPr>
            </w:pPr>
            <w:r>
              <w:rPr>
                <w:rFonts w:ascii="Arial" w:cs="Arial" w:eastAsia="Arial" w:hAnsi="Arial"/>
                <w:sz w:val="18"/>
                <w:szCs w:val="18"/>
                <w:color w:val="auto"/>
              </w:rPr>
              <w:t>5,910</w:t>
            </w:r>
          </w:p>
        </w:tc>
        <w:tc>
          <w:tcPr>
            <w:tcW w:w="1500" w:type="dxa"/>
            <w:vAlign w:val="bottom"/>
          </w:tcPr>
          <w:p>
            <w:pPr>
              <w:jc w:val="right"/>
              <w:ind w:right="330"/>
              <w:spacing w:after="0"/>
              <w:rPr>
                <w:sz w:val="20"/>
                <w:szCs w:val="20"/>
                <w:color w:val="auto"/>
              </w:rPr>
            </w:pPr>
            <w:r>
              <w:rPr>
                <w:rFonts w:ascii="Arial" w:cs="Arial" w:eastAsia="Arial" w:hAnsi="Arial"/>
                <w:sz w:val="18"/>
                <w:szCs w:val="18"/>
                <w:color w:val="auto"/>
              </w:rPr>
              <w:t>5,823</w:t>
            </w:r>
          </w:p>
        </w:tc>
        <w:tc>
          <w:tcPr>
            <w:tcW w:w="1500" w:type="dxa"/>
            <w:vAlign w:val="bottom"/>
          </w:tcPr>
          <w:p>
            <w:pPr>
              <w:jc w:val="right"/>
              <w:ind w:right="330"/>
              <w:spacing w:after="0"/>
              <w:rPr>
                <w:sz w:val="20"/>
                <w:szCs w:val="20"/>
                <w:color w:val="auto"/>
              </w:rPr>
            </w:pPr>
            <w:r>
              <w:rPr>
                <w:rFonts w:ascii="Arial" w:cs="Arial" w:eastAsia="Arial" w:hAnsi="Arial"/>
                <w:sz w:val="18"/>
                <w:szCs w:val="18"/>
                <w:color w:val="auto"/>
              </w:rPr>
              <w:t>5,910</w:t>
            </w:r>
          </w:p>
        </w:tc>
        <w:tc>
          <w:tcPr>
            <w:tcW w:w="1160" w:type="dxa"/>
            <w:vAlign w:val="bottom"/>
          </w:tcPr>
          <w:p>
            <w:pPr>
              <w:jc w:val="right"/>
              <w:spacing w:after="0"/>
              <w:rPr>
                <w:sz w:val="20"/>
                <w:szCs w:val="20"/>
                <w:color w:val="auto"/>
              </w:rPr>
            </w:pPr>
            <w:r>
              <w:rPr>
                <w:rFonts w:ascii="Arial" w:cs="Arial" w:eastAsia="Arial" w:hAnsi="Arial"/>
                <w:sz w:val="18"/>
                <w:szCs w:val="18"/>
                <w:color w:val="auto"/>
              </w:rPr>
              <w:t>5,846</w:t>
            </w:r>
          </w:p>
        </w:tc>
        <w:tc>
          <w:tcPr>
            <w:tcW w:w="0" w:type="dxa"/>
            <w:vAlign w:val="bottom"/>
          </w:tcPr>
          <w:p>
            <w:pPr>
              <w:spacing w:after="0"/>
              <w:rPr>
                <w:sz w:val="1"/>
                <w:szCs w:val="1"/>
                <w:color w:val="auto"/>
              </w:rPr>
            </w:pPr>
          </w:p>
        </w:tc>
      </w:tr>
      <w:tr>
        <w:trPr>
          <w:trHeight w:val="229"/>
        </w:trPr>
        <w:tc>
          <w:tcPr>
            <w:tcW w:w="41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Dilutive restricted Common Stock</w:t>
            </w:r>
          </w:p>
        </w:tc>
        <w:tc>
          <w:tcPr>
            <w:tcW w:w="154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150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150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1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Diluted average common shares</w:t>
            </w:r>
          </w:p>
        </w:tc>
        <w:tc>
          <w:tcPr>
            <w:tcW w:w="15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5,910</w:t>
            </w:r>
          </w:p>
        </w:tc>
        <w:tc>
          <w:tcPr>
            <w:tcW w:w="150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5,823</w:t>
            </w:r>
          </w:p>
        </w:tc>
        <w:tc>
          <w:tcPr>
            <w:tcW w:w="150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5,910</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5,846</w:t>
            </w:r>
          </w:p>
        </w:tc>
        <w:tc>
          <w:tcPr>
            <w:tcW w:w="0" w:type="dxa"/>
            <w:vAlign w:val="bottom"/>
          </w:tcPr>
          <w:p>
            <w:pPr>
              <w:spacing w:after="0"/>
              <w:rPr>
                <w:sz w:val="1"/>
                <w:szCs w:val="1"/>
                <w:color w:val="auto"/>
              </w:rPr>
            </w:pPr>
          </w:p>
        </w:tc>
      </w:tr>
      <w:tr>
        <w:trPr>
          <w:trHeight w:val="20"/>
        </w:trPr>
        <w:tc>
          <w:tcPr>
            <w:tcW w:w="410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per common share:</w:t>
            </w:r>
          </w:p>
        </w:tc>
        <w:tc>
          <w:tcPr>
            <w:tcW w:w="154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100" w:type="dxa"/>
            <w:vAlign w:val="bottom"/>
          </w:tcPr>
          <w:p>
            <w:pPr>
              <w:ind w:left="180"/>
              <w:spacing w:after="0"/>
              <w:rPr>
                <w:sz w:val="20"/>
                <w:szCs w:val="20"/>
                <w:color w:val="auto"/>
              </w:rPr>
            </w:pPr>
            <w:r>
              <w:rPr>
                <w:rFonts w:ascii="Arial" w:cs="Arial" w:eastAsia="Arial" w:hAnsi="Arial"/>
                <w:sz w:val="18"/>
                <w:szCs w:val="18"/>
                <w:color w:val="auto"/>
              </w:rPr>
              <w:t>Basic</w:t>
            </w:r>
          </w:p>
        </w:tc>
        <w:tc>
          <w:tcPr>
            <w:tcW w:w="1540" w:type="dxa"/>
            <w:vAlign w:val="bottom"/>
          </w:tcPr>
          <w:p>
            <w:pPr>
              <w:jc w:val="right"/>
              <w:ind w:right="270"/>
              <w:spacing w:after="0"/>
              <w:rPr>
                <w:sz w:val="20"/>
                <w:szCs w:val="20"/>
                <w:color w:val="auto"/>
              </w:rPr>
            </w:pPr>
            <w:r>
              <w:rPr>
                <w:rFonts w:ascii="Arial" w:cs="Arial" w:eastAsia="Arial" w:hAnsi="Arial"/>
                <w:sz w:val="18"/>
                <w:szCs w:val="18"/>
                <w:color w:val="auto"/>
              </w:rPr>
              <w:t>(2.06)</w:t>
            </w:r>
          </w:p>
        </w:tc>
        <w:tc>
          <w:tcPr>
            <w:tcW w:w="1500" w:type="dxa"/>
            <w:vAlign w:val="bottom"/>
          </w:tcPr>
          <w:p>
            <w:pPr>
              <w:jc w:val="right"/>
              <w:ind w:right="270"/>
              <w:spacing w:after="0"/>
              <w:rPr>
                <w:sz w:val="20"/>
                <w:szCs w:val="20"/>
                <w:color w:val="auto"/>
              </w:rPr>
            </w:pPr>
            <w:r>
              <w:rPr>
                <w:rFonts w:ascii="Arial" w:cs="Arial" w:eastAsia="Arial" w:hAnsi="Arial"/>
                <w:sz w:val="18"/>
                <w:szCs w:val="18"/>
                <w:color w:val="auto"/>
              </w:rPr>
              <w:t>(1.01)</w:t>
            </w:r>
          </w:p>
        </w:tc>
        <w:tc>
          <w:tcPr>
            <w:tcW w:w="1500" w:type="dxa"/>
            <w:vAlign w:val="bottom"/>
          </w:tcPr>
          <w:p>
            <w:pPr>
              <w:jc w:val="right"/>
              <w:ind w:right="270"/>
              <w:spacing w:after="0"/>
              <w:rPr>
                <w:sz w:val="20"/>
                <w:szCs w:val="20"/>
                <w:color w:val="auto"/>
              </w:rPr>
            </w:pPr>
            <w:r>
              <w:rPr>
                <w:rFonts w:ascii="Arial" w:cs="Arial" w:eastAsia="Arial" w:hAnsi="Arial"/>
                <w:sz w:val="18"/>
                <w:szCs w:val="18"/>
                <w:color w:val="auto"/>
              </w:rPr>
              <w:t>(1.94)</w:t>
            </w:r>
          </w:p>
        </w:tc>
        <w:tc>
          <w:tcPr>
            <w:tcW w:w="1160" w:type="dxa"/>
            <w:vAlign w:val="bottom"/>
          </w:tcPr>
          <w:p>
            <w:pPr>
              <w:jc w:val="right"/>
              <w:spacing w:after="0"/>
              <w:rPr>
                <w:sz w:val="20"/>
                <w:szCs w:val="20"/>
                <w:color w:val="auto"/>
              </w:rPr>
            </w:pPr>
            <w:r>
              <w:rPr>
                <w:rFonts w:ascii="Arial" w:cs="Arial" w:eastAsia="Arial" w:hAnsi="Arial"/>
                <w:sz w:val="18"/>
                <w:szCs w:val="18"/>
                <w:color w:val="auto"/>
              </w:rPr>
              <w:t>(0.82)</w:t>
            </w:r>
          </w:p>
        </w:tc>
        <w:tc>
          <w:tcPr>
            <w:tcW w:w="0" w:type="dxa"/>
            <w:vAlign w:val="bottom"/>
          </w:tcPr>
          <w:p>
            <w:pPr>
              <w:spacing w:after="0"/>
              <w:rPr>
                <w:sz w:val="1"/>
                <w:szCs w:val="1"/>
                <w:color w:val="auto"/>
              </w:rPr>
            </w:pPr>
          </w:p>
        </w:tc>
      </w:tr>
      <w:tr>
        <w:trPr>
          <w:trHeight w:val="255"/>
        </w:trPr>
        <w:tc>
          <w:tcPr>
            <w:tcW w:w="410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rPr>
              <w:t>Diluted</w:t>
            </w:r>
          </w:p>
        </w:tc>
        <w:tc>
          <w:tcPr>
            <w:tcW w:w="154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rPr>
              <w:t>(2.06)</w:t>
            </w:r>
          </w:p>
        </w:tc>
        <w:tc>
          <w:tcPr>
            <w:tcW w:w="150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rPr>
              <w:t>(1.01)</w:t>
            </w:r>
          </w:p>
        </w:tc>
        <w:tc>
          <w:tcPr>
            <w:tcW w:w="150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rPr>
              <w:t>(1.94)</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(0.82)</w:t>
            </w:r>
          </w:p>
        </w:tc>
        <w:tc>
          <w:tcPr>
            <w:tcW w:w="0" w:type="dxa"/>
            <w:vAlign w:val="bottom"/>
          </w:tcPr>
          <w:p>
            <w:pPr>
              <w:spacing w:after="0"/>
              <w:rPr>
                <w:sz w:val="1"/>
                <w:szCs w:val="1"/>
                <w:color w:val="auto"/>
              </w:rPr>
            </w:pPr>
          </w:p>
        </w:tc>
      </w:tr>
      <w:tr>
        <w:trPr>
          <w:trHeight w:val="20"/>
        </w:trPr>
        <w:tc>
          <w:tcPr>
            <w:tcW w:w="410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1" w:lineRule="exact"/>
        <w:rPr>
          <w:sz w:val="20"/>
          <w:szCs w:val="20"/>
          <w:color w:val="auto"/>
        </w:rPr>
      </w:pPr>
    </w:p>
    <w:p>
      <w:pPr>
        <w:jc w:val="both"/>
        <w:ind w:left="660"/>
        <w:spacing w:after="0" w:line="259" w:lineRule="auto"/>
        <w:rPr>
          <w:sz w:val="20"/>
          <w:szCs w:val="20"/>
          <w:color w:val="auto"/>
        </w:rPr>
      </w:pPr>
      <w:r>
        <w:rPr>
          <w:rFonts w:ascii="Arial" w:cs="Arial" w:eastAsia="Arial" w:hAnsi="Arial"/>
          <w:sz w:val="18"/>
          <w:szCs w:val="18"/>
          <w:color w:val="auto"/>
        </w:rPr>
        <w:t>For the three months ended March 24, 2024 and March 26, 2023, 66,249 and 68,186 shares, respectively, were not considered in the computation of diluted earnings per common share because their inclusion would result in an anti-dilutive effect on per share amounts. For the six months ended March 24, 2024 and March 26, 2023, 66,249 and 68,186 shares, respectively, were not considered in the computation of diluted earnings per common share because their inclusion would result in an anti-dilutive effect on per share amounts.</w:t>
      </w:r>
    </w:p>
    <w:p>
      <w:pPr>
        <w:spacing w:after="0" w:line="152"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Rights Agreement</w:t>
      </w:r>
    </w:p>
    <w:p>
      <w:pPr>
        <w:spacing w:after="0" w:line="252" w:lineRule="exact"/>
        <w:rPr>
          <w:sz w:val="20"/>
          <w:szCs w:val="20"/>
          <w:color w:val="auto"/>
        </w:rPr>
      </w:pPr>
    </w:p>
    <w:p>
      <w:pPr>
        <w:jc w:val="both"/>
        <w:ind w:left="660"/>
        <w:spacing w:after="0" w:line="245" w:lineRule="auto"/>
        <w:rPr>
          <w:sz w:val="20"/>
          <w:szCs w:val="20"/>
          <w:color w:val="auto"/>
        </w:rPr>
      </w:pPr>
      <w:r>
        <w:rPr>
          <w:rFonts w:ascii="Arial" w:cs="Arial" w:eastAsia="Arial" w:hAnsi="Arial"/>
          <w:sz w:val="18"/>
          <w:szCs w:val="18"/>
          <w:color w:val="auto"/>
        </w:rPr>
        <w:t>On March 28, 2024, our Board of Directors adopted a stockholder rights plan (the “Rights Agreement”). Pursuant to the Rights Agreement, on March 28, 2024, our Board of Directors declared a dividend of one preferred share purchase right (a “Right”), payable on April 8, 2024, for each share of our Common Stock outstanding to the stockholders of record on that date. Each Right entitles the registered holder to purchase from the Company one one-thousandth of a share of Series C Participating Convertible Preferred Stock, without par value (the “Preferred Shares”), of the Company at a price of $90.00 per one one-thousandth of a Preferred Share represented by a Right, subject to adjustment.</w:t>
      </w:r>
    </w:p>
    <w:p>
      <w:pPr>
        <w:spacing w:after="0" w:line="217" w:lineRule="exact"/>
        <w:rPr>
          <w:sz w:val="20"/>
          <w:szCs w:val="20"/>
          <w:color w:val="auto"/>
        </w:rPr>
      </w:pPr>
    </w:p>
    <w:p>
      <w:pPr>
        <w:jc w:val="both"/>
        <w:ind w:left="660"/>
        <w:spacing w:after="0" w:line="246" w:lineRule="auto"/>
        <w:rPr>
          <w:sz w:val="20"/>
          <w:szCs w:val="20"/>
          <w:color w:val="auto"/>
        </w:rPr>
      </w:pPr>
      <w:r>
        <w:rPr>
          <w:rFonts w:ascii="Arial" w:cs="Arial" w:eastAsia="Arial" w:hAnsi="Arial"/>
          <w:sz w:val="18"/>
          <w:szCs w:val="18"/>
          <w:color w:val="auto"/>
        </w:rPr>
        <w:t>The Rights will initially trade with our Common Stock and will generally become exercisable only if any person or group, other than certain exempt persons, acquires beneficial ownership of 15% or more of our Common Stock outstanding. In the event the Rights become exercisable, each holder of a Right, other than the triggering person(s), will be entitled to purchase additional shares of our Common Stock at a 50% discount or the Company may exchange each Right held by such holders for one share of our Common Stock. The Rights Agreement will continue in effect until March 27, 2025, or unless earlier redeemed or terminated by the Company, as provided in the Rights Agreement. The Rights have no voting or dividend privileges, and, unless and until they become exercisable, have no dilutive effect on the earnings of the Company.</w:t>
      </w:r>
    </w:p>
    <w:p>
      <w:pPr>
        <w:spacing w:after="0" w:line="202" w:lineRule="exact"/>
        <w:rPr>
          <w:sz w:val="20"/>
          <w:szCs w:val="20"/>
          <w:color w:val="auto"/>
        </w:rPr>
      </w:pPr>
    </w:p>
    <w:p>
      <w:pPr>
        <w:jc w:val="both"/>
        <w:ind w:left="660"/>
        <w:spacing w:after="0" w:line="252" w:lineRule="auto"/>
        <w:rPr>
          <w:sz w:val="20"/>
          <w:szCs w:val="20"/>
          <w:color w:val="auto"/>
        </w:rPr>
      </w:pPr>
      <w:r>
        <w:rPr>
          <w:rFonts w:ascii="Arial" w:cs="Arial" w:eastAsia="Arial" w:hAnsi="Arial"/>
          <w:sz w:val="18"/>
          <w:szCs w:val="18"/>
          <w:color w:val="auto"/>
        </w:rPr>
        <w:t>The Rights Agreement applies equally to all current and future stockholders and is not intended to deter offers or preclude our Board of Directors from considering acquisition proposals that are fair and otherwise in the best interest of our stockholders. However, the overall effect of the Rights Agreement may render it more difficult or discourage a merger, tender offer, or other business combination involving us that is not supported by our Board of Directors.</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300" w:hanging="292"/>
        <w:spacing w:after="0"/>
        <w:tabs>
          <w:tab w:leader="none" w:pos="30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CONTINGENT LIABILITIES</w:t>
      </w:r>
    </w:p>
    <w:p>
      <w:pPr>
        <w:spacing w:after="0" w:line="198"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Legal Proceedings</w:t>
      </w:r>
    </w:p>
    <w:p>
      <w:pPr>
        <w:spacing w:after="0" w:line="185" w:lineRule="exact"/>
        <w:rPr>
          <w:sz w:val="20"/>
          <w:szCs w:val="20"/>
          <w:color w:val="auto"/>
        </w:rPr>
      </w:pPr>
    </w:p>
    <w:p>
      <w:pPr>
        <w:jc w:val="both"/>
        <w:ind w:left="660"/>
        <w:spacing w:after="0" w:line="268" w:lineRule="auto"/>
        <w:rPr>
          <w:sz w:val="20"/>
          <w:szCs w:val="20"/>
          <w:color w:val="auto"/>
        </w:rPr>
      </w:pPr>
      <w:r>
        <w:rPr>
          <w:rFonts w:ascii="Arial" w:cs="Arial" w:eastAsia="Arial" w:hAnsi="Arial"/>
          <w:sz w:val="18"/>
          <w:szCs w:val="18"/>
          <w:color w:val="auto"/>
        </w:rPr>
        <w:t xml:space="preserve">We are involved in a variety of legal actions that arise in the normal course of business. Insurance coverage mitigates potential loss for certain of these matters. While we are unable to predict the ultimate outcome of these legal actions, it is our opinion that the disposition of these matters will </w:t>
      </w:r>
      <w:r>
        <w:rPr>
          <w:rFonts w:ascii="Arial" w:cs="Arial" w:eastAsia="Arial" w:hAnsi="Arial"/>
          <w:sz w:val="18"/>
          <w:szCs w:val="18"/>
          <w:i w:val="1"/>
          <w:iCs w:val="1"/>
          <w:color w:val="auto"/>
        </w:rPr>
        <w:t>not</w:t>
      </w:r>
      <w:r>
        <w:rPr>
          <w:rFonts w:ascii="Arial" w:cs="Arial" w:eastAsia="Arial" w:hAnsi="Arial"/>
          <w:sz w:val="18"/>
          <w:szCs w:val="18"/>
          <w:color w:val="auto"/>
        </w:rPr>
        <w:t xml:space="preserve"> have a material adverse effect on our Consolidated Financial Statements, taken as a whole.</w:t>
      </w: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w:t>
      </w:r>
    </w:p>
    <w:p>
      <w:pPr>
        <w:spacing w:after="0" w:line="198"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following discussion includes comments and analysis relating to our results of operations and financial condition as of and for the three months ended March 24, 2024. This discussion should be read in conjunction with the Consolidated Financial Statements and related Notes thereto, included herein, and our 2023 Annual Report on Form 10-K.</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OVERVIEW</w:t>
      </w:r>
    </w:p>
    <w:p>
      <w:pPr>
        <w:spacing w:after="0" w:line="18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Lee Enterprises, Incorporated, together with its subsidiaries, is a digital-first subscription business providing local markets with valuable, high quality, trusted, intensely local news, information, advertising and marketing services. We inform consumers in 73 mid-sized local communities in 26 states with a rapidly growing digital subscription platform including 745,000 digital subscribers. Our core strategy aims to grow audiences and engagement through creating, collecting, and distributing trusted local news and information, continuous improvements to subscriber experience, and offering a full suite of omni-channel advertising and marketing to more than 30,000 local advertisers.</w:t>
      </w:r>
    </w:p>
    <w:p>
      <w:pPr>
        <w:spacing w:after="0" w:line="1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Our product portfolio includes digital subscription platforms, daily, weekly and monthly newspapers and niche products, all delivering original local news and information as well as national and international news. Our products offer digital and print editions, and our content and advertising is available in real time through our websites and mobile apps. We operate in predominately mid-sized communities with products ranging from large daily newspapers and associated digital products, such as the </w:t>
      </w:r>
      <w:r>
        <w:rPr>
          <w:rFonts w:ascii="Arial" w:cs="Arial" w:eastAsia="Arial" w:hAnsi="Arial"/>
          <w:sz w:val="18"/>
          <w:szCs w:val="18"/>
          <w:i w:val="1"/>
          <w:iCs w:val="1"/>
          <w:color w:val="auto"/>
        </w:rPr>
        <w:t>St. Louis Post-Dispatch</w:t>
      </w:r>
      <w:r>
        <w:rPr>
          <w:rFonts w:ascii="Arial" w:cs="Arial" w:eastAsia="Arial" w:hAnsi="Arial"/>
          <w:sz w:val="18"/>
          <w:szCs w:val="18"/>
          <w:color w:val="auto"/>
        </w:rPr>
        <w:t xml:space="preserve"> and </w:t>
      </w:r>
      <w:r>
        <w:rPr>
          <w:rFonts w:ascii="Arial" w:cs="Arial" w:eastAsia="Arial" w:hAnsi="Arial"/>
          <w:sz w:val="18"/>
          <w:szCs w:val="18"/>
          <w:i w:val="1"/>
          <w:iCs w:val="1"/>
          <w:color w:val="auto"/>
        </w:rPr>
        <w:t>The Buffalo News</w:t>
      </w:r>
      <w:r>
        <w:rPr>
          <w:rFonts w:ascii="Arial" w:cs="Arial" w:eastAsia="Arial" w:hAnsi="Arial"/>
          <w:sz w:val="18"/>
          <w:szCs w:val="18"/>
          <w:color w:val="auto"/>
        </w:rPr>
        <w:t>, to non-daily newspapers with news websites and digital platforms serving smaller communities.</w:t>
      </w:r>
    </w:p>
    <w:p>
      <w:pPr>
        <w:spacing w:after="0" w:line="139"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We have made investments in talent and technology to improve user experience, content, data visualization and marketing to align with the shift in spending habits by both consumers and advertisers toward digital products.</w:t>
      </w:r>
    </w:p>
    <w:p>
      <w:pPr>
        <w:spacing w:after="0" w:line="11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We aim to grow our business through three main categories: subscriptions to our product offerings, advertising and marketing solutions to local advertisers, and digital services to a diverse set of customers. Execution of this strategy is expected to transform Lee into a growing and sustainable local media organization.</w:t>
      </w:r>
    </w:p>
    <w:p>
      <w:pPr>
        <w:spacing w:after="0" w:line="144" w:lineRule="exact"/>
        <w:rPr>
          <w:sz w:val="20"/>
          <w:szCs w:val="20"/>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digital subscription platforms are the fastest growing digital subscription platforms in local media.</w:t>
      </w:r>
    </w:p>
    <w:p>
      <w:pPr>
        <w:spacing w:after="0" w:line="182" w:lineRule="exact"/>
        <w:rPr>
          <w:rFonts w:ascii="Arial" w:cs="Arial" w:eastAsia="Arial" w:hAnsi="Arial"/>
          <w:sz w:val="18"/>
          <w:szCs w:val="18"/>
          <w:color w:val="auto"/>
        </w:rPr>
      </w:pPr>
    </w:p>
    <w:p>
      <w:pPr>
        <w:ind w:left="660" w:right="780" w:hanging="328"/>
        <w:spacing w:after="0" w:line="225" w:lineRule="auto"/>
        <w:tabs>
          <w:tab w:leader="none" w:pos="655" w:val="left"/>
        </w:tabs>
        <w:numPr>
          <w:ilvl w:val="0"/>
          <w:numId w:val="10"/>
        </w:numPr>
        <w:rPr>
          <w:rFonts w:ascii="Arial" w:cs="Arial" w:eastAsia="Arial" w:hAnsi="Arial"/>
          <w:sz w:val="18"/>
          <w:szCs w:val="18"/>
          <w:color w:val="auto"/>
        </w:rPr>
      </w:pPr>
      <w:r>
        <w:rPr>
          <w:rFonts w:ascii="Arial" w:cs="Arial" w:eastAsia="Arial" w:hAnsi="Arial"/>
          <w:sz w:val="18"/>
          <w:szCs w:val="18"/>
          <w:color w:val="auto"/>
        </w:rPr>
        <w:t>Amplified Digital</w:t>
      </w:r>
      <w:r>
        <w:rPr>
          <w:rFonts w:ascii="Arial" w:cs="Arial" w:eastAsia="Arial" w:hAnsi="Arial"/>
          <w:sz w:val="23"/>
          <w:szCs w:val="23"/>
          <w:color w:val="auto"/>
          <w:vertAlign w:val="superscript"/>
        </w:rPr>
        <w:t>®</w:t>
      </w:r>
      <w:r>
        <w:rPr>
          <w:rFonts w:ascii="Arial" w:cs="Arial" w:eastAsia="Arial" w:hAnsi="Arial"/>
          <w:sz w:val="18"/>
          <w:szCs w:val="18"/>
          <w:color w:val="auto"/>
        </w:rPr>
        <w:t xml:space="preserve"> ("Amplified"), our digital marketing services agency, offers a full suite of digital marketing solutions to local advertisers.</w:t>
      </w:r>
    </w:p>
    <w:p>
      <w:pPr>
        <w:spacing w:after="0" w:line="154" w:lineRule="exact"/>
        <w:rPr>
          <w:rFonts w:ascii="Arial" w:cs="Arial" w:eastAsia="Arial" w:hAnsi="Arial"/>
          <w:sz w:val="18"/>
          <w:szCs w:val="18"/>
          <w:color w:val="auto"/>
        </w:rPr>
      </w:pPr>
    </w:p>
    <w:p>
      <w:pPr>
        <w:jc w:val="both"/>
        <w:ind w:left="660" w:hanging="328"/>
        <w:spacing w:after="0" w:line="262" w:lineRule="auto"/>
        <w:tabs>
          <w:tab w:leader="none" w:pos="655" w:val="left"/>
        </w:tabs>
        <w:numPr>
          <w:ilvl w:val="0"/>
          <w:numId w:val="10"/>
        </w:numPr>
        <w:rPr>
          <w:rFonts w:ascii="Arial" w:cs="Arial" w:eastAsia="Arial" w:hAnsi="Arial"/>
          <w:sz w:val="18"/>
          <w:szCs w:val="18"/>
          <w:color w:val="auto"/>
        </w:rPr>
      </w:pPr>
      <w:r>
        <w:rPr>
          <w:rFonts w:ascii="Arial" w:cs="Arial" w:eastAsia="Arial" w:hAnsi="Arial"/>
          <w:sz w:val="18"/>
          <w:szCs w:val="18"/>
          <w:color w:val="auto"/>
        </w:rPr>
        <w:t>BLOX Digital (formerly known as TownNews), our software as a service (SaaS) content platform, is one of the largest web-hosting and content management SaaS providers in North America. BLOX Digital represents a powerful opportunity to drive additional digital revenue by providing state-of-the-art web hosting and content management services to more than 2,000 customers who rely on BLOX Digital for their web, over-the-top display, mobile, video and social media products.</w:t>
      </w:r>
    </w:p>
    <w:p>
      <w:pPr>
        <w:spacing w:after="0" w:line="136"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We generate revenue primarily through advertising and marketing services, subscriptions to our digital and print products, and digital services, primarily through our majority-owned subsidiary, BLOX Digital.</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STRATEGY</w:t>
      </w:r>
    </w:p>
    <w:p>
      <w:pPr>
        <w:spacing w:after="0" w:line="18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We are a major subscription and advertising platform, a trusted local news provider and innovative, digitally-focused marketing solutions company. Our focus is on the local market - including local news and information, local advertising and marketing services to top local accounts, and digital services to local content curators. To align with the core strength of our Company, our operating strategy is locally focused around three pillars:</w:t>
      </w:r>
    </w:p>
    <w:p>
      <w:pPr>
        <w:spacing w:after="0" w:line="136" w:lineRule="exact"/>
        <w:rPr>
          <w:sz w:val="20"/>
          <w:szCs w:val="20"/>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Grow digital audiences by transforming the way we present local news and information</w:t>
      </w:r>
    </w:p>
    <w:p>
      <w:pPr>
        <w:spacing w:after="0" w:line="198" w:lineRule="exact"/>
        <w:rPr>
          <w:rFonts w:ascii="Arial" w:cs="Arial" w:eastAsia="Arial" w:hAnsi="Arial"/>
          <w:sz w:val="18"/>
          <w:szCs w:val="18"/>
          <w:color w:val="auto"/>
        </w:rPr>
      </w:pPr>
    </w:p>
    <w:p>
      <w:pPr>
        <w:ind w:left="660" w:hanging="328"/>
        <w:spacing w:after="0" w:line="287" w:lineRule="auto"/>
        <w:tabs>
          <w:tab w:leader="none" w:pos="655" w:val="left"/>
        </w:tabs>
        <w:numPr>
          <w:ilvl w:val="0"/>
          <w:numId w:val="11"/>
        </w:numPr>
        <w:rPr>
          <w:rFonts w:ascii="Arial" w:cs="Arial" w:eastAsia="Arial" w:hAnsi="Arial"/>
          <w:sz w:val="18"/>
          <w:szCs w:val="18"/>
          <w:color w:val="auto"/>
        </w:rPr>
      </w:pPr>
      <w:r>
        <w:rPr>
          <w:rFonts w:ascii="Arial" w:cs="Arial" w:eastAsia="Arial" w:hAnsi="Arial"/>
          <w:sz w:val="18"/>
          <w:szCs w:val="18"/>
          <w:color w:val="auto"/>
        </w:rPr>
        <w:t>Expand our digital subscription base and revenue through audience growth and continued conversion of our massive digital audiences.</w:t>
      </w:r>
    </w:p>
    <w:p>
      <w:pPr>
        <w:spacing w:after="0" w:line="112" w:lineRule="exact"/>
        <w:rPr>
          <w:rFonts w:ascii="Arial" w:cs="Arial" w:eastAsia="Arial" w:hAnsi="Arial"/>
          <w:sz w:val="18"/>
          <w:szCs w:val="18"/>
          <w:color w:val="auto"/>
        </w:rPr>
      </w:pPr>
    </w:p>
    <w:p>
      <w:pPr>
        <w:ind w:left="660" w:hanging="328"/>
        <w:spacing w:after="0" w:line="287" w:lineRule="auto"/>
        <w:tabs>
          <w:tab w:leader="none" w:pos="655" w:val="left"/>
        </w:tabs>
        <w:numPr>
          <w:ilvl w:val="0"/>
          <w:numId w:val="11"/>
        </w:numPr>
        <w:rPr>
          <w:rFonts w:ascii="Arial" w:cs="Arial" w:eastAsia="Arial" w:hAnsi="Arial"/>
          <w:sz w:val="18"/>
          <w:szCs w:val="18"/>
          <w:color w:val="auto"/>
        </w:rPr>
      </w:pPr>
      <w:r>
        <w:rPr>
          <w:rFonts w:ascii="Arial" w:cs="Arial" w:eastAsia="Arial" w:hAnsi="Arial"/>
          <w:sz w:val="18"/>
          <w:szCs w:val="18"/>
          <w:color w:val="auto"/>
        </w:rPr>
        <w:t>Diversify and expand offerings for advertisers through our vast array of rapidly growing digital products, our large digitally adept sales force, and Amplified, our full-service digital agency.</w:t>
      </w: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Three Months Ended March 24, 2024</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Operating results are summarized below.</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5300" w:type="dxa"/>
            <w:vAlign w:val="bottom"/>
            <w:tcBorders>
              <w:top w:val="single" w:sz="8" w:color="auto"/>
            </w:tcBorders>
          </w:tcPr>
          <w:p>
            <w:pPr>
              <w:spacing w:after="0"/>
              <w:rPr>
                <w:sz w:val="17"/>
                <w:szCs w:val="17"/>
                <w:color w:val="auto"/>
              </w:rPr>
            </w:pPr>
          </w:p>
        </w:tc>
        <w:tc>
          <w:tcPr>
            <w:tcW w:w="2600" w:type="dxa"/>
            <w:vAlign w:val="bottom"/>
            <w:tcBorders>
              <w:top w:val="single" w:sz="8" w:color="auto"/>
            </w:tcBorders>
            <w:vMerge w:val="restart"/>
          </w:tcPr>
          <w:p>
            <w:pPr>
              <w:jc w:val="right"/>
              <w:ind w:right="130"/>
              <w:spacing w:after="0"/>
              <w:rPr>
                <w:sz w:val="20"/>
                <w:szCs w:val="20"/>
                <w:color w:val="auto"/>
              </w:rPr>
            </w:pPr>
            <w:r>
              <w:rPr>
                <w:rFonts w:ascii="Arial" w:cs="Arial" w:eastAsia="Arial" w:hAnsi="Arial"/>
                <w:sz w:val="18"/>
                <w:szCs w:val="18"/>
                <w:color w:val="auto"/>
              </w:rPr>
              <w:t>March 24, 2024</w:t>
            </w:r>
          </w:p>
        </w:tc>
        <w:tc>
          <w:tcPr>
            <w:tcW w:w="2020" w:type="dxa"/>
            <w:vAlign w:val="bottom"/>
            <w:tcBorders>
              <w:top w:val="single" w:sz="8" w:color="auto"/>
            </w:tcBorders>
            <w:vMerge w:val="restart"/>
          </w:tcPr>
          <w:p>
            <w:pPr>
              <w:jc w:val="right"/>
              <w:ind w:right="450"/>
              <w:spacing w:after="0"/>
              <w:rPr>
                <w:sz w:val="20"/>
                <w:szCs w:val="20"/>
                <w:color w:val="auto"/>
              </w:rPr>
            </w:pPr>
            <w:r>
              <w:rPr>
                <w:rFonts w:ascii="Arial" w:cs="Arial" w:eastAsia="Arial" w:hAnsi="Arial"/>
                <w:sz w:val="18"/>
                <w:szCs w:val="18"/>
                <w:color w:val="auto"/>
              </w:rPr>
              <w:t>March 26, 2023</w:t>
            </w:r>
          </w:p>
        </w:tc>
        <w:tc>
          <w:tcPr>
            <w:tcW w:w="1320" w:type="dxa"/>
            <w:vAlign w:val="bottom"/>
            <w:tcBorders>
              <w:top w:val="single" w:sz="8" w:color="auto"/>
            </w:tcBorders>
          </w:tcPr>
          <w:p>
            <w:pPr>
              <w:jc w:val="right"/>
              <w:spacing w:after="0" w:line="197" w:lineRule="exact"/>
              <w:rPr>
                <w:sz w:val="20"/>
                <w:szCs w:val="20"/>
                <w:color w:val="auto"/>
              </w:rPr>
            </w:pPr>
            <w:r>
              <w:rPr>
                <w:rFonts w:ascii="Arial" w:cs="Arial" w:eastAsia="Arial" w:hAnsi="Arial"/>
                <w:sz w:val="18"/>
                <w:szCs w:val="18"/>
                <w:color w:val="auto"/>
              </w:rPr>
              <w:t>Percent</w:t>
            </w:r>
          </w:p>
        </w:tc>
        <w:tc>
          <w:tcPr>
            <w:tcW w:w="0" w:type="dxa"/>
            <w:vAlign w:val="bottom"/>
          </w:tcPr>
          <w:p>
            <w:pPr>
              <w:spacing w:after="0"/>
              <w:rPr>
                <w:sz w:val="1"/>
                <w:szCs w:val="1"/>
                <w:color w:val="auto"/>
              </w:rPr>
            </w:pPr>
          </w:p>
        </w:tc>
      </w:tr>
      <w:tr>
        <w:trPr>
          <w:trHeight w:val="235"/>
        </w:trPr>
        <w:tc>
          <w:tcPr>
            <w:tcW w:w="5300" w:type="dxa"/>
            <w:vAlign w:val="bottom"/>
            <w:tcBorders>
              <w:bottom w:val="single" w:sz="8" w:color="auto"/>
            </w:tcBorders>
          </w:tcPr>
          <w:p>
            <w:pPr>
              <w:ind w:left="20"/>
              <w:spacing w:after="0"/>
              <w:rPr>
                <w:sz w:val="20"/>
                <w:szCs w:val="20"/>
                <w:color w:val="auto"/>
              </w:rPr>
            </w:pPr>
            <w:r>
              <w:rPr>
                <w:rFonts w:ascii="Arial" w:cs="Arial" w:eastAsia="Arial" w:hAnsi="Arial"/>
                <w:sz w:val="16"/>
                <w:szCs w:val="16"/>
                <w:i w:val="1"/>
                <w:iCs w:val="1"/>
                <w:color w:val="auto"/>
              </w:rPr>
              <w:t>(Thousands of Dollars, Except Per Common Share Data)</w:t>
            </w:r>
          </w:p>
        </w:tc>
        <w:tc>
          <w:tcPr>
            <w:tcW w:w="2600" w:type="dxa"/>
            <w:vAlign w:val="bottom"/>
            <w:tcBorders>
              <w:bottom w:val="single" w:sz="8" w:color="auto"/>
            </w:tcBorders>
            <w:vMerge w:val="continue"/>
          </w:tcPr>
          <w:p>
            <w:pPr>
              <w:spacing w:after="0"/>
              <w:rPr>
                <w:sz w:val="20"/>
                <w:szCs w:val="20"/>
                <w:color w:val="auto"/>
              </w:rPr>
            </w:pPr>
          </w:p>
        </w:tc>
        <w:tc>
          <w:tcPr>
            <w:tcW w:w="2020" w:type="dxa"/>
            <w:vAlign w:val="bottom"/>
            <w:tcBorders>
              <w:bottom w:val="single" w:sz="8" w:color="auto"/>
            </w:tcBorders>
            <w:vMerge w:val="continue"/>
          </w:tcPr>
          <w:p>
            <w:pPr>
              <w:spacing w:after="0"/>
              <w:rPr>
                <w:sz w:val="20"/>
                <w:szCs w:val="20"/>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Change</w:t>
            </w:r>
          </w:p>
        </w:tc>
        <w:tc>
          <w:tcPr>
            <w:tcW w:w="0" w:type="dxa"/>
            <w:vAlign w:val="bottom"/>
          </w:tcPr>
          <w:p>
            <w:pPr>
              <w:spacing w:after="0"/>
              <w:rPr>
                <w:sz w:val="1"/>
                <w:szCs w:val="1"/>
                <w:color w:val="auto"/>
              </w:rPr>
            </w:pPr>
          </w:p>
        </w:tc>
      </w:tr>
      <w:tr>
        <w:trPr>
          <w:trHeight w:val="250"/>
        </w:trPr>
        <w:tc>
          <w:tcPr>
            <w:tcW w:w="5300" w:type="dxa"/>
            <w:vAlign w:val="bottom"/>
          </w:tcPr>
          <w:p>
            <w:pPr>
              <w:spacing w:after="0"/>
              <w:rPr>
                <w:sz w:val="21"/>
                <w:szCs w:val="21"/>
                <w:color w:val="auto"/>
              </w:rPr>
            </w:pPr>
          </w:p>
        </w:tc>
        <w:tc>
          <w:tcPr>
            <w:tcW w:w="2600" w:type="dxa"/>
            <w:vAlign w:val="bottom"/>
          </w:tcPr>
          <w:p>
            <w:pPr>
              <w:spacing w:after="0"/>
              <w:rPr>
                <w:sz w:val="21"/>
                <w:szCs w:val="21"/>
                <w:color w:val="auto"/>
              </w:rPr>
            </w:pPr>
          </w:p>
        </w:tc>
        <w:tc>
          <w:tcPr>
            <w:tcW w:w="202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5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revenue:</w:t>
            </w:r>
          </w:p>
        </w:tc>
        <w:tc>
          <w:tcPr>
            <w:tcW w:w="2600" w:type="dxa"/>
            <w:vAlign w:val="bottom"/>
            <w:shd w:val="clear" w:color="auto" w:fill="CCEEFF"/>
          </w:tcPr>
          <w:p>
            <w:pPr>
              <w:spacing w:after="0"/>
              <w:rPr>
                <w:sz w:val="19"/>
                <w:szCs w:val="19"/>
                <w:color w:val="auto"/>
              </w:rPr>
            </w:pPr>
          </w:p>
        </w:tc>
        <w:tc>
          <w:tcPr>
            <w:tcW w:w="20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300" w:type="dxa"/>
            <w:vAlign w:val="bottom"/>
          </w:tcPr>
          <w:p>
            <w:pPr>
              <w:ind w:left="140"/>
              <w:spacing w:after="0"/>
              <w:rPr>
                <w:sz w:val="20"/>
                <w:szCs w:val="20"/>
                <w:color w:val="auto"/>
              </w:rPr>
            </w:pPr>
            <w:r>
              <w:rPr>
                <w:rFonts w:ascii="Arial" w:cs="Arial" w:eastAsia="Arial" w:hAnsi="Arial"/>
                <w:sz w:val="18"/>
                <w:szCs w:val="18"/>
                <w:color w:val="auto"/>
              </w:rPr>
              <w:t>Print advertising revenue</w:t>
            </w:r>
          </w:p>
        </w:tc>
        <w:tc>
          <w:tcPr>
            <w:tcW w:w="2600" w:type="dxa"/>
            <w:vAlign w:val="bottom"/>
          </w:tcPr>
          <w:p>
            <w:pPr>
              <w:jc w:val="right"/>
              <w:ind w:right="190"/>
              <w:spacing w:after="0"/>
              <w:rPr>
                <w:sz w:val="20"/>
                <w:szCs w:val="20"/>
                <w:color w:val="auto"/>
              </w:rPr>
            </w:pPr>
            <w:r>
              <w:rPr>
                <w:rFonts w:ascii="Arial" w:cs="Arial" w:eastAsia="Arial" w:hAnsi="Arial"/>
                <w:sz w:val="18"/>
                <w:szCs w:val="18"/>
                <w:color w:val="auto"/>
              </w:rPr>
              <w:t>18,742</w:t>
            </w:r>
          </w:p>
        </w:tc>
        <w:tc>
          <w:tcPr>
            <w:tcW w:w="2020" w:type="dxa"/>
            <w:vAlign w:val="bottom"/>
          </w:tcPr>
          <w:p>
            <w:pPr>
              <w:jc w:val="right"/>
              <w:ind w:right="510"/>
              <w:spacing w:after="0"/>
              <w:rPr>
                <w:sz w:val="20"/>
                <w:szCs w:val="20"/>
                <w:color w:val="auto"/>
              </w:rPr>
            </w:pPr>
            <w:r>
              <w:rPr>
                <w:rFonts w:ascii="Arial" w:cs="Arial" w:eastAsia="Arial" w:hAnsi="Arial"/>
                <w:sz w:val="18"/>
                <w:szCs w:val="18"/>
                <w:color w:val="auto"/>
              </w:rPr>
              <w:t>31,450</w:t>
            </w:r>
          </w:p>
        </w:tc>
        <w:tc>
          <w:tcPr>
            <w:tcW w:w="1320" w:type="dxa"/>
            <w:vAlign w:val="bottom"/>
          </w:tcPr>
          <w:p>
            <w:pPr>
              <w:jc w:val="right"/>
              <w:spacing w:after="0"/>
              <w:rPr>
                <w:sz w:val="20"/>
                <w:szCs w:val="20"/>
                <w:color w:val="auto"/>
              </w:rPr>
            </w:pPr>
            <w:r>
              <w:rPr>
                <w:rFonts w:ascii="Arial" w:cs="Arial" w:eastAsia="Arial" w:hAnsi="Arial"/>
                <w:sz w:val="18"/>
                <w:szCs w:val="18"/>
                <w:color w:val="auto"/>
              </w:rPr>
              <w:t>(40.4)%</w:t>
            </w:r>
          </w:p>
        </w:tc>
        <w:tc>
          <w:tcPr>
            <w:tcW w:w="0" w:type="dxa"/>
            <w:vAlign w:val="bottom"/>
          </w:tcPr>
          <w:p>
            <w:pPr>
              <w:spacing w:after="0"/>
              <w:rPr>
                <w:sz w:val="1"/>
                <w:szCs w:val="1"/>
                <w:color w:val="auto"/>
              </w:rPr>
            </w:pPr>
          </w:p>
        </w:tc>
      </w:tr>
      <w:tr>
        <w:trPr>
          <w:trHeight w:val="229"/>
        </w:trPr>
        <w:tc>
          <w:tcPr>
            <w:tcW w:w="530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Digital advertising revenue</w:t>
            </w:r>
          </w:p>
        </w:tc>
        <w:tc>
          <w:tcPr>
            <w:tcW w:w="26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rPr>
              <w:t>45,392</w:t>
            </w:r>
          </w:p>
        </w:tc>
        <w:tc>
          <w:tcPr>
            <w:tcW w:w="2020" w:type="dxa"/>
            <w:vAlign w:val="bottom"/>
            <w:tcBorders>
              <w:bottom w:val="single" w:sz="8" w:color="auto"/>
            </w:tcBorders>
            <w:shd w:val="clear" w:color="auto" w:fill="CCEEFF"/>
          </w:tcPr>
          <w:p>
            <w:pPr>
              <w:jc w:val="right"/>
              <w:ind w:right="510"/>
              <w:spacing w:after="0"/>
              <w:rPr>
                <w:sz w:val="20"/>
                <w:szCs w:val="20"/>
                <w:color w:val="auto"/>
              </w:rPr>
            </w:pPr>
            <w:r>
              <w:rPr>
                <w:rFonts w:ascii="Arial" w:cs="Arial" w:eastAsia="Arial" w:hAnsi="Arial"/>
                <w:sz w:val="18"/>
                <w:szCs w:val="18"/>
                <w:color w:val="auto"/>
              </w:rPr>
              <w:t>46,250</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23"/>
        </w:trPr>
        <w:tc>
          <w:tcPr>
            <w:tcW w:w="53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Advertising and marketing services revenue</w:t>
            </w:r>
          </w:p>
        </w:tc>
        <w:tc>
          <w:tcPr>
            <w:tcW w:w="26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64,134</w:t>
            </w:r>
          </w:p>
        </w:tc>
        <w:tc>
          <w:tcPr>
            <w:tcW w:w="202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rPr>
              <w:t>77,700</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(17.5)%</w:t>
            </w:r>
          </w:p>
        </w:tc>
        <w:tc>
          <w:tcPr>
            <w:tcW w:w="0" w:type="dxa"/>
            <w:vAlign w:val="bottom"/>
          </w:tcPr>
          <w:p>
            <w:pPr>
              <w:spacing w:after="0"/>
              <w:rPr>
                <w:sz w:val="1"/>
                <w:szCs w:val="1"/>
                <w:color w:val="auto"/>
              </w:rPr>
            </w:pPr>
          </w:p>
        </w:tc>
      </w:tr>
      <w:tr>
        <w:trPr>
          <w:trHeight w:val="223"/>
        </w:trPr>
        <w:tc>
          <w:tcPr>
            <w:tcW w:w="53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Print subscription revenue</w:t>
            </w:r>
          </w:p>
        </w:tc>
        <w:tc>
          <w:tcPr>
            <w:tcW w:w="26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48,966</w:t>
            </w:r>
          </w:p>
        </w:tc>
        <w:tc>
          <w:tcPr>
            <w:tcW w:w="2020" w:type="dxa"/>
            <w:vAlign w:val="bottom"/>
            <w:shd w:val="clear" w:color="auto" w:fill="CCEEFF"/>
          </w:tcPr>
          <w:p>
            <w:pPr>
              <w:jc w:val="right"/>
              <w:ind w:right="510"/>
              <w:spacing w:after="0"/>
              <w:rPr>
                <w:sz w:val="20"/>
                <w:szCs w:val="20"/>
                <w:color w:val="auto"/>
              </w:rPr>
            </w:pPr>
            <w:r>
              <w:rPr>
                <w:rFonts w:ascii="Arial" w:cs="Arial" w:eastAsia="Arial" w:hAnsi="Arial"/>
                <w:sz w:val="18"/>
                <w:szCs w:val="18"/>
                <w:color w:val="auto"/>
              </w:rPr>
              <w:t>64,586</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w:t>
            </w:r>
          </w:p>
        </w:tc>
        <w:tc>
          <w:tcPr>
            <w:tcW w:w="0" w:type="dxa"/>
            <w:vAlign w:val="bottom"/>
          </w:tcPr>
          <w:p>
            <w:pPr>
              <w:spacing w:after="0"/>
              <w:rPr>
                <w:sz w:val="1"/>
                <w:szCs w:val="1"/>
                <w:color w:val="auto"/>
              </w:rPr>
            </w:pPr>
          </w:p>
        </w:tc>
      </w:tr>
      <w:tr>
        <w:trPr>
          <w:trHeight w:val="229"/>
        </w:trPr>
        <w:tc>
          <w:tcPr>
            <w:tcW w:w="530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Digital subscription revenue</w:t>
            </w:r>
          </w:p>
        </w:tc>
        <w:tc>
          <w:tcPr>
            <w:tcW w:w="26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20,261</w:t>
            </w:r>
          </w:p>
        </w:tc>
        <w:tc>
          <w:tcPr>
            <w:tcW w:w="202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rPr>
              <w:t>13,996</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44.8 %</w:t>
            </w:r>
          </w:p>
        </w:tc>
        <w:tc>
          <w:tcPr>
            <w:tcW w:w="0" w:type="dxa"/>
            <w:vAlign w:val="bottom"/>
          </w:tcPr>
          <w:p>
            <w:pPr>
              <w:spacing w:after="0"/>
              <w:rPr>
                <w:sz w:val="1"/>
                <w:szCs w:val="1"/>
                <w:color w:val="auto"/>
              </w:rPr>
            </w:pPr>
          </w:p>
        </w:tc>
      </w:tr>
      <w:tr>
        <w:trPr>
          <w:trHeight w:val="223"/>
        </w:trPr>
        <w:tc>
          <w:tcPr>
            <w:tcW w:w="53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Subscription revenue</w:t>
            </w:r>
          </w:p>
        </w:tc>
        <w:tc>
          <w:tcPr>
            <w:tcW w:w="26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rPr>
              <w:t>69,227</w:t>
            </w:r>
          </w:p>
        </w:tc>
        <w:tc>
          <w:tcPr>
            <w:tcW w:w="2020" w:type="dxa"/>
            <w:vAlign w:val="bottom"/>
            <w:tcBorders>
              <w:bottom w:val="single" w:sz="8" w:color="auto"/>
            </w:tcBorders>
            <w:shd w:val="clear" w:color="auto" w:fill="CCEEFF"/>
          </w:tcPr>
          <w:p>
            <w:pPr>
              <w:jc w:val="right"/>
              <w:ind w:right="510"/>
              <w:spacing w:after="0"/>
              <w:rPr>
                <w:sz w:val="20"/>
                <w:szCs w:val="20"/>
                <w:color w:val="auto"/>
              </w:rPr>
            </w:pPr>
            <w:r>
              <w:rPr>
                <w:rFonts w:ascii="Arial" w:cs="Arial" w:eastAsia="Arial" w:hAnsi="Arial"/>
                <w:sz w:val="18"/>
                <w:szCs w:val="18"/>
                <w:color w:val="auto"/>
              </w:rPr>
              <w:t>78,582</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w:t>
            </w:r>
          </w:p>
        </w:tc>
        <w:tc>
          <w:tcPr>
            <w:tcW w:w="0" w:type="dxa"/>
            <w:vAlign w:val="bottom"/>
          </w:tcPr>
          <w:p>
            <w:pPr>
              <w:spacing w:after="0"/>
              <w:rPr>
                <w:sz w:val="1"/>
                <w:szCs w:val="1"/>
                <w:color w:val="auto"/>
              </w:rPr>
            </w:pPr>
          </w:p>
        </w:tc>
      </w:tr>
      <w:tr>
        <w:trPr>
          <w:trHeight w:val="223"/>
        </w:trPr>
        <w:tc>
          <w:tcPr>
            <w:tcW w:w="5300" w:type="dxa"/>
            <w:vAlign w:val="bottom"/>
          </w:tcPr>
          <w:p>
            <w:pPr>
              <w:ind w:left="140"/>
              <w:spacing w:after="0"/>
              <w:rPr>
                <w:sz w:val="20"/>
                <w:szCs w:val="20"/>
                <w:color w:val="auto"/>
              </w:rPr>
            </w:pPr>
            <w:r>
              <w:rPr>
                <w:rFonts w:ascii="Arial" w:cs="Arial" w:eastAsia="Arial" w:hAnsi="Arial"/>
                <w:sz w:val="18"/>
                <w:szCs w:val="18"/>
                <w:color w:val="auto"/>
              </w:rPr>
              <w:t>Print other revenue</w:t>
            </w:r>
          </w:p>
        </w:tc>
        <w:tc>
          <w:tcPr>
            <w:tcW w:w="2600" w:type="dxa"/>
            <w:vAlign w:val="bottom"/>
          </w:tcPr>
          <w:p>
            <w:pPr>
              <w:jc w:val="right"/>
              <w:ind w:right="190"/>
              <w:spacing w:after="0"/>
              <w:rPr>
                <w:sz w:val="20"/>
                <w:szCs w:val="20"/>
                <w:color w:val="auto"/>
              </w:rPr>
            </w:pPr>
            <w:r>
              <w:rPr>
                <w:rFonts w:ascii="Arial" w:cs="Arial" w:eastAsia="Arial" w:hAnsi="Arial"/>
                <w:sz w:val="18"/>
                <w:szCs w:val="18"/>
                <w:color w:val="auto"/>
              </w:rPr>
              <w:t>8,069</w:t>
            </w:r>
          </w:p>
        </w:tc>
        <w:tc>
          <w:tcPr>
            <w:tcW w:w="2020" w:type="dxa"/>
            <w:vAlign w:val="bottom"/>
          </w:tcPr>
          <w:p>
            <w:pPr>
              <w:jc w:val="right"/>
              <w:ind w:right="510"/>
              <w:spacing w:after="0"/>
              <w:rPr>
                <w:sz w:val="20"/>
                <w:szCs w:val="20"/>
                <w:color w:val="auto"/>
              </w:rPr>
            </w:pPr>
            <w:r>
              <w:rPr>
                <w:rFonts w:ascii="Arial" w:cs="Arial" w:eastAsia="Arial" w:hAnsi="Arial"/>
                <w:sz w:val="18"/>
                <w:szCs w:val="18"/>
                <w:color w:val="auto"/>
              </w:rPr>
              <w:t>9,649</w:t>
            </w:r>
          </w:p>
        </w:tc>
        <w:tc>
          <w:tcPr>
            <w:tcW w:w="1320" w:type="dxa"/>
            <w:vAlign w:val="bottom"/>
          </w:tcPr>
          <w:p>
            <w:pPr>
              <w:jc w:val="right"/>
              <w:spacing w:after="0"/>
              <w:rPr>
                <w:sz w:val="20"/>
                <w:szCs w:val="20"/>
                <w:color w:val="auto"/>
              </w:rPr>
            </w:pPr>
            <w:r>
              <w:rPr>
                <w:rFonts w:ascii="Arial" w:cs="Arial" w:eastAsia="Arial" w:hAnsi="Arial"/>
                <w:sz w:val="18"/>
                <w:szCs w:val="18"/>
                <w:color w:val="auto"/>
              </w:rPr>
              <w:t>(16.4)%</w:t>
            </w:r>
          </w:p>
        </w:tc>
        <w:tc>
          <w:tcPr>
            <w:tcW w:w="0" w:type="dxa"/>
            <w:vAlign w:val="bottom"/>
          </w:tcPr>
          <w:p>
            <w:pPr>
              <w:spacing w:after="0"/>
              <w:rPr>
                <w:sz w:val="1"/>
                <w:szCs w:val="1"/>
                <w:color w:val="auto"/>
              </w:rPr>
            </w:pPr>
          </w:p>
        </w:tc>
      </w:tr>
      <w:tr>
        <w:trPr>
          <w:trHeight w:val="229"/>
        </w:trPr>
        <w:tc>
          <w:tcPr>
            <w:tcW w:w="530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Digital other revenue</w:t>
            </w:r>
          </w:p>
        </w:tc>
        <w:tc>
          <w:tcPr>
            <w:tcW w:w="26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rPr>
              <w:t>5,120</w:t>
            </w:r>
          </w:p>
        </w:tc>
        <w:tc>
          <w:tcPr>
            <w:tcW w:w="2020" w:type="dxa"/>
            <w:vAlign w:val="bottom"/>
            <w:tcBorders>
              <w:bottom w:val="single" w:sz="8" w:color="auto"/>
            </w:tcBorders>
            <w:shd w:val="clear" w:color="auto" w:fill="CCEEFF"/>
          </w:tcPr>
          <w:p>
            <w:pPr>
              <w:jc w:val="right"/>
              <w:ind w:right="510"/>
              <w:spacing w:after="0"/>
              <w:rPr>
                <w:sz w:val="20"/>
                <w:szCs w:val="20"/>
                <w:color w:val="auto"/>
              </w:rPr>
            </w:pPr>
            <w:r>
              <w:rPr>
                <w:rFonts w:ascii="Arial" w:cs="Arial" w:eastAsia="Arial" w:hAnsi="Arial"/>
                <w:sz w:val="18"/>
                <w:szCs w:val="18"/>
                <w:color w:val="auto"/>
              </w:rPr>
              <w:t>4,756</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7.7 %</w:t>
            </w:r>
          </w:p>
        </w:tc>
        <w:tc>
          <w:tcPr>
            <w:tcW w:w="0" w:type="dxa"/>
            <w:vAlign w:val="bottom"/>
          </w:tcPr>
          <w:p>
            <w:pPr>
              <w:spacing w:after="0"/>
              <w:rPr>
                <w:sz w:val="1"/>
                <w:szCs w:val="1"/>
                <w:color w:val="auto"/>
              </w:rPr>
            </w:pPr>
          </w:p>
        </w:tc>
      </w:tr>
      <w:tr>
        <w:trPr>
          <w:trHeight w:val="223"/>
        </w:trPr>
        <w:tc>
          <w:tcPr>
            <w:tcW w:w="53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Other revenue</w:t>
            </w:r>
          </w:p>
        </w:tc>
        <w:tc>
          <w:tcPr>
            <w:tcW w:w="26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13,189</w:t>
            </w:r>
          </w:p>
        </w:tc>
        <w:tc>
          <w:tcPr>
            <w:tcW w:w="202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rPr>
              <w:t>14,405</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23"/>
        </w:trPr>
        <w:tc>
          <w:tcPr>
            <w:tcW w:w="53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Total operating revenue</w:t>
            </w:r>
          </w:p>
        </w:tc>
        <w:tc>
          <w:tcPr>
            <w:tcW w:w="26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rPr>
              <w:t>146,550</w:t>
            </w:r>
          </w:p>
        </w:tc>
        <w:tc>
          <w:tcPr>
            <w:tcW w:w="2020" w:type="dxa"/>
            <w:vAlign w:val="bottom"/>
            <w:tcBorders>
              <w:bottom w:val="single" w:sz="8" w:color="auto"/>
            </w:tcBorders>
            <w:shd w:val="clear" w:color="auto" w:fill="CCEEFF"/>
          </w:tcPr>
          <w:p>
            <w:pPr>
              <w:jc w:val="right"/>
              <w:ind w:right="510"/>
              <w:spacing w:after="0"/>
              <w:rPr>
                <w:sz w:val="20"/>
                <w:szCs w:val="20"/>
                <w:color w:val="auto"/>
              </w:rPr>
            </w:pPr>
            <w:r>
              <w:rPr>
                <w:rFonts w:ascii="Arial" w:cs="Arial" w:eastAsia="Arial" w:hAnsi="Arial"/>
                <w:sz w:val="18"/>
                <w:szCs w:val="18"/>
                <w:color w:val="auto"/>
              </w:rPr>
              <w:t>170,687</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w:t>
            </w:r>
          </w:p>
        </w:tc>
        <w:tc>
          <w:tcPr>
            <w:tcW w:w="0" w:type="dxa"/>
            <w:vAlign w:val="bottom"/>
          </w:tcPr>
          <w:p>
            <w:pPr>
              <w:spacing w:after="0"/>
              <w:rPr>
                <w:sz w:val="1"/>
                <w:szCs w:val="1"/>
                <w:color w:val="auto"/>
              </w:rPr>
            </w:pPr>
          </w:p>
        </w:tc>
      </w:tr>
      <w:tr>
        <w:trPr>
          <w:trHeight w:val="223"/>
        </w:trPr>
        <w:tc>
          <w:tcPr>
            <w:tcW w:w="530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260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Compensation</w:t>
            </w:r>
          </w:p>
        </w:tc>
        <w:tc>
          <w:tcPr>
            <w:tcW w:w="26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56,803</w:t>
            </w:r>
          </w:p>
        </w:tc>
        <w:tc>
          <w:tcPr>
            <w:tcW w:w="2020" w:type="dxa"/>
            <w:vAlign w:val="bottom"/>
            <w:shd w:val="clear" w:color="auto" w:fill="CCEEFF"/>
          </w:tcPr>
          <w:p>
            <w:pPr>
              <w:jc w:val="right"/>
              <w:ind w:right="510"/>
              <w:spacing w:after="0"/>
              <w:rPr>
                <w:sz w:val="20"/>
                <w:szCs w:val="20"/>
                <w:color w:val="auto"/>
              </w:rPr>
            </w:pPr>
            <w:r>
              <w:rPr>
                <w:rFonts w:ascii="Arial" w:cs="Arial" w:eastAsia="Arial" w:hAnsi="Arial"/>
                <w:sz w:val="18"/>
                <w:szCs w:val="18"/>
                <w:color w:val="auto"/>
              </w:rPr>
              <w:t>68,831</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w:t>
            </w:r>
          </w:p>
        </w:tc>
        <w:tc>
          <w:tcPr>
            <w:tcW w:w="0" w:type="dxa"/>
            <w:vAlign w:val="bottom"/>
          </w:tcPr>
          <w:p>
            <w:pPr>
              <w:spacing w:after="0"/>
              <w:rPr>
                <w:sz w:val="1"/>
                <w:szCs w:val="1"/>
                <w:color w:val="auto"/>
              </w:rPr>
            </w:pPr>
          </w:p>
        </w:tc>
      </w:tr>
      <w:tr>
        <w:trPr>
          <w:trHeight w:val="229"/>
        </w:trPr>
        <w:tc>
          <w:tcPr>
            <w:tcW w:w="5300" w:type="dxa"/>
            <w:vAlign w:val="bottom"/>
          </w:tcPr>
          <w:p>
            <w:pPr>
              <w:ind w:left="140"/>
              <w:spacing w:after="0"/>
              <w:rPr>
                <w:sz w:val="20"/>
                <w:szCs w:val="20"/>
                <w:color w:val="auto"/>
              </w:rPr>
            </w:pPr>
            <w:r>
              <w:rPr>
                <w:rFonts w:ascii="Arial" w:cs="Arial" w:eastAsia="Arial" w:hAnsi="Arial"/>
                <w:sz w:val="18"/>
                <w:szCs w:val="18"/>
                <w:color w:val="auto"/>
              </w:rPr>
              <w:t>Newsprint and ink</w:t>
            </w:r>
          </w:p>
        </w:tc>
        <w:tc>
          <w:tcPr>
            <w:tcW w:w="2600" w:type="dxa"/>
            <w:vAlign w:val="bottom"/>
          </w:tcPr>
          <w:p>
            <w:pPr>
              <w:jc w:val="right"/>
              <w:ind w:right="190"/>
              <w:spacing w:after="0"/>
              <w:rPr>
                <w:sz w:val="20"/>
                <w:szCs w:val="20"/>
                <w:color w:val="auto"/>
              </w:rPr>
            </w:pPr>
            <w:r>
              <w:rPr>
                <w:rFonts w:ascii="Arial" w:cs="Arial" w:eastAsia="Arial" w:hAnsi="Arial"/>
                <w:sz w:val="18"/>
                <w:szCs w:val="18"/>
                <w:color w:val="auto"/>
              </w:rPr>
              <w:t>4,162</w:t>
            </w:r>
          </w:p>
        </w:tc>
        <w:tc>
          <w:tcPr>
            <w:tcW w:w="2020" w:type="dxa"/>
            <w:vAlign w:val="bottom"/>
          </w:tcPr>
          <w:p>
            <w:pPr>
              <w:jc w:val="right"/>
              <w:ind w:right="510"/>
              <w:spacing w:after="0"/>
              <w:rPr>
                <w:sz w:val="20"/>
                <w:szCs w:val="20"/>
                <w:color w:val="auto"/>
              </w:rPr>
            </w:pPr>
            <w:r>
              <w:rPr>
                <w:rFonts w:ascii="Arial" w:cs="Arial" w:eastAsia="Arial" w:hAnsi="Arial"/>
                <w:sz w:val="18"/>
                <w:szCs w:val="18"/>
                <w:color w:val="auto"/>
              </w:rPr>
              <w:t>6,466</w:t>
            </w:r>
          </w:p>
        </w:tc>
        <w:tc>
          <w:tcPr>
            <w:tcW w:w="1320" w:type="dxa"/>
            <w:vAlign w:val="bottom"/>
          </w:tcPr>
          <w:p>
            <w:pPr>
              <w:jc w:val="right"/>
              <w:spacing w:after="0"/>
              <w:rPr>
                <w:sz w:val="20"/>
                <w:szCs w:val="20"/>
                <w:color w:val="auto"/>
              </w:rPr>
            </w:pPr>
            <w:r>
              <w:rPr>
                <w:rFonts w:ascii="Arial" w:cs="Arial" w:eastAsia="Arial" w:hAnsi="Arial"/>
                <w:sz w:val="18"/>
                <w:szCs w:val="18"/>
                <w:color w:val="auto"/>
              </w:rPr>
              <w:t>(35.6)%</w:t>
            </w:r>
          </w:p>
        </w:tc>
        <w:tc>
          <w:tcPr>
            <w:tcW w:w="0" w:type="dxa"/>
            <w:vAlign w:val="bottom"/>
          </w:tcPr>
          <w:p>
            <w:pPr>
              <w:spacing w:after="0"/>
              <w:rPr>
                <w:sz w:val="1"/>
                <w:szCs w:val="1"/>
                <w:color w:val="auto"/>
              </w:rPr>
            </w:pPr>
          </w:p>
        </w:tc>
      </w:tr>
      <w:tr>
        <w:trPr>
          <w:trHeight w:val="229"/>
        </w:trPr>
        <w:tc>
          <w:tcPr>
            <w:tcW w:w="53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operating expenses</w:t>
            </w:r>
          </w:p>
        </w:tc>
        <w:tc>
          <w:tcPr>
            <w:tcW w:w="26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72,294</w:t>
            </w:r>
          </w:p>
        </w:tc>
        <w:tc>
          <w:tcPr>
            <w:tcW w:w="2020" w:type="dxa"/>
            <w:vAlign w:val="bottom"/>
            <w:shd w:val="clear" w:color="auto" w:fill="CCEEFF"/>
          </w:tcPr>
          <w:p>
            <w:pPr>
              <w:jc w:val="right"/>
              <w:ind w:right="510"/>
              <w:spacing w:after="0"/>
              <w:rPr>
                <w:sz w:val="20"/>
                <w:szCs w:val="20"/>
                <w:color w:val="auto"/>
              </w:rPr>
            </w:pPr>
            <w:r>
              <w:rPr>
                <w:rFonts w:ascii="Arial" w:cs="Arial" w:eastAsia="Arial" w:hAnsi="Arial"/>
                <w:sz w:val="18"/>
                <w:szCs w:val="18"/>
                <w:color w:val="auto"/>
              </w:rPr>
              <w:t>82,569</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w:t>
            </w:r>
          </w:p>
        </w:tc>
        <w:tc>
          <w:tcPr>
            <w:tcW w:w="0" w:type="dxa"/>
            <w:vAlign w:val="bottom"/>
          </w:tcPr>
          <w:p>
            <w:pPr>
              <w:spacing w:after="0"/>
              <w:rPr>
                <w:sz w:val="1"/>
                <w:szCs w:val="1"/>
                <w:color w:val="auto"/>
              </w:rPr>
            </w:pPr>
          </w:p>
        </w:tc>
      </w:tr>
      <w:tr>
        <w:trPr>
          <w:trHeight w:val="230"/>
        </w:trPr>
        <w:tc>
          <w:tcPr>
            <w:tcW w:w="5300" w:type="dxa"/>
            <w:vAlign w:val="bottom"/>
          </w:tcPr>
          <w:p>
            <w:pPr>
              <w:ind w:left="140"/>
              <w:spacing w:after="0"/>
              <w:rPr>
                <w:sz w:val="20"/>
                <w:szCs w:val="20"/>
                <w:color w:val="auto"/>
              </w:rPr>
            </w:pPr>
            <w:r>
              <w:rPr>
                <w:rFonts w:ascii="Arial" w:cs="Arial" w:eastAsia="Arial" w:hAnsi="Arial"/>
                <w:sz w:val="18"/>
                <w:szCs w:val="18"/>
                <w:color w:val="auto"/>
              </w:rPr>
              <w:t>Depreciation and amortization</w:t>
            </w:r>
          </w:p>
        </w:tc>
        <w:tc>
          <w:tcPr>
            <w:tcW w:w="2600" w:type="dxa"/>
            <w:vAlign w:val="bottom"/>
          </w:tcPr>
          <w:p>
            <w:pPr>
              <w:jc w:val="right"/>
              <w:ind w:right="190"/>
              <w:spacing w:after="0"/>
              <w:rPr>
                <w:sz w:val="20"/>
                <w:szCs w:val="20"/>
                <w:color w:val="auto"/>
              </w:rPr>
            </w:pPr>
            <w:r>
              <w:rPr>
                <w:rFonts w:ascii="Arial" w:cs="Arial" w:eastAsia="Arial" w:hAnsi="Arial"/>
                <w:sz w:val="18"/>
                <w:szCs w:val="18"/>
                <w:color w:val="auto"/>
              </w:rPr>
              <w:t>7,293</w:t>
            </w:r>
          </w:p>
        </w:tc>
        <w:tc>
          <w:tcPr>
            <w:tcW w:w="2020" w:type="dxa"/>
            <w:vAlign w:val="bottom"/>
          </w:tcPr>
          <w:p>
            <w:pPr>
              <w:jc w:val="right"/>
              <w:ind w:right="510"/>
              <w:spacing w:after="0"/>
              <w:rPr>
                <w:sz w:val="20"/>
                <w:szCs w:val="20"/>
                <w:color w:val="auto"/>
              </w:rPr>
            </w:pPr>
            <w:r>
              <w:rPr>
                <w:rFonts w:ascii="Arial" w:cs="Arial" w:eastAsia="Arial" w:hAnsi="Arial"/>
                <w:sz w:val="18"/>
                <w:szCs w:val="18"/>
                <w:color w:val="auto"/>
              </w:rPr>
              <w:t>7,733</w:t>
            </w:r>
          </w:p>
        </w:tc>
        <w:tc>
          <w:tcPr>
            <w:tcW w:w="1320" w:type="dxa"/>
            <w:vAlign w:val="bottom"/>
          </w:tcPr>
          <w:p>
            <w:pPr>
              <w:jc w:val="right"/>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30"/>
        </w:trPr>
        <w:tc>
          <w:tcPr>
            <w:tcW w:w="53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Assets loss (gain) on sales, impairments and other</w:t>
            </w:r>
          </w:p>
        </w:tc>
        <w:tc>
          <w:tcPr>
            <w:tcW w:w="26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7,617</w:t>
            </w:r>
          </w:p>
        </w:tc>
        <w:tc>
          <w:tcPr>
            <w:tcW w:w="202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(792)</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30"/>
        </w:trPr>
        <w:tc>
          <w:tcPr>
            <w:tcW w:w="530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Restructuring costs and other</w:t>
            </w:r>
          </w:p>
        </w:tc>
        <w:tc>
          <w:tcPr>
            <w:tcW w:w="26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4,139</w:t>
            </w:r>
          </w:p>
        </w:tc>
        <w:tc>
          <w:tcPr>
            <w:tcW w:w="202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rPr>
              <w:t>3,694</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12.0 %</w:t>
            </w:r>
          </w:p>
        </w:tc>
        <w:tc>
          <w:tcPr>
            <w:tcW w:w="0" w:type="dxa"/>
            <w:vAlign w:val="bottom"/>
          </w:tcPr>
          <w:p>
            <w:pPr>
              <w:spacing w:after="0"/>
              <w:rPr>
                <w:sz w:val="1"/>
                <w:szCs w:val="1"/>
                <w:color w:val="auto"/>
              </w:rPr>
            </w:pPr>
          </w:p>
        </w:tc>
      </w:tr>
      <w:tr>
        <w:trPr>
          <w:trHeight w:val="223"/>
        </w:trPr>
        <w:tc>
          <w:tcPr>
            <w:tcW w:w="5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operating expenses</w:t>
            </w:r>
          </w:p>
        </w:tc>
        <w:tc>
          <w:tcPr>
            <w:tcW w:w="26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152,308</w:t>
            </w:r>
          </w:p>
        </w:tc>
        <w:tc>
          <w:tcPr>
            <w:tcW w:w="2020" w:type="dxa"/>
            <w:vAlign w:val="bottom"/>
            <w:shd w:val="clear" w:color="auto" w:fill="CCEEFF"/>
          </w:tcPr>
          <w:p>
            <w:pPr>
              <w:jc w:val="right"/>
              <w:ind w:right="510"/>
              <w:spacing w:after="0"/>
              <w:rPr>
                <w:sz w:val="20"/>
                <w:szCs w:val="20"/>
                <w:color w:val="auto"/>
              </w:rPr>
            </w:pPr>
            <w:r>
              <w:rPr>
                <w:rFonts w:ascii="Arial" w:cs="Arial" w:eastAsia="Arial" w:hAnsi="Arial"/>
                <w:sz w:val="18"/>
                <w:szCs w:val="18"/>
                <w:color w:val="auto"/>
              </w:rPr>
              <w:t>168,501</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230"/>
        </w:trPr>
        <w:tc>
          <w:tcPr>
            <w:tcW w:w="53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Equity in earnings of associated companies</w:t>
            </w:r>
          </w:p>
        </w:tc>
        <w:tc>
          <w:tcPr>
            <w:tcW w:w="26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1,206</w:t>
            </w:r>
          </w:p>
        </w:tc>
        <w:tc>
          <w:tcPr>
            <w:tcW w:w="202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rPr>
              <w:t>672</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79.5 %</w:t>
            </w:r>
          </w:p>
        </w:tc>
        <w:tc>
          <w:tcPr>
            <w:tcW w:w="0" w:type="dxa"/>
            <w:vAlign w:val="bottom"/>
          </w:tcPr>
          <w:p>
            <w:pPr>
              <w:spacing w:after="0"/>
              <w:rPr>
                <w:sz w:val="1"/>
                <w:szCs w:val="1"/>
                <w:color w:val="auto"/>
              </w:rPr>
            </w:pPr>
          </w:p>
        </w:tc>
      </w:tr>
      <w:tr>
        <w:trPr>
          <w:trHeight w:val="223"/>
        </w:trPr>
        <w:tc>
          <w:tcPr>
            <w:tcW w:w="53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Operating (loss) income</w:t>
            </w:r>
          </w:p>
        </w:tc>
        <w:tc>
          <w:tcPr>
            <w:tcW w:w="260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(4,552)</w:t>
            </w:r>
          </w:p>
        </w:tc>
        <w:tc>
          <w:tcPr>
            <w:tcW w:w="2020" w:type="dxa"/>
            <w:vAlign w:val="bottom"/>
            <w:tcBorders>
              <w:bottom w:val="single" w:sz="8" w:color="auto"/>
            </w:tcBorders>
            <w:shd w:val="clear" w:color="auto" w:fill="CCEEFF"/>
          </w:tcPr>
          <w:p>
            <w:pPr>
              <w:jc w:val="right"/>
              <w:ind w:right="510"/>
              <w:spacing w:after="0"/>
              <w:rPr>
                <w:sz w:val="20"/>
                <w:szCs w:val="20"/>
                <w:color w:val="auto"/>
              </w:rPr>
            </w:pPr>
            <w:r>
              <w:rPr>
                <w:rFonts w:ascii="Arial" w:cs="Arial" w:eastAsia="Arial" w:hAnsi="Arial"/>
                <w:sz w:val="18"/>
                <w:szCs w:val="18"/>
                <w:color w:val="auto"/>
              </w:rPr>
              <w:t>2,858</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(259.3)%</w:t>
            </w:r>
          </w:p>
        </w:tc>
        <w:tc>
          <w:tcPr>
            <w:tcW w:w="0" w:type="dxa"/>
            <w:vAlign w:val="bottom"/>
          </w:tcPr>
          <w:p>
            <w:pPr>
              <w:spacing w:after="0"/>
              <w:rPr>
                <w:sz w:val="1"/>
                <w:szCs w:val="1"/>
                <w:color w:val="auto"/>
              </w:rPr>
            </w:pPr>
          </w:p>
        </w:tc>
      </w:tr>
      <w:tr>
        <w:trPr>
          <w:trHeight w:val="223"/>
        </w:trPr>
        <w:tc>
          <w:tcPr>
            <w:tcW w:w="5300" w:type="dxa"/>
            <w:vAlign w:val="bottom"/>
          </w:tcPr>
          <w:p>
            <w:pPr>
              <w:ind w:left="20"/>
              <w:spacing w:after="0"/>
              <w:rPr>
                <w:sz w:val="20"/>
                <w:szCs w:val="20"/>
                <w:color w:val="auto"/>
              </w:rPr>
            </w:pPr>
            <w:r>
              <w:rPr>
                <w:rFonts w:ascii="Arial" w:cs="Arial" w:eastAsia="Arial" w:hAnsi="Arial"/>
                <w:sz w:val="18"/>
                <w:szCs w:val="18"/>
                <w:color w:val="auto"/>
              </w:rPr>
              <w:t>Non-operating income (expense):</w:t>
            </w:r>
          </w:p>
        </w:tc>
        <w:tc>
          <w:tcPr>
            <w:tcW w:w="260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Interest expense</w:t>
            </w:r>
          </w:p>
        </w:tc>
        <w:tc>
          <w:tcPr>
            <w:tcW w:w="26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(10,214)</w:t>
            </w:r>
          </w:p>
        </w:tc>
        <w:tc>
          <w:tcPr>
            <w:tcW w:w="202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(10,501)</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30"/>
        </w:trPr>
        <w:tc>
          <w:tcPr>
            <w:tcW w:w="5300" w:type="dxa"/>
            <w:vAlign w:val="bottom"/>
          </w:tcPr>
          <w:p>
            <w:pPr>
              <w:ind w:left="140"/>
              <w:spacing w:after="0"/>
              <w:rPr>
                <w:sz w:val="20"/>
                <w:szCs w:val="20"/>
                <w:color w:val="auto"/>
              </w:rPr>
            </w:pPr>
            <w:r>
              <w:rPr>
                <w:rFonts w:ascii="Arial" w:cs="Arial" w:eastAsia="Arial" w:hAnsi="Arial"/>
                <w:sz w:val="18"/>
                <w:szCs w:val="18"/>
                <w:color w:val="auto"/>
              </w:rPr>
              <w:t>Pension and OPEB related benefit and other, net</w:t>
            </w:r>
          </w:p>
        </w:tc>
        <w:tc>
          <w:tcPr>
            <w:tcW w:w="2600" w:type="dxa"/>
            <w:vAlign w:val="bottom"/>
          </w:tcPr>
          <w:p>
            <w:pPr>
              <w:jc w:val="right"/>
              <w:ind w:right="190"/>
              <w:spacing w:after="0"/>
              <w:rPr>
                <w:sz w:val="20"/>
                <w:szCs w:val="20"/>
                <w:color w:val="auto"/>
              </w:rPr>
            </w:pPr>
            <w:r>
              <w:rPr>
                <w:rFonts w:ascii="Arial" w:cs="Arial" w:eastAsia="Arial" w:hAnsi="Arial"/>
                <w:sz w:val="18"/>
                <w:szCs w:val="18"/>
                <w:color w:val="auto"/>
              </w:rPr>
              <w:t>293</w:t>
            </w:r>
          </w:p>
        </w:tc>
        <w:tc>
          <w:tcPr>
            <w:tcW w:w="2020" w:type="dxa"/>
            <w:vAlign w:val="bottom"/>
          </w:tcPr>
          <w:p>
            <w:pPr>
              <w:jc w:val="right"/>
              <w:ind w:right="510"/>
              <w:spacing w:after="0"/>
              <w:rPr>
                <w:sz w:val="20"/>
                <w:szCs w:val="20"/>
                <w:color w:val="auto"/>
              </w:rPr>
            </w:pPr>
            <w:r>
              <w:rPr>
                <w:rFonts w:ascii="Arial" w:cs="Arial" w:eastAsia="Arial" w:hAnsi="Arial"/>
                <w:sz w:val="18"/>
                <w:szCs w:val="18"/>
                <w:color w:val="auto"/>
              </w:rPr>
              <w:t>206</w:t>
            </w:r>
          </w:p>
        </w:tc>
        <w:tc>
          <w:tcPr>
            <w:tcW w:w="1320" w:type="dxa"/>
            <w:vAlign w:val="bottom"/>
          </w:tcPr>
          <w:p>
            <w:pPr>
              <w:jc w:val="right"/>
              <w:spacing w:after="0"/>
              <w:rPr>
                <w:sz w:val="20"/>
                <w:szCs w:val="20"/>
                <w:color w:val="auto"/>
              </w:rPr>
            </w:pPr>
            <w:r>
              <w:rPr>
                <w:rFonts w:ascii="Arial" w:cs="Arial" w:eastAsia="Arial" w:hAnsi="Arial"/>
                <w:sz w:val="18"/>
                <w:szCs w:val="18"/>
                <w:color w:val="auto"/>
              </w:rPr>
              <w:t>42.2 %</w:t>
            </w:r>
          </w:p>
        </w:tc>
        <w:tc>
          <w:tcPr>
            <w:tcW w:w="0" w:type="dxa"/>
            <w:vAlign w:val="bottom"/>
          </w:tcPr>
          <w:p>
            <w:pPr>
              <w:spacing w:after="0"/>
              <w:rPr>
                <w:sz w:val="1"/>
                <w:szCs w:val="1"/>
                <w:color w:val="auto"/>
              </w:rPr>
            </w:pPr>
          </w:p>
        </w:tc>
      </w:tr>
      <w:tr>
        <w:trPr>
          <w:trHeight w:val="230"/>
        </w:trPr>
        <w:tc>
          <w:tcPr>
            <w:tcW w:w="53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Total non-operating expense, net</w:t>
            </w:r>
          </w:p>
        </w:tc>
        <w:tc>
          <w:tcPr>
            <w:tcW w:w="260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(9,921)</w:t>
            </w:r>
          </w:p>
        </w:tc>
        <w:tc>
          <w:tcPr>
            <w:tcW w:w="2020" w:type="dxa"/>
            <w:vAlign w:val="bottom"/>
            <w:tcBorders>
              <w:bottom w:val="single" w:sz="8" w:color="auto"/>
            </w:tcBorders>
            <w:shd w:val="clear" w:color="auto" w:fill="CCEEFF"/>
          </w:tcPr>
          <w:p>
            <w:pPr>
              <w:jc w:val="right"/>
              <w:ind w:right="470"/>
              <w:spacing w:after="0"/>
              <w:rPr>
                <w:sz w:val="20"/>
                <w:szCs w:val="20"/>
                <w:color w:val="auto"/>
              </w:rPr>
            </w:pPr>
            <w:r>
              <w:rPr>
                <w:rFonts w:ascii="Arial" w:cs="Arial" w:eastAsia="Arial" w:hAnsi="Arial"/>
                <w:sz w:val="18"/>
                <w:szCs w:val="18"/>
                <w:color w:val="auto"/>
              </w:rPr>
              <w:t>(10,295)</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23"/>
        </w:trPr>
        <w:tc>
          <w:tcPr>
            <w:tcW w:w="5300" w:type="dxa"/>
            <w:vAlign w:val="bottom"/>
          </w:tcPr>
          <w:p>
            <w:pPr>
              <w:ind w:left="20"/>
              <w:spacing w:after="0"/>
              <w:rPr>
                <w:sz w:val="20"/>
                <w:szCs w:val="20"/>
                <w:color w:val="auto"/>
              </w:rPr>
            </w:pPr>
            <w:r>
              <w:rPr>
                <w:rFonts w:ascii="Arial" w:cs="Arial" w:eastAsia="Arial" w:hAnsi="Arial"/>
                <w:sz w:val="18"/>
                <w:szCs w:val="18"/>
                <w:color w:val="auto"/>
              </w:rPr>
              <w:t>Loss before income taxes</w:t>
            </w:r>
          </w:p>
        </w:tc>
        <w:tc>
          <w:tcPr>
            <w:tcW w:w="2600" w:type="dxa"/>
            <w:vAlign w:val="bottom"/>
          </w:tcPr>
          <w:p>
            <w:pPr>
              <w:jc w:val="right"/>
              <w:ind w:right="130"/>
              <w:spacing w:after="0"/>
              <w:rPr>
                <w:sz w:val="20"/>
                <w:szCs w:val="20"/>
                <w:color w:val="auto"/>
              </w:rPr>
            </w:pPr>
            <w:r>
              <w:rPr>
                <w:rFonts w:ascii="Arial" w:cs="Arial" w:eastAsia="Arial" w:hAnsi="Arial"/>
                <w:sz w:val="18"/>
                <w:szCs w:val="18"/>
                <w:color w:val="auto"/>
              </w:rPr>
              <w:t>(14,473)</w:t>
            </w:r>
          </w:p>
        </w:tc>
        <w:tc>
          <w:tcPr>
            <w:tcW w:w="2020" w:type="dxa"/>
            <w:vAlign w:val="bottom"/>
          </w:tcPr>
          <w:p>
            <w:pPr>
              <w:jc w:val="right"/>
              <w:ind w:right="470"/>
              <w:spacing w:after="0"/>
              <w:rPr>
                <w:sz w:val="20"/>
                <w:szCs w:val="20"/>
                <w:color w:val="auto"/>
              </w:rPr>
            </w:pPr>
            <w:r>
              <w:rPr>
                <w:rFonts w:ascii="Arial" w:cs="Arial" w:eastAsia="Arial" w:hAnsi="Arial"/>
                <w:sz w:val="18"/>
                <w:szCs w:val="18"/>
                <w:color w:val="auto"/>
              </w:rPr>
              <w:t>(7,437)</w:t>
            </w:r>
          </w:p>
        </w:tc>
        <w:tc>
          <w:tcPr>
            <w:tcW w:w="1320" w:type="dxa"/>
            <w:vAlign w:val="bottom"/>
          </w:tcPr>
          <w:p>
            <w:pPr>
              <w:jc w:val="right"/>
              <w:spacing w:after="0"/>
              <w:rPr>
                <w:sz w:val="20"/>
                <w:szCs w:val="20"/>
                <w:color w:val="auto"/>
              </w:rPr>
            </w:pPr>
            <w:r>
              <w:rPr>
                <w:rFonts w:ascii="Arial" w:cs="Arial" w:eastAsia="Arial" w:hAnsi="Arial"/>
                <w:sz w:val="18"/>
                <w:szCs w:val="18"/>
                <w:color w:val="auto"/>
              </w:rPr>
              <w:t>94.6 %</w:t>
            </w:r>
          </w:p>
        </w:tc>
        <w:tc>
          <w:tcPr>
            <w:tcW w:w="0" w:type="dxa"/>
            <w:vAlign w:val="bottom"/>
          </w:tcPr>
          <w:p>
            <w:pPr>
              <w:spacing w:after="0"/>
              <w:rPr>
                <w:sz w:val="1"/>
                <w:szCs w:val="1"/>
                <w:color w:val="auto"/>
              </w:rPr>
            </w:pPr>
          </w:p>
        </w:tc>
      </w:tr>
      <w:tr>
        <w:trPr>
          <w:trHeight w:val="229"/>
        </w:trPr>
        <w:tc>
          <w:tcPr>
            <w:tcW w:w="53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Income tax benefit</w:t>
            </w:r>
          </w:p>
        </w:tc>
        <w:tc>
          <w:tcPr>
            <w:tcW w:w="260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(2,837)</w:t>
            </w:r>
          </w:p>
        </w:tc>
        <w:tc>
          <w:tcPr>
            <w:tcW w:w="2020" w:type="dxa"/>
            <w:vAlign w:val="bottom"/>
            <w:tcBorders>
              <w:bottom w:val="single" w:sz="8" w:color="auto"/>
            </w:tcBorders>
            <w:shd w:val="clear" w:color="auto" w:fill="CCEEFF"/>
          </w:tcPr>
          <w:p>
            <w:pPr>
              <w:jc w:val="right"/>
              <w:ind w:right="470"/>
              <w:spacing w:after="0"/>
              <w:rPr>
                <w:sz w:val="20"/>
                <w:szCs w:val="20"/>
                <w:color w:val="auto"/>
              </w:rPr>
            </w:pPr>
            <w:r>
              <w:rPr>
                <w:rFonts w:ascii="Arial" w:cs="Arial" w:eastAsia="Arial" w:hAnsi="Arial"/>
                <w:sz w:val="18"/>
                <w:szCs w:val="18"/>
                <w:color w:val="auto"/>
              </w:rPr>
              <w:t>(2,071)</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37.0 %</w:t>
            </w:r>
          </w:p>
        </w:tc>
        <w:tc>
          <w:tcPr>
            <w:tcW w:w="0" w:type="dxa"/>
            <w:vAlign w:val="bottom"/>
          </w:tcPr>
          <w:p>
            <w:pPr>
              <w:spacing w:after="0"/>
              <w:rPr>
                <w:sz w:val="1"/>
                <w:szCs w:val="1"/>
                <w:color w:val="auto"/>
              </w:rPr>
            </w:pPr>
          </w:p>
        </w:tc>
      </w:tr>
      <w:tr>
        <w:trPr>
          <w:trHeight w:val="223"/>
        </w:trPr>
        <w:tc>
          <w:tcPr>
            <w:tcW w:w="53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Net loss</w:t>
            </w:r>
          </w:p>
        </w:tc>
        <w:tc>
          <w:tcPr>
            <w:tcW w:w="26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(11,636)</w:t>
            </w:r>
          </w:p>
        </w:tc>
        <w:tc>
          <w:tcPr>
            <w:tcW w:w="202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(5,366)</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116.8 %</w:t>
            </w:r>
          </w:p>
        </w:tc>
        <w:tc>
          <w:tcPr>
            <w:tcW w:w="0" w:type="dxa"/>
            <w:vAlign w:val="bottom"/>
          </w:tcPr>
          <w:p>
            <w:pPr>
              <w:spacing w:after="0"/>
              <w:rPr>
                <w:sz w:val="1"/>
                <w:szCs w:val="1"/>
                <w:color w:val="auto"/>
              </w:rPr>
            </w:pPr>
          </w:p>
        </w:tc>
      </w:tr>
      <w:tr>
        <w:trPr>
          <w:trHeight w:val="250"/>
        </w:trPr>
        <w:tc>
          <w:tcPr>
            <w:tcW w:w="5300" w:type="dxa"/>
            <w:vAlign w:val="bottom"/>
            <w:shd w:val="clear" w:color="auto" w:fill="CCEEFF"/>
          </w:tcPr>
          <w:p>
            <w:pPr>
              <w:spacing w:after="0"/>
              <w:rPr>
                <w:sz w:val="21"/>
                <w:szCs w:val="21"/>
                <w:color w:val="auto"/>
              </w:rPr>
            </w:pPr>
          </w:p>
        </w:tc>
        <w:tc>
          <w:tcPr>
            <w:tcW w:w="2600" w:type="dxa"/>
            <w:vAlign w:val="bottom"/>
            <w:shd w:val="clear" w:color="auto" w:fill="CCEEFF"/>
          </w:tcPr>
          <w:p>
            <w:pPr>
              <w:spacing w:after="0"/>
              <w:rPr>
                <w:sz w:val="21"/>
                <w:szCs w:val="21"/>
                <w:color w:val="auto"/>
              </w:rPr>
            </w:pPr>
          </w:p>
        </w:tc>
        <w:tc>
          <w:tcPr>
            <w:tcW w:w="2020" w:type="dxa"/>
            <w:vAlign w:val="bottom"/>
            <w:shd w:val="clear" w:color="auto" w:fill="CCEEFF"/>
          </w:tcPr>
          <w:p>
            <w:pPr>
              <w:spacing w:after="0"/>
              <w:rPr>
                <w:sz w:val="21"/>
                <w:szCs w:val="21"/>
                <w:color w:val="auto"/>
              </w:rPr>
            </w:pPr>
          </w:p>
        </w:tc>
        <w:tc>
          <w:tcPr>
            <w:tcW w:w="13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5300" w:type="dxa"/>
            <w:vAlign w:val="bottom"/>
          </w:tcPr>
          <w:p>
            <w:pPr>
              <w:ind w:left="20"/>
              <w:spacing w:after="0"/>
              <w:rPr>
                <w:sz w:val="20"/>
                <w:szCs w:val="20"/>
                <w:color w:val="auto"/>
              </w:rPr>
            </w:pPr>
            <w:r>
              <w:rPr>
                <w:rFonts w:ascii="Arial" w:cs="Arial" w:eastAsia="Arial" w:hAnsi="Arial"/>
                <w:sz w:val="18"/>
                <w:szCs w:val="18"/>
                <w:color w:val="auto"/>
              </w:rPr>
              <w:t>Loss per common share:</w:t>
            </w:r>
          </w:p>
        </w:tc>
        <w:tc>
          <w:tcPr>
            <w:tcW w:w="260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Basic</w:t>
            </w:r>
          </w:p>
        </w:tc>
        <w:tc>
          <w:tcPr>
            <w:tcW w:w="26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(2.06)</w:t>
            </w:r>
          </w:p>
        </w:tc>
        <w:tc>
          <w:tcPr>
            <w:tcW w:w="202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(1.01)</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104.0 %</w:t>
            </w:r>
          </w:p>
        </w:tc>
        <w:tc>
          <w:tcPr>
            <w:tcW w:w="0" w:type="dxa"/>
            <w:vAlign w:val="bottom"/>
          </w:tcPr>
          <w:p>
            <w:pPr>
              <w:spacing w:after="0"/>
              <w:rPr>
                <w:sz w:val="1"/>
                <w:szCs w:val="1"/>
                <w:color w:val="auto"/>
              </w:rPr>
            </w:pPr>
          </w:p>
        </w:tc>
      </w:tr>
      <w:tr>
        <w:trPr>
          <w:trHeight w:val="230"/>
        </w:trPr>
        <w:tc>
          <w:tcPr>
            <w:tcW w:w="530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Diluted</w:t>
            </w:r>
          </w:p>
        </w:tc>
        <w:tc>
          <w:tcPr>
            <w:tcW w:w="26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(2.06)</w:t>
            </w:r>
          </w:p>
        </w:tc>
        <w:tc>
          <w:tcPr>
            <w:tcW w:w="202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(1.01)</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104.0 %</w:t>
            </w:r>
          </w:p>
        </w:tc>
        <w:tc>
          <w:tcPr>
            <w:tcW w:w="0" w:type="dxa"/>
            <w:vAlign w:val="bottom"/>
          </w:tcPr>
          <w:p>
            <w:pPr>
              <w:spacing w:after="0"/>
              <w:rPr>
                <w:sz w:val="1"/>
                <w:szCs w:val="1"/>
                <w:color w:val="auto"/>
              </w:rPr>
            </w:pPr>
          </w:p>
        </w:tc>
      </w:tr>
    </w:tbl>
    <w:p>
      <w:pPr>
        <w:spacing w:after="0" w:line="251"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References to the “2024 Quarter” refer to the three months ended March 24, 2024. Similarly, references to the “2023 Quarter” refer to the three months ended March 26, 2023.</w:t>
      </w:r>
    </w:p>
    <w:p>
      <w:pPr>
        <w:spacing w:after="0" w:line="126"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Operating Revenue</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Total operating revenue was $146.6 million in the 2024 Quarter, down $24.1 million, or 14.1%, compared to the 2023 Quarter.</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Advertising and marketing services revenue totaled $64.1 million in the 2024 Quarter, down 17.5% compared to the 2023 Quarter. Print advertising revenues were $18.7 million in the 2024 Quarter, down 40.4% compared to the 2023 Quarter due to continued secular declines in demand for print advertising and a reduced product portfolio through sales and elimination of products that do not meet profitability standards. Digital advertising and marketing services totaled $45.4 million in the 2024 Quarter, down 1.9% compared to the 2023 Quarter. Digital advertising and marketing services represented 70.8% of the 2024 Quarter total advertising and marketing services revenue, compared to 59.5% in the same period last year.</w:t>
      </w:r>
    </w:p>
    <w:p>
      <w:pPr>
        <w:spacing w:after="0" w:line="15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Subscription revenue totaled $69.2 million in the 2024 Quarter, down 11.9% compared to the 2023 Quarter. Decline in full access volume, consistent with historical and industry trends were partially offset by selective increases on our full access subscriptions, growth in digital-only subscribers and price increases on digital subscriptions. Digital-only subscribers grew 25% since the 2023 Quarter and now total 745,000. Digital-only subscription revenue grew 44.8% compared to the 2023 Quarter.</w:t>
      </w:r>
    </w:p>
    <w:p>
      <w:pPr>
        <w:spacing w:after="0" w:line="136"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Other revenue, which primarily consists of commercial printing revenue and digital services from BLOX Digital, decreased $1.2 million, or 8.4%, in the 2024 Quarter compared to the 2023 Quarter. Digital services revenue totaled $5.1 million in the 2024 Quarter, a 7.7% increase compared to the 2023 Quarter. Commercial printing revenue totaled $4.1 million in the 2024 Quarter, a 13.7% decrease compared to the 2023 Quarter, primarily driven by reduction in print volumes from our partners.</w:t>
      </w:r>
    </w:p>
    <w:p>
      <w:pPr>
        <w:spacing w:after="0" w:line="136"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Total digital revenue including digital advertising revenue, digital subscription revenue and digital services revenue totaled $70.8 million in the 2024 Quarter, an increase of 8.9% over the 2023 Quarter, and represented 48.3% of our total operating revenue in the 2024 Quarter.</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color w:val="auto"/>
        </w:rPr>
        <w:t>Equity in earnings of TNI and MNI increased $0.5 million in the 2024 Quarter.</w:t>
      </w:r>
    </w:p>
    <w:p>
      <w:pPr>
        <w:spacing w:after="0" w:line="185" w:lineRule="exact"/>
        <w:rPr>
          <w:sz w:val="20"/>
          <w:szCs w:val="20"/>
          <w:color w:val="auto"/>
        </w:rPr>
      </w:pPr>
    </w:p>
    <w:p>
      <w:pPr>
        <w:ind w:left="4760"/>
        <w:spacing w:after="0"/>
        <w:rPr>
          <w:sz w:val="20"/>
          <w:szCs w:val="20"/>
          <w:color w:val="auto"/>
        </w:rPr>
      </w:pPr>
      <w:r>
        <w:rPr>
          <w:rFonts w:ascii="Arial" w:cs="Arial" w:eastAsia="Arial" w:hAnsi="Arial"/>
          <w:sz w:val="18"/>
          <w:szCs w:val="18"/>
          <w:b w:val="1"/>
          <w:bCs w:val="1"/>
          <w:color w:val="auto"/>
        </w:rPr>
        <w:t>Operating Expenses</w:t>
      </w:r>
    </w:p>
    <w:p>
      <w:pPr>
        <w:spacing w:after="0" w:line="18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Total operating expenses were $152.3 million in the 2024 Quarter, a 9.6% decrease compared to the 2023 Quarter. Cash Costs, a non-GAAP financial measure used to summarize certain operating expense (see reconciliation of Non-GAAP financial measures below), were down 15.6% in the 2024 Quarter.</w:t>
      </w:r>
    </w:p>
    <w:p>
      <w:pPr>
        <w:spacing w:after="0" w:line="144"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Compensation expense decreased $12.0 million in the 2024 Quarter, or 17.5%, compared to the 2023 Quarter from reductions in full time employees ("FTEs") due to continued business transformation efforts, partially offset by investments in digital talent.</w:t>
      </w:r>
    </w:p>
    <w:p>
      <w:pPr>
        <w:spacing w:after="0" w:line="112"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Newsprint and ink costs decreased $2.3 million in the 2024 Quarter, or 35.6%, compared to the 2023 Quarter. The decrease is attributable to declines in newsprint volumes.</w:t>
      </w:r>
    </w:p>
    <w:p>
      <w:pPr>
        <w:spacing w:after="0" w:line="11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Other operating expenses decreased $10.3 million in the 2024 Quarter, or 12.4%, compared to the 2023 Quarter. Other operating expenses include all operating costs not considered to be compensation, newsprint, depreciation and amortization, or restructuring costs and assets loss on sales, impairments, and other, net. The largest components are costs associated with printing and distribution of our printed products, digital cost of goods sold and facility expenses. The decrease is attributable to lower delivery and other print-related costs due to lower volumes of our print edition, partially increases in investments to fund our digital growth strategy partially offset by investments to fund our digital growth strategy.</w:t>
      </w:r>
    </w:p>
    <w:p>
      <w:pPr>
        <w:spacing w:after="0" w:line="15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Restructuring costs and other increased $0.4 million, or 12.0%, compared to the 2023 Quarter. The increase is primarily driven from closing down outsourced production facilities, ongoing business transformation efforts, and severance. Restructuring costs and other include severance costs, litigation expenses, restructuring expenses, and advisor expenses.</w:t>
      </w:r>
    </w:p>
    <w:p>
      <w:pPr>
        <w:spacing w:after="0" w:line="130"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Depreciation and amortization expense decreased $0.4 million, or 5.7%, in the 2024 Quarter. The decrease in both is attributable to assets becoming fully depreciated or amortized.</w:t>
      </w:r>
    </w:p>
    <w:p>
      <w:pPr>
        <w:spacing w:after="0" w:line="11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Assets loss (gain) on sales, impairments and other, was a net loss of $7.6 million in the 2024 Quarter compared to a net gain of $0.8 million in the 2023 Quarter. Assets loss (gain) on sales, impairments and other in the 2024 Quarter were primarily due to non-cash charges of $7.6 million that were recorded to reduce the carrying value of mastheads, which are non-amortized intangible assets.</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The factors noted above resulted in an operating loss of $4.6 million in the 2024 Quarter compared to operating income of $2.9 million in the 2023 Quarter.</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Non-operating Income and Expense</w:t>
      </w:r>
    </w:p>
    <w:p>
      <w:pPr>
        <w:spacing w:after="0" w:line="190"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Non-operating income and expense decreased by $0.4 million</w:t>
      </w:r>
      <w:r>
        <w:rPr>
          <w:rFonts w:ascii="Arial" w:cs="Arial" w:eastAsia="Arial" w:hAnsi="Arial"/>
          <w:sz w:val="21"/>
          <w:szCs w:val="21"/>
          <w:color w:val="auto"/>
        </w:rPr>
        <w:t>, or</w:t>
      </w:r>
      <w:r>
        <w:rPr>
          <w:rFonts w:ascii="Arial" w:cs="Arial" w:eastAsia="Arial" w:hAnsi="Arial"/>
          <w:sz w:val="18"/>
          <w:szCs w:val="18"/>
          <w:color w:val="auto"/>
        </w:rPr>
        <w:t xml:space="preserve"> 3.6%. The decrease is primarily driven by a decrease in Interest expense of $0.3 million, or 2.7%, to $10.2 million in the 2024 Quarter, compared to the same Quarter last year. The decrease was due to a lower outstanding balance on our Term Loan. Our weighted average cost of debt was 9% at the end of the 2024 Quarter and 2023 Quarter.</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Income Tax Benefit</w:t>
      </w:r>
    </w:p>
    <w:p>
      <w:pPr>
        <w:spacing w:after="0" w:line="185"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We recorded an income tax benefit of $2.8 million, or 19.6% of pretax loss in the 2024 Quarter. In the 2023 Quarter, we recognized an income tax benefit of $2.1 million, or 27.8% of pretax loss.</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Net loss and Loss Per Share</w:t>
      </w:r>
    </w:p>
    <w:p>
      <w:pPr>
        <w:spacing w:after="0" w:line="185"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Net loss was $11.6 million and diluted loss per share were $2.06 for the 2024 Quarter compared to net loss of $5.4 million and diluted losses per share of $1.01 for the 2023 Quarter. The change reflects the various items discussed above.</w:t>
      </w: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Six Months Ended March 24, 2024</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Operating results are summarized below.</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53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i w:val="1"/>
                <w:iCs w:val="1"/>
                <w:color w:val="auto"/>
              </w:rPr>
              <w:t>(Thousands of Dollars, Except Per Common Share Data)</w:t>
            </w:r>
          </w:p>
        </w:tc>
        <w:tc>
          <w:tcPr>
            <w:tcW w:w="260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rPr>
              <w:t>March 24, 2024</w:t>
            </w:r>
          </w:p>
        </w:tc>
        <w:tc>
          <w:tcPr>
            <w:tcW w:w="174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rPr>
              <w:t>March 26, 2023</w:t>
            </w:r>
          </w:p>
        </w:tc>
        <w:tc>
          <w:tcPr>
            <w:tcW w:w="1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Percent Change</w:t>
            </w:r>
          </w:p>
        </w:tc>
      </w:tr>
      <w:tr>
        <w:trPr>
          <w:trHeight w:val="250"/>
        </w:trPr>
        <w:tc>
          <w:tcPr>
            <w:tcW w:w="5300" w:type="dxa"/>
            <w:vAlign w:val="bottom"/>
          </w:tcPr>
          <w:p>
            <w:pPr>
              <w:spacing w:after="0"/>
              <w:rPr>
                <w:sz w:val="21"/>
                <w:szCs w:val="21"/>
                <w:color w:val="auto"/>
              </w:rPr>
            </w:pPr>
          </w:p>
        </w:tc>
        <w:tc>
          <w:tcPr>
            <w:tcW w:w="2600" w:type="dxa"/>
            <w:vAlign w:val="bottom"/>
          </w:tcPr>
          <w:p>
            <w:pPr>
              <w:spacing w:after="0"/>
              <w:rPr>
                <w:sz w:val="21"/>
                <w:szCs w:val="21"/>
                <w:color w:val="auto"/>
              </w:rPr>
            </w:pPr>
          </w:p>
        </w:tc>
        <w:tc>
          <w:tcPr>
            <w:tcW w:w="1740" w:type="dxa"/>
            <w:vAlign w:val="bottom"/>
          </w:tcPr>
          <w:p>
            <w:pPr>
              <w:spacing w:after="0"/>
              <w:rPr>
                <w:sz w:val="21"/>
                <w:szCs w:val="21"/>
                <w:color w:val="auto"/>
              </w:rPr>
            </w:pPr>
          </w:p>
        </w:tc>
        <w:tc>
          <w:tcPr>
            <w:tcW w:w="1600" w:type="dxa"/>
            <w:vAlign w:val="bottom"/>
          </w:tcPr>
          <w:p>
            <w:pPr>
              <w:spacing w:after="0"/>
              <w:rPr>
                <w:sz w:val="21"/>
                <w:szCs w:val="21"/>
                <w:color w:val="auto"/>
              </w:rPr>
            </w:pPr>
          </w:p>
        </w:tc>
      </w:tr>
      <w:tr>
        <w:trPr>
          <w:trHeight w:val="229"/>
        </w:trPr>
        <w:tc>
          <w:tcPr>
            <w:tcW w:w="5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revenue:</w:t>
            </w:r>
          </w:p>
        </w:tc>
        <w:tc>
          <w:tcPr>
            <w:tcW w:w="2600" w:type="dxa"/>
            <w:vAlign w:val="bottom"/>
            <w:shd w:val="clear" w:color="auto" w:fill="CCEEFF"/>
          </w:tcPr>
          <w:p>
            <w:pPr>
              <w:spacing w:after="0"/>
              <w:rPr>
                <w:sz w:val="19"/>
                <w:szCs w:val="19"/>
                <w:color w:val="auto"/>
              </w:rPr>
            </w:pPr>
          </w:p>
        </w:tc>
        <w:tc>
          <w:tcPr>
            <w:tcW w:w="174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r>
      <w:tr>
        <w:trPr>
          <w:trHeight w:val="230"/>
        </w:trPr>
        <w:tc>
          <w:tcPr>
            <w:tcW w:w="5300" w:type="dxa"/>
            <w:vAlign w:val="bottom"/>
          </w:tcPr>
          <w:p>
            <w:pPr>
              <w:ind w:left="140"/>
              <w:spacing w:after="0"/>
              <w:rPr>
                <w:sz w:val="20"/>
                <w:szCs w:val="20"/>
                <w:color w:val="auto"/>
              </w:rPr>
            </w:pPr>
            <w:r>
              <w:rPr>
                <w:rFonts w:ascii="Arial" w:cs="Arial" w:eastAsia="Arial" w:hAnsi="Arial"/>
                <w:sz w:val="18"/>
                <w:szCs w:val="18"/>
                <w:color w:val="auto"/>
              </w:rPr>
              <w:t>Print advertising revenue</w:t>
            </w:r>
          </w:p>
        </w:tc>
        <w:tc>
          <w:tcPr>
            <w:tcW w:w="2600" w:type="dxa"/>
            <w:vAlign w:val="bottom"/>
          </w:tcPr>
          <w:p>
            <w:pPr>
              <w:jc w:val="right"/>
              <w:ind w:right="190"/>
              <w:spacing w:after="0"/>
              <w:rPr>
                <w:sz w:val="20"/>
                <w:szCs w:val="20"/>
                <w:color w:val="auto"/>
              </w:rPr>
            </w:pPr>
            <w:r>
              <w:rPr>
                <w:rFonts w:ascii="Arial" w:cs="Arial" w:eastAsia="Arial" w:hAnsi="Arial"/>
                <w:sz w:val="18"/>
                <w:szCs w:val="18"/>
                <w:color w:val="auto"/>
              </w:rPr>
              <w:t>43,177</w:t>
            </w:r>
          </w:p>
        </w:tc>
        <w:tc>
          <w:tcPr>
            <w:tcW w:w="1740" w:type="dxa"/>
            <w:vAlign w:val="bottom"/>
          </w:tcPr>
          <w:p>
            <w:pPr>
              <w:jc w:val="right"/>
              <w:ind w:right="230"/>
              <w:spacing w:after="0"/>
              <w:rPr>
                <w:sz w:val="20"/>
                <w:szCs w:val="20"/>
                <w:color w:val="auto"/>
              </w:rPr>
            </w:pPr>
            <w:r>
              <w:rPr>
                <w:rFonts w:ascii="Arial" w:cs="Arial" w:eastAsia="Arial" w:hAnsi="Arial"/>
                <w:sz w:val="18"/>
                <w:szCs w:val="18"/>
                <w:color w:val="auto"/>
              </w:rPr>
              <w:t>73,286</w:t>
            </w:r>
          </w:p>
        </w:tc>
        <w:tc>
          <w:tcPr>
            <w:tcW w:w="1600" w:type="dxa"/>
            <w:vAlign w:val="bottom"/>
          </w:tcPr>
          <w:p>
            <w:pPr>
              <w:jc w:val="right"/>
              <w:spacing w:after="0"/>
              <w:rPr>
                <w:sz w:val="20"/>
                <w:szCs w:val="20"/>
                <w:color w:val="auto"/>
              </w:rPr>
            </w:pPr>
            <w:r>
              <w:rPr>
                <w:rFonts w:ascii="Arial" w:cs="Arial" w:eastAsia="Arial" w:hAnsi="Arial"/>
                <w:sz w:val="18"/>
                <w:szCs w:val="18"/>
                <w:color w:val="auto"/>
              </w:rPr>
              <w:t>(41.1)%</w:t>
            </w:r>
          </w:p>
        </w:tc>
      </w:tr>
      <w:tr>
        <w:trPr>
          <w:trHeight w:val="229"/>
        </w:trPr>
        <w:tc>
          <w:tcPr>
            <w:tcW w:w="530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Digital advertising revenue</w:t>
            </w:r>
          </w:p>
        </w:tc>
        <w:tc>
          <w:tcPr>
            <w:tcW w:w="26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rPr>
              <w:t>91,844</w:t>
            </w:r>
          </w:p>
        </w:tc>
        <w:tc>
          <w:tcPr>
            <w:tcW w:w="174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rPr>
              <w:t>93,999</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w:t>
            </w:r>
          </w:p>
        </w:tc>
      </w:tr>
      <w:tr>
        <w:trPr>
          <w:trHeight w:val="223"/>
        </w:trPr>
        <w:tc>
          <w:tcPr>
            <w:tcW w:w="53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Advertising and marketing services revenue</w:t>
            </w:r>
          </w:p>
        </w:tc>
        <w:tc>
          <w:tcPr>
            <w:tcW w:w="26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135,021</w:t>
            </w:r>
          </w:p>
        </w:tc>
        <w:tc>
          <w:tcPr>
            <w:tcW w:w="17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167,285</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(19.3)%</w:t>
            </w:r>
          </w:p>
        </w:tc>
      </w:tr>
      <w:tr>
        <w:trPr>
          <w:trHeight w:val="223"/>
        </w:trPr>
        <w:tc>
          <w:tcPr>
            <w:tcW w:w="53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Print subscription revenue</w:t>
            </w:r>
          </w:p>
        </w:tc>
        <w:tc>
          <w:tcPr>
            <w:tcW w:w="26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100,838</w:t>
            </w:r>
          </w:p>
        </w:tc>
        <w:tc>
          <w:tcPr>
            <w:tcW w:w="17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131,956</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w:t>
            </w:r>
          </w:p>
        </w:tc>
      </w:tr>
      <w:tr>
        <w:trPr>
          <w:trHeight w:val="230"/>
        </w:trPr>
        <w:tc>
          <w:tcPr>
            <w:tcW w:w="530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Digital subscription revenue</w:t>
            </w:r>
          </w:p>
        </w:tc>
        <w:tc>
          <w:tcPr>
            <w:tcW w:w="26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39,728</w:t>
            </w:r>
          </w:p>
        </w:tc>
        <w:tc>
          <w:tcPr>
            <w:tcW w:w="17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26,325</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50.9 %</w:t>
            </w:r>
          </w:p>
        </w:tc>
      </w:tr>
      <w:tr>
        <w:trPr>
          <w:trHeight w:val="223"/>
        </w:trPr>
        <w:tc>
          <w:tcPr>
            <w:tcW w:w="53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Subscription revenue</w:t>
            </w:r>
          </w:p>
        </w:tc>
        <w:tc>
          <w:tcPr>
            <w:tcW w:w="26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rPr>
              <w:t>140,566</w:t>
            </w:r>
          </w:p>
        </w:tc>
        <w:tc>
          <w:tcPr>
            <w:tcW w:w="174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rPr>
              <w:t>158,281</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w:t>
            </w:r>
          </w:p>
        </w:tc>
      </w:tr>
      <w:tr>
        <w:trPr>
          <w:trHeight w:val="223"/>
        </w:trPr>
        <w:tc>
          <w:tcPr>
            <w:tcW w:w="5300" w:type="dxa"/>
            <w:vAlign w:val="bottom"/>
          </w:tcPr>
          <w:p>
            <w:pPr>
              <w:ind w:left="140"/>
              <w:spacing w:after="0"/>
              <w:rPr>
                <w:sz w:val="20"/>
                <w:szCs w:val="20"/>
                <w:color w:val="auto"/>
              </w:rPr>
            </w:pPr>
            <w:r>
              <w:rPr>
                <w:rFonts w:ascii="Arial" w:cs="Arial" w:eastAsia="Arial" w:hAnsi="Arial"/>
                <w:sz w:val="18"/>
                <w:szCs w:val="18"/>
                <w:color w:val="auto"/>
              </w:rPr>
              <w:t>Print other revenue</w:t>
            </w:r>
          </w:p>
        </w:tc>
        <w:tc>
          <w:tcPr>
            <w:tcW w:w="2600" w:type="dxa"/>
            <w:vAlign w:val="bottom"/>
          </w:tcPr>
          <w:p>
            <w:pPr>
              <w:jc w:val="right"/>
              <w:ind w:right="190"/>
              <w:spacing w:after="0"/>
              <w:rPr>
                <w:sz w:val="20"/>
                <w:szCs w:val="20"/>
                <w:color w:val="auto"/>
              </w:rPr>
            </w:pPr>
            <w:r>
              <w:rPr>
                <w:rFonts w:ascii="Arial" w:cs="Arial" w:eastAsia="Arial" w:hAnsi="Arial"/>
                <w:sz w:val="18"/>
                <w:szCs w:val="18"/>
                <w:color w:val="auto"/>
              </w:rPr>
              <w:t>16,561</w:t>
            </w:r>
          </w:p>
        </w:tc>
        <w:tc>
          <w:tcPr>
            <w:tcW w:w="1740" w:type="dxa"/>
            <w:vAlign w:val="bottom"/>
          </w:tcPr>
          <w:p>
            <w:pPr>
              <w:jc w:val="right"/>
              <w:ind w:right="230"/>
              <w:spacing w:after="0"/>
              <w:rPr>
                <w:sz w:val="20"/>
                <w:szCs w:val="20"/>
                <w:color w:val="auto"/>
              </w:rPr>
            </w:pPr>
            <w:r>
              <w:rPr>
                <w:rFonts w:ascii="Arial" w:cs="Arial" w:eastAsia="Arial" w:hAnsi="Arial"/>
                <w:sz w:val="18"/>
                <w:szCs w:val="18"/>
                <w:color w:val="auto"/>
              </w:rPr>
              <w:t>20,769</w:t>
            </w:r>
          </w:p>
        </w:tc>
        <w:tc>
          <w:tcPr>
            <w:tcW w:w="1600" w:type="dxa"/>
            <w:vAlign w:val="bottom"/>
          </w:tcPr>
          <w:p>
            <w:pPr>
              <w:jc w:val="right"/>
              <w:spacing w:after="0"/>
              <w:rPr>
                <w:sz w:val="20"/>
                <w:szCs w:val="20"/>
                <w:color w:val="auto"/>
              </w:rPr>
            </w:pPr>
            <w:r>
              <w:rPr>
                <w:rFonts w:ascii="Arial" w:cs="Arial" w:eastAsia="Arial" w:hAnsi="Arial"/>
                <w:sz w:val="18"/>
                <w:szCs w:val="18"/>
                <w:color w:val="auto"/>
              </w:rPr>
              <w:t>(20.3)%</w:t>
            </w:r>
          </w:p>
        </w:tc>
      </w:tr>
      <w:tr>
        <w:trPr>
          <w:trHeight w:val="229"/>
        </w:trPr>
        <w:tc>
          <w:tcPr>
            <w:tcW w:w="530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Digital other revenue</w:t>
            </w:r>
          </w:p>
        </w:tc>
        <w:tc>
          <w:tcPr>
            <w:tcW w:w="26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rPr>
              <w:t>10,080</w:t>
            </w:r>
          </w:p>
        </w:tc>
        <w:tc>
          <w:tcPr>
            <w:tcW w:w="174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rPr>
              <w:t>9,483</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6.3 %</w:t>
            </w:r>
          </w:p>
        </w:tc>
      </w:tr>
      <w:tr>
        <w:trPr>
          <w:trHeight w:val="223"/>
        </w:trPr>
        <w:tc>
          <w:tcPr>
            <w:tcW w:w="53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Other revenue</w:t>
            </w:r>
          </w:p>
        </w:tc>
        <w:tc>
          <w:tcPr>
            <w:tcW w:w="26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26,641</w:t>
            </w:r>
          </w:p>
        </w:tc>
        <w:tc>
          <w:tcPr>
            <w:tcW w:w="17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30,252</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w:t>
            </w:r>
          </w:p>
        </w:tc>
      </w:tr>
      <w:tr>
        <w:trPr>
          <w:trHeight w:val="223"/>
        </w:trPr>
        <w:tc>
          <w:tcPr>
            <w:tcW w:w="53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Total operating revenue</w:t>
            </w:r>
          </w:p>
        </w:tc>
        <w:tc>
          <w:tcPr>
            <w:tcW w:w="26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rPr>
              <w:t>302,228</w:t>
            </w:r>
          </w:p>
        </w:tc>
        <w:tc>
          <w:tcPr>
            <w:tcW w:w="174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rPr>
              <w:t>355,818</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w:t>
            </w:r>
          </w:p>
        </w:tc>
      </w:tr>
      <w:tr>
        <w:trPr>
          <w:trHeight w:val="223"/>
        </w:trPr>
        <w:tc>
          <w:tcPr>
            <w:tcW w:w="530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260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1600" w:type="dxa"/>
            <w:vAlign w:val="bottom"/>
          </w:tcPr>
          <w:p>
            <w:pPr>
              <w:spacing w:after="0"/>
              <w:rPr>
                <w:sz w:val="19"/>
                <w:szCs w:val="19"/>
                <w:color w:val="auto"/>
              </w:rPr>
            </w:pPr>
          </w:p>
        </w:tc>
      </w:tr>
      <w:tr>
        <w:trPr>
          <w:trHeight w:val="229"/>
        </w:trPr>
        <w:tc>
          <w:tcPr>
            <w:tcW w:w="53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Compensation</w:t>
            </w:r>
          </w:p>
        </w:tc>
        <w:tc>
          <w:tcPr>
            <w:tcW w:w="26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116,479</w:t>
            </w:r>
          </w:p>
        </w:tc>
        <w:tc>
          <w:tcPr>
            <w:tcW w:w="17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144,277</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w:t>
            </w:r>
          </w:p>
        </w:tc>
      </w:tr>
      <w:tr>
        <w:trPr>
          <w:trHeight w:val="230"/>
        </w:trPr>
        <w:tc>
          <w:tcPr>
            <w:tcW w:w="5300" w:type="dxa"/>
            <w:vAlign w:val="bottom"/>
          </w:tcPr>
          <w:p>
            <w:pPr>
              <w:ind w:left="140"/>
              <w:spacing w:after="0"/>
              <w:rPr>
                <w:sz w:val="20"/>
                <w:szCs w:val="20"/>
                <w:color w:val="auto"/>
              </w:rPr>
            </w:pPr>
            <w:r>
              <w:rPr>
                <w:rFonts w:ascii="Arial" w:cs="Arial" w:eastAsia="Arial" w:hAnsi="Arial"/>
                <w:sz w:val="18"/>
                <w:szCs w:val="18"/>
                <w:color w:val="auto"/>
              </w:rPr>
              <w:t>Newsprint and ink</w:t>
            </w:r>
          </w:p>
        </w:tc>
        <w:tc>
          <w:tcPr>
            <w:tcW w:w="2600" w:type="dxa"/>
            <w:vAlign w:val="bottom"/>
          </w:tcPr>
          <w:p>
            <w:pPr>
              <w:jc w:val="right"/>
              <w:ind w:right="190"/>
              <w:spacing w:after="0"/>
              <w:rPr>
                <w:sz w:val="20"/>
                <w:szCs w:val="20"/>
                <w:color w:val="auto"/>
              </w:rPr>
            </w:pPr>
            <w:r>
              <w:rPr>
                <w:rFonts w:ascii="Arial" w:cs="Arial" w:eastAsia="Arial" w:hAnsi="Arial"/>
                <w:sz w:val="18"/>
                <w:szCs w:val="18"/>
                <w:color w:val="auto"/>
              </w:rPr>
              <w:t>9,005</w:t>
            </w:r>
          </w:p>
        </w:tc>
        <w:tc>
          <w:tcPr>
            <w:tcW w:w="1740" w:type="dxa"/>
            <w:vAlign w:val="bottom"/>
          </w:tcPr>
          <w:p>
            <w:pPr>
              <w:jc w:val="right"/>
              <w:ind w:right="230"/>
              <w:spacing w:after="0"/>
              <w:rPr>
                <w:sz w:val="20"/>
                <w:szCs w:val="20"/>
                <w:color w:val="auto"/>
              </w:rPr>
            </w:pPr>
            <w:r>
              <w:rPr>
                <w:rFonts w:ascii="Arial" w:cs="Arial" w:eastAsia="Arial" w:hAnsi="Arial"/>
                <w:sz w:val="18"/>
                <w:szCs w:val="18"/>
                <w:color w:val="auto"/>
              </w:rPr>
              <w:t>13,898</w:t>
            </w:r>
          </w:p>
        </w:tc>
        <w:tc>
          <w:tcPr>
            <w:tcW w:w="1600" w:type="dxa"/>
            <w:vAlign w:val="bottom"/>
          </w:tcPr>
          <w:p>
            <w:pPr>
              <w:jc w:val="right"/>
              <w:spacing w:after="0"/>
              <w:rPr>
                <w:sz w:val="20"/>
                <w:szCs w:val="20"/>
                <w:color w:val="auto"/>
              </w:rPr>
            </w:pPr>
            <w:r>
              <w:rPr>
                <w:rFonts w:ascii="Arial" w:cs="Arial" w:eastAsia="Arial" w:hAnsi="Arial"/>
                <w:sz w:val="18"/>
                <w:szCs w:val="18"/>
                <w:color w:val="auto"/>
              </w:rPr>
              <w:t>(35.2)%</w:t>
            </w:r>
          </w:p>
        </w:tc>
      </w:tr>
      <w:tr>
        <w:trPr>
          <w:trHeight w:val="229"/>
        </w:trPr>
        <w:tc>
          <w:tcPr>
            <w:tcW w:w="53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operating expenses</w:t>
            </w:r>
          </w:p>
        </w:tc>
        <w:tc>
          <w:tcPr>
            <w:tcW w:w="26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147,070</w:t>
            </w:r>
          </w:p>
        </w:tc>
        <w:tc>
          <w:tcPr>
            <w:tcW w:w="17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169,343</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w:t>
            </w:r>
          </w:p>
        </w:tc>
      </w:tr>
      <w:tr>
        <w:trPr>
          <w:trHeight w:val="229"/>
        </w:trPr>
        <w:tc>
          <w:tcPr>
            <w:tcW w:w="5300" w:type="dxa"/>
            <w:vAlign w:val="bottom"/>
          </w:tcPr>
          <w:p>
            <w:pPr>
              <w:ind w:left="140"/>
              <w:spacing w:after="0"/>
              <w:rPr>
                <w:sz w:val="20"/>
                <w:szCs w:val="20"/>
                <w:color w:val="auto"/>
              </w:rPr>
            </w:pPr>
            <w:r>
              <w:rPr>
                <w:rFonts w:ascii="Arial" w:cs="Arial" w:eastAsia="Arial" w:hAnsi="Arial"/>
                <w:sz w:val="18"/>
                <w:szCs w:val="18"/>
                <w:color w:val="auto"/>
              </w:rPr>
              <w:t>Depreciation and amortization</w:t>
            </w:r>
          </w:p>
        </w:tc>
        <w:tc>
          <w:tcPr>
            <w:tcW w:w="2600" w:type="dxa"/>
            <w:vAlign w:val="bottom"/>
          </w:tcPr>
          <w:p>
            <w:pPr>
              <w:jc w:val="right"/>
              <w:ind w:right="190"/>
              <w:spacing w:after="0"/>
              <w:rPr>
                <w:sz w:val="20"/>
                <w:szCs w:val="20"/>
                <w:color w:val="auto"/>
              </w:rPr>
            </w:pPr>
            <w:r>
              <w:rPr>
                <w:rFonts w:ascii="Arial" w:cs="Arial" w:eastAsia="Arial" w:hAnsi="Arial"/>
                <w:sz w:val="18"/>
                <w:szCs w:val="18"/>
                <w:color w:val="auto"/>
              </w:rPr>
              <w:t>14,588</w:t>
            </w:r>
          </w:p>
        </w:tc>
        <w:tc>
          <w:tcPr>
            <w:tcW w:w="1740" w:type="dxa"/>
            <w:vAlign w:val="bottom"/>
          </w:tcPr>
          <w:p>
            <w:pPr>
              <w:jc w:val="right"/>
              <w:ind w:right="230"/>
              <w:spacing w:after="0"/>
              <w:rPr>
                <w:sz w:val="20"/>
                <w:szCs w:val="20"/>
                <w:color w:val="auto"/>
              </w:rPr>
            </w:pPr>
            <w:r>
              <w:rPr>
                <w:rFonts w:ascii="Arial" w:cs="Arial" w:eastAsia="Arial" w:hAnsi="Arial"/>
                <w:sz w:val="18"/>
                <w:szCs w:val="18"/>
                <w:color w:val="auto"/>
              </w:rPr>
              <w:t>15,619</w:t>
            </w:r>
          </w:p>
        </w:tc>
        <w:tc>
          <w:tcPr>
            <w:tcW w:w="1600" w:type="dxa"/>
            <w:vAlign w:val="bottom"/>
          </w:tcPr>
          <w:p>
            <w:pPr>
              <w:jc w:val="right"/>
              <w:spacing w:after="0"/>
              <w:rPr>
                <w:sz w:val="20"/>
                <w:szCs w:val="20"/>
                <w:color w:val="auto"/>
              </w:rPr>
            </w:pPr>
            <w:r>
              <w:rPr>
                <w:rFonts w:ascii="Arial" w:cs="Arial" w:eastAsia="Arial" w:hAnsi="Arial"/>
                <w:sz w:val="18"/>
                <w:szCs w:val="18"/>
                <w:color w:val="auto"/>
              </w:rPr>
              <w:t>(6.6)%</w:t>
            </w:r>
          </w:p>
        </w:tc>
      </w:tr>
      <w:tr>
        <w:trPr>
          <w:trHeight w:val="230"/>
        </w:trPr>
        <w:tc>
          <w:tcPr>
            <w:tcW w:w="53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Assets loss (gain) on sales, impairments and other</w:t>
            </w:r>
          </w:p>
        </w:tc>
        <w:tc>
          <w:tcPr>
            <w:tcW w:w="26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6,148</w:t>
            </w:r>
          </w:p>
        </w:tc>
        <w:tc>
          <w:tcPr>
            <w:tcW w:w="174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(3,355)</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(283.2)%</w:t>
            </w:r>
          </w:p>
        </w:tc>
      </w:tr>
      <w:tr>
        <w:trPr>
          <w:trHeight w:val="229"/>
        </w:trPr>
        <w:tc>
          <w:tcPr>
            <w:tcW w:w="530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Restructuring costs and other</w:t>
            </w:r>
          </w:p>
        </w:tc>
        <w:tc>
          <w:tcPr>
            <w:tcW w:w="26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8,404</w:t>
            </w:r>
          </w:p>
        </w:tc>
        <w:tc>
          <w:tcPr>
            <w:tcW w:w="17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4,340</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93.6 %</w:t>
            </w:r>
          </w:p>
        </w:tc>
      </w:tr>
      <w:tr>
        <w:trPr>
          <w:trHeight w:val="223"/>
        </w:trPr>
        <w:tc>
          <w:tcPr>
            <w:tcW w:w="5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operating expenses</w:t>
            </w:r>
          </w:p>
        </w:tc>
        <w:tc>
          <w:tcPr>
            <w:tcW w:w="26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301,694</w:t>
            </w:r>
          </w:p>
        </w:tc>
        <w:tc>
          <w:tcPr>
            <w:tcW w:w="17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344,122</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w:t>
            </w:r>
          </w:p>
        </w:tc>
      </w:tr>
      <w:tr>
        <w:trPr>
          <w:trHeight w:val="230"/>
        </w:trPr>
        <w:tc>
          <w:tcPr>
            <w:tcW w:w="53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Equity in earnings of associated companies</w:t>
            </w:r>
          </w:p>
        </w:tc>
        <w:tc>
          <w:tcPr>
            <w:tcW w:w="26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2,747</w:t>
            </w:r>
          </w:p>
        </w:tc>
        <w:tc>
          <w:tcPr>
            <w:tcW w:w="17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2,340</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17.4 %</w:t>
            </w:r>
          </w:p>
        </w:tc>
      </w:tr>
      <w:tr>
        <w:trPr>
          <w:trHeight w:val="223"/>
        </w:trPr>
        <w:tc>
          <w:tcPr>
            <w:tcW w:w="53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Operating income</w:t>
            </w:r>
          </w:p>
        </w:tc>
        <w:tc>
          <w:tcPr>
            <w:tcW w:w="26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rPr>
              <w:t>3,281</w:t>
            </w:r>
          </w:p>
        </w:tc>
        <w:tc>
          <w:tcPr>
            <w:tcW w:w="174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rPr>
              <w:t>14,036</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(76.6)%</w:t>
            </w:r>
          </w:p>
        </w:tc>
      </w:tr>
      <w:tr>
        <w:trPr>
          <w:trHeight w:val="223"/>
        </w:trPr>
        <w:tc>
          <w:tcPr>
            <w:tcW w:w="5300" w:type="dxa"/>
            <w:vAlign w:val="bottom"/>
          </w:tcPr>
          <w:p>
            <w:pPr>
              <w:ind w:left="20"/>
              <w:spacing w:after="0"/>
              <w:rPr>
                <w:sz w:val="20"/>
                <w:szCs w:val="20"/>
                <w:color w:val="auto"/>
              </w:rPr>
            </w:pPr>
            <w:r>
              <w:rPr>
                <w:rFonts w:ascii="Arial" w:cs="Arial" w:eastAsia="Arial" w:hAnsi="Arial"/>
                <w:sz w:val="18"/>
                <w:szCs w:val="18"/>
                <w:color w:val="auto"/>
              </w:rPr>
              <w:t>Non-operating income (expense):</w:t>
            </w:r>
          </w:p>
        </w:tc>
        <w:tc>
          <w:tcPr>
            <w:tcW w:w="260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1600" w:type="dxa"/>
            <w:vAlign w:val="bottom"/>
          </w:tcPr>
          <w:p>
            <w:pPr>
              <w:spacing w:after="0"/>
              <w:rPr>
                <w:sz w:val="19"/>
                <w:szCs w:val="19"/>
                <w:color w:val="auto"/>
              </w:rPr>
            </w:pPr>
          </w:p>
        </w:tc>
      </w:tr>
      <w:tr>
        <w:trPr>
          <w:trHeight w:val="230"/>
        </w:trPr>
        <w:tc>
          <w:tcPr>
            <w:tcW w:w="53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Interest expense</w:t>
            </w:r>
          </w:p>
        </w:tc>
        <w:tc>
          <w:tcPr>
            <w:tcW w:w="26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(20,345)</w:t>
            </w:r>
          </w:p>
        </w:tc>
        <w:tc>
          <w:tcPr>
            <w:tcW w:w="174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(20,909)</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r>
      <w:tr>
        <w:trPr>
          <w:trHeight w:val="230"/>
        </w:trPr>
        <w:tc>
          <w:tcPr>
            <w:tcW w:w="5300" w:type="dxa"/>
            <w:vAlign w:val="bottom"/>
          </w:tcPr>
          <w:p>
            <w:pPr>
              <w:ind w:left="140"/>
              <w:spacing w:after="0"/>
              <w:rPr>
                <w:sz w:val="20"/>
                <w:szCs w:val="20"/>
                <w:color w:val="auto"/>
              </w:rPr>
            </w:pPr>
            <w:r>
              <w:rPr>
                <w:rFonts w:ascii="Arial" w:cs="Arial" w:eastAsia="Arial" w:hAnsi="Arial"/>
                <w:sz w:val="18"/>
                <w:szCs w:val="18"/>
                <w:color w:val="auto"/>
              </w:rPr>
              <w:t>Pension and OPEB related benefit and other, net</w:t>
            </w:r>
          </w:p>
        </w:tc>
        <w:tc>
          <w:tcPr>
            <w:tcW w:w="2600" w:type="dxa"/>
            <w:vAlign w:val="bottom"/>
          </w:tcPr>
          <w:p>
            <w:pPr>
              <w:jc w:val="right"/>
              <w:ind w:right="190"/>
              <w:spacing w:after="0"/>
              <w:rPr>
                <w:sz w:val="20"/>
                <w:szCs w:val="20"/>
                <w:color w:val="auto"/>
              </w:rPr>
            </w:pPr>
            <w:r>
              <w:rPr>
                <w:rFonts w:ascii="Arial" w:cs="Arial" w:eastAsia="Arial" w:hAnsi="Arial"/>
                <w:sz w:val="18"/>
                <w:szCs w:val="18"/>
                <w:color w:val="auto"/>
              </w:rPr>
              <w:t>479</w:t>
            </w:r>
          </w:p>
        </w:tc>
        <w:tc>
          <w:tcPr>
            <w:tcW w:w="1740" w:type="dxa"/>
            <w:vAlign w:val="bottom"/>
          </w:tcPr>
          <w:p>
            <w:pPr>
              <w:jc w:val="right"/>
              <w:ind w:right="230"/>
              <w:spacing w:after="0"/>
              <w:rPr>
                <w:sz w:val="20"/>
                <w:szCs w:val="20"/>
                <w:color w:val="auto"/>
              </w:rPr>
            </w:pPr>
            <w:r>
              <w:rPr>
                <w:rFonts w:ascii="Arial" w:cs="Arial" w:eastAsia="Arial" w:hAnsi="Arial"/>
                <w:sz w:val="18"/>
                <w:szCs w:val="18"/>
                <w:color w:val="auto"/>
              </w:rPr>
              <w:t>1,700</w:t>
            </w:r>
          </w:p>
        </w:tc>
        <w:tc>
          <w:tcPr>
            <w:tcW w:w="1600" w:type="dxa"/>
            <w:vAlign w:val="bottom"/>
          </w:tcPr>
          <w:p>
            <w:pPr>
              <w:jc w:val="right"/>
              <w:spacing w:after="0"/>
              <w:rPr>
                <w:sz w:val="20"/>
                <w:szCs w:val="20"/>
                <w:color w:val="auto"/>
              </w:rPr>
            </w:pPr>
            <w:r>
              <w:rPr>
                <w:rFonts w:ascii="Arial" w:cs="Arial" w:eastAsia="Arial" w:hAnsi="Arial"/>
                <w:sz w:val="18"/>
                <w:szCs w:val="18"/>
                <w:color w:val="auto"/>
              </w:rPr>
              <w:t>(71.8)%</w:t>
            </w:r>
          </w:p>
        </w:tc>
      </w:tr>
      <w:tr>
        <w:trPr>
          <w:trHeight w:val="230"/>
        </w:trPr>
        <w:tc>
          <w:tcPr>
            <w:tcW w:w="530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Curtailment/Settlement gains</w:t>
            </w:r>
          </w:p>
        </w:tc>
        <w:tc>
          <w:tcPr>
            <w:tcW w:w="26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rPr>
              <w:t>3,593</w:t>
            </w:r>
          </w:p>
        </w:tc>
        <w:tc>
          <w:tcPr>
            <w:tcW w:w="174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NM</w:t>
            </w:r>
          </w:p>
        </w:tc>
      </w:tr>
      <w:tr>
        <w:trPr>
          <w:trHeight w:val="223"/>
        </w:trPr>
        <w:tc>
          <w:tcPr>
            <w:tcW w:w="53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Total non-operating expense, net</w:t>
            </w:r>
          </w:p>
        </w:tc>
        <w:tc>
          <w:tcPr>
            <w:tcW w:w="26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(16,273)</w:t>
            </w:r>
          </w:p>
        </w:tc>
        <w:tc>
          <w:tcPr>
            <w:tcW w:w="17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(19,209)</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w:t>
            </w:r>
          </w:p>
        </w:tc>
      </w:tr>
      <w:tr>
        <w:trPr>
          <w:trHeight w:val="223"/>
        </w:trPr>
        <w:tc>
          <w:tcPr>
            <w:tcW w:w="5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before income taxes</w:t>
            </w:r>
          </w:p>
        </w:tc>
        <w:tc>
          <w:tcPr>
            <w:tcW w:w="26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(12,992)</w:t>
            </w:r>
          </w:p>
        </w:tc>
        <w:tc>
          <w:tcPr>
            <w:tcW w:w="174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(5,173)</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151.2 %</w:t>
            </w:r>
          </w:p>
        </w:tc>
      </w:tr>
      <w:tr>
        <w:trPr>
          <w:trHeight w:val="230"/>
        </w:trPr>
        <w:tc>
          <w:tcPr>
            <w:tcW w:w="53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Income tax benefit</w:t>
            </w:r>
          </w:p>
        </w:tc>
        <w:tc>
          <w:tcPr>
            <w:tcW w:w="26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(2,589)</w:t>
            </w:r>
          </w:p>
        </w:tc>
        <w:tc>
          <w:tcPr>
            <w:tcW w:w="17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(1,631)</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58.7 %</w:t>
            </w:r>
          </w:p>
        </w:tc>
      </w:tr>
      <w:tr>
        <w:trPr>
          <w:trHeight w:val="223"/>
        </w:trPr>
        <w:tc>
          <w:tcPr>
            <w:tcW w:w="5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26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(10,403)</w:t>
            </w:r>
          </w:p>
        </w:tc>
        <w:tc>
          <w:tcPr>
            <w:tcW w:w="174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(3,542)</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193.7 %</w:t>
            </w:r>
          </w:p>
        </w:tc>
      </w:tr>
      <w:tr>
        <w:trPr>
          <w:trHeight w:val="270"/>
        </w:trPr>
        <w:tc>
          <w:tcPr>
            <w:tcW w:w="5300" w:type="dxa"/>
            <w:vAlign w:val="bottom"/>
          </w:tcPr>
          <w:p>
            <w:pPr>
              <w:spacing w:after="0"/>
              <w:rPr>
                <w:sz w:val="23"/>
                <w:szCs w:val="23"/>
                <w:color w:val="auto"/>
              </w:rPr>
            </w:pPr>
          </w:p>
        </w:tc>
        <w:tc>
          <w:tcPr>
            <w:tcW w:w="2600" w:type="dxa"/>
            <w:vAlign w:val="bottom"/>
          </w:tcPr>
          <w:p>
            <w:pPr>
              <w:spacing w:after="0"/>
              <w:rPr>
                <w:sz w:val="23"/>
                <w:szCs w:val="23"/>
                <w:color w:val="auto"/>
              </w:rPr>
            </w:pPr>
          </w:p>
        </w:tc>
        <w:tc>
          <w:tcPr>
            <w:tcW w:w="1740" w:type="dxa"/>
            <w:vAlign w:val="bottom"/>
          </w:tcPr>
          <w:p>
            <w:pPr>
              <w:spacing w:after="0"/>
              <w:rPr>
                <w:sz w:val="23"/>
                <w:szCs w:val="23"/>
                <w:color w:val="auto"/>
              </w:rPr>
            </w:pPr>
          </w:p>
        </w:tc>
        <w:tc>
          <w:tcPr>
            <w:tcW w:w="1600" w:type="dxa"/>
            <w:vAlign w:val="bottom"/>
          </w:tcPr>
          <w:p>
            <w:pPr>
              <w:spacing w:after="0"/>
              <w:rPr>
                <w:sz w:val="23"/>
                <w:szCs w:val="23"/>
                <w:color w:val="auto"/>
              </w:rPr>
            </w:pPr>
          </w:p>
        </w:tc>
      </w:tr>
      <w:tr>
        <w:trPr>
          <w:trHeight w:val="230"/>
        </w:trPr>
        <w:tc>
          <w:tcPr>
            <w:tcW w:w="5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per common share:</w:t>
            </w:r>
          </w:p>
        </w:tc>
        <w:tc>
          <w:tcPr>
            <w:tcW w:w="2600" w:type="dxa"/>
            <w:vAlign w:val="bottom"/>
            <w:shd w:val="clear" w:color="auto" w:fill="CCEEFF"/>
          </w:tcPr>
          <w:p>
            <w:pPr>
              <w:spacing w:after="0"/>
              <w:rPr>
                <w:sz w:val="19"/>
                <w:szCs w:val="19"/>
                <w:color w:val="auto"/>
              </w:rPr>
            </w:pPr>
          </w:p>
        </w:tc>
        <w:tc>
          <w:tcPr>
            <w:tcW w:w="174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r>
      <w:tr>
        <w:trPr>
          <w:trHeight w:val="229"/>
        </w:trPr>
        <w:tc>
          <w:tcPr>
            <w:tcW w:w="5300" w:type="dxa"/>
            <w:vAlign w:val="bottom"/>
          </w:tcPr>
          <w:p>
            <w:pPr>
              <w:ind w:left="140"/>
              <w:spacing w:after="0"/>
              <w:rPr>
                <w:sz w:val="20"/>
                <w:szCs w:val="20"/>
                <w:color w:val="auto"/>
              </w:rPr>
            </w:pPr>
            <w:r>
              <w:rPr>
                <w:rFonts w:ascii="Arial" w:cs="Arial" w:eastAsia="Arial" w:hAnsi="Arial"/>
                <w:sz w:val="18"/>
                <w:szCs w:val="18"/>
                <w:color w:val="auto"/>
              </w:rPr>
              <w:t>Basic</w:t>
            </w:r>
          </w:p>
        </w:tc>
        <w:tc>
          <w:tcPr>
            <w:tcW w:w="2600" w:type="dxa"/>
            <w:vAlign w:val="bottom"/>
          </w:tcPr>
          <w:p>
            <w:pPr>
              <w:jc w:val="right"/>
              <w:ind w:right="130"/>
              <w:spacing w:after="0"/>
              <w:rPr>
                <w:sz w:val="20"/>
                <w:szCs w:val="20"/>
                <w:color w:val="auto"/>
              </w:rPr>
            </w:pPr>
            <w:r>
              <w:rPr>
                <w:rFonts w:ascii="Arial" w:cs="Arial" w:eastAsia="Arial" w:hAnsi="Arial"/>
                <w:sz w:val="18"/>
                <w:szCs w:val="18"/>
                <w:color w:val="auto"/>
              </w:rPr>
              <w:t>(1.94)</w:t>
            </w:r>
          </w:p>
        </w:tc>
        <w:tc>
          <w:tcPr>
            <w:tcW w:w="1740" w:type="dxa"/>
            <w:vAlign w:val="bottom"/>
          </w:tcPr>
          <w:p>
            <w:pPr>
              <w:jc w:val="right"/>
              <w:ind w:right="190"/>
              <w:spacing w:after="0"/>
              <w:rPr>
                <w:sz w:val="20"/>
                <w:szCs w:val="20"/>
                <w:color w:val="auto"/>
              </w:rPr>
            </w:pPr>
            <w:r>
              <w:rPr>
                <w:rFonts w:ascii="Arial" w:cs="Arial" w:eastAsia="Arial" w:hAnsi="Arial"/>
                <w:sz w:val="18"/>
                <w:szCs w:val="18"/>
                <w:color w:val="auto"/>
              </w:rPr>
              <w:t>(0.82)</w:t>
            </w:r>
          </w:p>
        </w:tc>
        <w:tc>
          <w:tcPr>
            <w:tcW w:w="1600" w:type="dxa"/>
            <w:vAlign w:val="bottom"/>
          </w:tcPr>
          <w:p>
            <w:pPr>
              <w:jc w:val="right"/>
              <w:spacing w:after="0"/>
              <w:rPr>
                <w:sz w:val="20"/>
                <w:szCs w:val="20"/>
                <w:color w:val="auto"/>
              </w:rPr>
            </w:pPr>
            <w:r>
              <w:rPr>
                <w:rFonts w:ascii="Arial" w:cs="Arial" w:eastAsia="Arial" w:hAnsi="Arial"/>
                <w:sz w:val="18"/>
                <w:szCs w:val="18"/>
                <w:color w:val="auto"/>
              </w:rPr>
              <w:t>137.5 %</w:t>
            </w:r>
          </w:p>
        </w:tc>
      </w:tr>
      <w:tr>
        <w:trPr>
          <w:trHeight w:val="230"/>
        </w:trPr>
        <w:tc>
          <w:tcPr>
            <w:tcW w:w="530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Diluted</w:t>
            </w:r>
          </w:p>
        </w:tc>
        <w:tc>
          <w:tcPr>
            <w:tcW w:w="260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(1.94)</w:t>
            </w:r>
          </w:p>
        </w:tc>
        <w:tc>
          <w:tcPr>
            <w:tcW w:w="174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rPr>
              <w:t>(0.82)</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137.5 %</w:t>
            </w:r>
          </w:p>
        </w:tc>
      </w:tr>
    </w:tbl>
    <w:p>
      <w:pPr>
        <w:spacing w:after="0" w:line="251"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References to the “2024 Period” refer to the six months ended March 24, 2024. Similarly, references to the “2023 Period” refer to the six months ended March 26, 2023.</w:t>
      </w: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Operating Revenue</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Total operating revenue was $302.2 million in the 2024 Period, down $53.6 million, or 15.1%, compared to the 2023 Period.</w:t>
      </w:r>
    </w:p>
    <w:p>
      <w:pPr>
        <w:spacing w:after="0" w:line="18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Advertising and marketing services revenue totaled $135.0 million in the 2024 Period, down 19.3% compared to the 2023 Period. Print advertising revenues were $ 43.2 million in the 2024 Period, down 41.1% compared to the 2023 Period due to continued secular declines in demand for print advertising and a reduced product portfolio through sales and elimination of products that do not met profitability standards. Digital advertising and marketing services totaled $91.8 million in the 2024 Period, down 2.3% compared to the 2023 Period. Digital advertising and marketing services represented 68.0% of the 2024 Period total advertising and marketing services revenue, compared to 56.2% during the 2023 Period.</w:t>
      </w:r>
    </w:p>
    <w:p>
      <w:pPr>
        <w:spacing w:after="0" w:line="142"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Subscription revenue totaled $140.6 million in the 2024 Period, down 11.2% compared to the 2023 Period. Decline in full access volume, consistent with historical and industry trends were partially offset by selective increases on our full access subscriptions, growth in digital-only subscribers and price increases on digital subscriptions. Digital-only subscribers grew 25% since the 2023 Period and now total 745,000. Digital-only subscription revenue grew 50.9% compared to the 2023 Period.</w:t>
      </w:r>
    </w:p>
    <w:p>
      <w:pPr>
        <w:spacing w:after="0" w:line="149"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Other revenue, which primarily consists of commercial printing revenue and digital services from BLOX Digital, decreased $3.6 million, or 11.9%, in the 2024 Period compared to the 2023 Period. Digital services revenue totaled $10.1 million in the 2024 Period, a 6.3% increase compared to the 2023 Period. Commercial printing revenue totaled $8.7 million in the 2024 Period, a 15.3% decrease compared to the 2023 Period, primarily driven by reduction in print volumes from our partners.</w:t>
      </w:r>
    </w:p>
    <w:p>
      <w:pPr>
        <w:spacing w:after="0" w:line="136"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Total digital revenue including digital advertising revenue, digital subscription revenue and digital services revenue totaled $ 141.7 million in the 2024 Period, an increase of 9.1% over the 2023 Period, and represented 46.9% of our total operating revenue in the 2024 Period.</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color w:val="auto"/>
        </w:rPr>
        <w:t>Equity in earnings of TNI and MNI increased $0.4 million in the 2024 Period.</w:t>
      </w:r>
    </w:p>
    <w:p>
      <w:pPr>
        <w:spacing w:after="0" w:line="198" w:lineRule="exact"/>
        <w:rPr>
          <w:sz w:val="20"/>
          <w:szCs w:val="20"/>
          <w:color w:val="auto"/>
        </w:rPr>
      </w:pPr>
    </w:p>
    <w:p>
      <w:pPr>
        <w:ind w:left="4760"/>
        <w:spacing w:after="0"/>
        <w:rPr>
          <w:sz w:val="20"/>
          <w:szCs w:val="20"/>
          <w:color w:val="auto"/>
        </w:rPr>
      </w:pPr>
      <w:r>
        <w:rPr>
          <w:rFonts w:ascii="Arial" w:cs="Arial" w:eastAsia="Arial" w:hAnsi="Arial"/>
          <w:sz w:val="18"/>
          <w:szCs w:val="18"/>
          <w:b w:val="1"/>
          <w:bCs w:val="1"/>
          <w:color w:val="auto"/>
        </w:rPr>
        <w:t>Operating Expenses</w:t>
      </w:r>
    </w:p>
    <w:p>
      <w:pPr>
        <w:spacing w:after="0" w:line="18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Total operating expenses were $301.7 million in the 2024 Period, a 12.3% decrease compared to the 2023 Period. Cash Costs, a non-GAAP financial measure used to summarize certain operating expense (see reconciliation of Non-GAAP financial measures below), were down 16.8% in the 2024 Period.</w:t>
      </w:r>
    </w:p>
    <w:p>
      <w:pPr>
        <w:spacing w:after="0" w:line="130"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Compensation expense decreased $ 27.8 million in the 2024 Period, or 19.3%, compared to the 2023 Period from reductions in full time employees ("FTEs") due to continued business transformation efforts, partially offset by investments in digital talent.</w:t>
      </w:r>
    </w:p>
    <w:p>
      <w:pPr>
        <w:spacing w:after="0" w:line="126"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Newsprint and ink costs decreased $4.9 million in the 2024 Period, or 35.2%, compared to the 2023 Period. The decrease is attributable to declines in newsprint volumes.</w:t>
      </w:r>
    </w:p>
    <w:p>
      <w:pPr>
        <w:spacing w:after="0" w:line="11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Other operating expenses decreased $22.3 million in the 2024 Period, or 13.2%, compared to the 2023 Period. Other operating expenses include all operating costs not considered to be compensation, newsprint, depreciation and amortization, or restructuring costs and assets loss (gain) on sales, impairments, and other, net. The largest components are costs associated with printing and distribution of our printed products, digital cost of goods sold and facility expenses. The decrease is attributable to lower delivery and other print-related costs due to lower volumes of our print edition, partially increases in investments to fund our digital growth strategy partially offset by investments to fund our digital growth strategy.</w:t>
      </w:r>
    </w:p>
    <w:p>
      <w:pPr>
        <w:spacing w:after="0" w:line="14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Restructuring costs and other increased $4.1 million in the 2024 Period, or 93.6%, compared to the 2023 Period, respectively. The increase is primarily driven from closing down outsourced production facilities, ongoing business transformation efforts, and severance. Restructuring costs and other include severance costs, litigation expenses, restructuring expenses, and advisor expenses.</w:t>
      </w:r>
    </w:p>
    <w:p>
      <w:pPr>
        <w:spacing w:after="0" w:line="144"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Depreciation and amortization expense decreased $1.0 million in the 2024 Period, or 6.6%, compared to the 2023 Period. The decrease in both is attributable to assets becoming fully depreciated or amortized.</w:t>
      </w: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Assets loss (gain) on sales, impairments and other, was a net loss of $6.1 million in the 2024 Period compared to a net gain of $3.4 million in the 2023 Period. Assets loss (gain) on sales, impairments and other in the 2024 Period were primarily due to non-cash charges of $7.6 million that were recorded to reduce the carrying value of mastheads, which are non-amortized intangible assets. The 2023 Period were the result of the disposition of non-core assets, including real estate.</w:t>
      </w:r>
    </w:p>
    <w:p>
      <w:pPr>
        <w:spacing w:after="0" w:line="149"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The factors noted above resulted in an operating income of $3.3 million in the 2024 Period compared to operating income of $14.0 million in the 2023 Period.</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Non-operating Income and Expense</w:t>
      </w:r>
    </w:p>
    <w:p>
      <w:pPr>
        <w:spacing w:after="0" w:line="18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Interest expense decreased $0.6 million, or 2.7%, to $20.3 million in the 2024 Period, compared to the same period last year. The decrease was due to a lower outstanding balance on our Term Loan. Our weighted average cost of debt was 9.0% at the end of the 2024 Period and 2023 Period.</w:t>
      </w:r>
    </w:p>
    <w:p>
      <w:pPr>
        <w:spacing w:after="0" w:line="14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Other non-operating income and expense consists of benefits associated with our pension and other postretirement plans. We recorded $4.3 million of periodic pension and other postretirement benefits in the 2024 Period compared to $0.6 million in the 2023 Period. The increase was attributable due to the Company recognizing a non-cash curtailment gain of $1.2 million in the 2024 Period as a result of outsourcing certain postemployment defined benefit plan functions. Additionally, during the 2024 Period, the Company completed a voluntary lump sum payment of future benefits to terminated vested participants. The offer was accepted by 522 participants, representing a $ 22.6 million pension plan liability. As a result of the offer, a non-cash settlement gain of $ 2.4 million was recorded in Curtailment/Settlement gain on the Consolidated Statements of Income and Comprehensive Income. Both assets and liabilities of the plan were reduced by $22.6 million.</w:t>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Income Tax Benefit</w:t>
      </w:r>
    </w:p>
    <w:p>
      <w:pPr>
        <w:spacing w:after="0" w:line="185"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We recorded an income tax benefit of $2.6 million, or 19.9% of pretax loss in the 2024 Period. In the 2023 Period, we recognized an income tax benefit of $1.6 million, or 31.5% of pretax loss.</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Net loss and Loss Per Share</w:t>
      </w:r>
    </w:p>
    <w:p>
      <w:pPr>
        <w:spacing w:after="0" w:line="185"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Net loss was $10.4 million and diluted loss per share were $1.94 for the 2024 Period compared to net loss of $3.5 million and diluted losses per share of $0.82 for the 2023 Period. The change reflects the various items discussed above.</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MEASURES</w:t>
      </w:r>
    </w:p>
    <w:p>
      <w:pPr>
        <w:spacing w:after="0" w:line="198"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We use non-GAAP financial performance measures to supplement the financial information presented on a GAAP basis. These non-GAAP financial measures should not be considered in isolation or as a substitute for the relevant GAAP measures and should be read in conjunction with information presented on a GAAP basis.</w:t>
      </w:r>
    </w:p>
    <w:p>
      <w:pPr>
        <w:spacing w:after="0" w:line="13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In this report, we present Adjusted EBITDA and Cash Costs which are non-GAAP financial performance measures that exclude from our reported GAAP results the impact of certain items consisting primarily of restructuring charges and non-cash charges. We believe such expenses, charges and gains are not indicative of normal, ongoing operations, and their inclusion in results makes for more difficult comparisons between years and with peer group companies. In the future, however, we are likely to incur expenses, charges and gains similar to the items for which the applicable GAAP financial measures have been adjusted and to report non-GAAP financial measures excluding such items. Accordingly, exclusion of those or similar items in our non-GAAP presentations should not be interpreted as implying the items are non-recurring, infrequent, or unusual.</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color w:val="auto"/>
        </w:rPr>
        <w:t>We define our non-GAAP measures, which may not be comparable to similarly titled measures reported by other companies, as follows:</w:t>
      </w:r>
    </w:p>
    <w:p>
      <w:pPr>
        <w:spacing w:after="0" w:line="19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Adjusted EBITDA </w:t>
      </w:r>
      <w:r>
        <w:rPr>
          <w:rFonts w:ascii="Arial" w:cs="Arial" w:eastAsia="Arial" w:hAnsi="Arial"/>
          <w:sz w:val="18"/>
          <w:szCs w:val="18"/>
          <w:color w:val="auto"/>
        </w:rPr>
        <w:t>is a non-GAAP financial performance measure that enhances financial statement users' overall understanding of the</w:t>
      </w:r>
      <w:r>
        <w:rPr>
          <w:rFonts w:ascii="Arial" w:cs="Arial" w:eastAsia="Arial" w:hAnsi="Arial"/>
          <w:sz w:val="18"/>
          <w:szCs w:val="18"/>
          <w:i w:val="1"/>
          <w:iCs w:val="1"/>
          <w:color w:val="auto"/>
        </w:rPr>
        <w:t xml:space="preserve"> </w:t>
      </w:r>
      <w:r>
        <w:rPr>
          <w:rFonts w:ascii="Arial" w:cs="Arial" w:eastAsia="Arial" w:hAnsi="Arial"/>
          <w:sz w:val="18"/>
          <w:szCs w:val="18"/>
          <w:color w:val="auto"/>
        </w:rPr>
        <w:t>operating performance of the Company. The measure isolates unusual, infrequent, or non-cash transactions from the operating performance of the business. This allows users to easily compare operating performance among various fiscal periods and how management measures the performance of the business. This measure also provides users with a benchmark that can be used when forecasting future operating performance of the Company that excludes unusual, nonrecurring or one-time transactions. Adjusted</w:t>
      </w: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EBITDA is also a component of the calculation used by stockholders and analysts to determine the value of our business when using the market approach, which applies a market multiple to financial metrics. It is also a measure used to calculate the leverage ratio of the Company, which is a key financial ratio monitored and used by the Company and its investors. Adjusted EBITDA is defined as net income (loss), plus non-operating expenses, income tax expense, depreciation and amortization, assets loss (gain) on sales, impairments and other, restructuring costs and other, stock compensation and our 50% share of EBITDA from TNI and MNI, minus equity in earnings of TNI and MNI.</w:t>
      </w:r>
    </w:p>
    <w:p>
      <w:pPr>
        <w:spacing w:after="0" w:line="15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 xml:space="preserve">Cash Costs </w:t>
      </w:r>
      <w:r>
        <w:rPr>
          <w:rFonts w:ascii="Arial" w:cs="Arial" w:eastAsia="Arial" w:hAnsi="Arial"/>
          <w:sz w:val="18"/>
          <w:szCs w:val="18"/>
          <w:color w:val="auto"/>
        </w:rPr>
        <w:t>represent a non-GAAP financial performance measure of operating expenses which are measured on an accrual basis and</w:t>
      </w:r>
      <w:r>
        <w:rPr>
          <w:rFonts w:ascii="Arial" w:cs="Arial" w:eastAsia="Arial" w:hAnsi="Arial"/>
          <w:sz w:val="18"/>
          <w:szCs w:val="18"/>
          <w:i w:val="1"/>
          <w:iCs w:val="1"/>
          <w:color w:val="auto"/>
        </w:rPr>
        <w:t xml:space="preserve"> </w:t>
      </w:r>
      <w:r>
        <w:rPr>
          <w:rFonts w:ascii="Arial" w:cs="Arial" w:eastAsia="Arial" w:hAnsi="Arial"/>
          <w:sz w:val="18"/>
          <w:szCs w:val="18"/>
          <w:color w:val="auto"/>
        </w:rPr>
        <w:t>settled in cash. This measure is useful to investors in understanding the components of the Company’s cash-settled operating costs. Generally, the Company provides forward-looking guidance of Cash Costs, which can be used by financial statement users to assess the Company's ability to manage and control its operating cost structure. Cash Costs are defined as compensation, newsprint and ink and other operating expenses. Depreciation and amortization, assets loss (gain) on sales, impairments and other, other non-cash operating expenses and other expenses are excluded. Cash Costs also exclude restructuring costs and other, which are typically settled in cash.</w:t>
      </w:r>
    </w:p>
    <w:p>
      <w:pPr>
        <w:spacing w:after="0" w:line="142"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Adjusted EBITDA and Cash Costs are reconciled to net income (loss) and operating expenses, below, the closest comparable numbers under GAAP.</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RECONCILIATION OF NON-GAAP FINANCIAL MEASURES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(UNAUDITED)</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reconciles the non-GAAP financial performance measure of Adjusted EBITDA to net income, the most directly comparable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GAAP measure:</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4840" w:type="dxa"/>
            <w:vAlign w:val="bottom"/>
            <w:tcBorders>
              <w:top w:val="single" w:sz="8" w:color="auto"/>
              <w:bottom w:val="single" w:sz="8" w:color="auto"/>
            </w:tcBorders>
          </w:tcPr>
          <w:p>
            <w:pPr>
              <w:spacing w:after="0"/>
              <w:rPr>
                <w:sz w:val="21"/>
                <w:szCs w:val="21"/>
                <w:color w:val="auto"/>
              </w:rPr>
            </w:pPr>
          </w:p>
        </w:tc>
        <w:tc>
          <w:tcPr>
            <w:tcW w:w="3360" w:type="dxa"/>
            <w:vAlign w:val="bottom"/>
            <w:tcBorders>
              <w:top w:val="single" w:sz="8" w:color="auto"/>
              <w:bottom w:val="single" w:sz="8" w:color="auto"/>
            </w:tcBorders>
            <w:gridSpan w:val="2"/>
          </w:tcPr>
          <w:p>
            <w:pPr>
              <w:jc w:val="right"/>
              <w:ind w:right="810"/>
              <w:spacing w:after="0"/>
              <w:rPr>
                <w:sz w:val="20"/>
                <w:szCs w:val="20"/>
                <w:color w:val="auto"/>
              </w:rPr>
            </w:pPr>
            <w:r>
              <w:rPr>
                <w:rFonts w:ascii="Arial" w:cs="Arial" w:eastAsia="Arial" w:hAnsi="Arial"/>
                <w:sz w:val="18"/>
                <w:szCs w:val="18"/>
                <w:color w:val="auto"/>
              </w:rPr>
              <w:t>Three months ended</w:t>
            </w:r>
          </w:p>
        </w:tc>
        <w:tc>
          <w:tcPr>
            <w:tcW w:w="3040" w:type="dxa"/>
            <w:vAlign w:val="bottom"/>
            <w:tcBorders>
              <w:top w:val="single" w:sz="8" w:color="auto"/>
              <w:bottom w:val="single" w:sz="8" w:color="auto"/>
            </w:tcBorders>
            <w:gridSpan w:val="2"/>
          </w:tcPr>
          <w:p>
            <w:pPr>
              <w:jc w:val="right"/>
              <w:ind w:right="790"/>
              <w:spacing w:after="0"/>
              <w:rPr>
                <w:sz w:val="20"/>
                <w:szCs w:val="20"/>
                <w:color w:val="auto"/>
              </w:rPr>
            </w:pPr>
            <w:r>
              <w:rPr>
                <w:rFonts w:ascii="Arial" w:cs="Arial" w:eastAsia="Arial" w:hAnsi="Arial"/>
                <w:sz w:val="18"/>
                <w:szCs w:val="18"/>
                <w:color w:val="auto"/>
              </w:rPr>
              <w:t>Six months ended</w:t>
            </w:r>
          </w:p>
        </w:tc>
      </w:tr>
      <w:tr>
        <w:trPr>
          <w:trHeight w:val="223"/>
        </w:trPr>
        <w:tc>
          <w:tcPr>
            <w:tcW w:w="4840" w:type="dxa"/>
            <w:vAlign w:val="bottom"/>
            <w:tcBorders>
              <w:bottom w:val="single" w:sz="8" w:color="auto"/>
            </w:tcBorders>
          </w:tcPr>
          <w:p>
            <w:pPr>
              <w:ind w:left="20"/>
              <w:spacing w:after="0"/>
              <w:rPr>
                <w:sz w:val="20"/>
                <w:szCs w:val="20"/>
                <w:color w:val="auto"/>
              </w:rPr>
            </w:pPr>
            <w:r>
              <w:rPr>
                <w:rFonts w:ascii="Arial" w:cs="Arial" w:eastAsia="Arial" w:hAnsi="Arial"/>
                <w:sz w:val="16"/>
                <w:szCs w:val="16"/>
                <w:i w:val="1"/>
                <w:iCs w:val="1"/>
                <w:color w:val="auto"/>
              </w:rPr>
              <w:t>(Thousands of Dollars)</w:t>
            </w:r>
          </w:p>
        </w:tc>
        <w:tc>
          <w:tcPr>
            <w:tcW w:w="17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March 24, 2024</w:t>
            </w:r>
          </w:p>
        </w:tc>
        <w:tc>
          <w:tcPr>
            <w:tcW w:w="15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March 26, 2023</w:t>
            </w:r>
          </w:p>
        </w:tc>
        <w:tc>
          <w:tcPr>
            <w:tcW w:w="16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March 24, 2024</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March 26, 2023</w:t>
            </w:r>
          </w:p>
        </w:tc>
      </w:tr>
      <w:tr>
        <w:trPr>
          <w:trHeight w:val="250"/>
        </w:trPr>
        <w:tc>
          <w:tcPr>
            <w:tcW w:w="4840" w:type="dxa"/>
            <w:vAlign w:val="bottom"/>
          </w:tcPr>
          <w:p>
            <w:pPr>
              <w:spacing w:after="0"/>
              <w:rPr>
                <w:sz w:val="21"/>
                <w:szCs w:val="21"/>
                <w:color w:val="auto"/>
              </w:rPr>
            </w:pPr>
          </w:p>
        </w:tc>
        <w:tc>
          <w:tcPr>
            <w:tcW w:w="178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440" w:type="dxa"/>
            <w:vAlign w:val="bottom"/>
          </w:tcPr>
          <w:p>
            <w:pPr>
              <w:spacing w:after="0"/>
              <w:rPr>
                <w:sz w:val="21"/>
                <w:szCs w:val="21"/>
                <w:color w:val="auto"/>
              </w:rPr>
            </w:pPr>
          </w:p>
        </w:tc>
      </w:tr>
      <w:tr>
        <w:trPr>
          <w:trHeight w:val="229"/>
        </w:trPr>
        <w:tc>
          <w:tcPr>
            <w:tcW w:w="4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17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(11,636)</w:t>
            </w:r>
          </w:p>
        </w:tc>
        <w:tc>
          <w:tcPr>
            <w:tcW w:w="15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(5,366)</w:t>
            </w:r>
          </w:p>
        </w:tc>
        <w:tc>
          <w:tcPr>
            <w:tcW w:w="16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(10,403)</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(3,542)</w:t>
            </w:r>
          </w:p>
        </w:tc>
      </w:tr>
      <w:tr>
        <w:trPr>
          <w:trHeight w:val="230"/>
        </w:trPr>
        <w:tc>
          <w:tcPr>
            <w:tcW w:w="4840" w:type="dxa"/>
            <w:vAlign w:val="bottom"/>
          </w:tcPr>
          <w:p>
            <w:pPr>
              <w:ind w:left="20"/>
              <w:spacing w:after="0"/>
              <w:rPr>
                <w:sz w:val="20"/>
                <w:szCs w:val="20"/>
                <w:color w:val="auto"/>
              </w:rPr>
            </w:pPr>
            <w:r>
              <w:rPr>
                <w:rFonts w:ascii="Arial" w:cs="Arial" w:eastAsia="Arial" w:hAnsi="Arial"/>
                <w:sz w:val="18"/>
                <w:szCs w:val="18"/>
                <w:color w:val="auto"/>
              </w:rPr>
              <w:t>Adjusted to exclude</w:t>
            </w:r>
          </w:p>
        </w:tc>
        <w:tc>
          <w:tcPr>
            <w:tcW w:w="178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440" w:type="dxa"/>
            <w:vAlign w:val="bottom"/>
          </w:tcPr>
          <w:p>
            <w:pPr>
              <w:spacing w:after="0"/>
              <w:rPr>
                <w:sz w:val="19"/>
                <w:szCs w:val="19"/>
                <w:color w:val="auto"/>
              </w:rPr>
            </w:pPr>
          </w:p>
        </w:tc>
      </w:tr>
      <w:tr>
        <w:trPr>
          <w:trHeight w:val="230"/>
        </w:trPr>
        <w:tc>
          <w:tcPr>
            <w:tcW w:w="48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Income tax benefit</w:t>
            </w:r>
          </w:p>
        </w:tc>
        <w:tc>
          <w:tcPr>
            <w:tcW w:w="17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(2,837)</w:t>
            </w:r>
          </w:p>
        </w:tc>
        <w:tc>
          <w:tcPr>
            <w:tcW w:w="15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(2,071)</w:t>
            </w:r>
          </w:p>
        </w:tc>
        <w:tc>
          <w:tcPr>
            <w:tcW w:w="16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(2,589)</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(1,631)</w:t>
            </w:r>
          </w:p>
        </w:tc>
      </w:tr>
      <w:tr>
        <w:trPr>
          <w:trHeight w:val="230"/>
        </w:trPr>
        <w:tc>
          <w:tcPr>
            <w:tcW w:w="4840" w:type="dxa"/>
            <w:vAlign w:val="bottom"/>
          </w:tcPr>
          <w:p>
            <w:pPr>
              <w:ind w:left="140"/>
              <w:spacing w:after="0"/>
              <w:rPr>
                <w:sz w:val="20"/>
                <w:szCs w:val="20"/>
                <w:color w:val="auto"/>
              </w:rPr>
            </w:pPr>
            <w:r>
              <w:rPr>
                <w:rFonts w:ascii="Arial" w:cs="Arial" w:eastAsia="Arial" w:hAnsi="Arial"/>
                <w:sz w:val="18"/>
                <w:szCs w:val="18"/>
                <w:color w:val="auto"/>
              </w:rPr>
              <w:t>Non-operating expenses, net</w:t>
            </w:r>
          </w:p>
        </w:tc>
        <w:tc>
          <w:tcPr>
            <w:tcW w:w="1780" w:type="dxa"/>
            <w:vAlign w:val="bottom"/>
          </w:tcPr>
          <w:p>
            <w:pPr>
              <w:jc w:val="right"/>
              <w:ind w:right="150"/>
              <w:spacing w:after="0"/>
              <w:rPr>
                <w:sz w:val="20"/>
                <w:szCs w:val="20"/>
                <w:color w:val="auto"/>
              </w:rPr>
            </w:pPr>
            <w:r>
              <w:rPr>
                <w:rFonts w:ascii="Arial" w:cs="Arial" w:eastAsia="Arial" w:hAnsi="Arial"/>
                <w:sz w:val="18"/>
                <w:szCs w:val="18"/>
                <w:color w:val="auto"/>
              </w:rPr>
              <w:t>9,921</w:t>
            </w:r>
          </w:p>
        </w:tc>
        <w:tc>
          <w:tcPr>
            <w:tcW w:w="1580" w:type="dxa"/>
            <w:vAlign w:val="bottom"/>
          </w:tcPr>
          <w:p>
            <w:pPr>
              <w:jc w:val="right"/>
              <w:ind w:right="130"/>
              <w:spacing w:after="0"/>
              <w:rPr>
                <w:sz w:val="20"/>
                <w:szCs w:val="20"/>
                <w:color w:val="auto"/>
              </w:rPr>
            </w:pPr>
            <w:r>
              <w:rPr>
                <w:rFonts w:ascii="Arial" w:cs="Arial" w:eastAsia="Arial" w:hAnsi="Arial"/>
                <w:sz w:val="18"/>
                <w:szCs w:val="18"/>
                <w:color w:val="auto"/>
              </w:rPr>
              <w:t>10,295</w:t>
            </w:r>
          </w:p>
        </w:tc>
        <w:tc>
          <w:tcPr>
            <w:tcW w:w="1600" w:type="dxa"/>
            <w:vAlign w:val="bottom"/>
          </w:tcPr>
          <w:p>
            <w:pPr>
              <w:jc w:val="right"/>
              <w:ind w:right="130"/>
              <w:spacing w:after="0"/>
              <w:rPr>
                <w:sz w:val="20"/>
                <w:szCs w:val="20"/>
                <w:color w:val="auto"/>
              </w:rPr>
            </w:pPr>
            <w:r>
              <w:rPr>
                <w:rFonts w:ascii="Arial" w:cs="Arial" w:eastAsia="Arial" w:hAnsi="Arial"/>
                <w:sz w:val="18"/>
                <w:szCs w:val="18"/>
                <w:color w:val="auto"/>
              </w:rPr>
              <w:t>16,273</w:t>
            </w:r>
          </w:p>
        </w:tc>
        <w:tc>
          <w:tcPr>
            <w:tcW w:w="1440" w:type="dxa"/>
            <w:vAlign w:val="bottom"/>
          </w:tcPr>
          <w:p>
            <w:pPr>
              <w:jc w:val="right"/>
              <w:spacing w:after="0"/>
              <w:rPr>
                <w:sz w:val="20"/>
                <w:szCs w:val="20"/>
                <w:color w:val="auto"/>
              </w:rPr>
            </w:pPr>
            <w:r>
              <w:rPr>
                <w:rFonts w:ascii="Arial" w:cs="Arial" w:eastAsia="Arial" w:hAnsi="Arial"/>
                <w:sz w:val="18"/>
                <w:szCs w:val="18"/>
                <w:color w:val="auto"/>
              </w:rPr>
              <w:t>19,209</w:t>
            </w:r>
          </w:p>
        </w:tc>
      </w:tr>
      <w:tr>
        <w:trPr>
          <w:trHeight w:val="230"/>
        </w:trPr>
        <w:tc>
          <w:tcPr>
            <w:tcW w:w="48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Equity in earnings of TNI and MNI</w:t>
            </w:r>
          </w:p>
        </w:tc>
        <w:tc>
          <w:tcPr>
            <w:tcW w:w="17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(1,206)</w:t>
            </w:r>
          </w:p>
        </w:tc>
        <w:tc>
          <w:tcPr>
            <w:tcW w:w="15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(672)</w:t>
            </w:r>
          </w:p>
        </w:tc>
        <w:tc>
          <w:tcPr>
            <w:tcW w:w="16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(2,747)</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(2,340)</w:t>
            </w:r>
          </w:p>
        </w:tc>
      </w:tr>
      <w:tr>
        <w:trPr>
          <w:trHeight w:val="229"/>
        </w:trPr>
        <w:tc>
          <w:tcPr>
            <w:tcW w:w="4840" w:type="dxa"/>
            <w:vAlign w:val="bottom"/>
          </w:tcPr>
          <w:p>
            <w:pPr>
              <w:ind w:left="140"/>
              <w:spacing w:after="0"/>
              <w:rPr>
                <w:sz w:val="20"/>
                <w:szCs w:val="20"/>
                <w:color w:val="auto"/>
              </w:rPr>
            </w:pPr>
            <w:r>
              <w:rPr>
                <w:rFonts w:ascii="Arial" w:cs="Arial" w:eastAsia="Arial" w:hAnsi="Arial"/>
                <w:sz w:val="18"/>
                <w:szCs w:val="18"/>
                <w:color w:val="auto"/>
              </w:rPr>
              <w:t>Depreciation and amortization</w:t>
            </w:r>
          </w:p>
        </w:tc>
        <w:tc>
          <w:tcPr>
            <w:tcW w:w="1780" w:type="dxa"/>
            <w:vAlign w:val="bottom"/>
          </w:tcPr>
          <w:p>
            <w:pPr>
              <w:jc w:val="right"/>
              <w:ind w:right="150"/>
              <w:spacing w:after="0"/>
              <w:rPr>
                <w:sz w:val="20"/>
                <w:szCs w:val="20"/>
                <w:color w:val="auto"/>
              </w:rPr>
            </w:pPr>
            <w:r>
              <w:rPr>
                <w:rFonts w:ascii="Arial" w:cs="Arial" w:eastAsia="Arial" w:hAnsi="Arial"/>
                <w:sz w:val="18"/>
                <w:szCs w:val="18"/>
                <w:color w:val="auto"/>
              </w:rPr>
              <w:t>7,293</w:t>
            </w:r>
          </w:p>
        </w:tc>
        <w:tc>
          <w:tcPr>
            <w:tcW w:w="1580" w:type="dxa"/>
            <w:vAlign w:val="bottom"/>
          </w:tcPr>
          <w:p>
            <w:pPr>
              <w:jc w:val="right"/>
              <w:ind w:right="130"/>
              <w:spacing w:after="0"/>
              <w:rPr>
                <w:sz w:val="20"/>
                <w:szCs w:val="20"/>
                <w:color w:val="auto"/>
              </w:rPr>
            </w:pPr>
            <w:r>
              <w:rPr>
                <w:rFonts w:ascii="Arial" w:cs="Arial" w:eastAsia="Arial" w:hAnsi="Arial"/>
                <w:sz w:val="18"/>
                <w:szCs w:val="18"/>
                <w:color w:val="auto"/>
              </w:rPr>
              <w:t>7,733</w:t>
            </w:r>
          </w:p>
        </w:tc>
        <w:tc>
          <w:tcPr>
            <w:tcW w:w="1600" w:type="dxa"/>
            <w:vAlign w:val="bottom"/>
          </w:tcPr>
          <w:p>
            <w:pPr>
              <w:jc w:val="right"/>
              <w:ind w:right="130"/>
              <w:spacing w:after="0"/>
              <w:rPr>
                <w:sz w:val="20"/>
                <w:szCs w:val="20"/>
                <w:color w:val="auto"/>
              </w:rPr>
            </w:pPr>
            <w:r>
              <w:rPr>
                <w:rFonts w:ascii="Arial" w:cs="Arial" w:eastAsia="Arial" w:hAnsi="Arial"/>
                <w:sz w:val="18"/>
                <w:szCs w:val="18"/>
                <w:color w:val="auto"/>
              </w:rPr>
              <w:t>14,588</w:t>
            </w:r>
          </w:p>
        </w:tc>
        <w:tc>
          <w:tcPr>
            <w:tcW w:w="1440" w:type="dxa"/>
            <w:vAlign w:val="bottom"/>
          </w:tcPr>
          <w:p>
            <w:pPr>
              <w:jc w:val="right"/>
              <w:spacing w:after="0"/>
              <w:rPr>
                <w:sz w:val="20"/>
                <w:szCs w:val="20"/>
                <w:color w:val="auto"/>
              </w:rPr>
            </w:pPr>
            <w:r>
              <w:rPr>
                <w:rFonts w:ascii="Arial" w:cs="Arial" w:eastAsia="Arial" w:hAnsi="Arial"/>
                <w:sz w:val="18"/>
                <w:szCs w:val="18"/>
                <w:color w:val="auto"/>
              </w:rPr>
              <w:t>15,619</w:t>
            </w:r>
          </w:p>
        </w:tc>
      </w:tr>
      <w:tr>
        <w:trPr>
          <w:trHeight w:val="230"/>
        </w:trPr>
        <w:tc>
          <w:tcPr>
            <w:tcW w:w="48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Restructuring costs and other</w:t>
            </w:r>
          </w:p>
        </w:tc>
        <w:tc>
          <w:tcPr>
            <w:tcW w:w="17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4,139</w:t>
            </w:r>
          </w:p>
        </w:tc>
        <w:tc>
          <w:tcPr>
            <w:tcW w:w="15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3,694</w:t>
            </w:r>
          </w:p>
        </w:tc>
        <w:tc>
          <w:tcPr>
            <w:tcW w:w="16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8,404</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4,340</w:t>
            </w:r>
          </w:p>
        </w:tc>
      </w:tr>
      <w:tr>
        <w:trPr>
          <w:trHeight w:val="230"/>
        </w:trPr>
        <w:tc>
          <w:tcPr>
            <w:tcW w:w="4840" w:type="dxa"/>
            <w:vAlign w:val="bottom"/>
          </w:tcPr>
          <w:p>
            <w:pPr>
              <w:ind w:left="140"/>
              <w:spacing w:after="0"/>
              <w:rPr>
                <w:sz w:val="20"/>
                <w:szCs w:val="20"/>
                <w:color w:val="auto"/>
              </w:rPr>
            </w:pPr>
            <w:r>
              <w:rPr>
                <w:rFonts w:ascii="Arial" w:cs="Arial" w:eastAsia="Arial" w:hAnsi="Arial"/>
                <w:sz w:val="18"/>
                <w:szCs w:val="18"/>
                <w:color w:val="auto"/>
              </w:rPr>
              <w:t>Assets loss (gain) on sales, impairments and other, net</w:t>
            </w:r>
          </w:p>
        </w:tc>
        <w:tc>
          <w:tcPr>
            <w:tcW w:w="1780" w:type="dxa"/>
            <w:vAlign w:val="bottom"/>
          </w:tcPr>
          <w:p>
            <w:pPr>
              <w:jc w:val="right"/>
              <w:ind w:right="150"/>
              <w:spacing w:after="0"/>
              <w:rPr>
                <w:sz w:val="20"/>
                <w:szCs w:val="20"/>
                <w:color w:val="auto"/>
              </w:rPr>
            </w:pPr>
            <w:r>
              <w:rPr>
                <w:rFonts w:ascii="Arial" w:cs="Arial" w:eastAsia="Arial" w:hAnsi="Arial"/>
                <w:sz w:val="18"/>
                <w:szCs w:val="18"/>
                <w:color w:val="auto"/>
              </w:rPr>
              <w:t>7,617</w:t>
            </w:r>
          </w:p>
        </w:tc>
        <w:tc>
          <w:tcPr>
            <w:tcW w:w="1580" w:type="dxa"/>
            <w:vAlign w:val="bottom"/>
          </w:tcPr>
          <w:p>
            <w:pPr>
              <w:jc w:val="right"/>
              <w:ind w:right="90"/>
              <w:spacing w:after="0"/>
              <w:rPr>
                <w:sz w:val="20"/>
                <w:szCs w:val="20"/>
                <w:color w:val="auto"/>
              </w:rPr>
            </w:pPr>
            <w:r>
              <w:rPr>
                <w:rFonts w:ascii="Arial" w:cs="Arial" w:eastAsia="Arial" w:hAnsi="Arial"/>
                <w:sz w:val="18"/>
                <w:szCs w:val="18"/>
                <w:color w:val="auto"/>
              </w:rPr>
              <w:t>(792)</w:t>
            </w:r>
          </w:p>
        </w:tc>
        <w:tc>
          <w:tcPr>
            <w:tcW w:w="1600" w:type="dxa"/>
            <w:vAlign w:val="bottom"/>
          </w:tcPr>
          <w:p>
            <w:pPr>
              <w:jc w:val="right"/>
              <w:ind w:right="130"/>
              <w:spacing w:after="0"/>
              <w:rPr>
                <w:sz w:val="20"/>
                <w:szCs w:val="20"/>
                <w:color w:val="auto"/>
              </w:rPr>
            </w:pPr>
            <w:r>
              <w:rPr>
                <w:rFonts w:ascii="Arial" w:cs="Arial" w:eastAsia="Arial" w:hAnsi="Arial"/>
                <w:sz w:val="18"/>
                <w:szCs w:val="18"/>
                <w:color w:val="auto"/>
              </w:rPr>
              <w:t>6,148</w:t>
            </w:r>
          </w:p>
        </w:tc>
        <w:tc>
          <w:tcPr>
            <w:tcW w:w="1440" w:type="dxa"/>
            <w:vAlign w:val="bottom"/>
          </w:tcPr>
          <w:p>
            <w:pPr>
              <w:jc w:val="right"/>
              <w:spacing w:after="0"/>
              <w:rPr>
                <w:sz w:val="20"/>
                <w:szCs w:val="20"/>
                <w:color w:val="auto"/>
              </w:rPr>
            </w:pPr>
            <w:r>
              <w:rPr>
                <w:rFonts w:ascii="Arial" w:cs="Arial" w:eastAsia="Arial" w:hAnsi="Arial"/>
                <w:sz w:val="18"/>
                <w:szCs w:val="18"/>
                <w:color w:val="auto"/>
              </w:rPr>
              <w:t>(3,355)</w:t>
            </w:r>
          </w:p>
        </w:tc>
      </w:tr>
      <w:tr>
        <w:trPr>
          <w:trHeight w:val="230"/>
        </w:trPr>
        <w:tc>
          <w:tcPr>
            <w:tcW w:w="48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Stock compensation</w:t>
            </w:r>
          </w:p>
        </w:tc>
        <w:tc>
          <w:tcPr>
            <w:tcW w:w="17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501</w:t>
            </w:r>
          </w:p>
        </w:tc>
        <w:tc>
          <w:tcPr>
            <w:tcW w:w="15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573</w:t>
            </w:r>
          </w:p>
        </w:tc>
        <w:tc>
          <w:tcPr>
            <w:tcW w:w="16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715</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922</w:t>
            </w:r>
          </w:p>
        </w:tc>
      </w:tr>
      <w:tr>
        <w:trPr>
          <w:trHeight w:val="229"/>
        </w:trPr>
        <w:tc>
          <w:tcPr>
            <w:tcW w:w="4840" w:type="dxa"/>
            <w:vAlign w:val="bottom"/>
          </w:tcPr>
          <w:p>
            <w:pPr>
              <w:ind w:left="20"/>
              <w:spacing w:after="0"/>
              <w:rPr>
                <w:sz w:val="20"/>
                <w:szCs w:val="20"/>
                <w:color w:val="auto"/>
              </w:rPr>
            </w:pPr>
            <w:r>
              <w:rPr>
                <w:rFonts w:ascii="Arial" w:cs="Arial" w:eastAsia="Arial" w:hAnsi="Arial"/>
                <w:sz w:val="18"/>
                <w:szCs w:val="18"/>
                <w:color w:val="auto"/>
              </w:rPr>
              <w:t>Add:</w:t>
            </w:r>
          </w:p>
        </w:tc>
        <w:tc>
          <w:tcPr>
            <w:tcW w:w="178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440" w:type="dxa"/>
            <w:vAlign w:val="bottom"/>
          </w:tcPr>
          <w:p>
            <w:pPr>
              <w:spacing w:after="0"/>
              <w:rPr>
                <w:sz w:val="19"/>
                <w:szCs w:val="19"/>
                <w:color w:val="auto"/>
              </w:rPr>
            </w:pPr>
          </w:p>
        </w:tc>
      </w:tr>
      <w:tr>
        <w:trPr>
          <w:trHeight w:val="230"/>
        </w:trPr>
        <w:tc>
          <w:tcPr>
            <w:tcW w:w="484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Ownership share of TNI and MNI EBITDA (50%)</w:t>
            </w:r>
          </w:p>
        </w:tc>
        <w:tc>
          <w:tcPr>
            <w:tcW w:w="178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1,269</w:t>
            </w:r>
          </w:p>
        </w:tc>
        <w:tc>
          <w:tcPr>
            <w:tcW w:w="158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930</w:t>
            </w:r>
          </w:p>
        </w:tc>
        <w:tc>
          <w:tcPr>
            <w:tcW w:w="160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3,321</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2,722</w:t>
            </w:r>
          </w:p>
        </w:tc>
      </w:tr>
      <w:tr>
        <w:trPr>
          <w:trHeight w:val="223"/>
        </w:trPr>
        <w:tc>
          <w:tcPr>
            <w:tcW w:w="48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Adjusted EBITDA</w:t>
            </w:r>
          </w:p>
        </w:tc>
        <w:tc>
          <w:tcPr>
            <w:tcW w:w="17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15,061</w:t>
            </w:r>
          </w:p>
        </w:tc>
        <w:tc>
          <w:tcPr>
            <w:tcW w:w="15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14,324</w:t>
            </w:r>
          </w:p>
        </w:tc>
        <w:tc>
          <w:tcPr>
            <w:tcW w:w="16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33,710</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31,944</w:t>
            </w:r>
          </w:p>
        </w:tc>
      </w:tr>
      <w:tr>
        <w:trPr>
          <w:trHeight w:val="20"/>
        </w:trPr>
        <w:tc>
          <w:tcPr>
            <w:tcW w:w="484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r>
        <w:trPr>
          <w:trHeight w:val="902"/>
        </w:trPr>
        <w:tc>
          <w:tcPr>
            <w:tcW w:w="4840" w:type="dxa"/>
            <w:vAlign w:val="bottom"/>
          </w:tcPr>
          <w:p>
            <w:pPr>
              <w:spacing w:after="0"/>
              <w:rPr>
                <w:sz w:val="24"/>
                <w:szCs w:val="24"/>
                <w:color w:val="auto"/>
              </w:rPr>
            </w:pPr>
          </w:p>
        </w:tc>
        <w:tc>
          <w:tcPr>
            <w:tcW w:w="1780" w:type="dxa"/>
            <w:vAlign w:val="bottom"/>
          </w:tcPr>
          <w:p>
            <w:pPr>
              <w:jc w:val="right"/>
              <w:ind w:right="810"/>
              <w:spacing w:after="0"/>
              <w:rPr>
                <w:sz w:val="20"/>
                <w:szCs w:val="20"/>
                <w:color w:val="auto"/>
              </w:rPr>
            </w:pPr>
            <w:r>
              <w:rPr>
                <w:rFonts w:ascii="Arial" w:cs="Arial" w:eastAsia="Arial" w:hAnsi="Arial"/>
                <w:sz w:val="18"/>
                <w:szCs w:val="18"/>
                <w:color w:val="auto"/>
              </w:rPr>
              <w:t>21</w:t>
            </w:r>
          </w:p>
        </w:tc>
        <w:tc>
          <w:tcPr>
            <w:tcW w:w="15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111"/>
        </w:trPr>
        <w:tc>
          <w:tcPr>
            <w:tcW w:w="4840" w:type="dxa"/>
            <w:vAlign w:val="bottom"/>
            <w:tcBorders>
              <w:bottom w:val="single" w:sz="8" w:color="9A9A9A"/>
            </w:tcBorders>
          </w:tcPr>
          <w:p>
            <w:pPr>
              <w:spacing w:after="0"/>
              <w:rPr>
                <w:sz w:val="9"/>
                <w:szCs w:val="9"/>
                <w:color w:val="auto"/>
              </w:rPr>
            </w:pPr>
          </w:p>
        </w:tc>
        <w:tc>
          <w:tcPr>
            <w:tcW w:w="1780" w:type="dxa"/>
            <w:vAlign w:val="bottom"/>
            <w:tcBorders>
              <w:bottom w:val="single" w:sz="8" w:color="9A9A9A"/>
            </w:tcBorders>
          </w:tcPr>
          <w:p>
            <w:pPr>
              <w:spacing w:after="0"/>
              <w:rPr>
                <w:sz w:val="9"/>
                <w:szCs w:val="9"/>
                <w:color w:val="auto"/>
              </w:rPr>
            </w:pPr>
          </w:p>
        </w:tc>
        <w:tc>
          <w:tcPr>
            <w:tcW w:w="1580" w:type="dxa"/>
            <w:vAlign w:val="bottom"/>
            <w:tcBorders>
              <w:bottom w:val="single" w:sz="8" w:color="9A9A9A"/>
            </w:tcBorders>
          </w:tcPr>
          <w:p>
            <w:pPr>
              <w:spacing w:after="0"/>
              <w:rPr>
                <w:sz w:val="9"/>
                <w:szCs w:val="9"/>
                <w:color w:val="auto"/>
              </w:rPr>
            </w:pPr>
          </w:p>
        </w:tc>
        <w:tc>
          <w:tcPr>
            <w:tcW w:w="1600" w:type="dxa"/>
            <w:vAlign w:val="bottom"/>
            <w:tcBorders>
              <w:bottom w:val="single" w:sz="8" w:color="9A9A9A"/>
            </w:tcBorders>
          </w:tcPr>
          <w:p>
            <w:pPr>
              <w:spacing w:after="0"/>
              <w:rPr>
                <w:sz w:val="9"/>
                <w:szCs w:val="9"/>
                <w:color w:val="auto"/>
              </w:rPr>
            </w:pPr>
          </w:p>
        </w:tc>
        <w:tc>
          <w:tcPr>
            <w:tcW w:w="144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The table below reconciles the non-GAAP financial performance measure of Cash Costs to Operating expenses, the most directly comparable GAAP measure:</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4840" w:type="dxa"/>
            <w:vAlign w:val="bottom"/>
            <w:tcBorders>
              <w:top w:val="single" w:sz="8" w:color="auto"/>
              <w:bottom w:val="single" w:sz="8" w:color="auto"/>
            </w:tcBorders>
          </w:tcPr>
          <w:p>
            <w:pPr>
              <w:spacing w:after="0"/>
              <w:rPr>
                <w:sz w:val="21"/>
                <w:szCs w:val="21"/>
                <w:color w:val="auto"/>
              </w:rPr>
            </w:pPr>
          </w:p>
        </w:tc>
        <w:tc>
          <w:tcPr>
            <w:tcW w:w="3360" w:type="dxa"/>
            <w:vAlign w:val="bottom"/>
            <w:tcBorders>
              <w:top w:val="single" w:sz="8" w:color="auto"/>
              <w:bottom w:val="single" w:sz="8" w:color="auto"/>
            </w:tcBorders>
            <w:gridSpan w:val="2"/>
          </w:tcPr>
          <w:p>
            <w:pPr>
              <w:jc w:val="right"/>
              <w:ind w:right="810"/>
              <w:spacing w:after="0"/>
              <w:rPr>
                <w:sz w:val="20"/>
                <w:szCs w:val="20"/>
                <w:color w:val="auto"/>
              </w:rPr>
            </w:pPr>
            <w:r>
              <w:rPr>
                <w:rFonts w:ascii="Arial" w:cs="Arial" w:eastAsia="Arial" w:hAnsi="Arial"/>
                <w:sz w:val="18"/>
                <w:szCs w:val="18"/>
                <w:color w:val="auto"/>
              </w:rPr>
              <w:t>Three months ended</w:t>
            </w:r>
          </w:p>
        </w:tc>
        <w:tc>
          <w:tcPr>
            <w:tcW w:w="3040" w:type="dxa"/>
            <w:vAlign w:val="bottom"/>
            <w:tcBorders>
              <w:top w:val="single" w:sz="8" w:color="auto"/>
              <w:bottom w:val="single" w:sz="8" w:color="auto"/>
            </w:tcBorders>
            <w:gridSpan w:val="2"/>
          </w:tcPr>
          <w:p>
            <w:pPr>
              <w:jc w:val="right"/>
              <w:ind w:right="790"/>
              <w:spacing w:after="0"/>
              <w:rPr>
                <w:sz w:val="20"/>
                <w:szCs w:val="20"/>
                <w:color w:val="auto"/>
              </w:rPr>
            </w:pPr>
            <w:r>
              <w:rPr>
                <w:rFonts w:ascii="Arial" w:cs="Arial" w:eastAsia="Arial" w:hAnsi="Arial"/>
                <w:sz w:val="18"/>
                <w:szCs w:val="18"/>
                <w:color w:val="auto"/>
              </w:rPr>
              <w:t>Six months ended</w:t>
            </w:r>
          </w:p>
        </w:tc>
      </w:tr>
      <w:tr>
        <w:trPr>
          <w:trHeight w:val="223"/>
        </w:trPr>
        <w:tc>
          <w:tcPr>
            <w:tcW w:w="4840" w:type="dxa"/>
            <w:vAlign w:val="bottom"/>
            <w:tcBorders>
              <w:bottom w:val="single" w:sz="8" w:color="auto"/>
            </w:tcBorders>
          </w:tcPr>
          <w:p>
            <w:pPr>
              <w:ind w:left="20"/>
              <w:spacing w:after="0"/>
              <w:rPr>
                <w:sz w:val="20"/>
                <w:szCs w:val="20"/>
                <w:color w:val="auto"/>
              </w:rPr>
            </w:pPr>
            <w:r>
              <w:rPr>
                <w:rFonts w:ascii="Arial" w:cs="Arial" w:eastAsia="Arial" w:hAnsi="Arial"/>
                <w:sz w:val="16"/>
                <w:szCs w:val="16"/>
                <w:i w:val="1"/>
                <w:iCs w:val="1"/>
                <w:color w:val="auto"/>
              </w:rPr>
              <w:t>(Thousands of Dollars)</w:t>
            </w:r>
          </w:p>
        </w:tc>
        <w:tc>
          <w:tcPr>
            <w:tcW w:w="17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March 24, 2024</w:t>
            </w:r>
          </w:p>
        </w:tc>
        <w:tc>
          <w:tcPr>
            <w:tcW w:w="15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March 26, 2023</w:t>
            </w:r>
          </w:p>
        </w:tc>
        <w:tc>
          <w:tcPr>
            <w:tcW w:w="16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March 24, 2024</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March 26, 2023</w:t>
            </w:r>
          </w:p>
        </w:tc>
      </w:tr>
      <w:tr>
        <w:trPr>
          <w:trHeight w:val="250"/>
        </w:trPr>
        <w:tc>
          <w:tcPr>
            <w:tcW w:w="4840" w:type="dxa"/>
            <w:vAlign w:val="bottom"/>
          </w:tcPr>
          <w:p>
            <w:pPr>
              <w:spacing w:after="0"/>
              <w:rPr>
                <w:sz w:val="21"/>
                <w:szCs w:val="21"/>
                <w:color w:val="auto"/>
              </w:rPr>
            </w:pPr>
          </w:p>
        </w:tc>
        <w:tc>
          <w:tcPr>
            <w:tcW w:w="178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440" w:type="dxa"/>
            <w:vAlign w:val="bottom"/>
          </w:tcPr>
          <w:p>
            <w:pPr>
              <w:spacing w:after="0"/>
              <w:rPr>
                <w:sz w:val="21"/>
                <w:szCs w:val="21"/>
                <w:color w:val="auto"/>
              </w:rPr>
            </w:pPr>
          </w:p>
        </w:tc>
      </w:tr>
      <w:tr>
        <w:trPr>
          <w:trHeight w:val="229"/>
        </w:trPr>
        <w:tc>
          <w:tcPr>
            <w:tcW w:w="4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expenses</w:t>
            </w:r>
          </w:p>
        </w:tc>
        <w:tc>
          <w:tcPr>
            <w:tcW w:w="17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152,308</w:t>
            </w:r>
          </w:p>
        </w:tc>
        <w:tc>
          <w:tcPr>
            <w:tcW w:w="15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168,501</w:t>
            </w:r>
          </w:p>
        </w:tc>
        <w:tc>
          <w:tcPr>
            <w:tcW w:w="16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301,694</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344,122</w:t>
            </w:r>
          </w:p>
        </w:tc>
      </w:tr>
      <w:tr>
        <w:trPr>
          <w:trHeight w:val="230"/>
        </w:trPr>
        <w:tc>
          <w:tcPr>
            <w:tcW w:w="4840" w:type="dxa"/>
            <w:vAlign w:val="bottom"/>
          </w:tcPr>
          <w:p>
            <w:pPr>
              <w:ind w:left="20"/>
              <w:spacing w:after="0"/>
              <w:rPr>
                <w:sz w:val="20"/>
                <w:szCs w:val="20"/>
                <w:color w:val="auto"/>
              </w:rPr>
            </w:pPr>
            <w:r>
              <w:rPr>
                <w:rFonts w:ascii="Arial" w:cs="Arial" w:eastAsia="Arial" w:hAnsi="Arial"/>
                <w:sz w:val="18"/>
                <w:szCs w:val="18"/>
                <w:color w:val="auto"/>
              </w:rPr>
              <w:t>Adjustments</w:t>
            </w:r>
          </w:p>
        </w:tc>
        <w:tc>
          <w:tcPr>
            <w:tcW w:w="178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440" w:type="dxa"/>
            <w:vAlign w:val="bottom"/>
          </w:tcPr>
          <w:p>
            <w:pPr>
              <w:spacing w:after="0"/>
              <w:rPr>
                <w:sz w:val="19"/>
                <w:szCs w:val="19"/>
                <w:color w:val="auto"/>
              </w:rPr>
            </w:pPr>
          </w:p>
        </w:tc>
      </w:tr>
      <w:tr>
        <w:trPr>
          <w:trHeight w:val="229"/>
        </w:trPr>
        <w:tc>
          <w:tcPr>
            <w:tcW w:w="48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Depreciation and amortization</w:t>
            </w:r>
          </w:p>
        </w:tc>
        <w:tc>
          <w:tcPr>
            <w:tcW w:w="17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7,293</w:t>
            </w:r>
          </w:p>
        </w:tc>
        <w:tc>
          <w:tcPr>
            <w:tcW w:w="15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7,733</w:t>
            </w:r>
          </w:p>
        </w:tc>
        <w:tc>
          <w:tcPr>
            <w:tcW w:w="16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14,588</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15,619</w:t>
            </w:r>
          </w:p>
        </w:tc>
      </w:tr>
      <w:tr>
        <w:trPr>
          <w:trHeight w:val="229"/>
        </w:trPr>
        <w:tc>
          <w:tcPr>
            <w:tcW w:w="4840" w:type="dxa"/>
            <w:vAlign w:val="bottom"/>
          </w:tcPr>
          <w:p>
            <w:pPr>
              <w:ind w:left="140"/>
              <w:spacing w:after="0"/>
              <w:rPr>
                <w:sz w:val="20"/>
                <w:szCs w:val="20"/>
                <w:color w:val="auto"/>
              </w:rPr>
            </w:pPr>
            <w:r>
              <w:rPr>
                <w:rFonts w:ascii="Arial" w:cs="Arial" w:eastAsia="Arial" w:hAnsi="Arial"/>
                <w:sz w:val="18"/>
                <w:szCs w:val="18"/>
                <w:color w:val="auto"/>
              </w:rPr>
              <w:t>Assets loss (gain) on sales, impairments and other, net</w:t>
            </w:r>
          </w:p>
        </w:tc>
        <w:tc>
          <w:tcPr>
            <w:tcW w:w="1780" w:type="dxa"/>
            <w:vAlign w:val="bottom"/>
          </w:tcPr>
          <w:p>
            <w:pPr>
              <w:jc w:val="right"/>
              <w:ind w:right="150"/>
              <w:spacing w:after="0"/>
              <w:rPr>
                <w:sz w:val="20"/>
                <w:szCs w:val="20"/>
                <w:color w:val="auto"/>
              </w:rPr>
            </w:pPr>
            <w:r>
              <w:rPr>
                <w:rFonts w:ascii="Arial" w:cs="Arial" w:eastAsia="Arial" w:hAnsi="Arial"/>
                <w:sz w:val="18"/>
                <w:szCs w:val="18"/>
                <w:color w:val="auto"/>
              </w:rPr>
              <w:t>7,617</w:t>
            </w:r>
          </w:p>
        </w:tc>
        <w:tc>
          <w:tcPr>
            <w:tcW w:w="1580" w:type="dxa"/>
            <w:vAlign w:val="bottom"/>
          </w:tcPr>
          <w:p>
            <w:pPr>
              <w:jc w:val="right"/>
              <w:ind w:right="90"/>
              <w:spacing w:after="0"/>
              <w:rPr>
                <w:sz w:val="20"/>
                <w:szCs w:val="20"/>
                <w:color w:val="auto"/>
              </w:rPr>
            </w:pPr>
            <w:r>
              <w:rPr>
                <w:rFonts w:ascii="Arial" w:cs="Arial" w:eastAsia="Arial" w:hAnsi="Arial"/>
                <w:sz w:val="18"/>
                <w:szCs w:val="18"/>
                <w:color w:val="auto"/>
              </w:rPr>
              <w:t>(792)</w:t>
            </w:r>
          </w:p>
        </w:tc>
        <w:tc>
          <w:tcPr>
            <w:tcW w:w="1600" w:type="dxa"/>
            <w:vAlign w:val="bottom"/>
          </w:tcPr>
          <w:p>
            <w:pPr>
              <w:jc w:val="right"/>
              <w:ind w:right="130"/>
              <w:spacing w:after="0"/>
              <w:rPr>
                <w:sz w:val="20"/>
                <w:szCs w:val="20"/>
                <w:color w:val="auto"/>
              </w:rPr>
            </w:pPr>
            <w:r>
              <w:rPr>
                <w:rFonts w:ascii="Arial" w:cs="Arial" w:eastAsia="Arial" w:hAnsi="Arial"/>
                <w:sz w:val="18"/>
                <w:szCs w:val="18"/>
                <w:color w:val="auto"/>
              </w:rPr>
              <w:t>6,148</w:t>
            </w:r>
          </w:p>
        </w:tc>
        <w:tc>
          <w:tcPr>
            <w:tcW w:w="1440" w:type="dxa"/>
            <w:vAlign w:val="bottom"/>
          </w:tcPr>
          <w:p>
            <w:pPr>
              <w:jc w:val="right"/>
              <w:spacing w:after="0"/>
              <w:rPr>
                <w:sz w:val="20"/>
                <w:szCs w:val="20"/>
                <w:color w:val="auto"/>
              </w:rPr>
            </w:pPr>
            <w:r>
              <w:rPr>
                <w:rFonts w:ascii="Arial" w:cs="Arial" w:eastAsia="Arial" w:hAnsi="Arial"/>
                <w:sz w:val="18"/>
                <w:szCs w:val="18"/>
                <w:color w:val="auto"/>
              </w:rPr>
              <w:t>(3,355)</w:t>
            </w:r>
          </w:p>
        </w:tc>
      </w:tr>
      <w:tr>
        <w:trPr>
          <w:trHeight w:val="230"/>
        </w:trPr>
        <w:tc>
          <w:tcPr>
            <w:tcW w:w="484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Restructuring costs and other</w:t>
            </w:r>
          </w:p>
        </w:tc>
        <w:tc>
          <w:tcPr>
            <w:tcW w:w="178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4,139</w:t>
            </w:r>
          </w:p>
        </w:tc>
        <w:tc>
          <w:tcPr>
            <w:tcW w:w="158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3,694</w:t>
            </w:r>
          </w:p>
        </w:tc>
        <w:tc>
          <w:tcPr>
            <w:tcW w:w="160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8,404</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4,340</w:t>
            </w:r>
          </w:p>
        </w:tc>
      </w:tr>
      <w:tr>
        <w:trPr>
          <w:trHeight w:val="223"/>
        </w:trPr>
        <w:tc>
          <w:tcPr>
            <w:tcW w:w="48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Cash Costs</w:t>
            </w:r>
          </w:p>
        </w:tc>
        <w:tc>
          <w:tcPr>
            <w:tcW w:w="17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133,259</w:t>
            </w:r>
          </w:p>
        </w:tc>
        <w:tc>
          <w:tcPr>
            <w:tcW w:w="15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157,866</w:t>
            </w:r>
          </w:p>
        </w:tc>
        <w:tc>
          <w:tcPr>
            <w:tcW w:w="16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272,554</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327,518</w:t>
            </w:r>
          </w:p>
        </w:tc>
      </w:tr>
      <w:tr>
        <w:trPr>
          <w:trHeight w:val="21"/>
        </w:trPr>
        <w:tc>
          <w:tcPr>
            <w:tcW w:w="484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8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Our operations have historically generated strong positive cash flow and are expected to provide sufficient liquidity, together with cash on hand, to meet our requirements, primarily operating expenses, interest expense and capital expenditures. A summary of our cash flows is included in the narrative below.</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Operating Activities</w:t>
      </w:r>
    </w:p>
    <w:p>
      <w:pPr>
        <w:spacing w:after="0" w:line="198"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Cash provided by operating activities totaled $3.3 million in 2024 Period compared to cash provided by operating activities of $1.0 million in 2023 Period, an increase of $2.3 million. The increase was driven by an increase in working capital of $1.2 million, primarily related to favorable change in accounts receivable partially offset by a decrease in operating results of $1.0 million (defined as net loss adjusted for non-working capital items).</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Investing Activities</w:t>
      </w:r>
    </w:p>
    <w:p>
      <w:pPr>
        <w:spacing w:after="0" w:line="18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Cash provided by investing activities totaled $0.2 million in the 2024 Period compared to cash provided by investing activities of $ 4.6 million in the 2023 Period. 2024 Period and 2023 Period included $3.2 million and $5.3 million, respectively, in proceeds from the sale of assets as the Company divested non-core real estate.</w:t>
      </w:r>
    </w:p>
    <w:p>
      <w:pPr>
        <w:spacing w:after="0" w:line="144"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We anticipate that funds necessary for capital expenditures, which are expected to total up to $10.0 million in 2024, and other requirements, will be available from internally generated funds.</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Financing Activities</w:t>
      </w:r>
    </w:p>
    <w:p>
      <w:pPr>
        <w:spacing w:after="0" w:line="185"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Cash required for financing activities totaled $1.9 million in the 2024 Period compared to $2.8 million in the 2023 Period. Debt reduction accounted for nearly all the usage of funds in both periods.</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Additional Information on Liquidity</w:t>
      </w:r>
    </w:p>
    <w:p>
      <w:pPr>
        <w:spacing w:after="0" w:line="18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Our liquidity, consisting of cash on the balance sheet, totaled $16.1 million on March 24, 2024. This liquidity amount excludes any future cash flows from operations. We expect all interest and principal payments due in the next twelve months will be satisfied by existing cash and our cash flows, which will allow us to maintain an adequate level of liquidity.</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LAWS AND REGULATIONS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Wage Laws</w:t>
      </w:r>
    </w:p>
    <w:p>
      <w:pPr>
        <w:spacing w:after="0" w:line="18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United States and various state and local governments are considering increasing their respective minimum wage rates. Most of our employees are paid more than the current United States or state minimum wage rates. However, until changes to such rates are enacted, the impact of the changes cannot be determined.</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7"/>
          <w:szCs w:val="17"/>
          <w:b w:val="1"/>
          <w:bCs w:val="1"/>
          <w:color w:val="auto"/>
        </w:rPr>
        <w:t>Controls and Procedures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85"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As of September 24, 2023, under the supervision and with the participation of our senior management, including our Chief Executive Officer and Chief Financial Officer, we conducted an evaluation of the effectiveness of the design and operation of our disclosure controls and procedures, as defined in Rules 13a-15(e) and 15d-15(e) under the Exchange Act. Based on that evaluation the Company has concluded that, because the material weakness in the Company's internal control that existed as of September 24, 2023 and have not been remediated by the end of the period covered by this report, our disclosure controls and procedures were not effective.</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The material weakness identified by the Company is described below:</w:t>
      </w:r>
    </w:p>
    <w:p>
      <w:pPr>
        <w:spacing w:after="0" w:line="198" w:lineRule="exact"/>
        <w:rPr>
          <w:sz w:val="20"/>
          <w:szCs w:val="20"/>
          <w:color w:val="auto"/>
        </w:rPr>
      </w:pPr>
    </w:p>
    <w:p>
      <w:pPr>
        <w:jc w:val="both"/>
        <w:ind w:left="660" w:hanging="328"/>
        <w:spacing w:after="0" w:line="268" w:lineRule="auto"/>
        <w:tabs>
          <w:tab w:leader="none" w:pos="655" w:val="left"/>
        </w:tabs>
        <w:numPr>
          <w:ilvl w:val="0"/>
          <w:numId w:val="12"/>
        </w:numPr>
        <w:rPr>
          <w:rFonts w:ascii="Arial" w:cs="Arial" w:eastAsia="Arial" w:hAnsi="Arial"/>
          <w:sz w:val="18"/>
          <w:szCs w:val="18"/>
          <w:color w:val="auto"/>
        </w:rPr>
      </w:pPr>
      <w:r>
        <w:rPr>
          <w:rFonts w:ascii="Arial" w:cs="Arial" w:eastAsia="Arial" w:hAnsi="Arial"/>
          <w:sz w:val="18"/>
          <w:szCs w:val="18"/>
          <w:color w:val="auto"/>
        </w:rPr>
        <w:t>Management did not design and implement controls to assess the reliability of certain internally generated information, or evaluate information received from certain third-party service providers, that are relevant to certain revenue recognized in the Company's Consolidated Financial Statements.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Remediation Plans and Actions</w:t>
      </w:r>
    </w:p>
    <w:p>
      <w:pPr>
        <w:spacing w:after="0" w:line="185" w:lineRule="exact"/>
        <w:rPr>
          <w:sz w:val="20"/>
          <w:szCs w:val="20"/>
          <w:color w:val="auto"/>
        </w:rPr>
      </w:pPr>
    </w:p>
    <w:p>
      <w:pPr>
        <w:ind w:right="20"/>
        <w:spacing w:after="0" w:line="287" w:lineRule="auto"/>
        <w:rPr>
          <w:sz w:val="20"/>
          <w:szCs w:val="20"/>
          <w:color w:val="auto"/>
        </w:rPr>
      </w:pPr>
      <w:r>
        <w:rPr>
          <w:rFonts w:ascii="Arial" w:cs="Arial" w:eastAsia="Arial" w:hAnsi="Arial"/>
          <w:sz w:val="18"/>
          <w:szCs w:val="18"/>
          <w:color w:val="auto"/>
        </w:rPr>
        <w:t>Management is committed to remediating the material weakness that has been identified and maintaining an effective system of disclosure controls and procedures. During fiscal 2023, management executed certain actions steps to remediate the material weakness, including:</w:t>
      </w:r>
    </w:p>
    <w:p>
      <w:pPr>
        <w:spacing w:after="0" w:line="180" w:lineRule="exact"/>
        <w:rPr>
          <w:sz w:val="20"/>
          <w:szCs w:val="20"/>
          <w:color w:val="auto"/>
        </w:rPr>
      </w:pPr>
    </w:p>
    <w:p>
      <w:pPr>
        <w:jc w:val="both"/>
        <w:ind w:left="660" w:hanging="328"/>
        <w:spacing w:after="0" w:line="261" w:lineRule="auto"/>
        <w:tabs>
          <w:tab w:leader="none" w:pos="655" w:val="left"/>
        </w:tabs>
        <w:numPr>
          <w:ilvl w:val="0"/>
          <w:numId w:val="13"/>
        </w:numPr>
        <w:rPr>
          <w:rFonts w:ascii="Arial" w:cs="Arial" w:eastAsia="Arial" w:hAnsi="Arial"/>
          <w:sz w:val="18"/>
          <w:szCs w:val="18"/>
          <w:color w:val="auto"/>
        </w:rPr>
      </w:pPr>
      <w:r>
        <w:rPr>
          <w:rFonts w:ascii="Arial" w:cs="Arial" w:eastAsia="Arial" w:hAnsi="Arial"/>
          <w:sz w:val="18"/>
          <w:szCs w:val="18"/>
          <w:color w:val="auto"/>
        </w:rPr>
        <w:t>Established a project team to review, evaluate and remediate the material weakness in internal controls over financial reporting. The Company's recently expanded Corporate Compliance function is leading management's efforts related to effective control design, documentation and implementation, as well as remediate ineffective controls.</w:t>
      </w:r>
    </w:p>
    <w:p>
      <w:pPr>
        <w:spacing w:after="0" w:line="188" w:lineRule="exact"/>
        <w:rPr>
          <w:rFonts w:ascii="Arial" w:cs="Arial" w:eastAsia="Arial" w:hAnsi="Arial"/>
          <w:sz w:val="18"/>
          <w:szCs w:val="18"/>
          <w:color w:val="auto"/>
        </w:rPr>
      </w:pPr>
    </w:p>
    <w:p>
      <w:pPr>
        <w:ind w:left="660" w:hanging="328"/>
        <w:spacing w:after="0" w:line="287" w:lineRule="auto"/>
        <w:tabs>
          <w:tab w:leader="none" w:pos="655" w:val="left"/>
        </w:tabs>
        <w:numPr>
          <w:ilvl w:val="0"/>
          <w:numId w:val="13"/>
        </w:numPr>
        <w:rPr>
          <w:rFonts w:ascii="Arial" w:cs="Arial" w:eastAsia="Arial" w:hAnsi="Arial"/>
          <w:sz w:val="18"/>
          <w:szCs w:val="18"/>
          <w:color w:val="auto"/>
        </w:rPr>
      </w:pPr>
      <w:r>
        <w:rPr>
          <w:rFonts w:ascii="Arial" w:cs="Arial" w:eastAsia="Arial" w:hAnsi="Arial"/>
          <w:sz w:val="18"/>
          <w:szCs w:val="18"/>
          <w:color w:val="auto"/>
        </w:rPr>
        <w:t>Enhanced the design of internal controls around evaluating data provided by third-parties, which included the initial implementation of a new revenue IT system.</w:t>
      </w:r>
    </w:p>
    <w:p>
      <w:pPr>
        <w:spacing w:after="0" w:line="166"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Management will continue to execute the remediation steps outlined above until the material weakness is remediated. The material weakness will not be considered remediated until the remediated and/or newly implemented internal controls operate for a sufficient period of time and management has concluded, through testing, that these internal controls are operating effectively. We are working to have the material weakness remediated as soon as possible.</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OTHER INFORMATION</w:t>
      </w:r>
    </w:p>
    <w:p>
      <w:pPr>
        <w:spacing w:after="0" w:line="200" w:lineRule="exact"/>
        <w:rPr>
          <w:sz w:val="20"/>
          <w:szCs w:val="20"/>
          <w:color w:val="auto"/>
        </w:rPr>
      </w:pPr>
    </w:p>
    <w:p>
      <w:pPr>
        <w:spacing w:after="0" w:line="385"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7"/>
          <w:szCs w:val="17"/>
          <w:b w:val="1"/>
          <w:bCs w:val="1"/>
          <w:color w:val="auto"/>
        </w:rPr>
        <w:t>Legal Proceedings</w:t>
      </w:r>
    </w:p>
    <w:p>
      <w:pPr>
        <w:spacing w:after="0" w:line="198"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We are involved in a variety of legal actions that arise in the normal course of business. Insurance coverage mitigates potential loss for certain of these matters. While we are unable to predict the ultimate outcome of these legal actions, it is our opinion that the disposition of these matters will not have a material adverse effect on our Consolidated Financial Statements, taken as a whole.</w:t>
      </w:r>
    </w:p>
    <w:p>
      <w:pPr>
        <w:spacing w:after="0" w:line="130"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185"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Except as otherwise described herein, there have been no material changes in the risk factors previously disclosed in “Part I, Item 1A. Risk Factors” of our 2023 Form 10-K.</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Rights Agreement</w:t>
      </w:r>
    </w:p>
    <w:p>
      <w:pPr>
        <w:spacing w:after="0" w:line="252" w:lineRule="exact"/>
        <w:rPr>
          <w:sz w:val="20"/>
          <w:szCs w:val="20"/>
          <w:color w:val="auto"/>
        </w:rPr>
      </w:pPr>
    </w:p>
    <w:p>
      <w:pPr>
        <w:jc w:val="both"/>
        <w:ind w:right="20"/>
        <w:spacing w:after="0" w:line="271" w:lineRule="auto"/>
        <w:rPr>
          <w:sz w:val="20"/>
          <w:szCs w:val="20"/>
          <w:color w:val="auto"/>
        </w:rPr>
      </w:pPr>
      <w:r>
        <w:rPr>
          <w:rFonts w:ascii="Arial" w:cs="Arial" w:eastAsia="Arial" w:hAnsi="Arial"/>
          <w:sz w:val="18"/>
          <w:szCs w:val="18"/>
          <w:color w:val="auto"/>
        </w:rPr>
        <w:t>On March 28, 2024, our Board of Directors adopted a stockholder rights plan (the “Rights Agreement”). Pursuant to the Rights Agreement, on March 28, 2024, our Board of Directors declared a dividend of one</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preferred share purchase right (a “Right”), payable on April 8, 2024, for each share of our Common Stock outstanding to the stockholders of record on that date. Each Right entitles the registered holder to purchase from the Company one one-thousandth of a share of Series C Participating Convertible Preferred Stock, without par value (the “Preferred Shares”), of the Company at a price of $90.00 per one one-thousandth of a Preferred Share represented by a Right, subject to adjustment.</w:t>
      </w:r>
    </w:p>
    <w:p>
      <w:pPr>
        <w:spacing w:after="0" w:line="197"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The Rights will initially trade with our Common Stock and will generally become exercisable only if any person or group, other than certain exempt persons, acquires beneficial ownership of 15% or more of our Common Stock outstanding. In the event the Rights become exercisable, each holder of a Right, other than the triggering person(s), will be entitled to purchase additional shares of our Common Stock at a 50% discount or the Company may exchange each Right held by such holders for one share of our Common Stock. The Rights Agreement will continue in effect until March 27, 2025, or unless earlier redeemed or terminated by the Company, as provided in the Rights Agreement. The Rights have no voting or dividend privileges, and, unless and until they become exercisable, have no dilutive effect on the earnings of the Company.</w:t>
      </w:r>
    </w:p>
    <w:p>
      <w:pPr>
        <w:spacing w:after="0" w:line="216"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Rights Agreement applies equally to all current and future stockholders and is not intended to deter offers or preclude our Board of Directors from considering acquisition proposals that are fair and otherwise in the best interest of our stockholders. However, the overall effect of the Rights Agreement may render it more difficult or discourage a merger, tender offer, or other business combination involving us that is not supported by our Board of Directors.</w:t>
      </w:r>
    </w:p>
    <w:p>
      <w:pPr>
        <w:spacing w:after="0" w:line="373"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7"/>
          <w:szCs w:val="17"/>
          <w:b w:val="1"/>
          <w:bCs w:val="1"/>
          <w:color w:val="auto"/>
        </w:rPr>
        <w:t>Exhibits</w:t>
      </w:r>
    </w:p>
    <w:p>
      <w:pPr>
        <w:spacing w:after="0" w:line="198"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Exhibits marked with an asterisk (*) are incorporated by reference to documents previously filed by us with the SEC, as indicated. Exhibits marked with a plus (+) are management contracts or compensatory plan contracts or arrangements filed pursuant to Item 601(b)(10)(iii)(A) of Regulation S-K. All other documents listed are filed with this Quarterly Report on Form 10-Q.</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13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Number</w:t>
            </w:r>
          </w:p>
        </w:tc>
        <w:tc>
          <w:tcPr>
            <w:tcW w:w="1300" w:type="dxa"/>
            <w:vAlign w:val="bottom"/>
            <w:tcBorders>
              <w:top w:val="single" w:sz="8" w:color="auto"/>
              <w:bottom w:val="single" w:sz="8" w:color="auto"/>
            </w:tcBorders>
          </w:tcPr>
          <w:p>
            <w:pPr>
              <w:spacing w:after="0"/>
              <w:rPr>
                <w:sz w:val="21"/>
                <w:szCs w:val="21"/>
                <w:color w:val="auto"/>
              </w:rPr>
            </w:pPr>
          </w:p>
        </w:tc>
        <w:tc>
          <w:tcPr>
            <w:tcW w:w="680" w:type="dxa"/>
            <w:vAlign w:val="bottom"/>
            <w:tcBorders>
              <w:top w:val="single" w:sz="8" w:color="auto"/>
              <w:bottom w:val="single" w:sz="8" w:color="auto"/>
            </w:tcBorders>
          </w:tcPr>
          <w:p>
            <w:pPr>
              <w:spacing w:after="0"/>
              <w:rPr>
                <w:sz w:val="21"/>
                <w:szCs w:val="21"/>
                <w:color w:val="auto"/>
              </w:rPr>
            </w:pPr>
          </w:p>
        </w:tc>
        <w:tc>
          <w:tcPr>
            <w:tcW w:w="6800" w:type="dxa"/>
            <w:vAlign w:val="bottom"/>
            <w:tcBorders>
              <w:top w:val="single" w:sz="8" w:color="auto"/>
              <w:bottom w:val="single" w:sz="8" w:color="auto"/>
            </w:tcBorders>
            <w:gridSpan w:val="9"/>
          </w:tcPr>
          <w:p>
            <w:pPr>
              <w:ind w:left="1800"/>
              <w:spacing w:after="0"/>
              <w:rPr>
                <w:sz w:val="20"/>
                <w:szCs w:val="20"/>
                <w:color w:val="auto"/>
              </w:rPr>
            </w:pPr>
            <w:r>
              <w:rPr>
                <w:rFonts w:ascii="Arial" w:cs="Arial" w:eastAsia="Arial" w:hAnsi="Arial"/>
                <w:sz w:val="18"/>
                <w:szCs w:val="18"/>
                <w:color w:val="auto"/>
              </w:rPr>
              <w:t>Description</w:t>
            </w:r>
          </w:p>
        </w:tc>
        <w:tc>
          <w:tcPr>
            <w:tcW w:w="1080" w:type="dxa"/>
            <w:vAlign w:val="bottom"/>
            <w:tcBorders>
              <w:top w:val="single" w:sz="8" w:color="auto"/>
              <w:bottom w:val="single" w:sz="8" w:color="auto"/>
            </w:tcBorders>
          </w:tcPr>
          <w:p>
            <w:pPr>
              <w:spacing w:after="0"/>
              <w:rPr>
                <w:sz w:val="21"/>
                <w:szCs w:val="21"/>
                <w:color w:val="auto"/>
              </w:rPr>
            </w:pPr>
          </w:p>
        </w:tc>
      </w:tr>
      <w:tr>
        <w:trPr>
          <w:trHeight w:val="433"/>
        </w:trPr>
        <w:tc>
          <w:tcPr>
            <w:tcW w:w="1380" w:type="dxa"/>
            <w:vAlign w:val="bottom"/>
          </w:tcPr>
          <w:p>
            <w:pPr>
              <w:ind w:left="20"/>
              <w:spacing w:after="0"/>
              <w:rPr>
                <w:sz w:val="20"/>
                <w:szCs w:val="20"/>
                <w:color w:val="auto"/>
              </w:rPr>
            </w:pPr>
            <w:r>
              <w:rPr>
                <w:rFonts w:ascii="Arial" w:cs="Arial" w:eastAsia="Arial" w:hAnsi="Arial"/>
                <w:sz w:val="18"/>
                <w:szCs w:val="18"/>
                <w:color w:val="auto"/>
              </w:rPr>
              <w:t>3.1*</w:t>
            </w:r>
          </w:p>
        </w:tc>
        <w:tc>
          <w:tcPr>
            <w:tcW w:w="8780" w:type="dxa"/>
            <w:vAlign w:val="bottom"/>
            <w:gridSpan w:val="11"/>
          </w:tcPr>
          <w:p>
            <w:pPr>
              <w:spacing w:after="0"/>
              <w:rPr>
                <w:rFonts w:ascii="Arial" w:cs="Arial" w:eastAsia="Arial" w:hAnsi="Arial"/>
                <w:sz w:val="18"/>
                <w:szCs w:val="18"/>
                <w:color w:val="0000FF"/>
              </w:rPr>
            </w:pPr>
            <w:hyperlink r:id="rId37">
              <w:r>
                <w:rPr>
                  <w:rFonts w:ascii="Arial" w:cs="Arial" w:eastAsia="Arial" w:hAnsi="Arial"/>
                  <w:sz w:val="18"/>
                  <w:szCs w:val="18"/>
                  <w:color w:val="0000FF"/>
                </w:rPr>
                <w:t>Form of Certificate of Designations of Series C Participating Convertible Preferred Stock of Lee</w:t>
              </w:r>
            </w:hyperlink>
          </w:p>
        </w:tc>
        <w:tc>
          <w:tcPr>
            <w:tcW w:w="1080" w:type="dxa"/>
            <w:vAlign w:val="bottom"/>
          </w:tcPr>
          <w:p>
            <w:pPr>
              <w:spacing w:after="0"/>
              <w:rPr>
                <w:sz w:val="24"/>
                <w:szCs w:val="24"/>
                <w:color w:val="auto"/>
              </w:rPr>
            </w:pPr>
          </w:p>
        </w:tc>
      </w:tr>
      <w:tr>
        <w:trPr>
          <w:trHeight w:val="162"/>
        </w:trPr>
        <w:tc>
          <w:tcPr>
            <w:tcW w:w="1380" w:type="dxa"/>
            <w:vAlign w:val="bottom"/>
          </w:tcPr>
          <w:p>
            <w:pPr>
              <w:spacing w:after="0"/>
              <w:rPr>
                <w:sz w:val="14"/>
                <w:szCs w:val="14"/>
                <w:color w:val="auto"/>
              </w:rPr>
            </w:pPr>
          </w:p>
        </w:tc>
        <w:tc>
          <w:tcPr>
            <w:tcW w:w="7560" w:type="dxa"/>
            <w:vAlign w:val="bottom"/>
            <w:tcBorders>
              <w:top w:val="single" w:sz="8" w:color="0000FF"/>
            </w:tcBorders>
            <w:gridSpan w:val="7"/>
          </w:tcPr>
          <w:p>
            <w:pPr>
              <w:spacing w:after="0" w:line="162" w:lineRule="exact"/>
              <w:rPr>
                <w:rFonts w:ascii="Arial" w:cs="Arial" w:eastAsia="Arial" w:hAnsi="Arial"/>
                <w:sz w:val="18"/>
                <w:szCs w:val="18"/>
                <w:color w:val="0000FF"/>
              </w:rPr>
            </w:pPr>
            <w:hyperlink r:id="rId37">
              <w:r>
                <w:rPr>
                  <w:rFonts w:ascii="Arial" w:cs="Arial" w:eastAsia="Arial" w:hAnsi="Arial"/>
                  <w:sz w:val="18"/>
                  <w:szCs w:val="18"/>
                  <w:color w:val="0000FF"/>
                </w:rPr>
                <w:t>Enterprises, Incorporated (Exhibit 3.1 of the Company's Current Report on Form 8-K filed with</w:t>
              </w:r>
            </w:hyperlink>
          </w:p>
        </w:tc>
        <w:tc>
          <w:tcPr>
            <w:tcW w:w="1220" w:type="dxa"/>
            <w:vAlign w:val="bottom"/>
            <w:gridSpan w:val="4"/>
          </w:tcPr>
          <w:p>
            <w:pPr>
              <w:spacing w:after="0" w:line="162" w:lineRule="exact"/>
              <w:rPr>
                <w:rFonts w:ascii="Arial" w:cs="Arial" w:eastAsia="Arial" w:hAnsi="Arial"/>
                <w:sz w:val="18"/>
                <w:szCs w:val="18"/>
                <w:color w:val="0000FF"/>
              </w:rPr>
            </w:pPr>
            <w:hyperlink r:id="rId37">
              <w:r>
                <w:rPr>
                  <w:rFonts w:ascii="Arial" w:cs="Arial" w:eastAsia="Arial" w:hAnsi="Arial"/>
                  <w:sz w:val="18"/>
                  <w:szCs w:val="18"/>
                  <w:color w:val="0000FF"/>
                </w:rPr>
                <w:t>the SEC on</w:t>
              </w:r>
            </w:hyperlink>
          </w:p>
        </w:tc>
        <w:tc>
          <w:tcPr>
            <w:tcW w:w="1080" w:type="dxa"/>
            <w:vAlign w:val="bottom"/>
          </w:tcPr>
          <w:p>
            <w:pPr>
              <w:spacing w:after="0"/>
              <w:rPr>
                <w:sz w:val="14"/>
                <w:szCs w:val="14"/>
                <w:color w:val="auto"/>
              </w:rPr>
            </w:pPr>
          </w:p>
        </w:tc>
      </w:tr>
      <w:tr>
        <w:trPr>
          <w:trHeight w:val="169"/>
        </w:trPr>
        <w:tc>
          <w:tcPr>
            <w:tcW w:w="1380" w:type="dxa"/>
            <w:vAlign w:val="bottom"/>
          </w:tcPr>
          <w:p>
            <w:pPr>
              <w:spacing w:after="0"/>
              <w:rPr>
                <w:sz w:val="14"/>
                <w:szCs w:val="14"/>
                <w:color w:val="auto"/>
              </w:rPr>
            </w:pPr>
          </w:p>
        </w:tc>
        <w:tc>
          <w:tcPr>
            <w:tcW w:w="8420" w:type="dxa"/>
            <w:vAlign w:val="bottom"/>
            <w:tcBorders>
              <w:top w:val="single" w:sz="8" w:color="0000FF"/>
            </w:tcBorders>
            <w:gridSpan w:val="10"/>
          </w:tcPr>
          <w:p>
            <w:pPr>
              <w:spacing w:after="0" w:line="169" w:lineRule="exact"/>
              <w:rPr>
                <w:rFonts w:ascii="Arial" w:cs="Arial" w:eastAsia="Arial" w:hAnsi="Arial"/>
                <w:sz w:val="18"/>
                <w:szCs w:val="18"/>
                <w:color w:val="0000FF"/>
              </w:rPr>
            </w:pPr>
            <w:hyperlink r:id="rId37">
              <w:r>
                <w:rPr>
                  <w:rFonts w:ascii="Arial" w:cs="Arial" w:eastAsia="Arial" w:hAnsi="Arial"/>
                  <w:sz w:val="18"/>
                  <w:szCs w:val="18"/>
                  <w:color w:val="0000FF"/>
                </w:rPr>
                <w:t>March 29, 2024)</w:t>
              </w:r>
            </w:hyperlink>
          </w:p>
        </w:tc>
        <w:tc>
          <w:tcPr>
            <w:tcW w:w="36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20"/>
        </w:trPr>
        <w:tc>
          <w:tcPr>
            <w:tcW w:w="1380" w:type="dxa"/>
            <w:vAlign w:val="bottom"/>
          </w:tcPr>
          <w:p>
            <w:pPr>
              <w:spacing w:after="0" w:line="20" w:lineRule="exact"/>
              <w:rPr>
                <w:sz w:val="1"/>
                <w:szCs w:val="1"/>
                <w:color w:val="auto"/>
              </w:rPr>
            </w:pPr>
          </w:p>
        </w:tc>
        <w:tc>
          <w:tcPr>
            <w:tcW w:w="1300" w:type="dxa"/>
            <w:vAlign w:val="bottom"/>
            <w:shd w:val="clear" w:color="auto" w:fill="0000FF"/>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9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210"/>
        </w:trPr>
        <w:tc>
          <w:tcPr>
            <w:tcW w:w="1380" w:type="dxa"/>
            <w:vAlign w:val="bottom"/>
          </w:tcPr>
          <w:p>
            <w:pPr>
              <w:ind w:left="20"/>
              <w:spacing w:after="0"/>
              <w:rPr>
                <w:sz w:val="20"/>
                <w:szCs w:val="20"/>
                <w:color w:val="auto"/>
              </w:rPr>
            </w:pPr>
            <w:r>
              <w:rPr>
                <w:rFonts w:ascii="Arial" w:cs="Arial" w:eastAsia="Arial" w:hAnsi="Arial"/>
                <w:sz w:val="18"/>
                <w:szCs w:val="18"/>
                <w:color w:val="auto"/>
              </w:rPr>
              <w:t>4.1*</w:t>
            </w:r>
          </w:p>
        </w:tc>
        <w:tc>
          <w:tcPr>
            <w:tcW w:w="8780" w:type="dxa"/>
            <w:vAlign w:val="bottom"/>
            <w:gridSpan w:val="11"/>
          </w:tcPr>
          <w:p>
            <w:pPr>
              <w:spacing w:after="0"/>
              <w:rPr>
                <w:rFonts w:ascii="Arial" w:cs="Arial" w:eastAsia="Arial" w:hAnsi="Arial"/>
                <w:sz w:val="18"/>
                <w:szCs w:val="18"/>
                <w:color w:val="0000FF"/>
              </w:rPr>
            </w:pPr>
            <w:hyperlink r:id="rId37">
              <w:r>
                <w:rPr>
                  <w:rFonts w:ascii="Arial" w:cs="Arial" w:eastAsia="Arial" w:hAnsi="Arial"/>
                  <w:sz w:val="18"/>
                  <w:szCs w:val="18"/>
                  <w:color w:val="0000FF"/>
                </w:rPr>
                <w:t>Rights Agreement, dated as of March 28, 2024, between Lee Enterprises, Incorporated and Equiniti Trust</w:t>
              </w:r>
            </w:hyperlink>
          </w:p>
        </w:tc>
        <w:tc>
          <w:tcPr>
            <w:tcW w:w="1080" w:type="dxa"/>
            <w:vAlign w:val="bottom"/>
          </w:tcPr>
          <w:p>
            <w:pPr>
              <w:spacing w:after="0"/>
              <w:rPr>
                <w:sz w:val="18"/>
                <w:szCs w:val="18"/>
                <w:color w:val="auto"/>
              </w:rPr>
            </w:pPr>
          </w:p>
        </w:tc>
      </w:tr>
      <w:tr>
        <w:trPr>
          <w:trHeight w:val="155"/>
        </w:trPr>
        <w:tc>
          <w:tcPr>
            <w:tcW w:w="1380" w:type="dxa"/>
            <w:vAlign w:val="bottom"/>
          </w:tcPr>
          <w:p>
            <w:pPr>
              <w:spacing w:after="0"/>
              <w:rPr>
                <w:sz w:val="13"/>
                <w:szCs w:val="13"/>
                <w:color w:val="auto"/>
              </w:rPr>
            </w:pPr>
          </w:p>
        </w:tc>
        <w:tc>
          <w:tcPr>
            <w:tcW w:w="8380" w:type="dxa"/>
            <w:vAlign w:val="bottom"/>
            <w:tcBorders>
              <w:top w:val="single" w:sz="8" w:color="0000FF"/>
            </w:tcBorders>
            <w:gridSpan w:val="9"/>
          </w:tcPr>
          <w:p>
            <w:pPr>
              <w:spacing w:after="0" w:line="156" w:lineRule="exact"/>
              <w:rPr>
                <w:rFonts w:ascii="Arial" w:cs="Arial" w:eastAsia="Arial" w:hAnsi="Arial"/>
                <w:sz w:val="18"/>
                <w:szCs w:val="18"/>
                <w:color w:val="0000FF"/>
              </w:rPr>
            </w:pPr>
            <w:hyperlink r:id="rId37">
              <w:r>
                <w:rPr>
                  <w:rFonts w:ascii="Arial" w:cs="Arial" w:eastAsia="Arial" w:hAnsi="Arial"/>
                  <w:sz w:val="18"/>
                  <w:szCs w:val="18"/>
                  <w:color w:val="0000FF"/>
                </w:rPr>
                <w:t>Company, LLC, as rights agent (Exhibit 4.1 of the Company's Current Report on Form 8-K filed with the</w:t>
              </w:r>
            </w:hyperlink>
          </w:p>
        </w:tc>
        <w:tc>
          <w:tcPr>
            <w:tcW w:w="400" w:type="dxa"/>
            <w:vAlign w:val="bottom"/>
            <w:gridSpan w:val="2"/>
          </w:tcPr>
          <w:p>
            <w:pPr>
              <w:spacing w:after="0"/>
              <w:rPr>
                <w:sz w:val="13"/>
                <w:szCs w:val="13"/>
                <w:color w:val="auto"/>
              </w:rPr>
            </w:pPr>
          </w:p>
        </w:tc>
        <w:tc>
          <w:tcPr>
            <w:tcW w:w="1080" w:type="dxa"/>
            <w:vAlign w:val="bottom"/>
          </w:tcPr>
          <w:p>
            <w:pPr>
              <w:spacing w:after="0"/>
              <w:rPr>
                <w:sz w:val="13"/>
                <w:szCs w:val="13"/>
                <w:color w:val="auto"/>
              </w:rPr>
            </w:pPr>
          </w:p>
        </w:tc>
      </w:tr>
      <w:tr>
        <w:trPr>
          <w:trHeight w:val="169"/>
        </w:trPr>
        <w:tc>
          <w:tcPr>
            <w:tcW w:w="1380" w:type="dxa"/>
            <w:vAlign w:val="bottom"/>
          </w:tcPr>
          <w:p>
            <w:pPr>
              <w:spacing w:after="0"/>
              <w:rPr>
                <w:sz w:val="14"/>
                <w:szCs w:val="14"/>
                <w:color w:val="auto"/>
              </w:rPr>
            </w:pPr>
          </w:p>
        </w:tc>
        <w:tc>
          <w:tcPr>
            <w:tcW w:w="1980" w:type="dxa"/>
            <w:vAlign w:val="bottom"/>
            <w:tcBorders>
              <w:top w:val="single" w:sz="8" w:color="0000FF"/>
              <w:bottom w:val="single" w:sz="8" w:color="0000FF"/>
            </w:tcBorders>
            <w:gridSpan w:val="2"/>
          </w:tcPr>
          <w:p>
            <w:pPr>
              <w:spacing w:after="0" w:line="169" w:lineRule="exact"/>
              <w:rPr>
                <w:rFonts w:ascii="Arial" w:cs="Arial" w:eastAsia="Arial" w:hAnsi="Arial"/>
                <w:sz w:val="18"/>
                <w:szCs w:val="18"/>
                <w:color w:val="0000FF"/>
                <w:w w:val="98"/>
              </w:rPr>
            </w:pPr>
            <w:hyperlink r:id="rId37">
              <w:r>
                <w:rPr>
                  <w:rFonts w:ascii="Arial" w:cs="Arial" w:eastAsia="Arial" w:hAnsi="Arial"/>
                  <w:sz w:val="18"/>
                  <w:szCs w:val="18"/>
                  <w:color w:val="0000FF"/>
                  <w:w w:val="98"/>
                </w:rPr>
                <w:t>SEC on March 29, 2024)</w:t>
              </w:r>
            </w:hyperlink>
          </w:p>
        </w:tc>
        <w:tc>
          <w:tcPr>
            <w:tcW w:w="6220" w:type="dxa"/>
            <w:vAlign w:val="bottom"/>
            <w:tcBorders>
              <w:top w:val="single" w:sz="8" w:color="0000FF"/>
            </w:tcBorders>
            <w:gridSpan w:val="6"/>
          </w:tcPr>
          <w:p>
            <w:pPr>
              <w:spacing w:after="0"/>
              <w:rPr>
                <w:sz w:val="14"/>
                <w:szCs w:val="14"/>
                <w:color w:val="auto"/>
              </w:rPr>
            </w:pPr>
          </w:p>
        </w:tc>
        <w:tc>
          <w:tcPr>
            <w:tcW w:w="580" w:type="dxa"/>
            <w:vAlign w:val="bottom"/>
            <w:gridSpan w:val="3"/>
          </w:tcPr>
          <w:p>
            <w:pPr>
              <w:spacing w:after="0"/>
              <w:rPr>
                <w:sz w:val="14"/>
                <w:szCs w:val="14"/>
                <w:color w:val="auto"/>
              </w:rPr>
            </w:pPr>
          </w:p>
        </w:tc>
        <w:tc>
          <w:tcPr>
            <w:tcW w:w="1080" w:type="dxa"/>
            <w:vAlign w:val="bottom"/>
          </w:tcPr>
          <w:p>
            <w:pPr>
              <w:spacing w:after="0"/>
              <w:rPr>
                <w:sz w:val="14"/>
                <w:szCs w:val="14"/>
                <w:color w:val="auto"/>
              </w:rPr>
            </w:pPr>
          </w:p>
        </w:tc>
      </w:tr>
      <w:tr>
        <w:trPr>
          <w:trHeight w:val="209"/>
        </w:trPr>
        <w:tc>
          <w:tcPr>
            <w:tcW w:w="1380" w:type="dxa"/>
            <w:vAlign w:val="bottom"/>
          </w:tcPr>
          <w:p>
            <w:pPr>
              <w:ind w:left="20"/>
              <w:spacing w:after="0"/>
              <w:rPr>
                <w:sz w:val="20"/>
                <w:szCs w:val="20"/>
                <w:color w:val="auto"/>
              </w:rPr>
            </w:pPr>
            <w:r>
              <w:rPr>
                <w:rFonts w:ascii="Arial" w:cs="Arial" w:eastAsia="Arial" w:hAnsi="Arial"/>
                <w:sz w:val="18"/>
                <w:szCs w:val="18"/>
                <w:color w:val="auto"/>
              </w:rPr>
              <w:t>31.1</w:t>
            </w:r>
          </w:p>
        </w:tc>
        <w:tc>
          <w:tcPr>
            <w:tcW w:w="4280" w:type="dxa"/>
            <w:vAlign w:val="bottom"/>
            <w:tcBorders>
              <w:bottom w:val="single" w:sz="8" w:color="0000FF"/>
            </w:tcBorders>
            <w:gridSpan w:val="6"/>
          </w:tcPr>
          <w:p>
            <w:pPr>
              <w:spacing w:after="0"/>
              <w:rPr>
                <w:sz w:val="20"/>
                <w:szCs w:val="20"/>
                <w:color w:val="auto"/>
              </w:rPr>
            </w:pPr>
            <w:r>
              <w:rPr>
                <w:rFonts w:ascii="Arial" w:cs="Arial" w:eastAsia="Arial" w:hAnsi="Arial"/>
                <w:sz w:val="18"/>
                <w:szCs w:val="18"/>
                <w:color w:val="0000FF"/>
                <w:w w:val="99"/>
              </w:rPr>
              <w:t>Rule 13a-14(a) Certification of Chief Executive Officer</w:t>
            </w:r>
          </w:p>
        </w:tc>
        <w:tc>
          <w:tcPr>
            <w:tcW w:w="4500" w:type="dxa"/>
            <w:vAlign w:val="bottom"/>
            <w:gridSpan w:val="5"/>
          </w:tcPr>
          <w:p>
            <w:pPr>
              <w:spacing w:after="0"/>
              <w:rPr>
                <w:sz w:val="18"/>
                <w:szCs w:val="18"/>
                <w:color w:val="auto"/>
              </w:rPr>
            </w:pPr>
          </w:p>
        </w:tc>
        <w:tc>
          <w:tcPr>
            <w:tcW w:w="1080" w:type="dxa"/>
            <w:vAlign w:val="bottom"/>
          </w:tcPr>
          <w:p>
            <w:pPr>
              <w:ind w:left="360"/>
              <w:spacing w:after="0"/>
              <w:rPr>
                <w:sz w:val="20"/>
                <w:szCs w:val="20"/>
                <w:color w:val="auto"/>
              </w:rPr>
            </w:pPr>
            <w:r>
              <w:rPr>
                <w:rFonts w:ascii="Arial" w:cs="Arial" w:eastAsia="Arial" w:hAnsi="Arial"/>
                <w:sz w:val="18"/>
                <w:szCs w:val="18"/>
                <w:color w:val="auto"/>
                <w:w w:val="98"/>
              </w:rPr>
              <w:t>Attached</w:t>
            </w:r>
          </w:p>
        </w:tc>
      </w:tr>
      <w:tr>
        <w:trPr>
          <w:trHeight w:val="210"/>
        </w:trPr>
        <w:tc>
          <w:tcPr>
            <w:tcW w:w="1380" w:type="dxa"/>
            <w:vAlign w:val="bottom"/>
          </w:tcPr>
          <w:p>
            <w:pPr>
              <w:ind w:left="20"/>
              <w:spacing w:after="0"/>
              <w:rPr>
                <w:sz w:val="20"/>
                <w:szCs w:val="20"/>
                <w:color w:val="auto"/>
              </w:rPr>
            </w:pPr>
            <w:r>
              <w:rPr>
                <w:rFonts w:ascii="Arial" w:cs="Arial" w:eastAsia="Arial" w:hAnsi="Arial"/>
                <w:sz w:val="18"/>
                <w:szCs w:val="18"/>
                <w:color w:val="auto"/>
              </w:rPr>
              <w:t>31.2</w:t>
            </w:r>
          </w:p>
        </w:tc>
        <w:tc>
          <w:tcPr>
            <w:tcW w:w="4220" w:type="dxa"/>
            <w:vAlign w:val="bottom"/>
            <w:tcBorders>
              <w:bottom w:val="single" w:sz="8" w:color="0000FF"/>
            </w:tcBorders>
            <w:gridSpan w:val="5"/>
          </w:tcPr>
          <w:p>
            <w:pPr>
              <w:spacing w:after="0"/>
              <w:rPr>
                <w:sz w:val="20"/>
                <w:szCs w:val="20"/>
                <w:color w:val="auto"/>
              </w:rPr>
            </w:pPr>
            <w:r>
              <w:rPr>
                <w:rFonts w:ascii="Arial" w:cs="Arial" w:eastAsia="Arial" w:hAnsi="Arial"/>
                <w:sz w:val="18"/>
                <w:szCs w:val="18"/>
                <w:color w:val="0000FF"/>
                <w:w w:val="99"/>
              </w:rPr>
              <w:t>Rule 13a-14(a) Certification of Chief Financial Officer</w:t>
            </w:r>
          </w:p>
        </w:tc>
        <w:tc>
          <w:tcPr>
            <w:tcW w:w="4560" w:type="dxa"/>
            <w:vAlign w:val="bottom"/>
            <w:gridSpan w:val="6"/>
          </w:tcPr>
          <w:p>
            <w:pPr>
              <w:spacing w:after="0"/>
              <w:rPr>
                <w:sz w:val="18"/>
                <w:szCs w:val="18"/>
                <w:color w:val="auto"/>
              </w:rPr>
            </w:pPr>
          </w:p>
        </w:tc>
        <w:tc>
          <w:tcPr>
            <w:tcW w:w="1080" w:type="dxa"/>
            <w:vAlign w:val="bottom"/>
          </w:tcPr>
          <w:p>
            <w:pPr>
              <w:ind w:left="360"/>
              <w:spacing w:after="0"/>
              <w:rPr>
                <w:sz w:val="20"/>
                <w:szCs w:val="20"/>
                <w:color w:val="auto"/>
              </w:rPr>
            </w:pPr>
            <w:r>
              <w:rPr>
                <w:rFonts w:ascii="Arial" w:cs="Arial" w:eastAsia="Arial" w:hAnsi="Arial"/>
                <w:sz w:val="18"/>
                <w:szCs w:val="18"/>
                <w:color w:val="auto"/>
                <w:w w:val="98"/>
              </w:rPr>
              <w:t>Attached</w:t>
            </w:r>
          </w:p>
        </w:tc>
      </w:tr>
      <w:tr>
        <w:trPr>
          <w:trHeight w:val="210"/>
        </w:trPr>
        <w:tc>
          <w:tcPr>
            <w:tcW w:w="1380" w:type="dxa"/>
            <w:vAlign w:val="bottom"/>
          </w:tcPr>
          <w:p>
            <w:pPr>
              <w:ind w:left="20"/>
              <w:spacing w:after="0"/>
              <w:rPr>
                <w:sz w:val="20"/>
                <w:szCs w:val="20"/>
                <w:color w:val="auto"/>
              </w:rPr>
            </w:pPr>
            <w:r>
              <w:rPr>
                <w:rFonts w:ascii="Arial" w:cs="Arial" w:eastAsia="Arial" w:hAnsi="Arial"/>
                <w:sz w:val="18"/>
                <w:szCs w:val="18"/>
                <w:color w:val="auto"/>
              </w:rPr>
              <w:t>32.1</w:t>
            </w:r>
          </w:p>
        </w:tc>
        <w:tc>
          <w:tcPr>
            <w:tcW w:w="8780" w:type="dxa"/>
            <w:vAlign w:val="bottom"/>
            <w:gridSpan w:val="11"/>
          </w:tcPr>
          <w:p>
            <w:pPr>
              <w:spacing w:after="0"/>
              <w:rPr>
                <w:sz w:val="20"/>
                <w:szCs w:val="20"/>
                <w:color w:val="auto"/>
              </w:rPr>
            </w:pPr>
            <w:r>
              <w:rPr>
                <w:rFonts w:ascii="Arial" w:cs="Arial" w:eastAsia="Arial" w:hAnsi="Arial"/>
                <w:sz w:val="18"/>
                <w:szCs w:val="18"/>
                <w:color w:val="0000FF"/>
              </w:rPr>
              <w:t>Section 1350 Certification of Chief Executive Officer</w:t>
            </w:r>
          </w:p>
        </w:tc>
        <w:tc>
          <w:tcPr>
            <w:tcW w:w="1080" w:type="dxa"/>
            <w:vAlign w:val="bottom"/>
          </w:tcPr>
          <w:p>
            <w:pPr>
              <w:ind w:left="360"/>
              <w:spacing w:after="0"/>
              <w:rPr>
                <w:sz w:val="20"/>
                <w:szCs w:val="20"/>
                <w:color w:val="auto"/>
              </w:rPr>
            </w:pPr>
            <w:r>
              <w:rPr>
                <w:rFonts w:ascii="Arial" w:cs="Arial" w:eastAsia="Arial" w:hAnsi="Arial"/>
                <w:sz w:val="18"/>
                <w:szCs w:val="18"/>
                <w:color w:val="auto"/>
                <w:w w:val="98"/>
              </w:rPr>
              <w:t>Attached</w:t>
            </w:r>
          </w:p>
        </w:tc>
      </w:tr>
      <w:tr>
        <w:trPr>
          <w:trHeight w:val="210"/>
        </w:trPr>
        <w:tc>
          <w:tcPr>
            <w:tcW w:w="1380" w:type="dxa"/>
            <w:vAlign w:val="bottom"/>
          </w:tcPr>
          <w:p>
            <w:pPr>
              <w:ind w:left="20"/>
              <w:spacing w:after="0"/>
              <w:rPr>
                <w:sz w:val="20"/>
                <w:szCs w:val="20"/>
                <w:color w:val="auto"/>
              </w:rPr>
            </w:pPr>
            <w:r>
              <w:rPr>
                <w:rFonts w:ascii="Arial" w:cs="Arial" w:eastAsia="Arial" w:hAnsi="Arial"/>
                <w:sz w:val="18"/>
                <w:szCs w:val="18"/>
                <w:color w:val="auto"/>
              </w:rPr>
              <w:t>32.2</w:t>
            </w:r>
          </w:p>
        </w:tc>
        <w:tc>
          <w:tcPr>
            <w:tcW w:w="4120" w:type="dxa"/>
            <w:vAlign w:val="bottom"/>
            <w:tcBorders>
              <w:top w:val="single" w:sz="8" w:color="0000FF"/>
            </w:tcBorders>
            <w:gridSpan w:val="4"/>
          </w:tcPr>
          <w:p>
            <w:pPr>
              <w:spacing w:after="0"/>
              <w:rPr>
                <w:sz w:val="20"/>
                <w:szCs w:val="20"/>
                <w:color w:val="auto"/>
              </w:rPr>
            </w:pPr>
            <w:r>
              <w:rPr>
                <w:rFonts w:ascii="Arial" w:cs="Arial" w:eastAsia="Arial" w:hAnsi="Arial"/>
                <w:sz w:val="18"/>
                <w:szCs w:val="18"/>
                <w:color w:val="0000FF"/>
              </w:rPr>
              <w:t>Section 1350 Certification of Chief Financial Officer</w:t>
            </w:r>
          </w:p>
        </w:tc>
        <w:tc>
          <w:tcPr>
            <w:tcW w:w="4660" w:type="dxa"/>
            <w:vAlign w:val="bottom"/>
            <w:gridSpan w:val="7"/>
          </w:tcPr>
          <w:p>
            <w:pPr>
              <w:spacing w:after="0"/>
              <w:rPr>
                <w:sz w:val="18"/>
                <w:szCs w:val="18"/>
                <w:color w:val="auto"/>
              </w:rPr>
            </w:pPr>
          </w:p>
        </w:tc>
        <w:tc>
          <w:tcPr>
            <w:tcW w:w="1080" w:type="dxa"/>
            <w:vAlign w:val="bottom"/>
          </w:tcPr>
          <w:p>
            <w:pPr>
              <w:ind w:left="360"/>
              <w:spacing w:after="0"/>
              <w:rPr>
                <w:sz w:val="20"/>
                <w:szCs w:val="20"/>
                <w:color w:val="auto"/>
              </w:rPr>
            </w:pPr>
            <w:r>
              <w:rPr>
                <w:rFonts w:ascii="Arial" w:cs="Arial" w:eastAsia="Arial" w:hAnsi="Arial"/>
                <w:sz w:val="18"/>
                <w:szCs w:val="18"/>
                <w:color w:val="auto"/>
                <w:w w:val="98"/>
              </w:rPr>
              <w:t>Attached</w:t>
            </w:r>
          </w:p>
        </w:tc>
      </w:tr>
      <w:tr>
        <w:trPr>
          <w:trHeight w:val="20"/>
        </w:trPr>
        <w:tc>
          <w:tcPr>
            <w:tcW w:w="1380" w:type="dxa"/>
            <w:vAlign w:val="bottom"/>
          </w:tcPr>
          <w:p>
            <w:pPr>
              <w:spacing w:after="0" w:line="20" w:lineRule="exact"/>
              <w:rPr>
                <w:sz w:val="1"/>
                <w:szCs w:val="1"/>
                <w:color w:val="auto"/>
              </w:rPr>
            </w:pPr>
          </w:p>
        </w:tc>
        <w:tc>
          <w:tcPr>
            <w:tcW w:w="4060" w:type="dxa"/>
            <w:vAlign w:val="bottom"/>
            <w:gridSpan w:val="3"/>
            <w:shd w:val="clear" w:color="auto" w:fill="0000FF"/>
          </w:tcPr>
          <w:p>
            <w:pPr>
              <w:spacing w:after="0" w:line="20" w:lineRule="exact"/>
              <w:rPr>
                <w:sz w:val="1"/>
                <w:szCs w:val="1"/>
                <w:color w:val="auto"/>
              </w:rPr>
            </w:pPr>
          </w:p>
        </w:tc>
        <w:tc>
          <w:tcPr>
            <w:tcW w:w="4720" w:type="dxa"/>
            <w:vAlign w:val="bottom"/>
            <w:gridSpan w:val="8"/>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196"/>
        </w:trPr>
        <w:tc>
          <w:tcPr>
            <w:tcW w:w="1380" w:type="dxa"/>
            <w:vAlign w:val="bottom"/>
          </w:tcPr>
          <w:p>
            <w:pPr>
              <w:ind w:left="20"/>
              <w:spacing w:after="0" w:line="196" w:lineRule="exact"/>
              <w:rPr>
                <w:sz w:val="20"/>
                <w:szCs w:val="20"/>
                <w:color w:val="auto"/>
              </w:rPr>
            </w:pPr>
            <w:r>
              <w:rPr>
                <w:rFonts w:ascii="Arial" w:cs="Arial" w:eastAsia="Arial" w:hAnsi="Arial"/>
                <w:sz w:val="18"/>
                <w:szCs w:val="18"/>
                <w:color w:val="auto"/>
              </w:rPr>
              <w:t>101.INS</w:t>
            </w:r>
          </w:p>
        </w:tc>
        <w:tc>
          <w:tcPr>
            <w:tcW w:w="8780" w:type="dxa"/>
            <w:vAlign w:val="bottom"/>
            <w:gridSpan w:val="11"/>
          </w:tcPr>
          <w:p>
            <w:pPr>
              <w:spacing w:after="0" w:line="196" w:lineRule="exact"/>
              <w:rPr>
                <w:sz w:val="20"/>
                <w:szCs w:val="20"/>
                <w:color w:val="auto"/>
              </w:rPr>
            </w:pPr>
            <w:r>
              <w:rPr>
                <w:rFonts w:ascii="Arial" w:cs="Arial" w:eastAsia="Arial" w:hAnsi="Arial"/>
                <w:sz w:val="18"/>
                <w:szCs w:val="18"/>
                <w:color w:val="auto"/>
              </w:rPr>
              <w:t>Inline XBRL Instance Document (the Instance Document does not appear in the Interactive Data File</w:t>
            </w:r>
          </w:p>
        </w:tc>
        <w:tc>
          <w:tcPr>
            <w:tcW w:w="1080" w:type="dxa"/>
            <w:vAlign w:val="bottom"/>
          </w:tcPr>
          <w:p>
            <w:pPr>
              <w:ind w:left="360"/>
              <w:spacing w:after="0" w:line="196" w:lineRule="exact"/>
              <w:rPr>
                <w:sz w:val="20"/>
                <w:szCs w:val="20"/>
                <w:color w:val="auto"/>
              </w:rPr>
            </w:pPr>
            <w:r>
              <w:rPr>
                <w:rFonts w:ascii="Arial" w:cs="Arial" w:eastAsia="Arial" w:hAnsi="Arial"/>
                <w:sz w:val="18"/>
                <w:szCs w:val="18"/>
                <w:color w:val="auto"/>
                <w:w w:val="98"/>
              </w:rPr>
              <w:t>Attached</w:t>
            </w:r>
          </w:p>
        </w:tc>
      </w:tr>
      <w:tr>
        <w:trPr>
          <w:trHeight w:val="238"/>
        </w:trPr>
        <w:tc>
          <w:tcPr>
            <w:tcW w:w="1380" w:type="dxa"/>
            <w:vAlign w:val="bottom"/>
          </w:tcPr>
          <w:p>
            <w:pPr>
              <w:spacing w:after="0"/>
              <w:rPr>
                <w:sz w:val="20"/>
                <w:szCs w:val="20"/>
                <w:color w:val="auto"/>
              </w:rPr>
            </w:pPr>
          </w:p>
        </w:tc>
        <w:tc>
          <w:tcPr>
            <w:tcW w:w="8780" w:type="dxa"/>
            <w:vAlign w:val="bottom"/>
            <w:gridSpan w:val="11"/>
          </w:tcPr>
          <w:p>
            <w:pPr>
              <w:spacing w:after="0"/>
              <w:rPr>
                <w:sz w:val="20"/>
                <w:szCs w:val="20"/>
                <w:color w:val="auto"/>
              </w:rPr>
            </w:pPr>
            <w:r>
              <w:rPr>
                <w:rFonts w:ascii="Arial" w:cs="Arial" w:eastAsia="Arial" w:hAnsi="Arial"/>
                <w:sz w:val="18"/>
                <w:szCs w:val="18"/>
                <w:color w:val="auto"/>
              </w:rPr>
              <w:t>because its XBRL tags are embedded within the Inline XBRL document)</w:t>
            </w:r>
          </w:p>
        </w:tc>
        <w:tc>
          <w:tcPr>
            <w:tcW w:w="1080" w:type="dxa"/>
            <w:vAlign w:val="bottom"/>
          </w:tcPr>
          <w:p>
            <w:pPr>
              <w:spacing w:after="0"/>
              <w:rPr>
                <w:sz w:val="20"/>
                <w:szCs w:val="20"/>
                <w:color w:val="auto"/>
              </w:rPr>
            </w:pPr>
          </w:p>
        </w:tc>
      </w:tr>
      <w:tr>
        <w:trPr>
          <w:trHeight w:val="229"/>
        </w:trPr>
        <w:tc>
          <w:tcPr>
            <w:tcW w:w="1380" w:type="dxa"/>
            <w:vAlign w:val="bottom"/>
          </w:tcPr>
          <w:p>
            <w:pPr>
              <w:ind w:left="20"/>
              <w:spacing w:after="0"/>
              <w:rPr>
                <w:sz w:val="20"/>
                <w:szCs w:val="20"/>
                <w:color w:val="auto"/>
              </w:rPr>
            </w:pPr>
            <w:r>
              <w:rPr>
                <w:rFonts w:ascii="Arial" w:cs="Arial" w:eastAsia="Arial" w:hAnsi="Arial"/>
                <w:sz w:val="18"/>
                <w:szCs w:val="18"/>
                <w:color w:val="auto"/>
              </w:rPr>
              <w:t>101.SCH</w:t>
            </w:r>
          </w:p>
        </w:tc>
        <w:tc>
          <w:tcPr>
            <w:tcW w:w="8780" w:type="dxa"/>
            <w:vAlign w:val="bottom"/>
            <w:gridSpan w:val="11"/>
          </w:tcPr>
          <w:p>
            <w:pPr>
              <w:spacing w:after="0"/>
              <w:rPr>
                <w:sz w:val="20"/>
                <w:szCs w:val="20"/>
                <w:color w:val="auto"/>
              </w:rPr>
            </w:pPr>
            <w:r>
              <w:rPr>
                <w:rFonts w:ascii="Arial" w:cs="Arial" w:eastAsia="Arial" w:hAnsi="Arial"/>
                <w:sz w:val="18"/>
                <w:szCs w:val="18"/>
                <w:color w:val="auto"/>
              </w:rPr>
              <w:t>Inline XBRL Taxonomy Extension Schema Document</w:t>
            </w:r>
          </w:p>
        </w:tc>
        <w:tc>
          <w:tcPr>
            <w:tcW w:w="1080" w:type="dxa"/>
            <w:vAlign w:val="bottom"/>
          </w:tcPr>
          <w:p>
            <w:pPr>
              <w:ind w:left="360"/>
              <w:spacing w:after="0"/>
              <w:rPr>
                <w:sz w:val="20"/>
                <w:szCs w:val="20"/>
                <w:color w:val="auto"/>
              </w:rPr>
            </w:pPr>
            <w:r>
              <w:rPr>
                <w:rFonts w:ascii="Arial" w:cs="Arial" w:eastAsia="Arial" w:hAnsi="Arial"/>
                <w:sz w:val="18"/>
                <w:szCs w:val="18"/>
                <w:color w:val="auto"/>
                <w:w w:val="98"/>
              </w:rPr>
              <w:t>Attached</w:t>
            </w:r>
          </w:p>
        </w:tc>
      </w:tr>
      <w:tr>
        <w:trPr>
          <w:trHeight w:val="230"/>
        </w:trPr>
        <w:tc>
          <w:tcPr>
            <w:tcW w:w="1380" w:type="dxa"/>
            <w:vAlign w:val="bottom"/>
          </w:tcPr>
          <w:p>
            <w:pPr>
              <w:ind w:left="20"/>
              <w:spacing w:after="0"/>
              <w:rPr>
                <w:sz w:val="20"/>
                <w:szCs w:val="20"/>
                <w:color w:val="auto"/>
              </w:rPr>
            </w:pPr>
            <w:r>
              <w:rPr>
                <w:rFonts w:ascii="Arial" w:cs="Arial" w:eastAsia="Arial" w:hAnsi="Arial"/>
                <w:sz w:val="18"/>
                <w:szCs w:val="18"/>
                <w:color w:val="auto"/>
              </w:rPr>
              <w:t>101.CAL</w:t>
            </w:r>
          </w:p>
        </w:tc>
        <w:tc>
          <w:tcPr>
            <w:tcW w:w="8780" w:type="dxa"/>
            <w:vAlign w:val="bottom"/>
            <w:gridSpan w:val="11"/>
          </w:tcPr>
          <w:p>
            <w:pPr>
              <w:spacing w:after="0"/>
              <w:rPr>
                <w:sz w:val="20"/>
                <w:szCs w:val="20"/>
                <w:color w:val="auto"/>
              </w:rPr>
            </w:pPr>
            <w:r>
              <w:rPr>
                <w:rFonts w:ascii="Arial" w:cs="Arial" w:eastAsia="Arial" w:hAnsi="Arial"/>
                <w:sz w:val="18"/>
                <w:szCs w:val="18"/>
                <w:color w:val="auto"/>
              </w:rPr>
              <w:t>Inline XBRL Taxonomy Extension Calculation Linkbase Document</w:t>
            </w:r>
          </w:p>
        </w:tc>
        <w:tc>
          <w:tcPr>
            <w:tcW w:w="1080" w:type="dxa"/>
            <w:vAlign w:val="bottom"/>
          </w:tcPr>
          <w:p>
            <w:pPr>
              <w:ind w:left="360"/>
              <w:spacing w:after="0"/>
              <w:rPr>
                <w:sz w:val="20"/>
                <w:szCs w:val="20"/>
                <w:color w:val="auto"/>
              </w:rPr>
            </w:pPr>
            <w:r>
              <w:rPr>
                <w:rFonts w:ascii="Arial" w:cs="Arial" w:eastAsia="Arial" w:hAnsi="Arial"/>
                <w:sz w:val="18"/>
                <w:szCs w:val="18"/>
                <w:color w:val="auto"/>
                <w:w w:val="98"/>
              </w:rPr>
              <w:t>Attached</w:t>
            </w:r>
          </w:p>
        </w:tc>
      </w:tr>
      <w:tr>
        <w:trPr>
          <w:trHeight w:val="230"/>
        </w:trPr>
        <w:tc>
          <w:tcPr>
            <w:tcW w:w="1380" w:type="dxa"/>
            <w:vAlign w:val="bottom"/>
          </w:tcPr>
          <w:p>
            <w:pPr>
              <w:ind w:left="20"/>
              <w:spacing w:after="0"/>
              <w:rPr>
                <w:sz w:val="20"/>
                <w:szCs w:val="20"/>
                <w:color w:val="auto"/>
              </w:rPr>
            </w:pPr>
            <w:r>
              <w:rPr>
                <w:rFonts w:ascii="Arial" w:cs="Arial" w:eastAsia="Arial" w:hAnsi="Arial"/>
                <w:sz w:val="18"/>
                <w:szCs w:val="18"/>
                <w:color w:val="auto"/>
              </w:rPr>
              <w:t>101.DEF</w:t>
            </w:r>
          </w:p>
        </w:tc>
        <w:tc>
          <w:tcPr>
            <w:tcW w:w="8780" w:type="dxa"/>
            <w:vAlign w:val="bottom"/>
            <w:gridSpan w:val="11"/>
          </w:tcPr>
          <w:p>
            <w:pPr>
              <w:spacing w:after="0"/>
              <w:rPr>
                <w:sz w:val="20"/>
                <w:szCs w:val="20"/>
                <w:color w:val="auto"/>
              </w:rPr>
            </w:pPr>
            <w:r>
              <w:rPr>
                <w:rFonts w:ascii="Arial" w:cs="Arial" w:eastAsia="Arial" w:hAnsi="Arial"/>
                <w:sz w:val="18"/>
                <w:szCs w:val="18"/>
                <w:color w:val="auto"/>
              </w:rPr>
              <w:t>Inline XBRL Taxonomy Extension Definition Linkbase Document</w:t>
            </w:r>
          </w:p>
        </w:tc>
        <w:tc>
          <w:tcPr>
            <w:tcW w:w="1080" w:type="dxa"/>
            <w:vAlign w:val="bottom"/>
          </w:tcPr>
          <w:p>
            <w:pPr>
              <w:ind w:left="360"/>
              <w:spacing w:after="0"/>
              <w:rPr>
                <w:sz w:val="20"/>
                <w:szCs w:val="20"/>
                <w:color w:val="auto"/>
              </w:rPr>
            </w:pPr>
            <w:r>
              <w:rPr>
                <w:rFonts w:ascii="Arial" w:cs="Arial" w:eastAsia="Arial" w:hAnsi="Arial"/>
                <w:sz w:val="18"/>
                <w:szCs w:val="18"/>
                <w:color w:val="auto"/>
                <w:w w:val="98"/>
              </w:rPr>
              <w:t>Attached</w:t>
            </w:r>
          </w:p>
        </w:tc>
      </w:tr>
      <w:tr>
        <w:trPr>
          <w:trHeight w:val="230"/>
        </w:trPr>
        <w:tc>
          <w:tcPr>
            <w:tcW w:w="1380" w:type="dxa"/>
            <w:vAlign w:val="bottom"/>
          </w:tcPr>
          <w:p>
            <w:pPr>
              <w:ind w:left="20"/>
              <w:spacing w:after="0"/>
              <w:rPr>
                <w:sz w:val="20"/>
                <w:szCs w:val="20"/>
                <w:color w:val="auto"/>
              </w:rPr>
            </w:pPr>
            <w:r>
              <w:rPr>
                <w:rFonts w:ascii="Arial" w:cs="Arial" w:eastAsia="Arial" w:hAnsi="Arial"/>
                <w:sz w:val="18"/>
                <w:szCs w:val="18"/>
                <w:color w:val="auto"/>
              </w:rPr>
              <w:t>101.LAB</w:t>
            </w:r>
          </w:p>
        </w:tc>
        <w:tc>
          <w:tcPr>
            <w:tcW w:w="8780" w:type="dxa"/>
            <w:vAlign w:val="bottom"/>
            <w:gridSpan w:val="11"/>
          </w:tcPr>
          <w:p>
            <w:pPr>
              <w:spacing w:after="0"/>
              <w:rPr>
                <w:sz w:val="20"/>
                <w:szCs w:val="20"/>
                <w:color w:val="auto"/>
              </w:rPr>
            </w:pPr>
            <w:r>
              <w:rPr>
                <w:rFonts w:ascii="Arial" w:cs="Arial" w:eastAsia="Arial" w:hAnsi="Arial"/>
                <w:sz w:val="18"/>
                <w:szCs w:val="18"/>
                <w:color w:val="auto"/>
              </w:rPr>
              <w:t>Inline XBRL Taxonomy Extension Label Linkbase Document</w:t>
            </w:r>
          </w:p>
        </w:tc>
        <w:tc>
          <w:tcPr>
            <w:tcW w:w="1080" w:type="dxa"/>
            <w:vAlign w:val="bottom"/>
          </w:tcPr>
          <w:p>
            <w:pPr>
              <w:ind w:left="360"/>
              <w:spacing w:after="0"/>
              <w:rPr>
                <w:sz w:val="20"/>
                <w:szCs w:val="20"/>
                <w:color w:val="auto"/>
              </w:rPr>
            </w:pPr>
            <w:r>
              <w:rPr>
                <w:rFonts w:ascii="Arial" w:cs="Arial" w:eastAsia="Arial" w:hAnsi="Arial"/>
                <w:sz w:val="18"/>
                <w:szCs w:val="18"/>
                <w:color w:val="auto"/>
                <w:w w:val="98"/>
              </w:rPr>
              <w:t>Attached</w:t>
            </w:r>
          </w:p>
        </w:tc>
      </w:tr>
      <w:tr>
        <w:trPr>
          <w:trHeight w:val="229"/>
        </w:trPr>
        <w:tc>
          <w:tcPr>
            <w:tcW w:w="1380" w:type="dxa"/>
            <w:vAlign w:val="bottom"/>
          </w:tcPr>
          <w:p>
            <w:pPr>
              <w:ind w:left="20"/>
              <w:spacing w:after="0"/>
              <w:rPr>
                <w:sz w:val="20"/>
                <w:szCs w:val="20"/>
                <w:color w:val="auto"/>
              </w:rPr>
            </w:pPr>
            <w:r>
              <w:rPr>
                <w:rFonts w:ascii="Arial" w:cs="Arial" w:eastAsia="Arial" w:hAnsi="Arial"/>
                <w:sz w:val="18"/>
                <w:szCs w:val="18"/>
                <w:color w:val="auto"/>
              </w:rPr>
              <w:t>101.PRE</w:t>
            </w:r>
          </w:p>
        </w:tc>
        <w:tc>
          <w:tcPr>
            <w:tcW w:w="8780" w:type="dxa"/>
            <w:vAlign w:val="bottom"/>
            <w:gridSpan w:val="11"/>
          </w:tcPr>
          <w:p>
            <w:pPr>
              <w:spacing w:after="0"/>
              <w:rPr>
                <w:sz w:val="20"/>
                <w:szCs w:val="20"/>
                <w:color w:val="auto"/>
              </w:rPr>
            </w:pPr>
            <w:r>
              <w:rPr>
                <w:rFonts w:ascii="Arial" w:cs="Arial" w:eastAsia="Arial" w:hAnsi="Arial"/>
                <w:sz w:val="18"/>
                <w:szCs w:val="18"/>
                <w:color w:val="auto"/>
              </w:rPr>
              <w:t>Inline XBRL Taxonomy Extension Presentation Linkbase Document</w:t>
            </w:r>
          </w:p>
        </w:tc>
        <w:tc>
          <w:tcPr>
            <w:tcW w:w="1080" w:type="dxa"/>
            <w:vAlign w:val="bottom"/>
          </w:tcPr>
          <w:p>
            <w:pPr>
              <w:ind w:left="360"/>
              <w:spacing w:after="0"/>
              <w:rPr>
                <w:sz w:val="20"/>
                <w:szCs w:val="20"/>
                <w:color w:val="auto"/>
              </w:rPr>
            </w:pPr>
            <w:r>
              <w:rPr>
                <w:rFonts w:ascii="Arial" w:cs="Arial" w:eastAsia="Arial" w:hAnsi="Arial"/>
                <w:sz w:val="18"/>
                <w:szCs w:val="18"/>
                <w:color w:val="auto"/>
                <w:w w:val="98"/>
              </w:rPr>
              <w:t>Attached</w:t>
            </w:r>
          </w:p>
        </w:tc>
      </w:tr>
      <w:tr>
        <w:trPr>
          <w:trHeight w:val="181"/>
        </w:trPr>
        <w:tc>
          <w:tcPr>
            <w:tcW w:w="1380" w:type="dxa"/>
            <w:vAlign w:val="bottom"/>
          </w:tcPr>
          <w:p>
            <w:pPr>
              <w:ind w:left="20"/>
              <w:spacing w:after="0" w:line="181" w:lineRule="exact"/>
              <w:rPr>
                <w:sz w:val="20"/>
                <w:szCs w:val="20"/>
                <w:color w:val="auto"/>
              </w:rPr>
            </w:pPr>
            <w:r>
              <w:rPr>
                <w:rFonts w:ascii="Arial" w:cs="Arial" w:eastAsia="Arial" w:hAnsi="Arial"/>
                <w:sz w:val="18"/>
                <w:szCs w:val="18"/>
                <w:color w:val="auto"/>
              </w:rPr>
              <w:t>104</w:t>
            </w:r>
          </w:p>
        </w:tc>
        <w:tc>
          <w:tcPr>
            <w:tcW w:w="8780" w:type="dxa"/>
            <w:vAlign w:val="bottom"/>
            <w:gridSpan w:val="11"/>
          </w:tcPr>
          <w:p>
            <w:pPr>
              <w:spacing w:after="0" w:line="181" w:lineRule="exact"/>
              <w:rPr>
                <w:sz w:val="20"/>
                <w:szCs w:val="20"/>
                <w:color w:val="auto"/>
              </w:rPr>
            </w:pPr>
            <w:r>
              <w:rPr>
                <w:rFonts w:ascii="Arial" w:cs="Arial" w:eastAsia="Arial" w:hAnsi="Arial"/>
                <w:sz w:val="18"/>
                <w:szCs w:val="18"/>
                <w:color w:val="auto"/>
              </w:rPr>
              <w:t>Cover Page Interactive Data File (formatted as Inline XBRL and embedded within the Inline XBRL</w:t>
            </w:r>
          </w:p>
        </w:tc>
        <w:tc>
          <w:tcPr>
            <w:tcW w:w="1080" w:type="dxa"/>
            <w:vAlign w:val="bottom"/>
          </w:tcPr>
          <w:p>
            <w:pPr>
              <w:ind w:left="360"/>
              <w:spacing w:after="0" w:line="181" w:lineRule="exact"/>
              <w:rPr>
                <w:sz w:val="20"/>
                <w:szCs w:val="20"/>
                <w:color w:val="auto"/>
              </w:rPr>
            </w:pPr>
            <w:r>
              <w:rPr>
                <w:rFonts w:ascii="Arial" w:cs="Arial" w:eastAsia="Arial" w:hAnsi="Arial"/>
                <w:sz w:val="18"/>
                <w:szCs w:val="18"/>
                <w:color w:val="auto"/>
                <w:w w:val="98"/>
              </w:rPr>
              <w:t>Attached</w:t>
            </w:r>
          </w:p>
        </w:tc>
      </w:tr>
      <w:tr>
        <w:trPr>
          <w:trHeight w:val="241"/>
        </w:trPr>
        <w:tc>
          <w:tcPr>
            <w:tcW w:w="1380" w:type="dxa"/>
            <w:vAlign w:val="bottom"/>
            <w:tcBorders>
              <w:bottom w:val="single" w:sz="8" w:color="auto"/>
            </w:tcBorders>
          </w:tcPr>
          <w:p>
            <w:pPr>
              <w:spacing w:after="0"/>
              <w:rPr>
                <w:sz w:val="20"/>
                <w:szCs w:val="20"/>
                <w:color w:val="auto"/>
              </w:rPr>
            </w:pPr>
          </w:p>
        </w:tc>
        <w:tc>
          <w:tcPr>
            <w:tcW w:w="8780" w:type="dxa"/>
            <w:vAlign w:val="bottom"/>
            <w:tcBorders>
              <w:bottom w:val="single" w:sz="8" w:color="auto"/>
            </w:tcBorders>
            <w:gridSpan w:val="11"/>
          </w:tcPr>
          <w:p>
            <w:pPr>
              <w:spacing w:after="0"/>
              <w:rPr>
                <w:sz w:val="20"/>
                <w:szCs w:val="20"/>
                <w:color w:val="auto"/>
              </w:rPr>
            </w:pPr>
            <w:r>
              <w:rPr>
                <w:rFonts w:ascii="Arial" w:cs="Arial" w:eastAsia="Arial" w:hAnsi="Arial"/>
                <w:sz w:val="18"/>
                <w:szCs w:val="18"/>
                <w:color w:val="auto"/>
              </w:rPr>
              <w:t>document)</w:t>
            </w:r>
          </w:p>
        </w:tc>
        <w:tc>
          <w:tcPr>
            <w:tcW w:w="1080" w:type="dxa"/>
            <w:vAlign w:val="bottom"/>
            <w:tcBorders>
              <w:bottom w:val="single" w:sz="8" w:color="auto"/>
            </w:tcBorders>
          </w:tcPr>
          <w:p>
            <w:pPr>
              <w:spacing w:after="0"/>
              <w:rPr>
                <w:sz w:val="20"/>
                <w:szCs w:val="20"/>
                <w:color w:val="auto"/>
              </w:rPr>
            </w:pPr>
          </w:p>
        </w:tc>
      </w:tr>
      <w:tr>
        <w:trPr>
          <w:trHeight w:val="904"/>
        </w:trPr>
        <w:tc>
          <w:tcPr>
            <w:tcW w:w="1380" w:type="dxa"/>
            <w:vAlign w:val="bottom"/>
          </w:tcPr>
          <w:p>
            <w:pPr>
              <w:spacing w:after="0"/>
              <w:rPr>
                <w:sz w:val="24"/>
                <w:szCs w:val="24"/>
                <w:color w:val="auto"/>
              </w:rPr>
            </w:pPr>
          </w:p>
        </w:tc>
        <w:tc>
          <w:tcPr>
            <w:tcW w:w="7560" w:type="dxa"/>
            <w:vAlign w:val="bottom"/>
            <w:gridSpan w:val="7"/>
          </w:tcPr>
          <w:p>
            <w:pPr>
              <w:ind w:left="4140"/>
              <w:spacing w:after="0"/>
              <w:rPr>
                <w:sz w:val="20"/>
                <w:szCs w:val="20"/>
                <w:color w:val="auto"/>
              </w:rPr>
            </w:pPr>
            <w:r>
              <w:rPr>
                <w:rFonts w:ascii="Arial" w:cs="Arial" w:eastAsia="Arial" w:hAnsi="Arial"/>
                <w:sz w:val="18"/>
                <w:szCs w:val="18"/>
                <w:color w:val="auto"/>
              </w:rPr>
              <w:t>24</w:t>
            </w: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111"/>
        </w:trPr>
        <w:tc>
          <w:tcPr>
            <w:tcW w:w="1380" w:type="dxa"/>
            <w:vAlign w:val="bottom"/>
            <w:tcBorders>
              <w:bottom w:val="single" w:sz="8" w:color="9A9A9A"/>
            </w:tcBorders>
          </w:tcPr>
          <w:p>
            <w:pPr>
              <w:spacing w:after="0"/>
              <w:rPr>
                <w:sz w:val="9"/>
                <w:szCs w:val="9"/>
                <w:color w:val="auto"/>
              </w:rPr>
            </w:pPr>
          </w:p>
        </w:tc>
        <w:tc>
          <w:tcPr>
            <w:tcW w:w="1300" w:type="dxa"/>
            <w:vAlign w:val="bottom"/>
            <w:tcBorders>
              <w:bottom w:val="single" w:sz="8" w:color="9A9A9A"/>
            </w:tcBorders>
          </w:tcPr>
          <w:p>
            <w:pPr>
              <w:spacing w:after="0"/>
              <w:rPr>
                <w:sz w:val="9"/>
                <w:szCs w:val="9"/>
                <w:color w:val="auto"/>
              </w:rPr>
            </w:pPr>
          </w:p>
        </w:tc>
        <w:tc>
          <w:tcPr>
            <w:tcW w:w="680" w:type="dxa"/>
            <w:vAlign w:val="bottom"/>
            <w:tcBorders>
              <w:bottom w:val="single" w:sz="8" w:color="9A9A9A"/>
            </w:tcBorders>
          </w:tcPr>
          <w:p>
            <w:pPr>
              <w:spacing w:after="0"/>
              <w:rPr>
                <w:sz w:val="9"/>
                <w:szCs w:val="9"/>
                <w:color w:val="auto"/>
              </w:rPr>
            </w:pPr>
          </w:p>
        </w:tc>
        <w:tc>
          <w:tcPr>
            <w:tcW w:w="208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3280" w:type="dxa"/>
            <w:vAlign w:val="bottom"/>
            <w:tcBorders>
              <w:bottom w:val="single" w:sz="8" w:color="9A9A9A"/>
            </w:tcBorders>
          </w:tcPr>
          <w:p>
            <w:pPr>
              <w:spacing w:after="0"/>
              <w:rPr>
                <w:sz w:val="9"/>
                <w:szCs w:val="9"/>
                <w:color w:val="auto"/>
              </w:rPr>
            </w:pPr>
          </w:p>
        </w:tc>
        <w:tc>
          <w:tcPr>
            <w:tcW w:w="64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360" w:type="dxa"/>
            <w:vAlign w:val="bottom"/>
            <w:tcBorders>
              <w:bottom w:val="single" w:sz="8" w:color="9A9A9A"/>
            </w:tcBorders>
          </w:tcPr>
          <w:p>
            <w:pPr>
              <w:spacing w:after="0"/>
              <w:rPr>
                <w:sz w:val="9"/>
                <w:szCs w:val="9"/>
                <w:color w:val="auto"/>
              </w:rPr>
            </w:pPr>
          </w:p>
        </w:tc>
        <w:tc>
          <w:tcPr>
            <w:tcW w:w="108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198"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53" w:lineRule="exact"/>
        <w:rPr>
          <w:sz w:val="20"/>
          <w:szCs w:val="20"/>
          <w:color w:val="auto"/>
        </w:rPr>
      </w:pPr>
    </w:p>
    <w:tbl>
      <w:tblPr>
        <w:tblLayout w:type="fixed"/>
        <w:tblInd w:w="260" w:type="dxa"/>
        <w:tblCellMar>
          <w:top w:w="0" w:type="dxa"/>
          <w:left w:w="0" w:type="dxa"/>
          <w:bottom w:w="0" w:type="dxa"/>
          <w:right w:w="0" w:type="dxa"/>
        </w:tblCellMar>
      </w:tblPr>
      <w:tr>
        <w:trPr>
          <w:trHeight w:val="239"/>
        </w:trPr>
        <w:tc>
          <w:tcPr>
            <w:tcW w:w="6460" w:type="dxa"/>
            <w:vAlign w:val="bottom"/>
          </w:tcPr>
          <w:p>
            <w:pPr>
              <w:spacing w:after="0"/>
              <w:rPr>
                <w:sz w:val="20"/>
                <w:szCs w:val="20"/>
                <w:color w:val="auto"/>
              </w:rPr>
            </w:pPr>
            <w:r>
              <w:rPr>
                <w:rFonts w:ascii="Arial" w:cs="Arial" w:eastAsia="Arial" w:hAnsi="Arial"/>
                <w:sz w:val="18"/>
                <w:szCs w:val="18"/>
                <w:color w:val="auto"/>
              </w:rPr>
              <w:t>LEE ENTERPRISES, INCORPORATED</w:t>
            </w:r>
          </w:p>
        </w:tc>
        <w:tc>
          <w:tcPr>
            <w:tcW w:w="4260" w:type="dxa"/>
            <w:vAlign w:val="bottom"/>
          </w:tcPr>
          <w:p>
            <w:pPr>
              <w:spacing w:after="0"/>
              <w:rPr>
                <w:sz w:val="20"/>
                <w:szCs w:val="20"/>
                <w:color w:val="auto"/>
              </w:rPr>
            </w:pPr>
          </w:p>
        </w:tc>
      </w:tr>
      <w:tr>
        <w:trPr>
          <w:trHeight w:val="500"/>
        </w:trPr>
        <w:tc>
          <w:tcPr>
            <w:tcW w:w="6460" w:type="dxa"/>
            <w:vAlign w:val="bottom"/>
          </w:tcPr>
          <w:p>
            <w:pPr>
              <w:spacing w:after="0"/>
              <w:rPr>
                <w:sz w:val="20"/>
                <w:szCs w:val="20"/>
                <w:color w:val="auto"/>
              </w:rPr>
            </w:pPr>
            <w:r>
              <w:rPr>
                <w:rFonts w:ascii="Arial" w:cs="Arial" w:eastAsia="Arial" w:hAnsi="Arial"/>
                <w:sz w:val="18"/>
                <w:szCs w:val="18"/>
                <w:color w:val="auto"/>
              </w:rPr>
              <w:t>/s/ Timothy R. Millage</w:t>
            </w:r>
          </w:p>
        </w:tc>
        <w:tc>
          <w:tcPr>
            <w:tcW w:w="4260" w:type="dxa"/>
            <w:vAlign w:val="bottom"/>
          </w:tcPr>
          <w:p>
            <w:pPr>
              <w:ind w:left="3260"/>
              <w:spacing w:after="0"/>
              <w:rPr>
                <w:sz w:val="20"/>
                <w:szCs w:val="20"/>
                <w:color w:val="auto"/>
              </w:rPr>
            </w:pPr>
            <w:r>
              <w:rPr>
                <w:rFonts w:ascii="Arial" w:cs="Arial" w:eastAsia="Arial" w:hAnsi="Arial"/>
                <w:sz w:val="18"/>
                <w:szCs w:val="18"/>
                <w:color w:val="auto"/>
                <w:w w:val="98"/>
              </w:rPr>
              <w:t>May 3, 2024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150495</wp:posOffset>
            </wp:positionH>
            <wp:positionV relativeFrom="paragraph">
              <wp:posOffset>-1905</wp:posOffset>
            </wp:positionV>
            <wp:extent cx="408051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0">
                      <a:extLst>
                        <a:ext uri="{28A0092B-C50C-407E-A947-70E740481C1C}"/>
                      </a:extLst>
                    </a:blip>
                    <a:srcRect/>
                    <a:stretch>
                      <a:fillRect/>
                    </a:stretch>
                  </pic:blipFill>
                  <pic:spPr bwMode="auto">
                    <a:xfrm>
                      <a:off x="0" y="0"/>
                      <a:ext cx="4080510" cy="8890"/>
                    </a:xfrm>
                    <a:prstGeom prst="rect">
                      <a:avLst/>
                    </a:prstGeom>
                    <a:noFill/>
                  </pic:spPr>
                </pic:pic>
              </a:graphicData>
            </a:graphic>
          </wp:anchor>
        </w:drawing>
      </w:r>
    </w:p>
    <w:p>
      <w:pPr>
        <w:ind w:left="260"/>
        <w:spacing w:after="0"/>
        <w:rPr>
          <w:sz w:val="20"/>
          <w:szCs w:val="20"/>
          <w:color w:val="auto"/>
        </w:rPr>
      </w:pPr>
      <w:r>
        <w:rPr>
          <w:rFonts w:ascii="Arial" w:cs="Arial" w:eastAsia="Arial" w:hAnsi="Arial"/>
          <w:sz w:val="18"/>
          <w:szCs w:val="18"/>
          <w:color w:val="auto"/>
        </w:rPr>
        <w:t>Timothy R. Millage</w:t>
      </w:r>
    </w:p>
    <w:p>
      <w:pPr>
        <w:spacing w:after="0" w:line="32" w:lineRule="exact"/>
        <w:rPr>
          <w:sz w:val="20"/>
          <w:szCs w:val="20"/>
          <w:color w:val="auto"/>
        </w:rPr>
      </w:pPr>
    </w:p>
    <w:p>
      <w:pPr>
        <w:ind w:left="260"/>
        <w:spacing w:after="0"/>
        <w:rPr>
          <w:sz w:val="20"/>
          <w:szCs w:val="20"/>
          <w:color w:val="auto"/>
        </w:rPr>
      </w:pPr>
      <w:r>
        <w:rPr>
          <w:rFonts w:ascii="Arial" w:cs="Arial" w:eastAsia="Arial" w:hAnsi="Arial"/>
          <w:sz w:val="18"/>
          <w:szCs w:val="18"/>
          <w:color w:val="auto"/>
        </w:rPr>
        <w:t>Vice President, Chief Financial Officer and Treasurer</w:t>
      </w:r>
    </w:p>
    <w:p>
      <w:pPr>
        <w:spacing w:after="0" w:line="23" w:lineRule="exact"/>
        <w:rPr>
          <w:sz w:val="20"/>
          <w:szCs w:val="20"/>
          <w:color w:val="auto"/>
        </w:rPr>
      </w:pPr>
    </w:p>
    <w:p>
      <w:pPr>
        <w:ind w:left="260"/>
        <w:spacing w:after="0"/>
        <w:rPr>
          <w:sz w:val="20"/>
          <w:szCs w:val="20"/>
          <w:color w:val="auto"/>
        </w:rPr>
      </w:pPr>
      <w:r>
        <w:rPr>
          <w:rFonts w:ascii="Arial" w:cs="Arial" w:eastAsia="Arial" w:hAnsi="Arial"/>
          <w:sz w:val="18"/>
          <w:szCs w:val="18"/>
          <w:color w:val="auto"/>
        </w:rPr>
        <w:t>(Principal Financial and Accounting Officer)</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240"/>
          </w:cols>
          <w:pgMar w:left="320" w:top="121" w:right="339" w:bottom="1440" w:gutter="0" w:footer="0" w:header="0"/>
        </w:sectPr>
      </w:pPr>
    </w:p>
    <w:bookmarkStart w:id="27" w:name="page28"/>
    <w:bookmarkEnd w:id="27"/>
    <w:p>
      <w:pPr>
        <w:jc w:val="right"/>
        <w:spacing w:after="0"/>
        <w:rPr>
          <w:sz w:val="20"/>
          <w:szCs w:val="20"/>
          <w:color w:val="auto"/>
        </w:rPr>
      </w:pPr>
      <w:r>
        <w:rPr>
          <w:rFonts w:ascii="Arial" w:cs="Arial" w:eastAsia="Arial" w:hAnsi="Arial"/>
          <w:sz w:val="18"/>
          <w:szCs w:val="18"/>
          <w:b w:val="1"/>
          <w:bCs w:val="1"/>
          <w:color w:val="auto"/>
        </w:rPr>
        <w:t>Exhibit 31.1</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I, Kevin D. Mowbray, certify that:</w:t>
      </w:r>
    </w:p>
    <w:p>
      <w:pPr>
        <w:spacing w:after="0" w:line="158" w:lineRule="exact"/>
        <w:rPr>
          <w:sz w:val="20"/>
          <w:szCs w:val="20"/>
          <w:color w:val="auto"/>
        </w:rPr>
      </w:pPr>
    </w:p>
    <w:p>
      <w:pPr>
        <w:ind w:left="480" w:hanging="472"/>
        <w:spacing w:after="0"/>
        <w:tabs>
          <w:tab w:leader="none" w:pos="4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("Quarterly Report") of Lee Enterprises, Incorporated ("Registrant");</w:t>
      </w:r>
    </w:p>
    <w:p>
      <w:pPr>
        <w:spacing w:after="0" w:line="144" w:lineRule="exact"/>
        <w:rPr>
          <w:sz w:val="20"/>
          <w:szCs w:val="20"/>
          <w:color w:val="auto"/>
        </w:rPr>
      </w:pPr>
    </w:p>
    <w:p>
      <w:pPr>
        <w:ind w:left="500" w:right="120" w:hanging="492"/>
        <w:spacing w:after="0" w:line="268" w:lineRule="auto"/>
        <w:tabs>
          <w:tab w:leader="none" w:pos="492" w:val="left"/>
        </w:tabs>
        <w:numPr>
          <w:ilvl w:val="0"/>
          <w:numId w:val="15"/>
        </w:numPr>
        <w:rPr>
          <w:rFonts w:ascii="Arial" w:cs="Arial" w:eastAsia="Arial" w:hAnsi="Arial"/>
          <w:sz w:val="18"/>
          <w:szCs w:val="18"/>
          <w:color w:val="auto"/>
        </w:rPr>
      </w:pPr>
      <w:r>
        <w:rPr>
          <w:rFonts w:ascii="Arial" w:cs="Arial" w:eastAsia="Arial" w:hAnsi="Arial"/>
          <w:sz w:val="18"/>
          <w:szCs w:val="18"/>
          <w:color w:val="auto"/>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spacing w:after="0" w:line="103" w:lineRule="exact"/>
        <w:rPr>
          <w:sz w:val="20"/>
          <w:szCs w:val="20"/>
          <w:color w:val="auto"/>
        </w:rPr>
      </w:pPr>
    </w:p>
    <w:p>
      <w:pPr>
        <w:ind w:left="500" w:right="320" w:hanging="492"/>
        <w:spacing w:after="0" w:line="268" w:lineRule="auto"/>
        <w:tabs>
          <w:tab w:leader="none" w:pos="492" w:val="left"/>
        </w:tabs>
        <w:numPr>
          <w:ilvl w:val="0"/>
          <w:numId w:val="16"/>
        </w:numPr>
        <w:rPr>
          <w:rFonts w:ascii="Arial" w:cs="Arial" w:eastAsia="Arial" w:hAnsi="Arial"/>
          <w:sz w:val="18"/>
          <w:szCs w:val="18"/>
          <w:color w:val="auto"/>
        </w:rPr>
      </w:pPr>
      <w:r>
        <w:rPr>
          <w:rFonts w:ascii="Arial" w:cs="Arial" w:eastAsia="Arial" w:hAnsi="Arial"/>
          <w:sz w:val="18"/>
          <w:szCs w:val="18"/>
          <w:color w:val="auto"/>
        </w:rPr>
        <w:t>Based on my knowledge, the Consolidated Financial Statements, and other financial information included in this Quarterly Report, fairly present in all material respects the financial condition, results of operations and cash flows of the Registrant as of, and for, the periods presented in this Quarterly Report;</w:t>
      </w:r>
    </w:p>
    <w:p>
      <w:pPr>
        <w:spacing w:after="0" w:line="103" w:lineRule="exact"/>
        <w:rPr>
          <w:sz w:val="20"/>
          <w:szCs w:val="20"/>
          <w:color w:val="auto"/>
        </w:rPr>
      </w:pPr>
    </w:p>
    <w:p>
      <w:pPr>
        <w:ind w:left="500" w:right="240" w:hanging="492"/>
        <w:spacing w:after="0" w:line="268" w:lineRule="auto"/>
        <w:tabs>
          <w:tab w:leader="none" w:pos="492"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89" w:lineRule="exact"/>
        <w:rPr>
          <w:rFonts w:ascii="Arial" w:cs="Arial" w:eastAsia="Arial" w:hAnsi="Arial"/>
          <w:sz w:val="18"/>
          <w:szCs w:val="18"/>
          <w:color w:val="auto"/>
        </w:rPr>
      </w:pPr>
    </w:p>
    <w:p>
      <w:pPr>
        <w:ind w:left="1460" w:right="60" w:hanging="480"/>
        <w:spacing w:after="0" w:line="262" w:lineRule="auto"/>
        <w:tabs>
          <w:tab w:leader="none" w:pos="1458" w:val="left"/>
        </w:tabs>
        <w:numPr>
          <w:ilvl w:val="1"/>
          <w:numId w:val="1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Quarterly Report is being prepared;</w:t>
      </w:r>
    </w:p>
    <w:p>
      <w:pPr>
        <w:spacing w:after="0" w:line="108" w:lineRule="exact"/>
        <w:rPr>
          <w:rFonts w:ascii="Arial" w:cs="Arial" w:eastAsia="Arial" w:hAnsi="Arial"/>
          <w:sz w:val="18"/>
          <w:szCs w:val="18"/>
          <w:color w:val="auto"/>
        </w:rPr>
      </w:pPr>
    </w:p>
    <w:p>
      <w:pPr>
        <w:ind w:left="1460" w:right="380" w:hanging="480"/>
        <w:spacing w:after="0" w:line="291" w:lineRule="auto"/>
        <w:tabs>
          <w:tab w:leader="none" w:pos="1458" w:val="left"/>
        </w:tabs>
        <w:numPr>
          <w:ilvl w:val="1"/>
          <w:numId w:val="17"/>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5" w:lineRule="exact"/>
        <w:rPr>
          <w:rFonts w:ascii="Arial" w:cs="Arial" w:eastAsia="Arial" w:hAnsi="Arial"/>
          <w:sz w:val="17"/>
          <w:szCs w:val="17"/>
          <w:color w:val="auto"/>
        </w:rPr>
      </w:pPr>
    </w:p>
    <w:p>
      <w:pPr>
        <w:jc w:val="both"/>
        <w:ind w:left="1460" w:right="180" w:hanging="480"/>
        <w:spacing w:after="0" w:line="268" w:lineRule="auto"/>
        <w:tabs>
          <w:tab w:leader="none" w:pos="1448" w:val="left"/>
        </w:tabs>
        <w:numPr>
          <w:ilvl w:val="1"/>
          <w:numId w:val="17"/>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Quarterly Report our conclusions about the effectiveness of the disclosure controls and procedures as of the end of the period covered by this Quarterly Report based on such evaluation; and</w:t>
      </w:r>
    </w:p>
    <w:p>
      <w:pPr>
        <w:spacing w:after="0" w:line="89" w:lineRule="exact"/>
        <w:rPr>
          <w:rFonts w:ascii="Arial" w:cs="Arial" w:eastAsia="Arial" w:hAnsi="Arial"/>
          <w:sz w:val="18"/>
          <w:szCs w:val="18"/>
          <w:color w:val="auto"/>
        </w:rPr>
      </w:pPr>
    </w:p>
    <w:p>
      <w:pPr>
        <w:ind w:left="1460" w:right="60" w:hanging="480"/>
        <w:spacing w:after="0" w:line="262" w:lineRule="auto"/>
        <w:tabs>
          <w:tab w:leader="none" w:pos="1458" w:val="left"/>
        </w:tabs>
        <w:numPr>
          <w:ilvl w:val="1"/>
          <w:numId w:val="17"/>
        </w:numPr>
        <w:rPr>
          <w:rFonts w:ascii="Arial" w:cs="Arial" w:eastAsia="Arial" w:hAnsi="Arial"/>
          <w:sz w:val="18"/>
          <w:szCs w:val="18"/>
          <w:color w:val="auto"/>
        </w:rPr>
      </w:pPr>
      <w:r>
        <w:rPr>
          <w:rFonts w:ascii="Arial" w:cs="Arial" w:eastAsia="Arial" w:hAnsi="Arial"/>
          <w:sz w:val="18"/>
          <w:szCs w:val="18"/>
          <w:color w:val="auto"/>
        </w:rPr>
        <w:t>disclosed in this Quarterly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09" w:lineRule="exact"/>
        <w:rPr>
          <w:sz w:val="20"/>
          <w:szCs w:val="20"/>
          <w:color w:val="auto"/>
        </w:rPr>
      </w:pPr>
    </w:p>
    <w:p>
      <w:pPr>
        <w:ind w:left="660" w:right="280" w:hanging="652"/>
        <w:spacing w:after="0" w:line="268" w:lineRule="auto"/>
        <w:tabs>
          <w:tab w:leader="none" w:pos="652"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103" w:lineRule="exact"/>
        <w:rPr>
          <w:rFonts w:ascii="Arial" w:cs="Arial" w:eastAsia="Arial" w:hAnsi="Arial"/>
          <w:sz w:val="18"/>
          <w:szCs w:val="18"/>
          <w:color w:val="auto"/>
        </w:rPr>
      </w:pPr>
    </w:p>
    <w:p>
      <w:pPr>
        <w:jc w:val="both"/>
        <w:ind w:left="1460" w:right="260" w:hanging="480"/>
        <w:spacing w:after="0" w:line="268" w:lineRule="auto"/>
        <w:tabs>
          <w:tab w:leader="none" w:pos="1458" w:val="left"/>
        </w:tabs>
        <w:numPr>
          <w:ilvl w:val="1"/>
          <w:numId w:val="1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89" w:lineRule="exact"/>
        <w:rPr>
          <w:rFonts w:ascii="Arial" w:cs="Arial" w:eastAsia="Arial" w:hAnsi="Arial"/>
          <w:sz w:val="18"/>
          <w:szCs w:val="18"/>
          <w:color w:val="auto"/>
        </w:rPr>
      </w:pPr>
    </w:p>
    <w:p>
      <w:pPr>
        <w:ind w:left="1460" w:right="640" w:hanging="480"/>
        <w:spacing w:after="0" w:line="287" w:lineRule="auto"/>
        <w:tabs>
          <w:tab w:leader="none" w:pos="1458" w:val="left"/>
        </w:tabs>
        <w:numPr>
          <w:ilvl w:val="1"/>
          <w:numId w:val="1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color w:val="auto"/>
        </w:rPr>
        <w:t>Date: May 3, 2024</w:t>
      </w:r>
    </w:p>
    <w:p>
      <w:pPr>
        <w:spacing w:after="0" w:line="198"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/s/ Kevin D. Mowbray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3819525</wp:posOffset>
            </wp:positionH>
            <wp:positionV relativeFrom="paragraph">
              <wp:posOffset>17780</wp:posOffset>
            </wp:positionV>
            <wp:extent cx="331724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1">
                      <a:extLst>
                        <a:ext uri="{28A0092B-C50C-407E-A947-70E740481C1C}"/>
                      </a:extLst>
                    </a:blip>
                    <a:srcRect/>
                    <a:stretch>
                      <a:fillRect/>
                    </a:stretch>
                  </pic:blipFill>
                  <pic:spPr bwMode="auto">
                    <a:xfrm>
                      <a:off x="0" y="0"/>
                      <a:ext cx="3317240" cy="8890"/>
                    </a:xfrm>
                    <a:prstGeom prst="rect">
                      <a:avLst/>
                    </a:prstGeom>
                    <a:noFill/>
                  </pic:spPr>
                </pic:pic>
              </a:graphicData>
            </a:graphic>
          </wp:anchor>
        </w:drawing>
      </w:r>
    </w:p>
    <w:p>
      <w:pPr>
        <w:spacing w:after="0" w:line="16"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Kevin D. Mowbray</w:t>
      </w:r>
    </w:p>
    <w:p>
      <w:pPr>
        <w:spacing w:after="0" w:line="32"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President and Chief Executive Officer</w:t>
      </w:r>
    </w:p>
    <w:p>
      <w:pPr>
        <w:sectPr>
          <w:pgSz w:w="11900" w:h="16838" w:orient="portrait"/>
          <w:cols w:equalWidth="0" w:num="1">
            <w:col w:w="11240"/>
          </w:cols>
          <w:pgMar w:left="320" w:top="1079" w:right="339" w:bottom="1440" w:gutter="0" w:footer="0" w:header="0"/>
        </w:sectPr>
      </w:pPr>
    </w:p>
    <w:bookmarkStart w:id="28" w:name="page29"/>
    <w:bookmarkEnd w:id="28"/>
    <w:p>
      <w:pPr>
        <w:jc w:val="right"/>
        <w:spacing w:after="0"/>
        <w:rPr>
          <w:sz w:val="20"/>
          <w:szCs w:val="20"/>
          <w:color w:val="auto"/>
        </w:rPr>
      </w:pPr>
      <w:r>
        <w:rPr>
          <w:rFonts w:ascii="Arial" w:cs="Arial" w:eastAsia="Arial" w:hAnsi="Arial"/>
          <w:sz w:val="18"/>
          <w:szCs w:val="18"/>
          <w:b w:val="1"/>
          <w:bCs w:val="1"/>
          <w:color w:val="auto"/>
        </w:rPr>
        <w:t>Exhibit 31.2</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I, Timothy R. Millage, certify that:</w:t>
      </w:r>
    </w:p>
    <w:p>
      <w:pPr>
        <w:spacing w:after="0" w:line="158" w:lineRule="exact"/>
        <w:rPr>
          <w:sz w:val="20"/>
          <w:szCs w:val="20"/>
          <w:color w:val="auto"/>
        </w:rPr>
      </w:pPr>
    </w:p>
    <w:p>
      <w:pPr>
        <w:ind w:left="480" w:hanging="472"/>
        <w:spacing w:after="0"/>
        <w:tabs>
          <w:tab w:leader="none" w:pos="4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("Quarterly Report") of Lee Enterprises, Incorporated ("Registrant");</w:t>
      </w:r>
    </w:p>
    <w:p>
      <w:pPr>
        <w:spacing w:after="0" w:line="144" w:lineRule="exact"/>
        <w:rPr>
          <w:sz w:val="20"/>
          <w:szCs w:val="20"/>
          <w:color w:val="auto"/>
        </w:rPr>
      </w:pPr>
    </w:p>
    <w:p>
      <w:pPr>
        <w:ind w:left="500" w:right="120" w:hanging="492"/>
        <w:spacing w:after="0" w:line="268" w:lineRule="auto"/>
        <w:tabs>
          <w:tab w:leader="none" w:pos="492" w:val="left"/>
        </w:tabs>
        <w:numPr>
          <w:ilvl w:val="0"/>
          <w:numId w:val="20"/>
        </w:numPr>
        <w:rPr>
          <w:rFonts w:ascii="Arial" w:cs="Arial" w:eastAsia="Arial" w:hAnsi="Arial"/>
          <w:sz w:val="18"/>
          <w:szCs w:val="18"/>
          <w:color w:val="auto"/>
        </w:rPr>
      </w:pPr>
      <w:r>
        <w:rPr>
          <w:rFonts w:ascii="Arial" w:cs="Arial" w:eastAsia="Arial" w:hAnsi="Arial"/>
          <w:sz w:val="18"/>
          <w:szCs w:val="18"/>
          <w:color w:val="auto"/>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spacing w:after="0" w:line="103" w:lineRule="exact"/>
        <w:rPr>
          <w:sz w:val="20"/>
          <w:szCs w:val="20"/>
          <w:color w:val="auto"/>
        </w:rPr>
      </w:pPr>
    </w:p>
    <w:p>
      <w:pPr>
        <w:ind w:left="500" w:right="320" w:hanging="492"/>
        <w:spacing w:after="0" w:line="268" w:lineRule="auto"/>
        <w:tabs>
          <w:tab w:leader="none" w:pos="492" w:val="left"/>
        </w:tabs>
        <w:numPr>
          <w:ilvl w:val="0"/>
          <w:numId w:val="21"/>
        </w:numPr>
        <w:rPr>
          <w:rFonts w:ascii="Arial" w:cs="Arial" w:eastAsia="Arial" w:hAnsi="Arial"/>
          <w:sz w:val="18"/>
          <w:szCs w:val="18"/>
          <w:color w:val="auto"/>
        </w:rPr>
      </w:pPr>
      <w:r>
        <w:rPr>
          <w:rFonts w:ascii="Arial" w:cs="Arial" w:eastAsia="Arial" w:hAnsi="Arial"/>
          <w:sz w:val="18"/>
          <w:szCs w:val="18"/>
          <w:color w:val="auto"/>
        </w:rPr>
        <w:t>Based on my knowledge, the Consolidated Financial Statements, and other financial information included in this Quarterly Report, fairly present in all material respects the financial condition, results of operations and cash flows of the Registrant as of, and for, the periods presented in this Quarterly Report;</w:t>
      </w:r>
    </w:p>
    <w:p>
      <w:pPr>
        <w:spacing w:after="0" w:line="103" w:lineRule="exact"/>
        <w:rPr>
          <w:sz w:val="20"/>
          <w:szCs w:val="20"/>
          <w:color w:val="auto"/>
        </w:rPr>
      </w:pPr>
    </w:p>
    <w:p>
      <w:pPr>
        <w:ind w:left="500" w:right="240" w:hanging="492"/>
        <w:spacing w:after="0" w:line="268" w:lineRule="auto"/>
        <w:tabs>
          <w:tab w:leader="none" w:pos="492"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89" w:lineRule="exact"/>
        <w:rPr>
          <w:rFonts w:ascii="Arial" w:cs="Arial" w:eastAsia="Arial" w:hAnsi="Arial"/>
          <w:sz w:val="18"/>
          <w:szCs w:val="18"/>
          <w:color w:val="auto"/>
        </w:rPr>
      </w:pPr>
    </w:p>
    <w:p>
      <w:pPr>
        <w:ind w:left="1460" w:right="60" w:hanging="480"/>
        <w:spacing w:after="0" w:line="262" w:lineRule="auto"/>
        <w:tabs>
          <w:tab w:leader="none" w:pos="1458" w:val="left"/>
        </w:tabs>
        <w:numPr>
          <w:ilvl w:val="1"/>
          <w:numId w:val="2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Quarterly Report is being prepared;</w:t>
      </w:r>
    </w:p>
    <w:p>
      <w:pPr>
        <w:spacing w:after="0" w:line="108" w:lineRule="exact"/>
        <w:rPr>
          <w:rFonts w:ascii="Arial" w:cs="Arial" w:eastAsia="Arial" w:hAnsi="Arial"/>
          <w:sz w:val="18"/>
          <w:szCs w:val="18"/>
          <w:color w:val="auto"/>
        </w:rPr>
      </w:pPr>
    </w:p>
    <w:p>
      <w:pPr>
        <w:ind w:left="1460" w:right="380" w:hanging="480"/>
        <w:spacing w:after="0" w:line="291" w:lineRule="auto"/>
        <w:tabs>
          <w:tab w:leader="none" w:pos="1458" w:val="left"/>
        </w:tabs>
        <w:numPr>
          <w:ilvl w:val="1"/>
          <w:numId w:val="22"/>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5" w:lineRule="exact"/>
        <w:rPr>
          <w:rFonts w:ascii="Arial" w:cs="Arial" w:eastAsia="Arial" w:hAnsi="Arial"/>
          <w:sz w:val="17"/>
          <w:szCs w:val="17"/>
          <w:color w:val="auto"/>
        </w:rPr>
      </w:pPr>
    </w:p>
    <w:p>
      <w:pPr>
        <w:jc w:val="both"/>
        <w:ind w:left="1460" w:right="180" w:hanging="480"/>
        <w:spacing w:after="0" w:line="268" w:lineRule="auto"/>
        <w:tabs>
          <w:tab w:leader="none" w:pos="1448" w:val="left"/>
        </w:tabs>
        <w:numPr>
          <w:ilvl w:val="1"/>
          <w:numId w:val="22"/>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Quarterly Report our conclusions about the effectiveness of the disclosure controls and procedures as of the end of the period covered by this Quarterly Report based on such evaluation; and</w:t>
      </w:r>
    </w:p>
    <w:p>
      <w:pPr>
        <w:spacing w:after="0" w:line="89" w:lineRule="exact"/>
        <w:rPr>
          <w:rFonts w:ascii="Arial" w:cs="Arial" w:eastAsia="Arial" w:hAnsi="Arial"/>
          <w:sz w:val="18"/>
          <w:szCs w:val="18"/>
          <w:color w:val="auto"/>
        </w:rPr>
      </w:pPr>
    </w:p>
    <w:p>
      <w:pPr>
        <w:ind w:left="1460" w:right="60" w:hanging="480"/>
        <w:spacing w:after="0" w:line="262" w:lineRule="auto"/>
        <w:tabs>
          <w:tab w:leader="none" w:pos="1458" w:val="left"/>
        </w:tabs>
        <w:numPr>
          <w:ilvl w:val="1"/>
          <w:numId w:val="22"/>
        </w:numPr>
        <w:rPr>
          <w:rFonts w:ascii="Arial" w:cs="Arial" w:eastAsia="Arial" w:hAnsi="Arial"/>
          <w:sz w:val="18"/>
          <w:szCs w:val="18"/>
          <w:color w:val="auto"/>
        </w:rPr>
      </w:pPr>
      <w:r>
        <w:rPr>
          <w:rFonts w:ascii="Arial" w:cs="Arial" w:eastAsia="Arial" w:hAnsi="Arial"/>
          <w:sz w:val="18"/>
          <w:szCs w:val="18"/>
          <w:color w:val="auto"/>
        </w:rPr>
        <w:t>disclosed in this Quarterly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09" w:lineRule="exact"/>
        <w:rPr>
          <w:sz w:val="20"/>
          <w:szCs w:val="20"/>
          <w:color w:val="auto"/>
        </w:rPr>
      </w:pPr>
    </w:p>
    <w:p>
      <w:pPr>
        <w:ind w:left="660" w:right="280" w:hanging="652"/>
        <w:spacing w:after="0" w:line="268" w:lineRule="auto"/>
        <w:tabs>
          <w:tab w:leader="none" w:pos="652"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103" w:lineRule="exact"/>
        <w:rPr>
          <w:rFonts w:ascii="Arial" w:cs="Arial" w:eastAsia="Arial" w:hAnsi="Arial"/>
          <w:sz w:val="18"/>
          <w:szCs w:val="18"/>
          <w:color w:val="auto"/>
        </w:rPr>
      </w:pPr>
    </w:p>
    <w:p>
      <w:pPr>
        <w:jc w:val="both"/>
        <w:ind w:left="1460" w:right="260" w:hanging="480"/>
        <w:spacing w:after="0" w:line="268" w:lineRule="auto"/>
        <w:tabs>
          <w:tab w:leader="none" w:pos="1458" w:val="left"/>
        </w:tabs>
        <w:numPr>
          <w:ilvl w:val="1"/>
          <w:numId w:val="2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89" w:lineRule="exact"/>
        <w:rPr>
          <w:rFonts w:ascii="Arial" w:cs="Arial" w:eastAsia="Arial" w:hAnsi="Arial"/>
          <w:sz w:val="18"/>
          <w:szCs w:val="18"/>
          <w:color w:val="auto"/>
        </w:rPr>
      </w:pPr>
    </w:p>
    <w:p>
      <w:pPr>
        <w:ind w:left="1460" w:right="640" w:hanging="480"/>
        <w:spacing w:after="0" w:line="287" w:lineRule="auto"/>
        <w:tabs>
          <w:tab w:leader="none" w:pos="1458" w:val="left"/>
        </w:tabs>
        <w:numPr>
          <w:ilvl w:val="1"/>
          <w:numId w:val="2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color w:val="auto"/>
        </w:rPr>
        <w:t>Date: May 3, 2024</w:t>
      </w:r>
    </w:p>
    <w:p>
      <w:pPr>
        <w:spacing w:after="0" w:line="198"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/s/ Timothy R. Millage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3322320</wp:posOffset>
            </wp:positionH>
            <wp:positionV relativeFrom="paragraph">
              <wp:posOffset>17780</wp:posOffset>
            </wp:positionV>
            <wp:extent cx="381444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2">
                      <a:extLst>
                        <a:ext uri="{28A0092B-C50C-407E-A947-70E740481C1C}"/>
                      </a:extLst>
                    </a:blip>
                    <a:srcRect/>
                    <a:stretch>
                      <a:fillRect/>
                    </a:stretch>
                  </pic:blipFill>
                  <pic:spPr bwMode="auto">
                    <a:xfrm>
                      <a:off x="0" y="0"/>
                      <a:ext cx="3814445" cy="8890"/>
                    </a:xfrm>
                    <a:prstGeom prst="rect">
                      <a:avLst/>
                    </a:prstGeom>
                    <a:noFill/>
                  </pic:spPr>
                </pic:pic>
              </a:graphicData>
            </a:graphic>
          </wp:anchor>
        </w:drawing>
      </w:r>
    </w:p>
    <w:p>
      <w:pPr>
        <w:spacing w:after="0" w:line="16"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Timothy R. Millage</w:t>
      </w:r>
    </w:p>
    <w:p>
      <w:pPr>
        <w:spacing w:after="0" w:line="32"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Vice President, Chief Financial Officer and Treasurer</w:t>
      </w:r>
    </w:p>
    <w:p>
      <w:pPr>
        <w:sectPr>
          <w:pgSz w:w="11900" w:h="16838" w:orient="portrait"/>
          <w:cols w:equalWidth="0" w:num="1">
            <w:col w:w="11240"/>
          </w:cols>
          <w:pgMar w:left="320" w:top="1079" w:right="339" w:bottom="1440" w:gutter="0" w:footer="0" w:header="0"/>
        </w:sectPr>
      </w:pPr>
    </w:p>
    <w:bookmarkStart w:id="29" w:name="page30"/>
    <w:bookmarkEnd w:id="29"/>
    <w:p>
      <w:pPr>
        <w:ind w:left="10240"/>
        <w:spacing w:after="0"/>
        <w:rPr>
          <w:sz w:val="20"/>
          <w:szCs w:val="20"/>
          <w:color w:val="auto"/>
        </w:rPr>
      </w:pPr>
      <w:r>
        <w:rPr>
          <w:rFonts w:ascii="Arial" w:cs="Arial" w:eastAsia="Arial" w:hAnsi="Arial"/>
          <w:sz w:val="17"/>
          <w:szCs w:val="17"/>
          <w:b w:val="1"/>
          <w:bCs w:val="1"/>
          <w:color w:val="auto"/>
        </w:rPr>
        <w:t>Exhibit 32.1</w:t>
      </w:r>
    </w:p>
    <w:p>
      <w:pPr>
        <w:spacing w:after="0" w:line="210" w:lineRule="exact"/>
        <w:rPr>
          <w:sz w:val="20"/>
          <w:szCs w:val="20"/>
          <w:color w:val="auto"/>
        </w:rPr>
      </w:pPr>
    </w:p>
    <w:p>
      <w:pPr>
        <w:ind w:right="160"/>
        <w:spacing w:after="0" w:line="318" w:lineRule="auto"/>
        <w:rPr>
          <w:sz w:val="20"/>
          <w:szCs w:val="20"/>
          <w:color w:val="auto"/>
        </w:rPr>
      </w:pPr>
      <w:r>
        <w:rPr>
          <w:rFonts w:ascii="Arial" w:cs="Arial" w:eastAsia="Arial" w:hAnsi="Arial"/>
          <w:sz w:val="17"/>
          <w:szCs w:val="17"/>
          <w:color w:val="auto"/>
        </w:rPr>
        <w:t>The following statement is being furnished to the Securities and Exchange Commission solely for purposes of Section 906 of the Sarbanes-Oxley Act of 2002 (18 U.S.C. 1350), which carries with it certain criminal penalties in the event of a knowing or willful misrepresentation.</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450 Fifth Street, NW</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Washington, DC 20549</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Re: Lee Enterprises, Incorporated</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85" w:lineRule="exact"/>
        <w:rPr>
          <w:sz w:val="20"/>
          <w:szCs w:val="20"/>
          <w:color w:val="auto"/>
        </w:rPr>
      </w:pPr>
    </w:p>
    <w:p>
      <w:pPr>
        <w:ind w:right="260"/>
        <w:spacing w:after="0" w:line="287" w:lineRule="auto"/>
        <w:rPr>
          <w:sz w:val="20"/>
          <w:szCs w:val="20"/>
          <w:color w:val="auto"/>
        </w:rPr>
      </w:pPr>
      <w:r>
        <w:rPr>
          <w:rFonts w:ascii="Arial" w:cs="Arial" w:eastAsia="Arial" w:hAnsi="Arial"/>
          <w:sz w:val="18"/>
          <w:szCs w:val="18"/>
          <w:color w:val="auto"/>
        </w:rPr>
        <w:t>In accordance with the requirements of Section 906 of the Sarbanes-Oxley Act of 2002 (18 U.S.C. 1350), the undersigned hereby certifies that to his knowledge:</w:t>
      </w:r>
    </w:p>
    <w:p>
      <w:pPr>
        <w:spacing w:after="0" w:line="112" w:lineRule="exact"/>
        <w:rPr>
          <w:sz w:val="20"/>
          <w:szCs w:val="20"/>
          <w:color w:val="auto"/>
        </w:rPr>
      </w:pPr>
    </w:p>
    <w:p>
      <w:pPr>
        <w:ind w:left="500" w:right="240" w:hanging="492"/>
        <w:spacing w:after="0" w:line="287" w:lineRule="auto"/>
        <w:tabs>
          <w:tab w:leader="none" w:pos="498"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this Quarterly report on Form 10-Q for the period ended March 24, 2024 ("Quarterly Report"), fully complies with the requirements of section 13(a) or 15(d) of the Securities Exchange Act of 1934 (15 U.S.C. 78m or 78o(d)); and</w:t>
      </w:r>
    </w:p>
    <w:p>
      <w:pPr>
        <w:spacing w:after="0" w:line="125" w:lineRule="exact"/>
        <w:rPr>
          <w:rFonts w:ascii="Arial" w:cs="Arial" w:eastAsia="Arial" w:hAnsi="Arial"/>
          <w:sz w:val="18"/>
          <w:szCs w:val="18"/>
          <w:color w:val="auto"/>
        </w:rPr>
      </w:pPr>
    </w:p>
    <w:p>
      <w:pPr>
        <w:ind w:left="500" w:right="800" w:hanging="492"/>
        <w:spacing w:after="0" w:line="287" w:lineRule="auto"/>
        <w:tabs>
          <w:tab w:leader="none" w:pos="497"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information contained in this Quarterly Report fairly presents, in all material respects, the financial condition and results of operations of Lee Enterprises, Incorporated for the periods presented in the Quarterly Report.</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color w:val="auto"/>
        </w:rPr>
        <w:t>Date: May 3, 2024</w:t>
      </w:r>
    </w:p>
    <w:p>
      <w:pPr>
        <w:spacing w:after="0" w:line="225"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Kevin D. Mowbray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381444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3">
                      <a:extLst>
                        <a:ext uri="{28A0092B-C50C-407E-A947-70E740481C1C}"/>
                      </a:extLst>
                    </a:blip>
                    <a:srcRect/>
                    <a:stretch>
                      <a:fillRect/>
                    </a:stretch>
                  </pic:blipFill>
                  <pic:spPr bwMode="auto">
                    <a:xfrm>
                      <a:off x="0" y="0"/>
                      <a:ext cx="3814445" cy="825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Arial" w:cs="Arial" w:eastAsia="Arial" w:hAnsi="Arial"/>
          <w:sz w:val="18"/>
          <w:szCs w:val="18"/>
          <w:color w:val="auto"/>
        </w:rPr>
        <w:t>Kevin D. Mowbray</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8"/>
          <w:szCs w:val="18"/>
          <w:color w:val="auto"/>
        </w:rPr>
        <w:t>President and Chief Executive Officer</w:t>
      </w:r>
    </w:p>
    <w:p>
      <w:pPr>
        <w:spacing w:after="0" w:line="270"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A signed original of this written statement required by Section 906 has been provided to Lee Enterprises, Incorporated and will be retained by Lee Enterprises, Incorporated and furnished to the Securities and Exchange Commission upon request.</w:t>
      </w:r>
    </w:p>
    <w:p>
      <w:pPr>
        <w:sectPr>
          <w:pgSz w:w="11900" w:h="16838" w:orient="portrait"/>
          <w:cols w:equalWidth="0" w:num="1">
            <w:col w:w="11240"/>
          </w:cols>
          <w:pgMar w:left="320" w:top="1106" w:right="339" w:bottom="1440" w:gutter="0" w:footer="0" w:header="0"/>
        </w:sectPr>
      </w:pPr>
    </w:p>
    <w:bookmarkStart w:id="30" w:name="page31"/>
    <w:bookmarkEnd w:id="30"/>
    <w:p>
      <w:pPr>
        <w:ind w:left="10240"/>
        <w:spacing w:after="0"/>
        <w:rPr>
          <w:sz w:val="20"/>
          <w:szCs w:val="20"/>
          <w:color w:val="auto"/>
        </w:rPr>
      </w:pPr>
      <w:r>
        <w:rPr>
          <w:rFonts w:ascii="Arial" w:cs="Arial" w:eastAsia="Arial" w:hAnsi="Arial"/>
          <w:sz w:val="17"/>
          <w:szCs w:val="17"/>
          <w:b w:val="1"/>
          <w:bCs w:val="1"/>
          <w:color w:val="auto"/>
        </w:rPr>
        <w:t>Exhibit 32.2</w:t>
      </w:r>
    </w:p>
    <w:p>
      <w:pPr>
        <w:spacing w:after="0" w:line="210" w:lineRule="exact"/>
        <w:rPr>
          <w:sz w:val="20"/>
          <w:szCs w:val="20"/>
          <w:color w:val="auto"/>
        </w:rPr>
      </w:pPr>
    </w:p>
    <w:p>
      <w:pPr>
        <w:ind w:right="160"/>
        <w:spacing w:after="0" w:line="318" w:lineRule="auto"/>
        <w:rPr>
          <w:sz w:val="20"/>
          <w:szCs w:val="20"/>
          <w:color w:val="auto"/>
        </w:rPr>
      </w:pPr>
      <w:r>
        <w:rPr>
          <w:rFonts w:ascii="Arial" w:cs="Arial" w:eastAsia="Arial" w:hAnsi="Arial"/>
          <w:sz w:val="17"/>
          <w:szCs w:val="17"/>
          <w:color w:val="auto"/>
        </w:rPr>
        <w:t>The following statement is being furnished to the Securities and Exchange Commission solely for purposes of Section 906 of the Sarbanes-Oxley Act of 2002 (18 U.S.C. 1350), which carries with it certain criminal penalties in the event of a knowing or willful misrepresentation.</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450 Fifth Street, NW</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Washington, DC 20549</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Re: Lee Enterprises, Incorporated</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85" w:lineRule="exact"/>
        <w:rPr>
          <w:sz w:val="20"/>
          <w:szCs w:val="20"/>
          <w:color w:val="auto"/>
        </w:rPr>
      </w:pPr>
    </w:p>
    <w:p>
      <w:pPr>
        <w:ind w:right="260"/>
        <w:spacing w:after="0" w:line="287" w:lineRule="auto"/>
        <w:rPr>
          <w:sz w:val="20"/>
          <w:szCs w:val="20"/>
          <w:color w:val="auto"/>
        </w:rPr>
      </w:pPr>
      <w:r>
        <w:rPr>
          <w:rFonts w:ascii="Arial" w:cs="Arial" w:eastAsia="Arial" w:hAnsi="Arial"/>
          <w:sz w:val="18"/>
          <w:szCs w:val="18"/>
          <w:color w:val="auto"/>
        </w:rPr>
        <w:t>In accordance with the requirements of Section 906 of the Sarbanes-Oxley Act of 2002 (18 U.S.C. 1350), the undersigned hereby certifies that to his knowledge:</w:t>
      </w:r>
    </w:p>
    <w:p>
      <w:pPr>
        <w:spacing w:after="0" w:line="112" w:lineRule="exact"/>
        <w:rPr>
          <w:sz w:val="20"/>
          <w:szCs w:val="20"/>
          <w:color w:val="auto"/>
        </w:rPr>
      </w:pPr>
    </w:p>
    <w:p>
      <w:pPr>
        <w:ind w:left="500" w:right="240" w:hanging="492"/>
        <w:spacing w:after="0" w:line="287" w:lineRule="auto"/>
        <w:tabs>
          <w:tab w:leader="none" w:pos="498"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this Quarterly report on Form 10-Q for the period ended March 24, 2024 ("Quarterly Report"), fully complies with the requirements of section 13(a) or 15(d) of the Securities Exchange Act of 1934 (15 U.S.C. 78m or 78o(d)); and</w:t>
      </w:r>
    </w:p>
    <w:p>
      <w:pPr>
        <w:spacing w:after="0" w:line="125" w:lineRule="exact"/>
        <w:rPr>
          <w:rFonts w:ascii="Arial" w:cs="Arial" w:eastAsia="Arial" w:hAnsi="Arial"/>
          <w:sz w:val="18"/>
          <w:szCs w:val="18"/>
          <w:color w:val="auto"/>
        </w:rPr>
      </w:pPr>
    </w:p>
    <w:p>
      <w:pPr>
        <w:ind w:left="500" w:right="800" w:hanging="492"/>
        <w:spacing w:after="0" w:line="287" w:lineRule="auto"/>
        <w:tabs>
          <w:tab w:leader="none" w:pos="497"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information contained in this Quarterly Report fairly presents, in all material respects, the financial condition and results of operations of Lee Enterprises, Incorporated for the periods presented in the Quarterly Report.</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color w:val="auto"/>
        </w:rPr>
        <w:t>Date: May 3, 2024</w:t>
      </w:r>
    </w:p>
    <w:p>
      <w:pPr>
        <w:spacing w:after="0" w:line="239"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Timothy R. Millage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381444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4">
                      <a:extLst>
                        <a:ext uri="{28A0092B-C50C-407E-A947-70E740481C1C}"/>
                      </a:extLst>
                    </a:blip>
                    <a:srcRect/>
                    <a:stretch>
                      <a:fillRect/>
                    </a:stretch>
                  </pic:blipFill>
                  <pic:spPr bwMode="auto">
                    <a:xfrm>
                      <a:off x="0" y="0"/>
                      <a:ext cx="3814445" cy="8255"/>
                    </a:xfrm>
                    <a:prstGeom prst="rect">
                      <a:avLst/>
                    </a:prstGeom>
                    <a:noFill/>
                  </pic:spPr>
                </pic:pic>
              </a:graphicData>
            </a:graphic>
          </wp:anchor>
        </w:drawing>
      </w:r>
    </w:p>
    <w:p>
      <w:pPr>
        <w:spacing w:after="0" w:line="43" w:lineRule="exact"/>
        <w:rPr>
          <w:sz w:val="20"/>
          <w:szCs w:val="20"/>
          <w:color w:val="auto"/>
        </w:rPr>
      </w:pPr>
    </w:p>
    <w:p>
      <w:pPr>
        <w:ind w:left="20"/>
        <w:spacing w:after="0"/>
        <w:rPr>
          <w:sz w:val="20"/>
          <w:szCs w:val="20"/>
          <w:color w:val="auto"/>
        </w:rPr>
      </w:pPr>
      <w:r>
        <w:rPr>
          <w:rFonts w:ascii="Arial" w:cs="Arial" w:eastAsia="Arial" w:hAnsi="Arial"/>
          <w:sz w:val="18"/>
          <w:szCs w:val="18"/>
          <w:color w:val="auto"/>
        </w:rPr>
        <w:t>Timothy R. Millage</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8"/>
          <w:szCs w:val="18"/>
          <w:color w:val="auto"/>
        </w:rPr>
        <w:t>Vice President, Chief Financial Officer and Treasurer</w:t>
      </w:r>
    </w:p>
    <w:p>
      <w:pPr>
        <w:spacing w:after="0" w:line="293"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A signed original of this written statement required by Section 906 has been provided to Lee Enterprises, Incorporated and will be retained by Lee Enterprises, Incorporated and furnished to the Securities and Exchange Commission upon request.</w:t>
      </w:r>
    </w:p>
    <w:sectPr>
      <w:pgSz w:w="11900" w:h="16838" w:orient="portrait"/>
      <w:cols w:equalWidth="0" w:num="1">
        <w:col w:w="11240"/>
      </w:cols>
      <w:pgMar w:left="320" w:top="110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3352255A"/>
    <w:multiLevelType w:val="hybridMultilevel"/>
    <w:lvl w:ilvl="0">
      <w:lvlJc w:val="left"/>
      <w:lvlText w:val="•"/>
      <w:numFmt w:val="bullet"/>
      <w:start w:val="1"/>
    </w:lvl>
  </w:abstractNum>
  <w:abstractNum w:abstractNumId="1">
    <w:nsid w:val="109CF92E"/>
    <w:multiLevelType w:val="hybridMultilevel"/>
    <w:lvl w:ilvl="0">
      <w:lvlJc w:val="left"/>
      <w:lvlText w:val="1"/>
      <w:numFmt w:val="bullet"/>
      <w:start w:val="1"/>
    </w:lvl>
  </w:abstractNum>
  <w:abstractNum w:abstractNumId="2">
    <w:nsid w:val="DED7263"/>
    <w:multiLevelType w:val="hybridMultilevel"/>
    <w:lvl w:ilvl="0">
      <w:lvlJc w:val="left"/>
      <w:lvlText w:val="2"/>
      <w:numFmt w:val="bullet"/>
      <w:start w:val="1"/>
    </w:lvl>
  </w:abstractNum>
  <w:abstractNum w:abstractNumId="3">
    <w:nsid w:val="7FDCC233"/>
    <w:multiLevelType w:val="hybridMultilevel"/>
    <w:lvl w:ilvl="0">
      <w:lvlJc w:val="left"/>
      <w:lvlText w:val="3"/>
      <w:numFmt w:val="bullet"/>
      <w:start w:val="1"/>
    </w:lvl>
  </w:abstractNum>
  <w:abstractNum w:abstractNumId="4">
    <w:nsid w:val="1BEFD79F"/>
    <w:multiLevelType w:val="hybridMultilevel"/>
    <w:lvl w:ilvl="0">
      <w:lvlJc w:val="left"/>
      <w:lvlText w:val="5"/>
      <w:numFmt w:val="bullet"/>
      <w:start w:val="1"/>
    </w:lvl>
  </w:abstractNum>
  <w:abstractNum w:abstractNumId="5">
    <w:nsid w:val="41A7C4C9"/>
    <w:multiLevelType w:val="hybridMultilevel"/>
    <w:lvl w:ilvl="0">
      <w:lvlJc w:val="left"/>
      <w:lvlText w:val="6"/>
      <w:numFmt w:val="bullet"/>
      <w:start w:val="1"/>
    </w:lvl>
  </w:abstractNum>
  <w:abstractNum w:abstractNumId="6">
    <w:nsid w:val="6B68079A"/>
    <w:multiLevelType w:val="hybridMultilevel"/>
    <w:lvl w:ilvl="0">
      <w:lvlJc w:val="left"/>
      <w:lvlText w:val="7"/>
      <w:numFmt w:val="bullet"/>
      <w:start w:val="1"/>
    </w:lvl>
  </w:abstractNum>
  <w:abstractNum w:abstractNumId="7">
    <w:nsid w:val="4E6AFB66"/>
    <w:multiLevelType w:val="hybridMultilevel"/>
    <w:lvl w:ilvl="0">
      <w:lvlJc w:val="left"/>
      <w:lvlText w:val="8"/>
      <w:numFmt w:val="bullet"/>
      <w:start w:val="1"/>
    </w:lvl>
  </w:abstractNum>
  <w:abstractNum w:abstractNumId="8">
    <w:nsid w:val="25E45D32"/>
    <w:multiLevelType w:val="hybridMultilevel"/>
    <w:lvl w:ilvl="0">
      <w:lvlJc w:val="left"/>
      <w:lvlText w:val="9"/>
      <w:numFmt w:val="bullet"/>
      <w:start w:val="1"/>
    </w:lvl>
  </w:abstractNum>
  <w:abstractNum w:abstractNumId="9">
    <w:nsid w:val="519B500D"/>
    <w:multiLevelType w:val="hybridMultilevel"/>
    <w:lvl w:ilvl="0">
      <w:lvlJc w:val="left"/>
      <w:lvlText w:val="•"/>
      <w:numFmt w:val="bullet"/>
      <w:start w:val="1"/>
    </w:lvl>
  </w:abstractNum>
  <w:abstractNum w:abstractNumId="10">
    <w:nsid w:val="431BD7B7"/>
    <w:multiLevelType w:val="hybridMultilevel"/>
    <w:lvl w:ilvl="0">
      <w:lvlJc w:val="left"/>
      <w:lvlText w:val="•"/>
      <w:numFmt w:val="bullet"/>
      <w:start w:val="1"/>
    </w:lvl>
  </w:abstractNum>
  <w:abstractNum w:abstractNumId="11">
    <w:nsid w:val="3F2DBA31"/>
    <w:multiLevelType w:val="hybridMultilevel"/>
    <w:lvl w:ilvl="0">
      <w:lvlJc w:val="left"/>
      <w:lvlText w:val="•"/>
      <w:numFmt w:val="bullet"/>
      <w:start w:val="1"/>
    </w:lvl>
  </w:abstractNum>
  <w:abstractNum w:abstractNumId="12">
    <w:nsid w:val="7C83E458"/>
    <w:multiLevelType w:val="hybridMultilevel"/>
    <w:lvl w:ilvl="0">
      <w:lvlJc w:val="left"/>
      <w:lvlText w:val="•"/>
      <w:numFmt w:val="bullet"/>
      <w:start w:val="1"/>
    </w:lvl>
  </w:abstractNum>
  <w:abstractNum w:abstractNumId="13">
    <w:nsid w:val="257130A3"/>
    <w:multiLevelType w:val="hybridMultilevel"/>
    <w:lvl w:ilvl="0">
      <w:lvlJc w:val="left"/>
      <w:lvlText w:val="1"/>
      <w:numFmt w:val="bullet"/>
      <w:start w:val="1"/>
    </w:lvl>
  </w:abstractNum>
  <w:abstractNum w:abstractNumId="14">
    <w:nsid w:val="62BBD95A"/>
    <w:multiLevelType w:val="hybridMultilevel"/>
    <w:lvl w:ilvl="0">
      <w:lvlJc w:val="left"/>
      <w:lvlText w:val="2"/>
      <w:numFmt w:val="bullet"/>
      <w:start w:val="1"/>
    </w:lvl>
  </w:abstractNum>
  <w:abstractNum w:abstractNumId="15">
    <w:nsid w:val="436C6125"/>
    <w:multiLevelType w:val="hybridMultilevel"/>
    <w:lvl w:ilvl="0">
      <w:lvlJc w:val="left"/>
      <w:lvlText w:val="3"/>
      <w:numFmt w:val="bullet"/>
      <w:start w:val="1"/>
    </w:lvl>
  </w:abstractNum>
  <w:abstractNum w:abstractNumId="16">
    <w:nsid w:val="628C895D"/>
    <w:multiLevelType w:val="hybridMultilevel"/>
    <w:lvl w:ilvl="0">
      <w:lvlJc w:val="left"/>
      <w:lvlText w:val="4"/>
      <w:numFmt w:val="bullet"/>
      <w:start w:val="1"/>
    </w:lvl>
    <w:lvl w:ilvl="1">
      <w:lvlJc w:val="left"/>
      <w:lvlText w:val="%2)"/>
      <w:numFmt w:val="lowerLetter"/>
      <w:start w:val="1"/>
    </w:lvl>
  </w:abstractNum>
  <w:abstractNum w:abstractNumId="17">
    <w:nsid w:val="333AB105"/>
    <w:multiLevelType w:val="hybridMultilevel"/>
    <w:lvl w:ilvl="0">
      <w:lvlJc w:val="left"/>
      <w:lvlText w:val="5"/>
      <w:numFmt w:val="bullet"/>
      <w:start w:val="1"/>
    </w:lvl>
    <w:lvl w:ilvl="1">
      <w:lvlJc w:val="left"/>
      <w:lvlText w:val="%2)"/>
      <w:numFmt w:val="lowerLetter"/>
      <w:start w:val="1"/>
    </w:lvl>
  </w:abstractNum>
  <w:abstractNum w:abstractNumId="18">
    <w:nsid w:val="721DA317"/>
    <w:multiLevelType w:val="hybridMultilevel"/>
    <w:lvl w:ilvl="0">
      <w:lvlJc w:val="left"/>
      <w:lvlText w:val="1"/>
      <w:numFmt w:val="bullet"/>
      <w:start w:val="1"/>
    </w:lvl>
  </w:abstractNum>
  <w:abstractNum w:abstractNumId="19">
    <w:nsid w:val="2443A858"/>
    <w:multiLevelType w:val="hybridMultilevel"/>
    <w:lvl w:ilvl="0">
      <w:lvlJc w:val="left"/>
      <w:lvlText w:val="2"/>
      <w:numFmt w:val="bullet"/>
      <w:start w:val="1"/>
    </w:lvl>
  </w:abstractNum>
  <w:abstractNum w:abstractNumId="20">
    <w:nsid w:val="2D1D5AE9"/>
    <w:multiLevelType w:val="hybridMultilevel"/>
    <w:lvl w:ilvl="0">
      <w:lvlJc w:val="left"/>
      <w:lvlText w:val="3"/>
      <w:numFmt w:val="bullet"/>
      <w:start w:val="1"/>
    </w:lvl>
  </w:abstractNum>
  <w:abstractNum w:abstractNumId="21">
    <w:nsid w:val="6763845E"/>
    <w:multiLevelType w:val="hybridMultilevel"/>
    <w:lvl w:ilvl="0">
      <w:lvlJc w:val="left"/>
      <w:lvlText w:val="4"/>
      <w:numFmt w:val="bullet"/>
      <w:start w:val="1"/>
    </w:lvl>
    <w:lvl w:ilvl="1">
      <w:lvlJc w:val="left"/>
      <w:lvlText w:val="%2)"/>
      <w:numFmt w:val="lowerLetter"/>
      <w:start w:val="1"/>
    </w:lvl>
  </w:abstractNum>
  <w:abstractNum w:abstractNumId="22">
    <w:nsid w:val="75A2A8D4"/>
    <w:multiLevelType w:val="hybridMultilevel"/>
    <w:lvl w:ilvl="0">
      <w:lvlJc w:val="left"/>
      <w:lvlText w:val="5"/>
      <w:numFmt w:val="bullet"/>
      <w:start w:val="1"/>
    </w:lvl>
    <w:lvl w:ilvl="1">
      <w:lvlJc w:val="left"/>
      <w:lvlText w:val="%2)"/>
      <w:numFmt w:val="lowerLetter"/>
      <w:start w:val="1"/>
    </w:lvl>
  </w:abstractNum>
  <w:abstractNum w:abstractNumId="23">
    <w:nsid w:val="8EDBDAB"/>
    <w:multiLevelType w:val="hybridMultilevel"/>
    <w:lvl w:ilvl="0">
      <w:lvlJc w:val="left"/>
      <w:lvlText w:val="(%1)"/>
      <w:numFmt w:val="lowerRoman"/>
      <w:start w:val="1"/>
    </w:lvl>
  </w:abstractNum>
  <w:abstractNum w:abstractNumId="24">
    <w:nsid w:val="79838CB2"/>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8" Type="http://schemas.openxmlformats.org/officeDocument/2006/relationships/image" Target="media/image30.png"/><Relationship Id="rId39" Type="http://schemas.openxmlformats.org/officeDocument/2006/relationships/image" Target="media/image31.png"/><Relationship Id="rId40" Type="http://schemas.openxmlformats.org/officeDocument/2006/relationships/image" Target="media/image32.png"/><Relationship Id="rId41" Type="http://schemas.openxmlformats.org/officeDocument/2006/relationships/image" Target="media/image33.png"/><Relationship Id="rId42" Type="http://schemas.openxmlformats.org/officeDocument/2006/relationships/image" Target="media/image34.png"/><Relationship Id="rId43" Type="http://schemas.openxmlformats.org/officeDocument/2006/relationships/image" Target="media/image35.png"/><Relationship Id="rId44" Type="http://schemas.openxmlformats.org/officeDocument/2006/relationships/image" Target="media/image36.png"/><Relationship Id="rId37" Type="http://schemas.openxmlformats.org/officeDocument/2006/relationships/hyperlink" Target="https://www.sec.gov/ix?doc=/Archives/edgar/data/58361/000162828024013717/lee-20240329.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2024-05-03T09:16:00Z</dcterms:created>
  <dcterms:modified xsi:type="dcterms:W3CDTF">2024-05-03T09:16:00Z</dcterms:modified>
</cp:coreProperties>
</file>