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9" w:lineRule="exact"/>
        <w:rPr>
          <w:sz w:val="24"/>
          <w:szCs w:val="24"/>
          <w:color w:val="auto"/>
        </w:rPr>
      </w:pPr>
    </w:p>
    <w:p>
      <w:pPr>
        <w:jc w:val="center"/>
        <w:ind w:right="-19"/>
        <w:spacing w:after="0"/>
        <w:rPr>
          <w:sz w:val="20"/>
          <w:szCs w:val="20"/>
          <w:color w:val="auto"/>
        </w:rPr>
      </w:pPr>
      <w:r>
        <w:rPr>
          <w:rFonts w:ascii="Wingdings" w:cs="Wingdings" w:eastAsia="Wingdings" w:hAnsi="Wingdings"/>
          <w:sz w:val="17"/>
          <w:szCs w:val="17"/>
          <w:b w:val="1"/>
          <w:bCs w:val="1"/>
          <w:color w:val="auto"/>
        </w:rPr>
        <w:t xml:space="preserve">x </w:t>
      </w:r>
      <w:r>
        <w:rPr>
          <w:rFonts w:ascii="Arial" w:cs="Arial" w:eastAsia="Arial" w:hAnsi="Arial"/>
          <w:sz w:val="17"/>
          <w:szCs w:val="17"/>
          <w:color w:val="auto"/>
        </w:rPr>
        <w:t>QUARTERLY REPORT PURSUANT TO SECTION 13 OR 15(d) OF THE</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For The Quarterly Period Ended June 29, 2025</w:t>
      </w:r>
    </w:p>
    <w:p>
      <w:pPr>
        <w:spacing w:after="0" w:line="117"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2600"/>
        <w:spacing w:after="0"/>
        <w:rPr>
          <w:sz w:val="20"/>
          <w:szCs w:val="20"/>
          <w:color w:val="auto"/>
        </w:rPr>
      </w:pPr>
      <w:r>
        <w:rPr>
          <w:rFonts w:ascii="Wingdings" w:cs="Wingdings" w:eastAsia="Wingdings" w:hAnsi="Wingdings"/>
          <w:sz w:val="17"/>
          <w:szCs w:val="17"/>
          <w:b w:val="1"/>
          <w:bCs w:val="1"/>
          <w:color w:val="auto"/>
        </w:rPr>
        <w:t xml:space="preserve">o </w:t>
      </w:r>
      <w:r>
        <w:rPr>
          <w:rFonts w:ascii="Arial" w:cs="Arial" w:eastAsia="Arial" w:hAnsi="Arial"/>
          <w:sz w:val="17"/>
          <w:szCs w:val="17"/>
          <w:color w:val="auto"/>
        </w:rPr>
        <w:t>TRANSITION REPORT PURSUANT TO SECTION 13 OR 15(d) OF THE</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Commission File Number 1-6227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LEE ENTERPRISES, INCORPORATED</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158"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Delaware</w:t>
      </w:r>
    </w:p>
    <w:p>
      <w:pPr>
        <w:spacing w:after="0" w:line="32" w:lineRule="exact"/>
        <w:rPr>
          <w:sz w:val="24"/>
          <w:szCs w:val="24"/>
          <w:color w:val="auto"/>
        </w:rPr>
      </w:pPr>
    </w:p>
    <w:p>
      <w:pPr>
        <w:jc w:val="center"/>
        <w:ind w:right="2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42-0823980</w:t>
      </w:r>
    </w:p>
    <w:p>
      <w:pPr>
        <w:spacing w:after="0" w:line="32"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60" w:space="720"/>
            <w:col w:w="3760"/>
          </w:cols>
          <w:pgMar w:left="320" w:top="2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4600 E. 53rd Street, Davenport, Iowa 52807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Trading Symbol(s)</w:t>
            </w:r>
          </w:p>
        </w:tc>
        <w:tc>
          <w:tcPr>
            <w:tcW w:w="4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18"/>
        </w:trPr>
        <w:tc>
          <w:tcPr>
            <w:tcW w:w="4320" w:type="dxa"/>
            <w:vAlign w:val="bottom"/>
          </w:tcPr>
          <w:p>
            <w:pPr>
              <w:jc w:val="center"/>
              <w:spacing w:after="0"/>
              <w:rPr>
                <w:sz w:val="20"/>
                <w:szCs w:val="20"/>
                <w:color w:val="auto"/>
              </w:rPr>
            </w:pPr>
            <w:r>
              <w:rPr>
                <w:rFonts w:ascii="Arial" w:cs="Arial" w:eastAsia="Arial" w:hAnsi="Arial"/>
                <w:sz w:val="18"/>
                <w:szCs w:val="18"/>
                <w:color w:val="auto"/>
                <w:w w:val="99"/>
              </w:rPr>
              <w:t>Common Stock, par value $.01 per share</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9"/>
              </w:rPr>
              <w:t>LEE</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9"/>
              </w:rPr>
              <w:t>The Nasdaq Global Select Market</w:t>
            </w:r>
          </w:p>
        </w:tc>
      </w:tr>
      <w:tr>
        <w:trPr>
          <w:trHeight w:val="239"/>
        </w:trPr>
        <w:tc>
          <w:tcPr>
            <w:tcW w:w="4320" w:type="dxa"/>
            <w:vAlign w:val="bottom"/>
          </w:tcPr>
          <w:p>
            <w:pPr>
              <w:jc w:val="center"/>
              <w:spacing w:after="0"/>
              <w:rPr>
                <w:sz w:val="20"/>
                <w:szCs w:val="20"/>
                <w:color w:val="auto"/>
              </w:rPr>
            </w:pPr>
            <w:r>
              <w:rPr>
                <w:rFonts w:ascii="Arial" w:cs="Arial" w:eastAsia="Arial" w:hAnsi="Arial"/>
                <w:sz w:val="18"/>
                <w:szCs w:val="18"/>
                <w:color w:val="auto"/>
                <w:w w:val="99"/>
              </w:rPr>
              <w:t>Preferred Share Purchase Rights</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9"/>
              </w:rPr>
              <w:t>LEE</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9"/>
              </w:rPr>
              <w:t>The Nasdaq Global Select Market</w:t>
            </w:r>
          </w:p>
        </w:tc>
      </w:tr>
    </w:tbl>
    <w:p>
      <w:pPr>
        <w:spacing w:after="0" w:line="166"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type w:val="continuous"/>
        </w:sectPr>
      </w:pPr>
    </w:p>
    <w:p>
      <w:pPr>
        <w:spacing w:after="0" w:line="103" w:lineRule="exact"/>
        <w:rPr>
          <w:sz w:val="24"/>
          <w:szCs w:val="24"/>
          <w:color w:val="auto"/>
        </w:rPr>
      </w:pPr>
    </w:p>
    <w:p>
      <w:pPr>
        <w:ind w:left="36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1" w:lineRule="exact"/>
        <w:rPr>
          <w:sz w:val="24"/>
          <w:szCs w:val="24"/>
          <w:color w:val="auto"/>
        </w:rPr>
      </w:pPr>
    </w:p>
    <w:p>
      <w:pPr>
        <w:ind w:left="37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26" w:lineRule="exact"/>
        <w:rPr>
          <w:sz w:val="24"/>
          <w:szCs w:val="24"/>
          <w:color w:val="auto"/>
        </w:rPr>
      </w:pPr>
    </w:p>
    <w:p>
      <w:pPr>
        <w:sectPr>
          <w:pgSz w:w="11900" w:h="16838" w:orient="portrait"/>
          <w:cols w:equalWidth="0" w:num="2">
            <w:col w:w="8600" w:space="720"/>
            <w:col w:w="192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jc w:val="center"/>
        <w:ind w:right="3460"/>
        <w:spacing w:after="0"/>
        <w:rPr>
          <w:sz w:val="20"/>
          <w:szCs w:val="20"/>
          <w:color w:val="auto"/>
        </w:rPr>
      </w:pPr>
      <w:r>
        <w:rPr>
          <w:rFonts w:ascii="Arial" w:cs="Arial" w:eastAsia="Arial" w:hAnsi="Arial"/>
          <w:sz w:val="18"/>
          <w:szCs w:val="18"/>
          <w:color w:val="auto"/>
        </w:rPr>
        <w:t>Smaller reporting company</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1" w:lineRule="exact"/>
        <w:rPr>
          <w:sz w:val="24"/>
          <w:szCs w:val="24"/>
          <w:color w:val="auto"/>
        </w:rPr>
      </w:pPr>
    </w:p>
    <w:p>
      <w:pPr>
        <w:ind w:left="37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o</w:t>
      </w:r>
    </w:p>
    <w:p>
      <w:pPr>
        <w:spacing w:after="0" w:line="200" w:lineRule="exact"/>
        <w:rPr>
          <w:sz w:val="24"/>
          <w:szCs w:val="24"/>
          <w:color w:val="auto"/>
        </w:rPr>
      </w:pPr>
    </w:p>
    <w:p>
      <w:pPr>
        <w:sectPr>
          <w:pgSz w:w="11900" w:h="16838" w:orient="portrait"/>
          <w:cols w:equalWidth="0" w:num="3">
            <w:col w:w="4900" w:space="720"/>
            <w:col w:w="2980" w:space="720"/>
            <w:col w:w="1920"/>
          </w:cols>
          <w:pgMar w:left="320" w:top="229" w:right="339" w:bottom="1440" w:gutter="0" w:footer="0" w:header="0"/>
          <w:type w:val="continuous"/>
        </w:sectPr>
      </w:pPr>
    </w:p>
    <w:p>
      <w:pPr>
        <w:spacing w:after="0" w:line="2"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45" w:lineRule="exact"/>
        <w:rPr>
          <w:sz w:val="24"/>
          <w:szCs w:val="24"/>
          <w:color w:val="auto"/>
        </w:rPr>
      </w:pPr>
    </w:p>
    <w:p>
      <w:pPr>
        <w:spacing w:after="0"/>
        <w:tabs>
          <w:tab w:leader="none" w:pos="92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Wingdings" w:cs="Wingdings" w:eastAsia="Wingdings" w:hAnsi="Wingdings"/>
          <w:sz w:val="18"/>
          <w:szCs w:val="18"/>
          <w:b w:val="1"/>
          <w:bCs w:val="1"/>
          <w:color w:val="auto"/>
        </w:rPr>
        <w:t>o</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2025, 6,262,967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Table Of Contents</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color w:val="auto"/>
              </w:rPr>
              <w:t>PAGE</w:t>
            </w:r>
          </w:p>
        </w:tc>
      </w:tr>
      <w:tr>
        <w:trPr>
          <w:trHeight w:val="331"/>
        </w:trPr>
        <w:tc>
          <w:tcPr>
            <w:tcW w:w="20" w:type="dxa"/>
            <w:vAlign w:val="bottom"/>
          </w:tcPr>
          <w:p>
            <w:pPr>
              <w:spacing w:after="0"/>
              <w:rPr>
                <w:sz w:val="24"/>
                <w:szCs w:val="24"/>
                <w:color w:val="auto"/>
              </w:rPr>
            </w:pPr>
          </w:p>
        </w:tc>
        <w:tc>
          <w:tcPr>
            <w:tcW w:w="10020" w:type="dxa"/>
            <w:vAlign w:val="bottom"/>
            <w:gridSpan w:val="18"/>
          </w:tcPr>
          <w:p>
            <w:pPr>
              <w:spacing w:after="0"/>
              <w:rPr>
                <w:sz w:val="20"/>
                <w:szCs w:val="20"/>
                <w:color w:val="auto"/>
              </w:rPr>
            </w:pPr>
            <w:r>
              <w:rPr>
                <w:rFonts w:ascii="Arial" w:cs="Arial" w:eastAsia="Arial" w:hAnsi="Arial"/>
                <w:sz w:val="18"/>
                <w:szCs w:val="18"/>
                <w:color w:val="0000FF"/>
              </w:rPr>
              <w:t>FORWARD LOOKING STATEMENTS</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1</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40" w:type="dxa"/>
            <w:vAlign w:val="bottom"/>
            <w:gridSpan w:val="5"/>
          </w:tcPr>
          <w:p>
            <w:pPr>
              <w:spacing w:after="0"/>
              <w:rPr>
                <w:sz w:val="20"/>
                <w:szCs w:val="20"/>
                <w:color w:val="auto"/>
              </w:rPr>
            </w:pPr>
            <w:r>
              <w:rPr>
                <w:rFonts w:ascii="Arial" w:cs="Arial" w:eastAsia="Arial" w:hAnsi="Arial"/>
                <w:sz w:val="18"/>
                <w:szCs w:val="18"/>
                <w:color w:val="0000FF"/>
                <w:w w:val="98"/>
              </w:rPr>
              <w:t>FINANCIAL INFORMATION</w:t>
            </w:r>
          </w:p>
        </w:tc>
        <w:tc>
          <w:tcPr>
            <w:tcW w:w="6500" w:type="dxa"/>
            <w:vAlign w:val="bottom"/>
            <w:gridSpan w:val="11"/>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680" w:type="dxa"/>
            <w:vAlign w:val="bottom"/>
            <w:gridSpan w:val="9"/>
          </w:tcPr>
          <w:p>
            <w:pPr>
              <w:spacing w:after="0"/>
              <w:rPr>
                <w:sz w:val="20"/>
                <w:szCs w:val="20"/>
                <w:color w:val="auto"/>
              </w:rPr>
            </w:pPr>
            <w:r>
              <w:rPr>
                <w:rFonts w:ascii="Arial" w:cs="Arial" w:eastAsia="Arial" w:hAnsi="Arial"/>
                <w:sz w:val="18"/>
                <w:szCs w:val="18"/>
                <w:color w:val="0000FF"/>
                <w:w w:val="99"/>
              </w:rPr>
              <w:t>Financial Statements (Unaudited)</w:t>
            </w:r>
          </w:p>
        </w:tc>
        <w:tc>
          <w:tcPr>
            <w:tcW w:w="4920" w:type="dxa"/>
            <w:vAlign w:val="bottom"/>
            <w:gridSpan w:val="6"/>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gridSpan w:val="9"/>
          </w:tcPr>
          <w:p>
            <w:pPr>
              <w:spacing w:after="0"/>
              <w:rPr>
                <w:sz w:val="20"/>
                <w:szCs w:val="20"/>
                <w:color w:val="auto"/>
              </w:rPr>
            </w:pPr>
            <w:r>
              <w:rPr>
                <w:rFonts w:ascii="Arial" w:cs="Arial" w:eastAsia="Arial" w:hAnsi="Arial"/>
                <w:sz w:val="18"/>
                <w:szCs w:val="18"/>
                <w:color w:val="0000FF"/>
              </w:rPr>
              <w:t>Consolidated Balance Sheets</w:t>
            </w:r>
          </w:p>
        </w:tc>
        <w:tc>
          <w:tcPr>
            <w:tcW w:w="4920" w:type="dxa"/>
            <w:vAlign w:val="bottom"/>
            <w:gridSpan w:val="6"/>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Arial" w:cs="Arial" w:eastAsia="Arial" w:hAnsi="Arial"/>
                <w:sz w:val="18"/>
                <w:szCs w:val="18"/>
                <w:color w:val="0000FF"/>
                <w:w w:val="99"/>
              </w:rPr>
              <w:t>Consolidated Statements of Loss and Comprehensive Loss</w:t>
            </w:r>
          </w:p>
        </w:tc>
        <w:tc>
          <w:tcPr>
            <w:tcW w:w="2860" w:type="dxa"/>
            <w:vAlign w:val="bottom"/>
            <w:gridSpan w:val="2"/>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4</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Arial" w:cs="Arial" w:eastAsia="Arial" w:hAnsi="Arial"/>
                <w:sz w:val="18"/>
                <w:szCs w:val="18"/>
                <w:color w:val="0000FF"/>
                <w:w w:val="99"/>
              </w:rPr>
              <w:t>Consolidated Statements of Stockholders' Equity (Deficit)</w:t>
            </w:r>
          </w:p>
        </w:tc>
        <w:tc>
          <w:tcPr>
            <w:tcW w:w="180" w:type="dxa"/>
            <w:vAlign w:val="bottom"/>
          </w:tcPr>
          <w:p>
            <w:pPr>
              <w:spacing w:after="0"/>
              <w:rPr>
                <w:sz w:val="24"/>
                <w:szCs w:val="24"/>
                <w:color w:val="auto"/>
              </w:rPr>
            </w:pPr>
          </w:p>
        </w:tc>
        <w:tc>
          <w:tcPr>
            <w:tcW w:w="2860" w:type="dxa"/>
            <w:vAlign w:val="bottom"/>
            <w:gridSpan w:val="2"/>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5</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Arial" w:cs="Arial" w:eastAsia="Arial" w:hAnsi="Arial"/>
                <w:sz w:val="18"/>
                <w:szCs w:val="18"/>
                <w:color w:val="0000FF"/>
              </w:rPr>
              <w:t>Consolidated Statements of Cash Flows</w:t>
            </w:r>
          </w:p>
        </w:tc>
        <w:tc>
          <w:tcPr>
            <w:tcW w:w="3040" w:type="dxa"/>
            <w:vAlign w:val="bottom"/>
            <w:gridSpan w:val="3"/>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7</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0" w:type="dxa"/>
            <w:vAlign w:val="bottom"/>
            <w:gridSpan w:val="15"/>
          </w:tcPr>
          <w:p>
            <w:pPr>
              <w:spacing w:after="0"/>
              <w:rPr>
                <w:sz w:val="20"/>
                <w:szCs w:val="20"/>
                <w:color w:val="auto"/>
              </w:rPr>
            </w:pPr>
            <w:r>
              <w:rPr>
                <w:rFonts w:ascii="Arial" w:cs="Arial" w:eastAsia="Arial" w:hAnsi="Arial"/>
                <w:sz w:val="18"/>
                <w:szCs w:val="18"/>
                <w:color w:val="0000FF"/>
              </w:rPr>
              <w:t>Notes to Consolidated Financial Statements</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8</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16</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2000" w:type="dxa"/>
            <w:vAlign w:val="bottom"/>
            <w:gridSpan w:val="7"/>
          </w:tcPr>
          <w:p>
            <w:pPr>
              <w:spacing w:after="0"/>
              <w:rPr>
                <w:sz w:val="20"/>
                <w:szCs w:val="20"/>
                <w:color w:val="auto"/>
              </w:rPr>
            </w:pPr>
            <w:r>
              <w:rPr>
                <w:rFonts w:ascii="Arial" w:cs="Arial" w:eastAsia="Arial" w:hAnsi="Arial"/>
                <w:sz w:val="18"/>
                <w:szCs w:val="18"/>
                <w:color w:val="0000FF"/>
                <w:w w:val="99"/>
              </w:rPr>
              <w:t>Controls and Procedures</w:t>
            </w:r>
          </w:p>
        </w:tc>
        <w:tc>
          <w:tcPr>
            <w:tcW w:w="50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25</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874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0000FF"/>
                <w:w w:val="99"/>
              </w:rPr>
              <w:t>25</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sz w:val="20"/>
                <w:szCs w:val="20"/>
                <w:color w:val="auto"/>
              </w:rPr>
            </w:pPr>
            <w:r>
              <w:rPr>
                <w:rFonts w:ascii="Arial" w:cs="Arial" w:eastAsia="Arial" w:hAnsi="Arial"/>
                <w:sz w:val="18"/>
                <w:szCs w:val="18"/>
                <w:color w:val="0000FF"/>
                <w:w w:val="99"/>
              </w:rPr>
              <w:t>Legal Proceedings</w:t>
            </w:r>
          </w:p>
        </w:tc>
        <w:tc>
          <w:tcPr>
            <w:tcW w:w="61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25</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61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26</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760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0000FF"/>
                <w:w w:val="99"/>
              </w:rPr>
              <w:t>26</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88"/>
              </w:rPr>
              <w:t>Exhibits</w:t>
            </w:r>
          </w:p>
        </w:tc>
        <w:tc>
          <w:tcPr>
            <w:tcW w:w="800" w:type="dxa"/>
            <w:vAlign w:val="bottom"/>
            <w:gridSpan w:val="4"/>
          </w:tcPr>
          <w:p>
            <w:pPr>
              <w:spacing w:after="0"/>
              <w:rPr>
                <w:sz w:val="24"/>
                <w:szCs w:val="24"/>
                <w:color w:val="auto"/>
              </w:rPr>
            </w:pPr>
          </w:p>
        </w:tc>
        <w:tc>
          <w:tcPr>
            <w:tcW w:w="620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27</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28</w:t>
            </w:r>
          </w:p>
        </w:tc>
      </w:tr>
      <w:tr>
        <w:trPr>
          <w:trHeight w:val="10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“2025”, “2024" and the like refer to the fiscal years ended the last Sunday in September.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203" w:lineRule="exact"/>
        <w:rPr>
          <w:sz w:val="20"/>
          <w:szCs w:val="20"/>
          <w:color w:val="auto"/>
        </w:rPr>
      </w:pPr>
    </w:p>
    <w:p>
      <w:pPr>
        <w:ind w:left="660" w:right="20" w:hanging="328"/>
        <w:spacing w:after="0" w:line="26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or Buffalo News for unknown legal and other matters that may arise;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auto"/>
              <w:bottom w:val="single" w:sz="8" w:color="auto"/>
            </w:tcBorders>
          </w:tcPr>
          <w:p>
            <w:pPr>
              <w:spacing w:after="0"/>
              <w:rPr>
                <w:sz w:val="21"/>
                <w:szCs w:val="21"/>
                <w:color w:val="auto"/>
              </w:rPr>
            </w:pPr>
          </w:p>
        </w:tc>
        <w:tc>
          <w:tcPr>
            <w:tcW w:w="45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r>
      <w:tr>
        <w:trPr>
          <w:trHeight w:val="218"/>
        </w:trPr>
        <w:tc>
          <w:tcPr>
            <w:tcW w:w="5220" w:type="dxa"/>
            <w:vAlign w:val="bottom"/>
          </w:tcPr>
          <w:p>
            <w:pPr>
              <w:spacing w:after="0"/>
              <w:rPr>
                <w:sz w:val="18"/>
                <w:szCs w:val="18"/>
                <w:color w:val="auto"/>
              </w:rPr>
            </w:pPr>
          </w:p>
        </w:tc>
        <w:tc>
          <w:tcPr>
            <w:tcW w:w="4560" w:type="dxa"/>
            <w:vAlign w:val="bottom"/>
          </w:tcPr>
          <w:p>
            <w:pPr>
              <w:jc w:val="right"/>
              <w:ind w:right="170"/>
              <w:spacing w:after="0"/>
              <w:rPr>
                <w:sz w:val="20"/>
                <w:szCs w:val="20"/>
                <w:color w:val="auto"/>
              </w:rPr>
            </w:pPr>
            <w:r>
              <w:rPr>
                <w:rFonts w:ascii="Arial" w:cs="Arial" w:eastAsia="Arial" w:hAnsi="Arial"/>
                <w:sz w:val="18"/>
                <w:szCs w:val="18"/>
                <w:color w:val="auto"/>
              </w:rPr>
              <w:t>June 29,</w:t>
            </w:r>
          </w:p>
        </w:tc>
        <w:tc>
          <w:tcPr>
            <w:tcW w:w="1460" w:type="dxa"/>
            <w:vAlign w:val="bottom"/>
          </w:tcPr>
          <w:p>
            <w:pPr>
              <w:jc w:val="right"/>
              <w:spacing w:after="0"/>
              <w:rPr>
                <w:sz w:val="20"/>
                <w:szCs w:val="20"/>
                <w:color w:val="auto"/>
              </w:rPr>
            </w:pPr>
            <w:r>
              <w:rPr>
                <w:rFonts w:ascii="Arial" w:cs="Arial" w:eastAsia="Arial" w:hAnsi="Arial"/>
                <w:sz w:val="18"/>
                <w:szCs w:val="18"/>
                <w:color w:val="auto"/>
              </w:rPr>
              <w:t>September 29,</w:t>
            </w:r>
          </w:p>
        </w:tc>
      </w:tr>
      <w:tr>
        <w:trPr>
          <w:trHeight w:val="262"/>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58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14,125</w:t>
            </w:r>
          </w:p>
        </w:tc>
        <w:tc>
          <w:tcPr>
            <w:tcW w:w="1260" w:type="dxa"/>
            <w:vAlign w:val="bottom"/>
          </w:tcPr>
          <w:p>
            <w:pPr>
              <w:jc w:val="right"/>
              <w:spacing w:after="0"/>
              <w:rPr>
                <w:sz w:val="20"/>
                <w:szCs w:val="20"/>
                <w:color w:val="auto"/>
              </w:rPr>
            </w:pPr>
            <w:r>
              <w:rPr>
                <w:rFonts w:ascii="Arial" w:cs="Arial" w:eastAsia="Arial" w:hAnsi="Arial"/>
                <w:sz w:val="18"/>
                <w:szCs w:val="18"/>
                <w:color w:val="auto"/>
              </w:rPr>
              <w:t>9,598</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57,107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60,648</w:t>
            </w: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5,269</w:t>
            </w:r>
          </w:p>
        </w:tc>
        <w:tc>
          <w:tcPr>
            <w:tcW w:w="1260" w:type="dxa"/>
            <w:vAlign w:val="bottom"/>
          </w:tcPr>
          <w:p>
            <w:pPr>
              <w:jc w:val="right"/>
              <w:spacing w:after="0"/>
              <w:rPr>
                <w:sz w:val="20"/>
                <w:szCs w:val="20"/>
                <w:color w:val="auto"/>
              </w:rPr>
            </w:pPr>
            <w:r>
              <w:rPr>
                <w:rFonts w:ascii="Arial" w:cs="Arial" w:eastAsia="Arial" w:hAnsi="Arial"/>
                <w:sz w:val="18"/>
                <w:szCs w:val="18"/>
                <w:color w:val="auto"/>
              </w:rPr>
              <w:t>5,643</w:t>
            </w:r>
          </w:p>
        </w:tc>
      </w:tr>
      <w:tr>
        <w:trPr>
          <w:trHeight w:val="229"/>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20,368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21,884</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assets</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96,869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97,773</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Associated companies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28,223</w:t>
            </w:r>
          </w:p>
        </w:tc>
        <w:tc>
          <w:tcPr>
            <w:tcW w:w="1260" w:type="dxa"/>
            <w:vAlign w:val="bottom"/>
          </w:tcPr>
          <w:p>
            <w:pPr>
              <w:jc w:val="right"/>
              <w:spacing w:after="0"/>
              <w:rPr>
                <w:sz w:val="20"/>
                <w:szCs w:val="20"/>
                <w:color w:val="auto"/>
              </w:rPr>
            </w:pPr>
            <w:r>
              <w:rPr>
                <w:rFonts w:ascii="Arial" w:cs="Arial" w:eastAsia="Arial" w:hAnsi="Arial"/>
                <w:sz w:val="18"/>
                <w:szCs w:val="18"/>
                <w:color w:val="auto"/>
              </w:rPr>
              <w:t>27,941</w:t>
            </w:r>
          </w:p>
        </w:tc>
      </w:tr>
      <w:tr>
        <w:trPr>
          <w:trHeight w:val="229"/>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6,055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34,278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33,983</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Land and improvements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5,787</w:t>
            </w:r>
          </w:p>
        </w:tc>
        <w:tc>
          <w:tcPr>
            <w:tcW w:w="1260" w:type="dxa"/>
            <w:vAlign w:val="bottom"/>
          </w:tcPr>
          <w:p>
            <w:pPr>
              <w:jc w:val="right"/>
              <w:spacing w:after="0"/>
              <w:rPr>
                <w:sz w:val="20"/>
                <w:szCs w:val="20"/>
                <w:color w:val="auto"/>
              </w:rPr>
            </w:pPr>
            <w:r>
              <w:rPr>
                <w:rFonts w:ascii="Arial" w:cs="Arial" w:eastAsia="Arial" w:hAnsi="Arial"/>
                <w:sz w:val="18"/>
                <w:szCs w:val="18"/>
                <w:color w:val="auto"/>
              </w:rPr>
              <w:t>6,420</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Buildings and improvements</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66,180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70,152</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191,444</w:t>
            </w:r>
          </w:p>
        </w:tc>
        <w:tc>
          <w:tcPr>
            <w:tcW w:w="1260" w:type="dxa"/>
            <w:vAlign w:val="bottom"/>
          </w:tcPr>
          <w:p>
            <w:pPr>
              <w:jc w:val="right"/>
              <w:spacing w:after="0"/>
              <w:rPr>
                <w:sz w:val="20"/>
                <w:szCs w:val="20"/>
                <w:color w:val="auto"/>
              </w:rPr>
            </w:pPr>
            <w:r>
              <w:rPr>
                <w:rFonts w:ascii="Arial" w:cs="Arial" w:eastAsia="Arial" w:hAnsi="Arial"/>
                <w:sz w:val="18"/>
                <w:szCs w:val="18"/>
                <w:color w:val="auto"/>
              </w:rPr>
              <w:t>196,312</w:t>
            </w:r>
          </w:p>
        </w:tc>
      </w:tr>
      <w:tr>
        <w:trPr>
          <w:trHeight w:val="230"/>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9,086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r>
      <w:tr>
        <w:trPr>
          <w:trHeight w:val="223"/>
        </w:trPr>
        <w:tc>
          <w:tcPr>
            <w:tcW w:w="5820" w:type="dxa"/>
            <w:vAlign w:val="bottom"/>
          </w:tcPr>
          <w:p>
            <w:pPr>
              <w:spacing w:after="0"/>
              <w:rPr>
                <w:sz w:val="19"/>
                <w:szCs w:val="19"/>
                <w:color w:val="auto"/>
              </w:rPr>
            </w:pP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272,497</w:t>
            </w:r>
          </w:p>
        </w:tc>
        <w:tc>
          <w:tcPr>
            <w:tcW w:w="1260" w:type="dxa"/>
            <w:vAlign w:val="bottom"/>
          </w:tcPr>
          <w:p>
            <w:pPr>
              <w:jc w:val="right"/>
              <w:spacing w:after="0"/>
              <w:rPr>
                <w:sz w:val="20"/>
                <w:szCs w:val="20"/>
                <w:color w:val="auto"/>
              </w:rPr>
            </w:pPr>
            <w:r>
              <w:rPr>
                <w:rFonts w:ascii="Arial" w:cs="Arial" w:eastAsia="Arial" w:hAnsi="Arial"/>
                <w:sz w:val="18"/>
                <w:szCs w:val="18"/>
                <w:color w:val="auto"/>
              </w:rPr>
              <w:t>278,509</w:t>
            </w:r>
          </w:p>
        </w:tc>
      </w:tr>
      <w:tr>
        <w:trPr>
          <w:trHeight w:val="230"/>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232,764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234,137</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Property and equipment, net</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39,733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44,372</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27,162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34,882</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323,858</w:t>
            </w:r>
          </w:p>
        </w:tc>
        <w:tc>
          <w:tcPr>
            <w:tcW w:w="1260" w:type="dxa"/>
            <w:vAlign w:val="bottom"/>
          </w:tcPr>
          <w:p>
            <w:pPr>
              <w:jc w:val="right"/>
              <w:spacing w:after="0"/>
              <w:rPr>
                <w:sz w:val="20"/>
                <w:szCs w:val="20"/>
                <w:color w:val="auto"/>
              </w:rPr>
            </w:pPr>
            <w:r>
              <w:rPr>
                <w:rFonts w:ascii="Arial" w:cs="Arial" w:eastAsia="Arial" w:hAnsi="Arial"/>
                <w:sz w:val="18"/>
                <w:szCs w:val="18"/>
                <w:color w:val="auto"/>
              </w:rPr>
              <w:t>328,040</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60,907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70,075</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Pension plan assets, net</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5,534</w:t>
            </w:r>
          </w:p>
        </w:tc>
        <w:tc>
          <w:tcPr>
            <w:tcW w:w="1260" w:type="dxa"/>
            <w:vAlign w:val="bottom"/>
          </w:tcPr>
          <w:p>
            <w:pPr>
              <w:jc w:val="right"/>
              <w:spacing w:after="0"/>
              <w:rPr>
                <w:sz w:val="20"/>
                <w:szCs w:val="20"/>
                <w:color w:val="auto"/>
              </w:rPr>
            </w:pPr>
            <w:r>
              <w:rPr>
                <w:rFonts w:ascii="Arial" w:cs="Arial" w:eastAsia="Arial" w:hAnsi="Arial"/>
                <w:sz w:val="18"/>
                <w:szCs w:val="18"/>
                <w:color w:val="auto"/>
              </w:rPr>
              <w:t>4,663</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plan assets,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25,013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w:t>
            </w: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9,298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12,083</w:t>
            </w:r>
          </w:p>
        </w:tc>
      </w:tr>
      <w:tr>
        <w:trPr>
          <w:trHeight w:val="248"/>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622,652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649,171</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40" w:type="dxa"/>
            <w:vAlign w:val="bottom"/>
            <w:tcBorders>
              <w:top w:val="single" w:sz="8" w:color="auto"/>
              <w:bottom w:val="single" w:sz="8" w:color="auto"/>
            </w:tcBorders>
          </w:tcPr>
          <w:p>
            <w:pPr>
              <w:spacing w:after="0"/>
              <w:rPr>
                <w:sz w:val="21"/>
                <w:szCs w:val="21"/>
                <w:color w:val="auto"/>
              </w:rPr>
            </w:pPr>
          </w:p>
        </w:tc>
        <w:tc>
          <w:tcPr>
            <w:tcW w:w="20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77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2040" w:type="dxa"/>
            <w:vAlign w:val="bottom"/>
          </w:tcPr>
          <w:p>
            <w:pPr>
              <w:jc w:val="right"/>
              <w:ind w:right="170"/>
              <w:spacing w:after="0" w:line="177" w:lineRule="exact"/>
              <w:rPr>
                <w:sz w:val="20"/>
                <w:szCs w:val="20"/>
                <w:color w:val="auto"/>
              </w:rPr>
            </w:pPr>
            <w:r>
              <w:rPr>
                <w:rFonts w:ascii="Arial" w:cs="Arial" w:eastAsia="Arial" w:hAnsi="Arial"/>
                <w:sz w:val="18"/>
                <w:szCs w:val="18"/>
                <w:color w:val="auto"/>
              </w:rPr>
              <w:t>June 29,</w:t>
            </w:r>
          </w:p>
        </w:tc>
        <w:tc>
          <w:tcPr>
            <w:tcW w:w="1460" w:type="dxa"/>
            <w:vAlign w:val="bottom"/>
          </w:tcPr>
          <w:p>
            <w:pPr>
              <w:jc w:val="right"/>
              <w:spacing w:after="0" w:line="177"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35"/>
        </w:trPr>
        <w:tc>
          <w:tcPr>
            <w:tcW w:w="7740" w:type="dxa"/>
            <w:vAlign w:val="bottom"/>
            <w:tcBorders>
              <w:bottom w:val="single" w:sz="8" w:color="auto"/>
            </w:tcBorders>
            <w:vMerge w:val="continue"/>
          </w:tcPr>
          <w:p>
            <w:pPr>
              <w:spacing w:after="0"/>
              <w:rPr>
                <w:sz w:val="20"/>
                <w:szCs w:val="20"/>
                <w:color w:val="auto"/>
              </w:rPr>
            </w:pPr>
          </w:p>
        </w:tc>
        <w:tc>
          <w:tcPr>
            <w:tcW w:w="2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77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0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180"/>
              <w:spacing w:after="0"/>
              <w:rPr>
                <w:sz w:val="20"/>
                <w:szCs w:val="20"/>
                <w:color w:val="auto"/>
              </w:rPr>
            </w:pPr>
            <w:r>
              <w:rPr>
                <w:rFonts w:ascii="Arial" w:cs="Arial" w:eastAsia="Arial" w:hAnsi="Arial"/>
                <w:sz w:val="18"/>
                <w:szCs w:val="18"/>
                <w:color w:val="auto"/>
              </w:rPr>
              <w:t>Current portion of lease liabilities</w:t>
            </w:r>
          </w:p>
        </w:tc>
        <w:tc>
          <w:tcPr>
            <w:tcW w:w="2040" w:type="dxa"/>
            <w:vAlign w:val="bottom"/>
          </w:tcPr>
          <w:p>
            <w:pPr>
              <w:jc w:val="right"/>
              <w:ind w:right="230"/>
              <w:spacing w:after="0"/>
              <w:rPr>
                <w:sz w:val="20"/>
                <w:szCs w:val="20"/>
                <w:color w:val="auto"/>
              </w:rPr>
            </w:pPr>
            <w:r>
              <w:rPr>
                <w:rFonts w:ascii="Arial" w:cs="Arial" w:eastAsia="Arial" w:hAnsi="Arial"/>
                <w:sz w:val="18"/>
                <w:szCs w:val="18"/>
                <w:color w:val="auto"/>
              </w:rPr>
              <w:t>7,389</w:t>
            </w:r>
          </w:p>
        </w:tc>
        <w:tc>
          <w:tcPr>
            <w:tcW w:w="1460" w:type="dxa"/>
            <w:vAlign w:val="bottom"/>
          </w:tcPr>
          <w:p>
            <w:pPr>
              <w:jc w:val="right"/>
              <w:spacing w:after="0"/>
              <w:rPr>
                <w:sz w:val="20"/>
                <w:szCs w:val="20"/>
                <w:color w:val="auto"/>
              </w:rPr>
            </w:pPr>
            <w:r>
              <w:rPr>
                <w:rFonts w:ascii="Arial" w:cs="Arial" w:eastAsia="Arial" w:hAnsi="Arial"/>
                <w:sz w:val="18"/>
                <w:szCs w:val="18"/>
                <w:color w:val="auto"/>
              </w:rPr>
              <w:t>8,139</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2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40" w:type="dxa"/>
            <w:vAlign w:val="bottom"/>
          </w:tcPr>
          <w:p>
            <w:pPr>
              <w:jc w:val="right"/>
              <w:ind w:right="230"/>
              <w:spacing w:after="0"/>
              <w:rPr>
                <w:sz w:val="20"/>
                <w:szCs w:val="20"/>
                <w:color w:val="auto"/>
              </w:rPr>
            </w:pPr>
            <w:r>
              <w:rPr>
                <w:rFonts w:ascii="Arial" w:cs="Arial" w:eastAsia="Arial" w:hAnsi="Arial"/>
                <w:sz w:val="18"/>
                <w:szCs w:val="18"/>
                <w:color w:val="auto"/>
              </w:rPr>
              <w:t>47,459</w:t>
            </w:r>
          </w:p>
        </w:tc>
        <w:tc>
          <w:tcPr>
            <w:tcW w:w="1460" w:type="dxa"/>
            <w:vAlign w:val="bottom"/>
          </w:tcPr>
          <w:p>
            <w:pPr>
              <w:jc w:val="right"/>
              <w:spacing w:after="0"/>
              <w:rPr>
                <w:sz w:val="20"/>
                <w:szCs w:val="20"/>
                <w:color w:val="auto"/>
              </w:rPr>
            </w:pPr>
            <w:r>
              <w:rPr>
                <w:rFonts w:ascii="Arial" w:cs="Arial" w:eastAsia="Arial" w:hAnsi="Arial"/>
                <w:sz w:val="18"/>
                <w:szCs w:val="18"/>
                <w:color w:val="auto"/>
              </w:rPr>
              <w:t>36,290</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other accrued liabilities</w:t>
            </w:r>
          </w:p>
        </w:tc>
        <w:tc>
          <w:tcPr>
            <w:tcW w:w="2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35,480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39,170</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Unearned revenue</w:t>
            </w:r>
          </w:p>
        </w:tc>
        <w:tc>
          <w:tcPr>
            <w:tcW w:w="2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27,142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31,755</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117,876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115,354</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2040" w:type="dxa"/>
            <w:vAlign w:val="bottom"/>
          </w:tcPr>
          <w:p>
            <w:pPr>
              <w:jc w:val="right"/>
              <w:ind w:right="230"/>
              <w:spacing w:after="0"/>
              <w:rPr>
                <w:sz w:val="20"/>
                <w:szCs w:val="20"/>
                <w:color w:val="auto"/>
              </w:rPr>
            </w:pPr>
            <w:r>
              <w:rPr>
                <w:rFonts w:ascii="Arial" w:cs="Arial" w:eastAsia="Arial" w:hAnsi="Arial"/>
                <w:sz w:val="18"/>
                <w:szCs w:val="18"/>
                <w:color w:val="auto"/>
              </w:rPr>
              <w:t>455,469</w:t>
            </w:r>
          </w:p>
        </w:tc>
        <w:tc>
          <w:tcPr>
            <w:tcW w:w="1460" w:type="dxa"/>
            <w:vAlign w:val="bottom"/>
          </w:tcPr>
          <w:p>
            <w:pPr>
              <w:jc w:val="right"/>
              <w:spacing w:after="0"/>
              <w:rPr>
                <w:sz w:val="20"/>
                <w:szCs w:val="20"/>
                <w:color w:val="auto"/>
              </w:rPr>
            </w:pPr>
            <w:r>
              <w:rPr>
                <w:rFonts w:ascii="Arial" w:cs="Arial" w:eastAsia="Arial" w:hAnsi="Arial"/>
                <w:sz w:val="18"/>
                <w:szCs w:val="18"/>
                <w:color w:val="auto"/>
              </w:rPr>
              <w:t>445,943</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22,364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29,769</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Pension obligations</w:t>
            </w:r>
          </w:p>
        </w:tc>
        <w:tc>
          <w:tcPr>
            <w:tcW w:w="2040" w:type="dxa"/>
            <w:vAlign w:val="bottom"/>
          </w:tcPr>
          <w:p>
            <w:pPr>
              <w:jc w:val="right"/>
              <w:ind w:right="230"/>
              <w:spacing w:after="0"/>
              <w:rPr>
                <w:sz w:val="20"/>
                <w:szCs w:val="20"/>
                <w:color w:val="auto"/>
              </w:rPr>
            </w:pPr>
            <w:r>
              <w:rPr>
                <w:rFonts w:ascii="Arial" w:cs="Arial" w:eastAsia="Arial" w:hAnsi="Arial"/>
                <w:sz w:val="18"/>
                <w:szCs w:val="18"/>
                <w:color w:val="auto"/>
              </w:rPr>
              <w:t>536</w:t>
            </w:r>
          </w:p>
        </w:tc>
        <w:tc>
          <w:tcPr>
            <w:tcW w:w="146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and postemployment benefit obligations</w:t>
            </w:r>
          </w:p>
        </w:tc>
        <w:tc>
          <w:tcPr>
            <w:tcW w:w="2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7,549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040" w:type="dxa"/>
            <w:vAlign w:val="bottom"/>
          </w:tcPr>
          <w:p>
            <w:pPr>
              <w:jc w:val="right"/>
              <w:ind w:right="230"/>
              <w:spacing w:after="0"/>
              <w:rPr>
                <w:sz w:val="20"/>
                <w:szCs w:val="20"/>
                <w:color w:val="auto"/>
              </w:rPr>
            </w:pPr>
            <w:r>
              <w:rPr>
                <w:rFonts w:ascii="Arial" w:cs="Arial" w:eastAsia="Arial" w:hAnsi="Arial"/>
                <w:sz w:val="18"/>
                <w:szCs w:val="18"/>
                <w:color w:val="auto"/>
              </w:rPr>
              <w:t>28,020</w:t>
            </w:r>
          </w:p>
        </w:tc>
        <w:tc>
          <w:tcPr>
            <w:tcW w:w="1460" w:type="dxa"/>
            <w:vAlign w:val="bottom"/>
          </w:tcPr>
          <w:p>
            <w:pPr>
              <w:jc w:val="right"/>
              <w:spacing w:after="0"/>
              <w:rPr>
                <w:sz w:val="20"/>
                <w:szCs w:val="20"/>
                <w:color w:val="auto"/>
              </w:rPr>
            </w:pPr>
            <w:r>
              <w:rPr>
                <w:rFonts w:ascii="Arial" w:cs="Arial" w:eastAsia="Arial" w:hAnsi="Arial"/>
                <w:sz w:val="18"/>
                <w:szCs w:val="18"/>
                <w:color w:val="auto"/>
              </w:rPr>
              <w:t>28,403</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4,286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Withdrawal liabilities and other</w:t>
            </w:r>
          </w:p>
        </w:tc>
        <w:tc>
          <w:tcPr>
            <w:tcW w:w="2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24,749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25,499</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660,849</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656,505</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Equity:</w:t>
            </w:r>
          </w:p>
        </w:tc>
        <w:tc>
          <w:tcPr>
            <w:tcW w:w="20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equity (deficit):</w:t>
            </w:r>
          </w:p>
        </w:tc>
        <w:tc>
          <w:tcPr>
            <w:tcW w:w="20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18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$0.01 par value; authorized 12,000 shares; issued and outstanding:</w:t>
            </w:r>
          </w:p>
        </w:tc>
        <w:tc>
          <w:tcPr>
            <w:tcW w:w="2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7740" w:type="dxa"/>
            <w:vAlign w:val="bottom"/>
          </w:tcPr>
          <w:p>
            <w:pPr>
              <w:ind w:left="360"/>
              <w:spacing w:after="0"/>
              <w:rPr>
                <w:sz w:val="20"/>
                <w:szCs w:val="20"/>
                <w:color w:val="auto"/>
              </w:rPr>
            </w:pPr>
            <w:r>
              <w:rPr>
                <w:rFonts w:ascii="Arial" w:cs="Arial" w:eastAsia="Arial" w:hAnsi="Arial"/>
                <w:sz w:val="18"/>
                <w:szCs w:val="18"/>
                <w:color w:val="auto"/>
              </w:rPr>
              <w:t>June 29, 2025; 6,264 shares; $0.01 par value</w:t>
            </w:r>
          </w:p>
        </w:tc>
        <w:tc>
          <w:tcPr>
            <w:tcW w:w="20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29, 2024; 6,190 shares; $0.01 par value</w:t>
            </w:r>
          </w:p>
        </w:tc>
        <w:tc>
          <w:tcPr>
            <w:tcW w:w="20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180"/>
              <w:spacing w:after="0"/>
              <w:rPr>
                <w:sz w:val="20"/>
                <w:szCs w:val="20"/>
                <w:color w:val="auto"/>
              </w:rPr>
            </w:pPr>
            <w:r>
              <w:rPr>
                <w:rFonts w:ascii="Arial" w:cs="Arial" w:eastAsia="Arial" w:hAnsi="Arial"/>
                <w:sz w:val="18"/>
                <w:szCs w:val="18"/>
                <w:color w:val="auto"/>
              </w:rPr>
              <w:t>Class B Common Stock, $2 par value; authorized 3,000 shares; none issued</w:t>
            </w:r>
          </w:p>
        </w:tc>
        <w:tc>
          <w:tcPr>
            <w:tcW w:w="2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263,383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262,470</w:t>
            </w:r>
          </w:p>
        </w:tc>
        <w:tc>
          <w:tcPr>
            <w:tcW w:w="0" w:type="dxa"/>
            <w:vAlign w:val="bottom"/>
          </w:tcPr>
          <w:p>
            <w:pPr>
              <w:spacing w:after="0"/>
              <w:rPr>
                <w:sz w:val="1"/>
                <w:szCs w:val="1"/>
                <w:color w:val="auto"/>
              </w:rPr>
            </w:pPr>
          </w:p>
        </w:tc>
      </w:tr>
      <w:tr>
        <w:trPr>
          <w:trHeight w:val="230"/>
        </w:trPr>
        <w:tc>
          <w:tcPr>
            <w:tcW w:w="77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(323,520)</w:t>
            </w:r>
          </w:p>
        </w:tc>
        <w:tc>
          <w:tcPr>
            <w:tcW w:w="1460" w:type="dxa"/>
            <w:vAlign w:val="bottom"/>
          </w:tcPr>
          <w:p>
            <w:pPr>
              <w:jc w:val="right"/>
              <w:spacing w:after="0"/>
              <w:rPr>
                <w:sz w:val="20"/>
                <w:szCs w:val="20"/>
                <w:color w:val="auto"/>
              </w:rPr>
            </w:pPr>
            <w:r>
              <w:rPr>
                <w:rFonts w:ascii="Arial" w:cs="Arial" w:eastAsia="Arial" w:hAnsi="Arial"/>
                <w:sz w:val="18"/>
                <w:szCs w:val="18"/>
                <w:color w:val="auto"/>
              </w:rPr>
              <w:t>(292,341)</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19,575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19,920</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Lee Enterprises, Inc. Stockholders' deficit</w:t>
            </w:r>
          </w:p>
        </w:tc>
        <w:tc>
          <w:tcPr>
            <w:tcW w:w="2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(40,499)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2,302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deficit</w:t>
            </w:r>
          </w:p>
        </w:tc>
        <w:tc>
          <w:tcPr>
            <w:tcW w:w="2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(38,197)</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deficit</w:t>
            </w:r>
          </w:p>
        </w:tc>
        <w:tc>
          <w:tcPr>
            <w:tcW w:w="2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622,652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649,171</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line="278" w:lineRule="auto"/>
        <w:rPr>
          <w:sz w:val="20"/>
          <w:szCs w:val="20"/>
          <w:color w:val="auto"/>
        </w:rPr>
      </w:pPr>
      <w:r>
        <w:rPr>
          <w:rFonts w:ascii="Arial" w:cs="Arial" w:eastAsia="Arial" w:hAnsi="Arial"/>
          <w:sz w:val="18"/>
          <w:szCs w:val="18"/>
          <w:b w:val="1"/>
          <w:bCs w:val="1"/>
          <w:color w:val="auto"/>
        </w:rPr>
        <w:t xml:space="preserve">LEE ENTERPRISES, INCORPORATED CONSOLIDATED STATEMENTS OF LOSS AND COMPREHENSIVE LOSS </w:t>
      </w:r>
      <w:r>
        <w:rPr>
          <w:rFonts w:ascii="Arial" w:cs="Arial" w:eastAsia="Arial" w:hAnsi="Arial"/>
          <w:sz w:val="18"/>
          <w:szCs w:val="18"/>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6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Three months ended</w:t>
            </w:r>
          </w:p>
        </w:tc>
        <w:tc>
          <w:tcPr>
            <w:tcW w:w="244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69"/>
        </w:trPr>
        <w:tc>
          <w:tcPr>
            <w:tcW w:w="5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1700" w:type="dxa"/>
            <w:vAlign w:val="bottom"/>
          </w:tcPr>
          <w:p>
            <w:pPr>
              <w:jc w:val="right"/>
              <w:ind w:right="230"/>
              <w:spacing w:after="0" w:line="169" w:lineRule="exact"/>
              <w:rPr>
                <w:sz w:val="20"/>
                <w:szCs w:val="20"/>
                <w:color w:val="auto"/>
              </w:rPr>
            </w:pPr>
            <w:r>
              <w:rPr>
                <w:rFonts w:ascii="Arial" w:cs="Arial" w:eastAsia="Arial" w:hAnsi="Arial"/>
                <w:sz w:val="18"/>
                <w:szCs w:val="18"/>
                <w:color w:val="auto"/>
              </w:rPr>
              <w:t>June 29,</w:t>
            </w:r>
          </w:p>
        </w:tc>
        <w:tc>
          <w:tcPr>
            <w:tcW w:w="1340" w:type="dxa"/>
            <w:vAlign w:val="bottom"/>
          </w:tcPr>
          <w:p>
            <w:pPr>
              <w:jc w:val="right"/>
              <w:ind w:right="210"/>
              <w:spacing w:after="0" w:line="169" w:lineRule="exact"/>
              <w:rPr>
                <w:sz w:val="20"/>
                <w:szCs w:val="20"/>
                <w:color w:val="auto"/>
              </w:rPr>
            </w:pPr>
            <w:r>
              <w:rPr>
                <w:rFonts w:ascii="Arial" w:cs="Arial" w:eastAsia="Arial" w:hAnsi="Arial"/>
                <w:sz w:val="18"/>
                <w:szCs w:val="18"/>
                <w:color w:val="auto"/>
              </w:rPr>
              <w:t>June 23,</w:t>
            </w:r>
          </w:p>
        </w:tc>
        <w:tc>
          <w:tcPr>
            <w:tcW w:w="1380" w:type="dxa"/>
            <w:vAlign w:val="bottom"/>
          </w:tcPr>
          <w:p>
            <w:pPr>
              <w:jc w:val="right"/>
              <w:ind w:right="230"/>
              <w:spacing w:after="0" w:line="169" w:lineRule="exact"/>
              <w:rPr>
                <w:sz w:val="20"/>
                <w:szCs w:val="20"/>
                <w:color w:val="auto"/>
              </w:rPr>
            </w:pPr>
            <w:r>
              <w:rPr>
                <w:rFonts w:ascii="Arial" w:cs="Arial" w:eastAsia="Arial" w:hAnsi="Arial"/>
                <w:sz w:val="18"/>
                <w:szCs w:val="18"/>
                <w:color w:val="auto"/>
              </w:rPr>
              <w:t>June 29,</w:t>
            </w:r>
          </w:p>
        </w:tc>
        <w:tc>
          <w:tcPr>
            <w:tcW w:w="1060" w:type="dxa"/>
            <w:vAlign w:val="bottom"/>
          </w:tcPr>
          <w:p>
            <w:pPr>
              <w:jc w:val="right"/>
              <w:spacing w:after="0" w:line="169" w:lineRule="exact"/>
              <w:rPr>
                <w:sz w:val="20"/>
                <w:szCs w:val="20"/>
                <w:color w:val="auto"/>
              </w:rPr>
            </w:pPr>
            <w:r>
              <w:rPr>
                <w:rFonts w:ascii="Arial" w:cs="Arial" w:eastAsia="Arial" w:hAnsi="Arial"/>
                <w:sz w:val="18"/>
                <w:szCs w:val="18"/>
                <w:color w:val="auto"/>
              </w:rPr>
              <w:t>June 23,</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auto"/>
            </w:tcBorders>
            <w:vMerge w:val="continue"/>
          </w:tcPr>
          <w:p>
            <w:pPr>
              <w:spacing w:after="0"/>
              <w:rPr>
                <w:sz w:val="21"/>
                <w:szCs w:val="21"/>
                <w:color w:val="auto"/>
              </w:rPr>
            </w:pPr>
          </w:p>
        </w:tc>
        <w:tc>
          <w:tcPr>
            <w:tcW w:w="1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2025</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7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180"/>
              <w:spacing w:after="0"/>
              <w:rPr>
                <w:sz w:val="20"/>
                <w:szCs w:val="20"/>
                <w:color w:val="auto"/>
              </w:rPr>
            </w:pPr>
            <w:r>
              <w:rPr>
                <w:rFonts w:ascii="Arial" w:cs="Arial" w:eastAsia="Arial" w:hAnsi="Arial"/>
                <w:sz w:val="18"/>
                <w:szCs w:val="18"/>
                <w:color w:val="auto"/>
              </w:rPr>
              <w:t>Advertising and marketing services</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66,571</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68,844</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193,633</w:t>
            </w:r>
          </w:p>
        </w:tc>
        <w:tc>
          <w:tcPr>
            <w:tcW w:w="1060" w:type="dxa"/>
            <w:vAlign w:val="bottom"/>
          </w:tcPr>
          <w:p>
            <w:pPr>
              <w:jc w:val="right"/>
              <w:spacing w:after="0"/>
              <w:rPr>
                <w:sz w:val="20"/>
                <w:szCs w:val="20"/>
                <w:color w:val="auto"/>
              </w:rPr>
            </w:pPr>
            <w:r>
              <w:rPr>
                <w:rFonts w:ascii="Arial" w:cs="Arial" w:eastAsia="Arial" w:hAnsi="Arial"/>
                <w:sz w:val="18"/>
                <w:szCs w:val="18"/>
                <w:color w:val="auto"/>
              </w:rPr>
              <w:t>203,865</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1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61,558</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68,306</w:t>
            </w:r>
          </w:p>
        </w:tc>
        <w:tc>
          <w:tcPr>
            <w:tcW w:w="13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191,423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208,872</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13,165</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13,428</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38,179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40,069</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7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141,294</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150,578</w:t>
            </w:r>
          </w:p>
        </w:tc>
        <w:tc>
          <w:tcPr>
            <w:tcW w:w="13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423,235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452,806</w:t>
            </w: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47,436</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59,278</w:t>
            </w:r>
          </w:p>
        </w:tc>
        <w:tc>
          <w:tcPr>
            <w:tcW w:w="13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164,349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175,757</w:t>
            </w:r>
          </w:p>
        </w:tc>
        <w:tc>
          <w:tcPr>
            <w:tcW w:w="0" w:type="dxa"/>
            <w:vAlign w:val="bottom"/>
          </w:tcPr>
          <w:p>
            <w:pPr>
              <w:spacing w:after="0"/>
              <w:rPr>
                <w:sz w:val="1"/>
                <w:szCs w:val="1"/>
                <w:color w:val="auto"/>
              </w:rPr>
            </w:pPr>
          </w:p>
        </w:tc>
      </w:tr>
      <w:tr>
        <w:trPr>
          <w:trHeight w:val="229"/>
        </w:trPr>
        <w:tc>
          <w:tcPr>
            <w:tcW w:w="5760" w:type="dxa"/>
            <w:vAlign w:val="bottom"/>
          </w:tcPr>
          <w:p>
            <w:pPr>
              <w:ind w:left="180"/>
              <w:spacing w:after="0"/>
              <w:rPr>
                <w:sz w:val="20"/>
                <w:szCs w:val="20"/>
                <w:color w:val="auto"/>
              </w:rPr>
            </w:pPr>
            <w:r>
              <w:rPr>
                <w:rFonts w:ascii="Arial" w:cs="Arial" w:eastAsia="Arial" w:hAnsi="Arial"/>
                <w:sz w:val="18"/>
                <w:szCs w:val="18"/>
                <w:color w:val="auto"/>
              </w:rPr>
              <w:t>Newsprint and ink</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3,268</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4,096</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9,996</w:t>
            </w:r>
          </w:p>
        </w:tc>
        <w:tc>
          <w:tcPr>
            <w:tcW w:w="1060" w:type="dxa"/>
            <w:vAlign w:val="bottom"/>
          </w:tcPr>
          <w:p>
            <w:pPr>
              <w:jc w:val="right"/>
              <w:spacing w:after="0"/>
              <w:rPr>
                <w:sz w:val="20"/>
                <w:szCs w:val="20"/>
                <w:color w:val="auto"/>
              </w:rPr>
            </w:pPr>
            <w:r>
              <w:rPr>
                <w:rFonts w:ascii="Arial" w:cs="Arial" w:eastAsia="Arial" w:hAnsi="Arial"/>
                <w:sz w:val="18"/>
                <w:szCs w:val="18"/>
                <w:color w:val="auto"/>
              </w:rPr>
              <w:t>13,101</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1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77,252</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74,177</w:t>
            </w:r>
          </w:p>
        </w:tc>
        <w:tc>
          <w:tcPr>
            <w:tcW w:w="13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223,387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221,247</w:t>
            </w:r>
          </w:p>
        </w:tc>
        <w:tc>
          <w:tcPr>
            <w:tcW w:w="0" w:type="dxa"/>
            <w:vAlign w:val="bottom"/>
          </w:tcPr>
          <w:p>
            <w:pPr>
              <w:spacing w:after="0"/>
              <w:rPr>
                <w:sz w:val="1"/>
                <w:szCs w:val="1"/>
                <w:color w:val="auto"/>
              </w:rPr>
            </w:pP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3,783</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6,850</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15,218</w:t>
            </w:r>
          </w:p>
        </w:tc>
        <w:tc>
          <w:tcPr>
            <w:tcW w:w="1060" w:type="dxa"/>
            <w:vAlign w:val="bottom"/>
          </w:tcPr>
          <w:p>
            <w:pPr>
              <w:jc w:val="right"/>
              <w:spacing w:after="0"/>
              <w:rPr>
                <w:sz w:val="20"/>
                <w:szCs w:val="20"/>
                <w:color w:val="auto"/>
              </w:rPr>
            </w:pPr>
            <w:r>
              <w:rPr>
                <w:rFonts w:ascii="Arial" w:cs="Arial" w:eastAsia="Arial" w:hAnsi="Arial"/>
                <w:sz w:val="18"/>
                <w:szCs w:val="18"/>
                <w:color w:val="auto"/>
              </w:rPr>
              <w:t>21,438</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(gain) loss on sales, impairments and other, net</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(1,562)</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(1,421)</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(2,365)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Restructuring costs and other</w:t>
            </w:r>
          </w:p>
        </w:tc>
        <w:tc>
          <w:tcPr>
            <w:tcW w:w="1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7,141</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3,795</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18,806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12,199</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7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137,318</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146,775</w:t>
            </w:r>
          </w:p>
        </w:tc>
        <w:tc>
          <w:tcPr>
            <w:tcW w:w="13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429,391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448,469</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1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686</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1,122</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2,963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17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4,662</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4,925</w:t>
            </w: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(3,193)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1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(10,132)</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(10,082)</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(30,365)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(30,427)</w:t>
            </w:r>
          </w:p>
        </w:tc>
        <w:tc>
          <w:tcPr>
            <w:tcW w:w="0" w:type="dxa"/>
            <w:vAlign w:val="bottom"/>
          </w:tcPr>
          <w:p>
            <w:pPr>
              <w:spacing w:after="0"/>
              <w:rPr>
                <w:sz w:val="1"/>
                <w:szCs w:val="1"/>
                <w:color w:val="auto"/>
              </w:rPr>
            </w:pP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Pension and OPEB related benefit and other, net</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1,050</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617</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2,362</w:t>
            </w:r>
          </w:p>
        </w:tc>
        <w:tc>
          <w:tcPr>
            <w:tcW w:w="1060" w:type="dxa"/>
            <w:vAlign w:val="bottom"/>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Curtailment/Settlement gains</w:t>
            </w:r>
          </w:p>
        </w:tc>
        <w:tc>
          <w:tcPr>
            <w:tcW w:w="17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(9,082)</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(9,465)</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(28,003)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(25,738)</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(4,420)</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(4,540)</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(31,196)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(17,532)</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(2,744)</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(849)</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(1,281)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(1,676)</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(3,691)</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(29,915)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(14,094)</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(244)</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(575)</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(1,264)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Lee Enterprises, Incorporated</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(1,920)</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(4,266)</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(31,179)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(15,757)</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 net of income taxes</w:t>
            </w: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(115)</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(147)</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Lee Enterprises, Incorporated</w:t>
            </w:r>
          </w:p>
        </w:tc>
        <w:tc>
          <w:tcPr>
            <w:tcW w:w="1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(2,035)</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(4,413)</w:t>
            </w:r>
          </w:p>
        </w:tc>
        <w:tc>
          <w:tcPr>
            <w:tcW w:w="1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(31,409)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(18,366)</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tcPr>
          <w:p>
            <w:pPr>
              <w:ind w:left="20"/>
              <w:spacing w:after="0" w:line="203" w:lineRule="exact"/>
              <w:rPr>
                <w:sz w:val="20"/>
                <w:szCs w:val="20"/>
                <w:color w:val="auto"/>
              </w:rPr>
            </w:pPr>
            <w:r>
              <w:rPr>
                <w:rFonts w:ascii="Arial" w:cs="Arial" w:eastAsia="Arial" w:hAnsi="Arial"/>
                <w:sz w:val="18"/>
                <w:szCs w:val="18"/>
                <w:color w:val="auto"/>
              </w:rPr>
              <w:t>Loss per common share:</w:t>
            </w:r>
          </w:p>
        </w:tc>
        <w:tc>
          <w:tcPr>
            <w:tcW w:w="1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(0.31)</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(0.73)</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(5.16)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(0.31)</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(0.73)</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(5.16)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Accumulated</w:t>
            </w:r>
          </w:p>
        </w:tc>
        <w:tc>
          <w:tcPr>
            <w:tcW w:w="16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560" w:type="dxa"/>
            <w:vAlign w:val="bottom"/>
            <w:vMerge w:val="restart"/>
          </w:tcPr>
          <w:p>
            <w:pPr>
              <w:jc w:val="right"/>
              <w:ind w:right="210"/>
              <w:spacing w:after="0"/>
              <w:rPr>
                <w:sz w:val="20"/>
                <w:szCs w:val="20"/>
                <w:color w:val="auto"/>
              </w:rPr>
            </w:pPr>
            <w:r>
              <w:rPr>
                <w:rFonts w:ascii="Arial" w:cs="Arial" w:eastAsia="Arial" w:hAnsi="Arial"/>
                <w:sz w:val="18"/>
                <w:szCs w:val="18"/>
                <w:color w:val="auto"/>
              </w:rPr>
              <w:t>Accumulated</w:t>
            </w: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Common</w:t>
            </w:r>
          </w:p>
        </w:tc>
        <w:tc>
          <w:tcPr>
            <w:tcW w:w="1700" w:type="dxa"/>
            <w:vAlign w:val="bottom"/>
            <w:vMerge w:val="restart"/>
          </w:tcPr>
          <w:p>
            <w:pPr>
              <w:jc w:val="right"/>
              <w:ind w:right="250"/>
              <w:spacing w:after="0"/>
              <w:rPr>
                <w:sz w:val="20"/>
                <w:szCs w:val="20"/>
                <w:color w:val="auto"/>
              </w:rPr>
            </w:pPr>
            <w:r>
              <w:rPr>
                <w:rFonts w:ascii="Arial" w:cs="Arial" w:eastAsia="Arial" w:hAnsi="Arial"/>
                <w:sz w:val="18"/>
                <w:szCs w:val="18"/>
                <w:color w:val="auto"/>
              </w:rPr>
              <w:t>Additional</w:t>
            </w:r>
          </w:p>
        </w:tc>
        <w:tc>
          <w:tcPr>
            <w:tcW w:w="17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Other</w:t>
            </w:r>
          </w:p>
        </w:tc>
        <w:tc>
          <w:tcPr>
            <w:tcW w:w="1600" w:type="dxa"/>
            <w:vAlign w:val="bottom"/>
            <w:vMerge w:val="restart"/>
          </w:tcPr>
          <w:p>
            <w:pPr>
              <w:jc w:val="right"/>
              <w:ind w:right="130"/>
              <w:spacing w:after="0"/>
              <w:rPr>
                <w:sz w:val="20"/>
                <w:szCs w:val="20"/>
                <w:color w:val="auto"/>
              </w:rPr>
            </w:pPr>
            <w:r>
              <w:rPr>
                <w:rFonts w:ascii="Arial" w:cs="Arial" w:eastAsia="Arial" w:hAnsi="Arial"/>
                <w:sz w:val="18"/>
                <w:szCs w:val="18"/>
                <w:color w:val="auto"/>
              </w:rPr>
              <w:t>Non-Controlling</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5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7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Comprehensive</w:t>
            </w:r>
          </w:p>
        </w:tc>
        <w:tc>
          <w:tcPr>
            <w:tcW w:w="1600" w:type="dxa"/>
            <w:vAlign w:val="bottom"/>
            <w:vMerge w:val="continue"/>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vMerge w:val="continue"/>
          </w:tcPr>
          <w:p>
            <w:pPr>
              <w:spacing w:after="0"/>
              <w:rPr>
                <w:sz w:val="21"/>
                <w:szCs w:val="21"/>
                <w:color w:val="auto"/>
              </w:rPr>
            </w:pP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Deficit</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paid-in capital</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Income</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Interests:</w:t>
            </w: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2024</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(292,341)</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62</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262,470</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19,920</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2,555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(331)</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attributable to Lee</w:t>
            </w:r>
          </w:p>
        </w:tc>
        <w:tc>
          <w:tcPr>
            <w:tcW w:w="15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(16,748)</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524</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56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720" w:type="dxa"/>
            <w:vAlign w:val="bottom"/>
            <w:vMerge w:val="continue"/>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430</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 minority</w:t>
            </w:r>
          </w:p>
        </w:tc>
        <w:tc>
          <w:tcPr>
            <w:tcW w:w="15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(603)</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w:t>
            </w: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1700" w:type="dxa"/>
            <w:vAlign w:val="bottom"/>
            <w:tcBorders>
              <w:bottom w:val="single" w:sz="8" w:color="auto"/>
            </w:tcBorders>
            <w:vMerge w:val="continue"/>
            <w:shd w:val="clear" w:color="auto" w:fill="CCEEFF"/>
          </w:tcPr>
          <w:p>
            <w:pPr>
              <w:spacing w:after="0"/>
              <w:rPr>
                <w:sz w:val="21"/>
                <w:szCs w:val="21"/>
                <w:color w:val="auto"/>
              </w:rPr>
            </w:pPr>
          </w:p>
        </w:tc>
        <w:tc>
          <w:tcPr>
            <w:tcW w:w="172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29, 2024</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(309,089)</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62</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262,569</w:t>
            </w: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19,805</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2,476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(24,177)</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attributable to Lee</w:t>
            </w:r>
          </w:p>
        </w:tc>
        <w:tc>
          <w:tcPr>
            <w:tcW w:w="15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(12,511)</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496</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56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720" w:type="dxa"/>
            <w:vAlign w:val="bottom"/>
            <w:vMerge w:val="continue"/>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358</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 minority</w:t>
            </w:r>
          </w:p>
        </w:tc>
        <w:tc>
          <w:tcPr>
            <w:tcW w:w="15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(149)</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w:t>
            </w: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1700" w:type="dxa"/>
            <w:vAlign w:val="bottom"/>
            <w:tcBorders>
              <w:bottom w:val="single" w:sz="8" w:color="auto"/>
            </w:tcBorders>
            <w:vMerge w:val="continue"/>
            <w:shd w:val="clear" w:color="auto" w:fill="CCEEFF"/>
          </w:tcPr>
          <w:p>
            <w:pPr>
              <w:spacing w:after="0"/>
              <w:rPr>
                <w:sz w:val="21"/>
                <w:szCs w:val="21"/>
                <w:color w:val="auto"/>
              </w:rPr>
            </w:pPr>
          </w:p>
        </w:tc>
        <w:tc>
          <w:tcPr>
            <w:tcW w:w="172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30, 2025</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(321,600)</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62</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262,927</w:t>
            </w: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19,690</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2,823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(36,098)</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(redeemed)</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(84)</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Loss attributable to Lee</w:t>
            </w:r>
          </w:p>
        </w:tc>
        <w:tc>
          <w:tcPr>
            <w:tcW w:w="1560" w:type="dxa"/>
            <w:vAlign w:val="bottom"/>
            <w:vMerge w:val="restart"/>
          </w:tcPr>
          <w:p>
            <w:pPr>
              <w:jc w:val="right"/>
              <w:ind w:right="230"/>
              <w:spacing w:after="0"/>
              <w:rPr>
                <w:sz w:val="20"/>
                <w:szCs w:val="20"/>
                <w:color w:val="auto"/>
              </w:rPr>
            </w:pPr>
            <w:r>
              <w:rPr>
                <w:rFonts w:ascii="Arial" w:cs="Arial" w:eastAsia="Arial" w:hAnsi="Arial"/>
                <w:sz w:val="18"/>
                <w:szCs w:val="18"/>
                <w:color w:val="auto"/>
              </w:rPr>
              <w:t>(1,920)</w:t>
            </w:r>
          </w:p>
        </w:tc>
        <w:tc>
          <w:tcPr>
            <w:tcW w:w="130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ind w:right="190"/>
              <w:spacing w:after="0"/>
              <w:rPr>
                <w:sz w:val="20"/>
                <w:szCs w:val="20"/>
                <w:color w:val="auto"/>
              </w:rPr>
            </w:pPr>
            <w:r>
              <w:rPr>
                <w:rFonts w:ascii="Arial" w:cs="Arial" w:eastAsia="Arial" w:hAnsi="Arial"/>
                <w:sz w:val="18"/>
                <w:szCs w:val="18"/>
                <w:color w:val="auto"/>
              </w:rPr>
              <w:t>244</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Enterprises, Incorporated</w:t>
            </w:r>
          </w:p>
        </w:tc>
        <w:tc>
          <w:tcPr>
            <w:tcW w:w="156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70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540</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1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Distributions to minority</w:t>
            </w:r>
          </w:p>
        </w:tc>
        <w:tc>
          <w:tcPr>
            <w:tcW w:w="156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ind w:right="150"/>
              <w:spacing w:after="0"/>
              <w:rPr>
                <w:sz w:val="20"/>
                <w:szCs w:val="20"/>
                <w:color w:val="auto"/>
              </w:rPr>
            </w:pPr>
            <w:r>
              <w:rPr>
                <w:rFonts w:ascii="Arial" w:cs="Arial" w:eastAsia="Arial" w:hAnsi="Arial"/>
                <w:sz w:val="18"/>
                <w:szCs w:val="18"/>
                <w:color w:val="auto"/>
              </w:rPr>
              <w:t>(765)</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owners</w:t>
            </w:r>
          </w:p>
        </w:tc>
        <w:tc>
          <w:tcPr>
            <w:tcW w:w="156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1720" w:type="dxa"/>
            <w:vAlign w:val="bottom"/>
            <w:tcBorders>
              <w:bottom w:val="single" w:sz="8" w:color="auto"/>
            </w:tcBorders>
            <w:vMerge w:val="continue"/>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29, 2025</w:t>
            </w:r>
          </w:p>
        </w:tc>
        <w:tc>
          <w:tcPr>
            <w:tcW w:w="15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(323,520)</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63</w:t>
            </w:r>
          </w:p>
        </w:tc>
        <w:tc>
          <w:tcPr>
            <w:tcW w:w="17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263,383</w:t>
            </w:r>
          </w:p>
        </w:tc>
        <w:tc>
          <w:tcPr>
            <w:tcW w:w="1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19,575</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2,302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2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tcPr>
          <w:p>
            <w:pPr>
              <w:jc w:val="right"/>
              <w:ind w:right="1210"/>
              <w:spacing w:after="0"/>
              <w:rPr>
                <w:sz w:val="20"/>
                <w:szCs w:val="20"/>
                <w:color w:val="auto"/>
              </w:rPr>
            </w:pPr>
            <w:r>
              <w:rPr>
                <w:rFonts w:ascii="Arial" w:cs="Arial" w:eastAsia="Arial" w:hAnsi="Arial"/>
                <w:sz w:val="18"/>
                <w:szCs w:val="18"/>
                <w:color w:val="auto"/>
              </w:rPr>
              <w:t>5</w:t>
            </w: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4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30"/>
              <w:spacing w:after="0" w:line="197" w:lineRule="exact"/>
              <w:rPr>
                <w:sz w:val="20"/>
                <w:szCs w:val="20"/>
                <w:color w:val="auto"/>
              </w:rPr>
            </w:pPr>
            <w:r>
              <w:rPr>
                <w:rFonts w:ascii="Arial" w:cs="Arial" w:eastAsia="Arial" w:hAnsi="Arial"/>
                <w:sz w:val="18"/>
                <w:szCs w:val="18"/>
                <w:color w:val="auto"/>
              </w:rPr>
              <w:t>Accumulated</w:t>
            </w:r>
          </w:p>
        </w:tc>
        <w:tc>
          <w:tcPr>
            <w:tcW w:w="16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420" w:type="dxa"/>
            <w:vAlign w:val="bottom"/>
          </w:tcPr>
          <w:p>
            <w:pPr>
              <w:spacing w:after="0"/>
              <w:rPr>
                <w:sz w:val="15"/>
                <w:szCs w:val="15"/>
                <w:color w:val="auto"/>
              </w:rPr>
            </w:pPr>
          </w:p>
        </w:tc>
        <w:tc>
          <w:tcPr>
            <w:tcW w:w="1560" w:type="dxa"/>
            <w:vAlign w:val="bottom"/>
            <w:vMerge w:val="restart"/>
          </w:tcPr>
          <w:p>
            <w:pPr>
              <w:jc w:val="right"/>
              <w:ind w:right="210"/>
              <w:spacing w:after="0"/>
              <w:rPr>
                <w:sz w:val="20"/>
                <w:szCs w:val="20"/>
                <w:color w:val="auto"/>
              </w:rPr>
            </w:pPr>
            <w:r>
              <w:rPr>
                <w:rFonts w:ascii="Arial" w:cs="Arial" w:eastAsia="Arial" w:hAnsi="Arial"/>
                <w:sz w:val="18"/>
                <w:szCs w:val="18"/>
                <w:color w:val="auto"/>
              </w:rPr>
              <w:t>Accumulated</w:t>
            </w: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Common</w:t>
            </w:r>
          </w:p>
        </w:tc>
        <w:tc>
          <w:tcPr>
            <w:tcW w:w="1720" w:type="dxa"/>
            <w:vAlign w:val="bottom"/>
            <w:vMerge w:val="restart"/>
          </w:tcPr>
          <w:p>
            <w:pPr>
              <w:jc w:val="right"/>
              <w:ind w:right="270"/>
              <w:spacing w:after="0"/>
              <w:rPr>
                <w:sz w:val="20"/>
                <w:szCs w:val="20"/>
                <w:color w:val="auto"/>
              </w:rPr>
            </w:pPr>
            <w:r>
              <w:rPr>
                <w:rFonts w:ascii="Arial" w:cs="Arial" w:eastAsia="Arial" w:hAnsi="Arial"/>
                <w:sz w:val="18"/>
                <w:szCs w:val="18"/>
                <w:color w:val="auto"/>
              </w:rPr>
              <w:t>Additional</w:t>
            </w:r>
          </w:p>
        </w:tc>
        <w:tc>
          <w:tcPr>
            <w:tcW w:w="1720" w:type="dxa"/>
            <w:vAlign w:val="bottom"/>
          </w:tcPr>
          <w:p>
            <w:pPr>
              <w:jc w:val="right"/>
              <w:ind w:right="30"/>
              <w:spacing w:after="0" w:line="181" w:lineRule="exact"/>
              <w:rPr>
                <w:sz w:val="20"/>
                <w:szCs w:val="20"/>
                <w:color w:val="auto"/>
              </w:rPr>
            </w:pPr>
            <w:r>
              <w:rPr>
                <w:rFonts w:ascii="Arial" w:cs="Arial" w:eastAsia="Arial" w:hAnsi="Arial"/>
                <w:sz w:val="18"/>
                <w:szCs w:val="18"/>
                <w:color w:val="auto"/>
              </w:rPr>
              <w:t>Other</w:t>
            </w:r>
          </w:p>
        </w:tc>
        <w:tc>
          <w:tcPr>
            <w:tcW w:w="1600" w:type="dxa"/>
            <w:vAlign w:val="bottom"/>
            <w:vMerge w:val="restart"/>
          </w:tcPr>
          <w:p>
            <w:pPr>
              <w:jc w:val="right"/>
              <w:ind w:right="150"/>
              <w:spacing w:after="0"/>
              <w:rPr>
                <w:sz w:val="20"/>
                <w:szCs w:val="20"/>
                <w:color w:val="auto"/>
              </w:rPr>
            </w:pPr>
            <w:r>
              <w:rPr>
                <w:rFonts w:ascii="Arial" w:cs="Arial" w:eastAsia="Arial" w:hAnsi="Arial"/>
                <w:sz w:val="18"/>
                <w:szCs w:val="18"/>
                <w:color w:val="auto"/>
              </w:rPr>
              <w:t>Non-Controlling</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5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7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Comprehensive</w:t>
            </w:r>
          </w:p>
        </w:tc>
        <w:tc>
          <w:tcPr>
            <w:tcW w:w="1600" w:type="dxa"/>
            <w:vAlign w:val="bottom"/>
            <w:vMerge w:val="continue"/>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42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Deficit</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paid-in capital</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Income</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Interests:</w:t>
            </w: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25, 2023</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(266,496)</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61</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260,832</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26,843</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2,466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23,706</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(96)</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Income attributable to Lee</w:t>
            </w:r>
          </w:p>
        </w:tc>
        <w:tc>
          <w:tcPr>
            <w:tcW w:w="15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688</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545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35"/>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56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720" w:type="dxa"/>
            <w:vAlign w:val="bottom"/>
            <w:vMerge w:val="continue"/>
            <w:shd w:val="clear" w:color="auto" w:fill="CCEEFF"/>
          </w:tcPr>
          <w:p>
            <w:pPr>
              <w:spacing w:after="0"/>
              <w:rPr>
                <w:sz w:val="20"/>
                <w:szCs w:val="20"/>
                <w:color w:val="auto"/>
              </w:rPr>
            </w:pPr>
          </w:p>
        </w:tc>
        <w:tc>
          <w:tcPr>
            <w:tcW w:w="1720" w:type="dxa"/>
            <w:vAlign w:val="bottom"/>
            <w:vMerge w:val="continue"/>
            <w:shd w:val="clear" w:color="auto" w:fill="CCEEFF"/>
          </w:tcPr>
          <w:p>
            <w:pPr>
              <w:spacing w:after="0"/>
              <w:rPr>
                <w:sz w:val="20"/>
                <w:szCs w:val="20"/>
                <w:color w:val="auto"/>
              </w:rPr>
            </w:pPr>
          </w:p>
        </w:tc>
        <w:tc>
          <w:tcPr>
            <w:tcW w:w="16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214</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(2,286)</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Distributions to minority</w:t>
            </w:r>
          </w:p>
        </w:tc>
        <w:tc>
          <w:tcPr>
            <w:tcW w:w="15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(553)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5"/>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w:t>
            </w: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24, 2023</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(265,808)</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61</w:t>
            </w:r>
          </w:p>
        </w:tc>
        <w:tc>
          <w:tcPr>
            <w:tcW w:w="1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260,950</w:t>
            </w: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24,529</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2,458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22,190</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Loss attributable to Lee</w:t>
            </w:r>
          </w:p>
        </w:tc>
        <w:tc>
          <w:tcPr>
            <w:tcW w:w="15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(12,179)</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543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(11,636)</w:t>
            </w:r>
          </w:p>
        </w:tc>
        <w:tc>
          <w:tcPr>
            <w:tcW w:w="0" w:type="dxa"/>
            <w:vAlign w:val="bottom"/>
          </w:tcPr>
          <w:p>
            <w:pPr>
              <w:spacing w:after="0"/>
              <w:rPr>
                <w:sz w:val="1"/>
                <w:szCs w:val="1"/>
                <w:color w:val="auto"/>
              </w:rPr>
            </w:pPr>
          </w:p>
        </w:tc>
      </w:tr>
      <w:tr>
        <w:trPr>
          <w:trHeight w:val="235"/>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56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720" w:type="dxa"/>
            <w:vAlign w:val="bottom"/>
            <w:vMerge w:val="continue"/>
            <w:shd w:val="clear" w:color="auto" w:fill="CCEEFF"/>
          </w:tcPr>
          <w:p>
            <w:pPr>
              <w:spacing w:after="0"/>
              <w:rPr>
                <w:sz w:val="20"/>
                <w:szCs w:val="20"/>
                <w:color w:val="auto"/>
              </w:rPr>
            </w:pPr>
          </w:p>
        </w:tc>
        <w:tc>
          <w:tcPr>
            <w:tcW w:w="1720" w:type="dxa"/>
            <w:vAlign w:val="bottom"/>
            <w:vMerge w:val="continue"/>
            <w:shd w:val="clear" w:color="auto" w:fill="CCEEFF"/>
          </w:tcPr>
          <w:p>
            <w:pPr>
              <w:spacing w:after="0"/>
              <w:rPr>
                <w:sz w:val="20"/>
                <w:szCs w:val="20"/>
                <w:color w:val="auto"/>
              </w:rPr>
            </w:pPr>
          </w:p>
        </w:tc>
        <w:tc>
          <w:tcPr>
            <w:tcW w:w="16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501</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line="183" w:lineRule="exact"/>
              <w:rPr>
                <w:sz w:val="20"/>
                <w:szCs w:val="20"/>
                <w:color w:val="auto"/>
              </w:rPr>
            </w:pPr>
            <w:r>
              <w:rPr>
                <w:rFonts w:ascii="Arial" w:cs="Arial" w:eastAsia="Arial" w:hAnsi="Arial"/>
                <w:sz w:val="18"/>
                <w:szCs w:val="18"/>
                <w:color w:val="auto"/>
              </w:rPr>
              <w:t>Deferred income taxes,</w:t>
            </w:r>
          </w:p>
        </w:tc>
        <w:tc>
          <w:tcPr>
            <w:tcW w:w="15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90"/>
              <w:spacing w:after="0"/>
              <w:rPr>
                <w:sz w:val="20"/>
                <w:szCs w:val="20"/>
                <w:color w:val="auto"/>
              </w:rPr>
            </w:pPr>
            <w:r>
              <w:rPr>
                <w:rFonts w:ascii="Arial" w:cs="Arial" w:eastAsia="Arial" w:hAnsi="Arial"/>
                <w:sz w:val="18"/>
                <w:szCs w:val="18"/>
                <w:color w:val="auto"/>
              </w:rPr>
              <w:t>44</w:t>
            </w:r>
          </w:p>
        </w:tc>
        <w:tc>
          <w:tcPr>
            <w:tcW w:w="16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5"/>
        </w:trPr>
        <w:tc>
          <w:tcPr>
            <w:tcW w:w="2420" w:type="dxa"/>
            <w:vAlign w:val="bottom"/>
          </w:tcPr>
          <w:p>
            <w:pPr>
              <w:ind w:left="20"/>
              <w:spacing w:after="0"/>
              <w:rPr>
                <w:sz w:val="20"/>
                <w:szCs w:val="20"/>
                <w:color w:val="auto"/>
              </w:rPr>
            </w:pPr>
            <w:r>
              <w:rPr>
                <w:rFonts w:ascii="Arial" w:cs="Arial" w:eastAsia="Arial" w:hAnsi="Arial"/>
                <w:sz w:val="18"/>
                <w:szCs w:val="18"/>
                <w:color w:val="auto"/>
              </w:rPr>
              <w:t>net</w:t>
            </w:r>
          </w:p>
        </w:tc>
        <w:tc>
          <w:tcPr>
            <w:tcW w:w="156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720" w:type="dxa"/>
            <w:vAlign w:val="bottom"/>
            <w:vMerge w:val="continue"/>
          </w:tcPr>
          <w:p>
            <w:pPr>
              <w:spacing w:after="0"/>
              <w:rPr>
                <w:sz w:val="20"/>
                <w:szCs w:val="20"/>
                <w:color w:val="auto"/>
              </w:rPr>
            </w:pPr>
          </w:p>
        </w:tc>
        <w:tc>
          <w:tcPr>
            <w:tcW w:w="172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Distributions to minority</w:t>
            </w:r>
          </w:p>
        </w:tc>
        <w:tc>
          <w:tcPr>
            <w:tcW w:w="156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(486)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5"/>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w:t>
            </w: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24, 2024</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(277,987)</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61</w:t>
            </w:r>
          </w:p>
        </w:tc>
        <w:tc>
          <w:tcPr>
            <w:tcW w:w="1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261,451</w:t>
            </w: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24,381</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2,515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10,421</w:t>
            </w:r>
          </w:p>
        </w:tc>
        <w:tc>
          <w:tcPr>
            <w:tcW w:w="0" w:type="dxa"/>
            <w:vAlign w:val="bottom"/>
          </w:tcPr>
          <w:p>
            <w:pPr>
              <w:spacing w:after="0"/>
              <w:rPr>
                <w:sz w:val="1"/>
                <w:szCs w:val="1"/>
                <w:color w:val="auto"/>
              </w:rPr>
            </w:pPr>
          </w:p>
        </w:tc>
      </w:tr>
      <w:tr>
        <w:trPr>
          <w:trHeight w:val="21"/>
        </w:trPr>
        <w:tc>
          <w:tcPr>
            <w:tcW w:w="2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(redeemed)</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line="183" w:lineRule="exact"/>
              <w:rPr>
                <w:sz w:val="20"/>
                <w:szCs w:val="20"/>
                <w:color w:val="auto"/>
              </w:rPr>
            </w:pPr>
            <w:r>
              <w:rPr>
                <w:rFonts w:ascii="Arial" w:cs="Arial" w:eastAsia="Arial" w:hAnsi="Arial"/>
                <w:sz w:val="18"/>
                <w:szCs w:val="18"/>
                <w:color w:val="auto"/>
              </w:rPr>
              <w:t>Income attributable to Lee</w:t>
            </w:r>
          </w:p>
        </w:tc>
        <w:tc>
          <w:tcPr>
            <w:tcW w:w="1560" w:type="dxa"/>
            <w:vAlign w:val="bottom"/>
            <w:vMerge w:val="restart"/>
          </w:tcPr>
          <w:p>
            <w:pPr>
              <w:jc w:val="right"/>
              <w:ind w:right="230"/>
              <w:spacing w:after="0"/>
              <w:rPr>
                <w:sz w:val="20"/>
                <w:szCs w:val="20"/>
                <w:color w:val="auto"/>
              </w:rPr>
            </w:pPr>
            <w:r>
              <w:rPr>
                <w:rFonts w:ascii="Arial" w:cs="Arial" w:eastAsia="Arial" w:hAnsi="Arial"/>
                <w:sz w:val="18"/>
                <w:szCs w:val="18"/>
                <w:color w:val="auto"/>
              </w:rPr>
              <w:t>(4,266)</w:t>
            </w:r>
          </w:p>
        </w:tc>
        <w:tc>
          <w:tcPr>
            <w:tcW w:w="130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ind w:right="210"/>
              <w:spacing w:after="0"/>
              <w:rPr>
                <w:sz w:val="20"/>
                <w:szCs w:val="20"/>
                <w:color w:val="auto"/>
              </w:rPr>
            </w:pPr>
            <w:r>
              <w:rPr>
                <w:rFonts w:ascii="Arial" w:cs="Arial" w:eastAsia="Arial" w:hAnsi="Arial"/>
                <w:sz w:val="18"/>
                <w:szCs w:val="18"/>
                <w:color w:val="auto"/>
              </w:rPr>
              <w:t>575</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35"/>
        </w:trPr>
        <w:tc>
          <w:tcPr>
            <w:tcW w:w="2420" w:type="dxa"/>
            <w:vAlign w:val="bottom"/>
          </w:tcPr>
          <w:p>
            <w:pPr>
              <w:ind w:left="20"/>
              <w:spacing w:after="0"/>
              <w:rPr>
                <w:sz w:val="20"/>
                <w:szCs w:val="20"/>
                <w:color w:val="auto"/>
              </w:rPr>
            </w:pPr>
            <w:r>
              <w:rPr>
                <w:rFonts w:ascii="Arial" w:cs="Arial" w:eastAsia="Arial" w:hAnsi="Arial"/>
                <w:sz w:val="18"/>
                <w:szCs w:val="18"/>
                <w:color w:val="auto"/>
              </w:rPr>
              <w:t>Enterprises, Incorporated</w:t>
            </w:r>
          </w:p>
        </w:tc>
        <w:tc>
          <w:tcPr>
            <w:tcW w:w="156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720" w:type="dxa"/>
            <w:vAlign w:val="bottom"/>
            <w:vMerge w:val="continue"/>
          </w:tcPr>
          <w:p>
            <w:pPr>
              <w:spacing w:after="0"/>
              <w:rPr>
                <w:sz w:val="20"/>
                <w:szCs w:val="20"/>
                <w:color w:val="auto"/>
              </w:rPr>
            </w:pPr>
          </w:p>
        </w:tc>
        <w:tc>
          <w:tcPr>
            <w:tcW w:w="172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474</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line="183" w:lineRule="exact"/>
              <w:rPr>
                <w:sz w:val="20"/>
                <w:szCs w:val="20"/>
                <w:color w:val="auto"/>
              </w:rPr>
            </w:pPr>
            <w:r>
              <w:rPr>
                <w:rFonts w:ascii="Arial" w:cs="Arial" w:eastAsia="Arial" w:hAnsi="Arial"/>
                <w:sz w:val="18"/>
                <w:szCs w:val="18"/>
                <w:color w:val="auto"/>
              </w:rPr>
              <w:t>Other comprehensive</w:t>
            </w:r>
          </w:p>
        </w:tc>
        <w:tc>
          <w:tcPr>
            <w:tcW w:w="156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50"/>
              <w:spacing w:after="0"/>
              <w:rPr>
                <w:sz w:val="20"/>
                <w:szCs w:val="20"/>
                <w:color w:val="auto"/>
              </w:rPr>
            </w:pPr>
            <w:r>
              <w:rPr>
                <w:rFonts w:ascii="Arial" w:cs="Arial" w:eastAsia="Arial" w:hAnsi="Arial"/>
                <w:sz w:val="18"/>
                <w:szCs w:val="18"/>
                <w:color w:val="auto"/>
              </w:rPr>
              <w:t>(191)</w:t>
            </w:r>
          </w:p>
        </w:tc>
        <w:tc>
          <w:tcPr>
            <w:tcW w:w="16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5"/>
        </w:trPr>
        <w:tc>
          <w:tcPr>
            <w:tcW w:w="2420" w:type="dxa"/>
            <w:vAlign w:val="bottom"/>
          </w:tcPr>
          <w:p>
            <w:pPr>
              <w:ind w:left="20"/>
              <w:spacing w:after="0"/>
              <w:rPr>
                <w:sz w:val="20"/>
                <w:szCs w:val="20"/>
                <w:color w:val="auto"/>
              </w:rPr>
            </w:pPr>
            <w:r>
              <w:rPr>
                <w:rFonts w:ascii="Arial" w:cs="Arial" w:eastAsia="Arial" w:hAnsi="Arial"/>
                <w:sz w:val="18"/>
                <w:szCs w:val="18"/>
                <w:color w:val="auto"/>
              </w:rPr>
              <w:t>income</w:t>
            </w:r>
          </w:p>
        </w:tc>
        <w:tc>
          <w:tcPr>
            <w:tcW w:w="156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720" w:type="dxa"/>
            <w:vAlign w:val="bottom"/>
            <w:vMerge w:val="continue"/>
          </w:tcPr>
          <w:p>
            <w:pPr>
              <w:spacing w:after="0"/>
              <w:rPr>
                <w:sz w:val="20"/>
                <w:szCs w:val="20"/>
                <w:color w:val="auto"/>
              </w:rPr>
            </w:pPr>
          </w:p>
        </w:tc>
        <w:tc>
          <w:tcPr>
            <w:tcW w:w="172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line="183" w:lineRule="exact"/>
              <w:rPr>
                <w:sz w:val="20"/>
                <w:szCs w:val="20"/>
                <w:color w:val="auto"/>
              </w:rPr>
            </w:pPr>
            <w:r>
              <w:rPr>
                <w:rFonts w:ascii="Arial" w:cs="Arial" w:eastAsia="Arial" w:hAnsi="Arial"/>
                <w:sz w:val="18"/>
                <w:szCs w:val="18"/>
                <w:color w:val="auto"/>
              </w:rPr>
              <w:t>Distributions to minority</w:t>
            </w:r>
          </w:p>
        </w:tc>
        <w:tc>
          <w:tcPr>
            <w:tcW w:w="156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ind w:right="170"/>
              <w:spacing w:after="0"/>
              <w:rPr>
                <w:sz w:val="20"/>
                <w:szCs w:val="20"/>
                <w:color w:val="auto"/>
              </w:rPr>
            </w:pPr>
            <w:r>
              <w:rPr>
                <w:rFonts w:ascii="Arial" w:cs="Arial" w:eastAsia="Arial" w:hAnsi="Arial"/>
                <w:sz w:val="18"/>
                <w:szCs w:val="18"/>
                <w:color w:val="auto"/>
              </w:rPr>
              <w:t>(566)</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5"/>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owners</w:t>
            </w:r>
          </w:p>
        </w:tc>
        <w:tc>
          <w:tcPr>
            <w:tcW w:w="156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720" w:type="dxa"/>
            <w:vAlign w:val="bottom"/>
            <w:tcBorders>
              <w:bottom w:val="single" w:sz="8" w:color="auto"/>
            </w:tcBorders>
            <w:vMerge w:val="continue"/>
          </w:tcPr>
          <w:p>
            <w:pPr>
              <w:spacing w:after="0"/>
              <w:rPr>
                <w:sz w:val="20"/>
                <w:szCs w:val="20"/>
                <w:color w:val="auto"/>
              </w:rPr>
            </w:pPr>
          </w:p>
        </w:tc>
        <w:tc>
          <w:tcPr>
            <w:tcW w:w="172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23, 2024</w:t>
            </w:r>
          </w:p>
        </w:tc>
        <w:tc>
          <w:tcPr>
            <w:tcW w:w="15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(282,253)</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62</w:t>
            </w:r>
          </w:p>
        </w:tc>
        <w:tc>
          <w:tcPr>
            <w:tcW w:w="17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261,925</w:t>
            </w:r>
          </w:p>
        </w:tc>
        <w:tc>
          <w:tcPr>
            <w:tcW w:w="1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24,234</w:t>
            </w:r>
          </w:p>
        </w:tc>
        <w:tc>
          <w:tcPr>
            <w:tcW w:w="16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2,524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Nine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4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tcPr>
          <w:p>
            <w:pPr>
              <w:jc w:val="right"/>
              <w:ind w:right="410"/>
              <w:spacing w:after="0" w:line="169" w:lineRule="exact"/>
              <w:rPr>
                <w:sz w:val="20"/>
                <w:szCs w:val="20"/>
                <w:color w:val="auto"/>
              </w:rPr>
            </w:pPr>
            <w:r>
              <w:rPr>
                <w:rFonts w:ascii="Arial" w:cs="Arial" w:eastAsia="Arial" w:hAnsi="Arial"/>
                <w:sz w:val="18"/>
                <w:szCs w:val="18"/>
                <w:color w:val="auto"/>
              </w:rPr>
              <w:t>June 29,</w:t>
            </w:r>
          </w:p>
        </w:tc>
        <w:tc>
          <w:tcPr>
            <w:tcW w:w="12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June 23,</w:t>
            </w:r>
          </w:p>
        </w:tc>
      </w:tr>
      <w:tr>
        <w:trPr>
          <w:trHeight w:val="242"/>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51"/>
        </w:trPr>
        <w:tc>
          <w:tcPr>
            <w:tcW w:w="78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(required for) provided by operating activities:</w:t>
            </w:r>
          </w:p>
        </w:tc>
        <w:tc>
          <w:tcPr>
            <w:tcW w:w="2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180" w:type="dxa"/>
            <w:vAlign w:val="bottom"/>
          </w:tcPr>
          <w:p>
            <w:pPr>
              <w:jc w:val="right"/>
              <w:ind w:right="410"/>
              <w:spacing w:after="0"/>
              <w:rPr>
                <w:sz w:val="20"/>
                <w:szCs w:val="20"/>
                <w:color w:val="auto"/>
              </w:rPr>
            </w:pPr>
            <w:r>
              <w:rPr>
                <w:rFonts w:ascii="Arial" w:cs="Arial" w:eastAsia="Arial" w:hAnsi="Arial"/>
                <w:sz w:val="18"/>
                <w:szCs w:val="18"/>
                <w:color w:val="auto"/>
              </w:rPr>
              <w:t>(29,915)</w:t>
            </w:r>
          </w:p>
        </w:tc>
        <w:tc>
          <w:tcPr>
            <w:tcW w:w="1220" w:type="dxa"/>
            <w:vAlign w:val="bottom"/>
          </w:tcPr>
          <w:p>
            <w:pPr>
              <w:jc w:val="right"/>
              <w:spacing w:after="0"/>
              <w:rPr>
                <w:sz w:val="20"/>
                <w:szCs w:val="20"/>
                <w:color w:val="auto"/>
              </w:rPr>
            </w:pPr>
            <w:r>
              <w:rPr>
                <w:rFonts w:ascii="Arial" w:cs="Arial" w:eastAsia="Arial" w:hAnsi="Arial"/>
                <w:sz w:val="18"/>
                <w:szCs w:val="18"/>
                <w:color w:val="auto"/>
              </w:rPr>
              <w:t>(14,094)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jc w:val="right"/>
              <w:ind w:right="470"/>
              <w:spacing w:after="0"/>
              <w:rPr>
                <w:sz w:val="20"/>
                <w:szCs w:val="20"/>
                <w:color w:val="auto"/>
              </w:rPr>
            </w:pPr>
            <w:r>
              <w:rPr>
                <w:rFonts w:ascii="Arial" w:cs="Arial" w:eastAsia="Arial" w:hAnsi="Arial"/>
                <w:sz w:val="18"/>
                <w:szCs w:val="18"/>
                <w:color w:val="auto"/>
              </w:rPr>
              <w:t>15,218</w:t>
            </w:r>
          </w:p>
        </w:tc>
        <w:tc>
          <w:tcPr>
            <w:tcW w:w="1220" w:type="dxa"/>
            <w:vAlign w:val="bottom"/>
          </w:tcPr>
          <w:p>
            <w:pPr>
              <w:jc w:val="right"/>
              <w:spacing w:after="0"/>
              <w:rPr>
                <w:sz w:val="20"/>
                <w:szCs w:val="20"/>
                <w:color w:val="auto"/>
              </w:rPr>
            </w:pPr>
            <w:r>
              <w:rPr>
                <w:rFonts w:ascii="Arial" w:cs="Arial" w:eastAsia="Arial" w:hAnsi="Arial"/>
                <w:sz w:val="18"/>
                <w:szCs w:val="18"/>
                <w:color w:val="auto"/>
              </w:rPr>
              <w:t>21,438</w:t>
            </w: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2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10,853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w:t>
            </w: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Curtailment/Settlement gain</w:t>
            </w:r>
          </w:p>
        </w:tc>
        <w:tc>
          <w:tcPr>
            <w:tcW w:w="21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(3,593)</w:t>
            </w:r>
          </w:p>
        </w:tc>
      </w:tr>
      <w:tr>
        <w:trPr>
          <w:trHeight w:val="229"/>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1,328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30"/>
        </w:trPr>
        <w:tc>
          <w:tcPr>
            <w:tcW w:w="7840" w:type="dxa"/>
            <w:vAlign w:val="bottom"/>
          </w:tcPr>
          <w:p>
            <w:pPr>
              <w:ind w:left="180"/>
              <w:spacing w:after="0"/>
              <w:rPr>
                <w:sz w:val="20"/>
                <w:szCs w:val="20"/>
                <w:color w:val="auto"/>
              </w:rPr>
            </w:pPr>
            <w:r>
              <w:rPr>
                <w:rFonts w:ascii="Arial" w:cs="Arial" w:eastAsia="Arial" w:hAnsi="Arial"/>
                <w:sz w:val="18"/>
                <w:szCs w:val="18"/>
                <w:color w:val="auto"/>
              </w:rPr>
              <w:t>Assets (gain) loss on sales, impairments and other, net</w:t>
            </w:r>
          </w:p>
        </w:tc>
        <w:tc>
          <w:tcPr>
            <w:tcW w:w="2180" w:type="dxa"/>
            <w:vAlign w:val="bottom"/>
          </w:tcPr>
          <w:p>
            <w:pPr>
              <w:jc w:val="right"/>
              <w:ind w:right="410"/>
              <w:spacing w:after="0"/>
              <w:rPr>
                <w:sz w:val="20"/>
                <w:szCs w:val="20"/>
                <w:color w:val="auto"/>
              </w:rPr>
            </w:pPr>
            <w:r>
              <w:rPr>
                <w:rFonts w:ascii="Arial" w:cs="Arial" w:eastAsia="Arial" w:hAnsi="Arial"/>
                <w:sz w:val="18"/>
                <w:szCs w:val="18"/>
                <w:color w:val="auto"/>
              </w:rPr>
              <w:t>(2,365)</w:t>
            </w:r>
          </w:p>
        </w:tc>
        <w:tc>
          <w:tcPr>
            <w:tcW w:w="1220" w:type="dxa"/>
            <w:vAlign w:val="bottom"/>
          </w:tcPr>
          <w:p>
            <w:pPr>
              <w:jc w:val="right"/>
              <w:spacing w:after="0"/>
              <w:rPr>
                <w:sz w:val="20"/>
                <w:szCs w:val="20"/>
                <w:color w:val="auto"/>
              </w:rPr>
            </w:pPr>
            <w:r>
              <w:rPr>
                <w:rFonts w:ascii="Arial" w:cs="Arial" w:eastAsia="Arial" w:hAnsi="Arial"/>
                <w:sz w:val="18"/>
                <w:szCs w:val="18"/>
                <w:color w:val="auto"/>
              </w:rPr>
              <w:t>4,727</w:t>
            </w:r>
          </w:p>
        </w:tc>
      </w:tr>
      <w:tr>
        <w:trPr>
          <w:trHeight w:val="229"/>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net of distributions, deemed returns on investment of TNI and MNI</w:t>
            </w:r>
          </w:p>
        </w:tc>
        <w:tc>
          <w:tcPr>
            <w:tcW w:w="2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Non-cash interest</w:t>
            </w:r>
          </w:p>
        </w:tc>
        <w:tc>
          <w:tcPr>
            <w:tcW w:w="2180" w:type="dxa"/>
            <w:vAlign w:val="bottom"/>
          </w:tcPr>
          <w:p>
            <w:pPr>
              <w:jc w:val="right"/>
              <w:ind w:right="470"/>
              <w:spacing w:after="0"/>
              <w:rPr>
                <w:sz w:val="20"/>
                <w:szCs w:val="20"/>
                <w:color w:val="auto"/>
              </w:rPr>
            </w:pPr>
            <w:r>
              <w:rPr>
                <w:rFonts w:ascii="Arial" w:cs="Arial" w:eastAsia="Arial" w:hAnsi="Arial"/>
                <w:sz w:val="18"/>
                <w:szCs w:val="18"/>
                <w:color w:val="auto"/>
              </w:rPr>
              <w:t>10,118</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1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(273)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Return of letters of credit collateral</w:t>
            </w:r>
          </w:p>
        </w:tc>
        <w:tc>
          <w:tcPr>
            <w:tcW w:w="21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1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(1,518)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receivables</w:t>
            </w:r>
          </w:p>
        </w:tc>
        <w:tc>
          <w:tcPr>
            <w:tcW w:w="21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(7,628)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30"/>
        </w:trPr>
        <w:tc>
          <w:tcPr>
            <w:tcW w:w="7840" w:type="dxa"/>
            <w:vAlign w:val="bottom"/>
          </w:tcPr>
          <w:p>
            <w:pPr>
              <w:ind w:left="360"/>
              <w:spacing w:after="0"/>
              <w:rPr>
                <w:sz w:val="20"/>
                <w:szCs w:val="20"/>
                <w:color w:val="auto"/>
              </w:rPr>
            </w:pPr>
            <w:r>
              <w:rPr>
                <w:rFonts w:ascii="Arial" w:cs="Arial" w:eastAsia="Arial" w:hAnsi="Arial"/>
                <w:sz w:val="18"/>
                <w:szCs w:val="18"/>
                <w:color w:val="auto"/>
              </w:rPr>
              <w:t>Decrease in inventories and other</w:t>
            </w:r>
          </w:p>
        </w:tc>
        <w:tc>
          <w:tcPr>
            <w:tcW w:w="2180" w:type="dxa"/>
            <w:vAlign w:val="bottom"/>
          </w:tcPr>
          <w:p>
            <w:pPr>
              <w:jc w:val="right"/>
              <w:ind w:right="470"/>
              <w:spacing w:after="0"/>
              <w:rPr>
                <w:sz w:val="20"/>
                <w:szCs w:val="20"/>
                <w:color w:val="auto"/>
              </w:rPr>
            </w:pPr>
            <w:r>
              <w:rPr>
                <w:rFonts w:ascii="Arial" w:cs="Arial" w:eastAsia="Arial" w:hAnsi="Arial"/>
                <w:sz w:val="18"/>
                <w:szCs w:val="18"/>
                <w:color w:val="auto"/>
              </w:rPr>
              <w:t>419</w:t>
            </w:r>
          </w:p>
        </w:tc>
        <w:tc>
          <w:tcPr>
            <w:tcW w:w="122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29"/>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accounts payable and other accrued liabilities</w:t>
            </w:r>
          </w:p>
        </w:tc>
        <w:tc>
          <w:tcPr>
            <w:tcW w:w="2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7,749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(12,786)</w:t>
            </w:r>
          </w:p>
        </w:tc>
      </w:tr>
      <w:tr>
        <w:trPr>
          <w:trHeight w:val="230"/>
        </w:trPr>
        <w:tc>
          <w:tcPr>
            <w:tcW w:w="7840" w:type="dxa"/>
            <w:vAlign w:val="bottom"/>
          </w:tcPr>
          <w:p>
            <w:pPr>
              <w:ind w:left="360"/>
              <w:spacing w:after="0"/>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2180" w:type="dxa"/>
            <w:vAlign w:val="bottom"/>
          </w:tcPr>
          <w:p>
            <w:pPr>
              <w:jc w:val="right"/>
              <w:ind w:right="410"/>
              <w:spacing w:after="0"/>
              <w:rPr>
                <w:sz w:val="20"/>
                <w:szCs w:val="20"/>
                <w:color w:val="auto"/>
              </w:rPr>
            </w:pPr>
            <w:r>
              <w:rPr>
                <w:rFonts w:ascii="Arial" w:cs="Arial" w:eastAsia="Arial" w:hAnsi="Arial"/>
                <w:sz w:val="18"/>
                <w:szCs w:val="18"/>
                <w:color w:val="auto"/>
              </w:rPr>
              <w:t>(3,033)</w:t>
            </w:r>
          </w:p>
        </w:tc>
        <w:tc>
          <w:tcPr>
            <w:tcW w:w="1220" w:type="dxa"/>
            <w:vAlign w:val="bottom"/>
          </w:tcPr>
          <w:p>
            <w:pPr>
              <w:jc w:val="right"/>
              <w:spacing w:after="0"/>
              <w:rPr>
                <w:sz w:val="20"/>
                <w:szCs w:val="20"/>
                <w:color w:val="auto"/>
              </w:rPr>
            </w:pPr>
            <w:r>
              <w:rPr>
                <w:rFonts w:ascii="Arial" w:cs="Arial" w:eastAsia="Arial" w:hAnsi="Arial"/>
                <w:sz w:val="18"/>
                <w:szCs w:val="18"/>
                <w:color w:val="auto"/>
              </w:rPr>
              <w:t>(1,835)</w:t>
            </w:r>
          </w:p>
        </w:tc>
      </w:tr>
      <w:tr>
        <w:trPr>
          <w:trHeight w:val="230"/>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income taxes payable</w:t>
            </w:r>
          </w:p>
        </w:tc>
        <w:tc>
          <w:tcPr>
            <w:tcW w:w="2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830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7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(1,322)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r>
      <w:tr>
        <w:trPr>
          <w:trHeight w:val="223"/>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(required for) operating activities</w:t>
            </w:r>
          </w:p>
        </w:tc>
        <w:tc>
          <w:tcPr>
            <w:tcW w:w="2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765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Cash provided by investing activities:</w:t>
            </w:r>
          </w:p>
        </w:tc>
        <w:tc>
          <w:tcPr>
            <w:tcW w:w="2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1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(3,539)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Proceeds from sales of assets</w:t>
            </w:r>
          </w:p>
        </w:tc>
        <w:tc>
          <w:tcPr>
            <w:tcW w:w="2180" w:type="dxa"/>
            <w:vAlign w:val="bottom"/>
          </w:tcPr>
          <w:p>
            <w:pPr>
              <w:jc w:val="right"/>
              <w:ind w:right="470"/>
              <w:spacing w:after="0"/>
              <w:rPr>
                <w:sz w:val="20"/>
                <w:szCs w:val="20"/>
                <w:color w:val="auto"/>
              </w:rPr>
            </w:pPr>
            <w:r>
              <w:rPr>
                <w:rFonts w:ascii="Arial" w:cs="Arial" w:eastAsia="Arial" w:hAnsi="Arial"/>
                <w:sz w:val="18"/>
                <w:szCs w:val="18"/>
                <w:color w:val="auto"/>
              </w:rPr>
              <w:t>8,673</w:t>
            </w:r>
          </w:p>
        </w:tc>
        <w:tc>
          <w:tcPr>
            <w:tcW w:w="1220" w:type="dxa"/>
            <w:vAlign w:val="bottom"/>
          </w:tcPr>
          <w:p>
            <w:pPr>
              <w:jc w:val="right"/>
              <w:spacing w:after="0"/>
              <w:rPr>
                <w:sz w:val="20"/>
                <w:szCs w:val="20"/>
                <w:color w:val="auto"/>
              </w:rPr>
            </w:pPr>
            <w:r>
              <w:rPr>
                <w:rFonts w:ascii="Arial" w:cs="Arial" w:eastAsia="Arial" w:hAnsi="Arial"/>
                <w:sz w:val="18"/>
                <w:szCs w:val="18"/>
                <w:color w:val="auto"/>
              </w:rPr>
              <w:t>7,087</w:t>
            </w:r>
          </w:p>
        </w:tc>
      </w:tr>
      <w:tr>
        <w:trPr>
          <w:trHeight w:val="230"/>
        </w:trPr>
        <w:tc>
          <w:tcPr>
            <w:tcW w:w="78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5,134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required for financing activities:</w:t>
            </w:r>
          </w:p>
        </w:tc>
        <w:tc>
          <w:tcPr>
            <w:tcW w:w="2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Principal payments on long-term debt</w:t>
            </w:r>
          </w:p>
        </w:tc>
        <w:tc>
          <w:tcPr>
            <w:tcW w:w="2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(1,372)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r>
      <w:tr>
        <w:trPr>
          <w:trHeight w:val="223"/>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required for financing activities</w:t>
            </w:r>
          </w:p>
        </w:tc>
        <w:tc>
          <w:tcPr>
            <w:tcW w:w="21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(1,372)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180" w:type="dxa"/>
            <w:vAlign w:val="bottom"/>
          </w:tcPr>
          <w:p>
            <w:pPr>
              <w:jc w:val="right"/>
              <w:ind w:right="470"/>
              <w:spacing w:after="0"/>
              <w:rPr>
                <w:sz w:val="20"/>
                <w:szCs w:val="20"/>
                <w:color w:val="auto"/>
              </w:rPr>
            </w:pPr>
            <w:r>
              <w:rPr>
                <w:rFonts w:ascii="Arial" w:cs="Arial" w:eastAsia="Arial" w:hAnsi="Arial"/>
                <w:sz w:val="18"/>
                <w:szCs w:val="18"/>
                <w:color w:val="auto"/>
              </w:rPr>
              <w:t>4,527</w:t>
            </w:r>
          </w:p>
        </w:tc>
        <w:tc>
          <w:tcPr>
            <w:tcW w:w="1220" w:type="dxa"/>
            <w:vAlign w:val="bottom"/>
          </w:tcPr>
          <w:p>
            <w:pPr>
              <w:jc w:val="right"/>
              <w:spacing w:after="0"/>
              <w:rPr>
                <w:sz w:val="20"/>
                <w:szCs w:val="20"/>
                <w:color w:val="auto"/>
              </w:rPr>
            </w:pPr>
            <w:r>
              <w:rPr>
                <w:rFonts w:ascii="Arial" w:cs="Arial" w:eastAsia="Arial" w:hAnsi="Arial"/>
                <w:sz w:val="18"/>
                <w:szCs w:val="18"/>
                <w:color w:val="auto"/>
              </w:rPr>
              <w:t>(1,123)</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8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2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9,598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14,548</w:t>
            </w:r>
          </w:p>
        </w:tc>
      </w:tr>
      <w:tr>
        <w:trPr>
          <w:trHeight w:val="223"/>
        </w:trPr>
        <w:tc>
          <w:tcPr>
            <w:tcW w:w="7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End of period</w:t>
            </w:r>
          </w:p>
        </w:tc>
        <w:tc>
          <w:tcPr>
            <w:tcW w:w="2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14,125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13,425</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8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June 29, 2025, and our results of operations and cash flows for the periods presented. The Consolidated Financial Statements should be read in conjunction with the Consolidated Financial Statements and Notes thereto included in the Company's 2024 Annual Report on Form 10-K.</w:t>
      </w:r>
    </w:p>
    <w:p>
      <w:pPr>
        <w:spacing w:after="0" w:line="14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Company's fiscal year ends on the last Sunday in September. Fiscal year 2025 ends September 28, 2025, and fiscal year 2024 ended September 29, 2024. Fiscal year 2025 includes 52 weeks of operations and 2024 included 53 weeks of operations. Because of seasonal and other factors, the results of operations for the three and nine months ended June 29, 2025, are not necessarily indicative of the results to be expected for the full year.</w:t>
      </w:r>
    </w:p>
    <w:p>
      <w:pPr>
        <w:spacing w:after="0" w:line="14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Consolidated Financial Statements include our accounts and those of our wholly owned subsidiaries, as well as our 82.5% interest in INN Partners, L.C. (“BLOX Digital" formerly "TownNews”).</w:t>
      </w:r>
    </w:p>
    <w:p>
      <w:pPr>
        <w:spacing w:after="0" w:line="11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Our 50% interest in TNI Partners ("TNI") and our 50% interest in Madison Newspapers, Inc. ("MNI") are accounted for using the equity method and are reported at cost, plus our share of undistributed earnings since acquisition less, for TNI, amortization of intangible assets.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Cybersecurity Incident</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On February 3, 2025, the Company experienced a systems outage caused by a cybersecurity attack by threat actors who unlawfully accessed the Company's network, encrypted critical applications, and exfiltrated certain files (the "Cyber Incident"). Upon discovery, the Company promptly activated its incident response plan, engaging both internal teams and third-party cybersecurity experts.</w:t>
      </w:r>
    </w:p>
    <w:p>
      <w:pPr>
        <w:spacing w:after="0" w:line="13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Following the containment of the initial threat and as a result of a subsequent, comprehensive review with a third-party vendor, the Company determined certain files may have been accessed or acquired on February 1, 2025, including customers' and subscribers personal information. The Company reported the Incident to relevant law enforcement and will cooperate with any resulting investigation or efforts to hold the perpetrators accountable. In addition, through a data breach and recovery services vendor, the Company is offering identity theft protection services to those customers and subscribers potentially involved in the data breach. See Footnote 9.</w:t>
      </w:r>
    </w:p>
    <w:p>
      <w:pPr>
        <w:spacing w:after="0" w:line="14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During the three months ended June 29, 2025, the Company incurred $1.2 million of expenses related to the Cyber Incident. During the nine months ended June 29, 2025, the Company incurred $3.1 million of expenses related to the Cyber Incident. These expenses are recognized in "Restructuring and Other" in the Consolidated Statements of Loss and Comprehensive Loss. The Cyber Incident remains under legal and forensic investigation, including evaluation of the extent and potential risk related to unauthorized access to sensitive data.</w:t>
      </w:r>
    </w:p>
    <w:p>
      <w:pPr>
        <w:spacing w:after="0" w:line="1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incident continues to have a significant negative impact on the Company's 2025 operating results. Various revenue lines were impacted, certain operating expenses are trending higher than they were prior to the incident, and many projects underway were significantly delayed.</w:t>
      </w:r>
    </w:p>
    <w:p>
      <w:pPr>
        <w:spacing w:after="0" w:line="130"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maintains cyber insurance coverage to limit its exposure to losses such as those related to the Cyber Incident, subject to a $500,000 deductible. Coverage includes, among other things, the cost of recovery and restoration as well as business interruption. The Company has submitted claims to its insurers for reimbursement of certain costs, expenses, and losses stemming from the Cyber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Incident. To date, $707,000 reimbursements have been received, however the claims processing is ongoing as of the date of this filing.</w:t>
      </w:r>
    </w:p>
    <w:p>
      <w:pPr>
        <w:spacing w:after="0" w:line="200" w:lineRule="exact"/>
        <w:rPr>
          <w:sz w:val="20"/>
          <w:szCs w:val="20"/>
          <w:color w:val="auto"/>
        </w:rPr>
      </w:pPr>
    </w:p>
    <w:p>
      <w:pPr>
        <w:spacing w:after="0" w:line="344"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348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Three months Ended</w:t>
            </w:r>
          </w:p>
        </w:tc>
        <w:tc>
          <w:tcPr>
            <w:tcW w:w="1140" w:type="dxa"/>
            <w:vAlign w:val="bottom"/>
            <w:tcBorders>
              <w:top w:val="single" w:sz="8" w:color="auto"/>
              <w:bottom w:val="single" w:sz="8" w:color="auto"/>
            </w:tcBorders>
          </w:tcPr>
          <w:p>
            <w:pPr>
              <w:spacing w:after="0"/>
              <w:rPr>
                <w:sz w:val="21"/>
                <w:szCs w:val="21"/>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Nine months ended</w:t>
            </w:r>
          </w:p>
        </w:tc>
        <w:tc>
          <w:tcPr>
            <w:tcW w:w="7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4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360" w:type="dxa"/>
            <w:vAlign w:val="bottom"/>
          </w:tcPr>
          <w:p>
            <w:pPr>
              <w:jc w:val="right"/>
              <w:ind w:right="790"/>
              <w:spacing w:after="0" w:line="169" w:lineRule="exact"/>
              <w:rPr>
                <w:sz w:val="20"/>
                <w:szCs w:val="20"/>
                <w:color w:val="auto"/>
              </w:rPr>
            </w:pPr>
            <w:r>
              <w:rPr>
                <w:rFonts w:ascii="Arial" w:cs="Arial" w:eastAsia="Arial" w:hAnsi="Arial"/>
                <w:sz w:val="18"/>
                <w:szCs w:val="18"/>
                <w:color w:val="auto"/>
              </w:rPr>
              <w:t>June 29,</w:t>
            </w:r>
          </w:p>
        </w:tc>
        <w:tc>
          <w:tcPr>
            <w:tcW w:w="1140" w:type="dxa"/>
            <w:vAlign w:val="bottom"/>
          </w:tcPr>
          <w:p>
            <w:pPr>
              <w:jc w:val="right"/>
              <w:ind w:right="330"/>
              <w:spacing w:after="0" w:line="169" w:lineRule="exact"/>
              <w:rPr>
                <w:sz w:val="20"/>
                <w:szCs w:val="20"/>
                <w:color w:val="auto"/>
              </w:rPr>
            </w:pPr>
            <w:r>
              <w:rPr>
                <w:rFonts w:ascii="Arial" w:cs="Arial" w:eastAsia="Arial" w:hAnsi="Arial"/>
                <w:sz w:val="18"/>
                <w:szCs w:val="18"/>
                <w:color w:val="auto"/>
              </w:rPr>
              <w:t>June 23,</w:t>
            </w:r>
          </w:p>
        </w:tc>
        <w:tc>
          <w:tcPr>
            <w:tcW w:w="2040" w:type="dxa"/>
            <w:vAlign w:val="bottom"/>
          </w:tcPr>
          <w:p>
            <w:pPr>
              <w:jc w:val="right"/>
              <w:ind w:right="750"/>
              <w:spacing w:after="0" w:line="169" w:lineRule="exact"/>
              <w:rPr>
                <w:sz w:val="20"/>
                <w:szCs w:val="20"/>
                <w:color w:val="auto"/>
              </w:rPr>
            </w:pPr>
            <w:r>
              <w:rPr>
                <w:rFonts w:ascii="Arial" w:cs="Arial" w:eastAsia="Arial" w:hAnsi="Arial"/>
                <w:sz w:val="18"/>
                <w:szCs w:val="18"/>
                <w:color w:val="auto"/>
              </w:rPr>
              <w:t>June 29,</w:t>
            </w: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June 23,</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vMerge w:val="continue"/>
          </w:tcPr>
          <w:p>
            <w:pPr>
              <w:spacing w:after="0"/>
              <w:rPr>
                <w:sz w:val="21"/>
                <w:szCs w:val="21"/>
                <w:color w:val="auto"/>
              </w:rPr>
            </w:pPr>
          </w:p>
        </w:tc>
        <w:tc>
          <w:tcPr>
            <w:tcW w:w="23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2025</w:t>
            </w: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2024</w:t>
            </w:r>
          </w:p>
        </w:tc>
        <w:tc>
          <w:tcPr>
            <w:tcW w:w="20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180"/>
              <w:spacing w:after="0"/>
              <w:rPr>
                <w:sz w:val="20"/>
                <w:szCs w:val="20"/>
                <w:color w:val="auto"/>
              </w:rPr>
            </w:pPr>
            <w:r>
              <w:rPr>
                <w:rFonts w:ascii="Arial" w:cs="Arial" w:eastAsia="Arial" w:hAnsi="Arial"/>
                <w:sz w:val="18"/>
                <w:szCs w:val="18"/>
                <w:color w:val="auto"/>
              </w:rPr>
              <w:t>Print advertising revenue</w:t>
            </w:r>
          </w:p>
        </w:tc>
        <w:tc>
          <w:tcPr>
            <w:tcW w:w="2360" w:type="dxa"/>
            <w:vAlign w:val="bottom"/>
          </w:tcPr>
          <w:p>
            <w:pPr>
              <w:jc w:val="right"/>
              <w:ind w:right="850"/>
              <w:spacing w:after="0"/>
              <w:rPr>
                <w:sz w:val="20"/>
                <w:szCs w:val="20"/>
                <w:color w:val="auto"/>
              </w:rPr>
            </w:pPr>
            <w:r>
              <w:rPr>
                <w:rFonts w:ascii="Arial" w:cs="Arial" w:eastAsia="Arial" w:hAnsi="Arial"/>
                <w:sz w:val="18"/>
                <w:szCs w:val="18"/>
                <w:color w:val="auto"/>
              </w:rPr>
              <w:t>17,474</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18,941</w:t>
            </w:r>
          </w:p>
        </w:tc>
        <w:tc>
          <w:tcPr>
            <w:tcW w:w="2040" w:type="dxa"/>
            <w:vAlign w:val="bottom"/>
          </w:tcPr>
          <w:p>
            <w:pPr>
              <w:jc w:val="right"/>
              <w:ind w:right="810"/>
              <w:spacing w:after="0"/>
              <w:rPr>
                <w:sz w:val="20"/>
                <w:szCs w:val="20"/>
                <w:color w:val="auto"/>
              </w:rPr>
            </w:pPr>
            <w:r>
              <w:rPr>
                <w:rFonts w:ascii="Arial" w:cs="Arial" w:eastAsia="Arial" w:hAnsi="Arial"/>
                <w:sz w:val="18"/>
                <w:szCs w:val="18"/>
                <w:color w:val="auto"/>
              </w:rPr>
              <w:t>53,867</w:t>
            </w:r>
          </w:p>
        </w:tc>
        <w:tc>
          <w:tcPr>
            <w:tcW w:w="780" w:type="dxa"/>
            <w:vAlign w:val="bottom"/>
          </w:tcPr>
          <w:p>
            <w:pPr>
              <w:jc w:val="right"/>
              <w:spacing w:after="0"/>
              <w:rPr>
                <w:sz w:val="20"/>
                <w:szCs w:val="20"/>
                <w:color w:val="auto"/>
              </w:rPr>
            </w:pPr>
            <w:r>
              <w:rPr>
                <w:rFonts w:ascii="Arial" w:cs="Arial" w:eastAsia="Arial" w:hAnsi="Arial"/>
                <w:sz w:val="18"/>
                <w:szCs w:val="18"/>
                <w:color w:val="auto"/>
              </w:rPr>
              <w:t>62,118</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advertising revenue</w:t>
            </w:r>
          </w:p>
        </w:tc>
        <w:tc>
          <w:tcPr>
            <w:tcW w:w="23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49,097</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49,903</w:t>
            </w:r>
          </w:p>
        </w:tc>
        <w:tc>
          <w:tcPr>
            <w:tcW w:w="204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139,766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141,747</w:t>
            </w:r>
          </w:p>
        </w:tc>
        <w:tc>
          <w:tcPr>
            <w:tcW w:w="0" w:type="dxa"/>
            <w:vAlign w:val="bottom"/>
          </w:tcPr>
          <w:p>
            <w:pPr>
              <w:spacing w:after="0"/>
              <w:rPr>
                <w:sz w:val="1"/>
                <w:szCs w:val="1"/>
                <w:color w:val="auto"/>
              </w:rPr>
            </w:pPr>
          </w:p>
        </w:tc>
      </w:tr>
      <w:tr>
        <w:trPr>
          <w:trHeight w:val="169"/>
        </w:trPr>
        <w:tc>
          <w:tcPr>
            <w:tcW w:w="3480" w:type="dxa"/>
            <w:vAlign w:val="bottom"/>
          </w:tcPr>
          <w:p>
            <w:pPr>
              <w:ind w:left="20"/>
              <w:spacing w:after="0" w:line="169" w:lineRule="exact"/>
              <w:rPr>
                <w:sz w:val="20"/>
                <w:szCs w:val="20"/>
                <w:color w:val="auto"/>
              </w:rPr>
            </w:pPr>
            <w:r>
              <w:rPr>
                <w:rFonts w:ascii="Arial" w:cs="Arial" w:eastAsia="Arial" w:hAnsi="Arial"/>
                <w:sz w:val="18"/>
                <w:szCs w:val="18"/>
                <w:color w:val="auto"/>
              </w:rPr>
              <w:t>Advertising and marketing services</w:t>
            </w:r>
          </w:p>
        </w:tc>
        <w:tc>
          <w:tcPr>
            <w:tcW w:w="2360" w:type="dxa"/>
            <w:vAlign w:val="bottom"/>
            <w:vMerge w:val="restart"/>
          </w:tcPr>
          <w:p>
            <w:pPr>
              <w:jc w:val="right"/>
              <w:ind w:right="850"/>
              <w:spacing w:after="0"/>
              <w:rPr>
                <w:sz w:val="20"/>
                <w:szCs w:val="20"/>
                <w:color w:val="auto"/>
              </w:rPr>
            </w:pPr>
            <w:r>
              <w:rPr>
                <w:rFonts w:ascii="Arial" w:cs="Arial" w:eastAsia="Arial" w:hAnsi="Arial"/>
                <w:sz w:val="18"/>
                <w:szCs w:val="18"/>
                <w:color w:val="auto"/>
              </w:rPr>
              <w:t>66,571</w:t>
            </w:r>
          </w:p>
        </w:tc>
        <w:tc>
          <w:tcPr>
            <w:tcW w:w="1140" w:type="dxa"/>
            <w:vAlign w:val="bottom"/>
            <w:vMerge w:val="restart"/>
          </w:tcPr>
          <w:p>
            <w:pPr>
              <w:jc w:val="right"/>
              <w:ind w:right="390"/>
              <w:spacing w:after="0"/>
              <w:rPr>
                <w:sz w:val="20"/>
                <w:szCs w:val="20"/>
                <w:color w:val="auto"/>
              </w:rPr>
            </w:pPr>
            <w:r>
              <w:rPr>
                <w:rFonts w:ascii="Arial" w:cs="Arial" w:eastAsia="Arial" w:hAnsi="Arial"/>
                <w:sz w:val="18"/>
                <w:szCs w:val="18"/>
                <w:color w:val="auto"/>
              </w:rPr>
              <w:t>68,844</w:t>
            </w:r>
          </w:p>
        </w:tc>
        <w:tc>
          <w:tcPr>
            <w:tcW w:w="2040" w:type="dxa"/>
            <w:vAlign w:val="bottom"/>
            <w:vMerge w:val="restart"/>
          </w:tcPr>
          <w:p>
            <w:pPr>
              <w:jc w:val="right"/>
              <w:ind w:right="810"/>
              <w:spacing w:after="0"/>
              <w:rPr>
                <w:sz w:val="20"/>
                <w:szCs w:val="20"/>
                <w:color w:val="auto"/>
              </w:rPr>
            </w:pPr>
            <w:r>
              <w:rPr>
                <w:rFonts w:ascii="Arial" w:cs="Arial" w:eastAsia="Arial" w:hAnsi="Arial"/>
                <w:sz w:val="18"/>
                <w:szCs w:val="18"/>
                <w:color w:val="auto"/>
              </w:rPr>
              <w:t>193,633</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203,865</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236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2040" w:type="dxa"/>
            <w:vAlign w:val="bottom"/>
            <w:tcBorders>
              <w:bottom w:val="single" w:sz="8" w:color="auto"/>
            </w:tcBorders>
            <w:vMerge w:val="continue"/>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Print subscription revenue</w:t>
            </w:r>
          </w:p>
        </w:tc>
        <w:tc>
          <w:tcPr>
            <w:tcW w:w="23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38,076</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47,605</w:t>
            </w:r>
          </w:p>
        </w:tc>
        <w:tc>
          <w:tcPr>
            <w:tcW w:w="20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122,587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148,443</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Digital subscription revenue</w:t>
            </w:r>
          </w:p>
        </w:tc>
        <w:tc>
          <w:tcPr>
            <w:tcW w:w="23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23,482</w:t>
            </w: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20,701</w:t>
            </w:r>
          </w:p>
        </w:tc>
        <w:tc>
          <w:tcPr>
            <w:tcW w:w="20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68,836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60,429</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3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61,558</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68,306</w:t>
            </w:r>
          </w:p>
        </w:tc>
        <w:tc>
          <w:tcPr>
            <w:tcW w:w="204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191,423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208,872</w:t>
            </w:r>
          </w:p>
        </w:tc>
        <w:tc>
          <w:tcPr>
            <w:tcW w:w="0" w:type="dxa"/>
            <w:vAlign w:val="bottom"/>
          </w:tcPr>
          <w:p>
            <w:pPr>
              <w:spacing w:after="0"/>
              <w:rPr>
                <w:sz w:val="1"/>
                <w:szCs w:val="1"/>
                <w:color w:val="auto"/>
              </w:rPr>
            </w:pPr>
          </w:p>
        </w:tc>
      </w:tr>
      <w:tr>
        <w:trPr>
          <w:trHeight w:val="223"/>
        </w:trPr>
        <w:tc>
          <w:tcPr>
            <w:tcW w:w="3480" w:type="dxa"/>
            <w:vAlign w:val="bottom"/>
          </w:tcPr>
          <w:p>
            <w:pPr>
              <w:ind w:left="180"/>
              <w:spacing w:after="0"/>
              <w:rPr>
                <w:sz w:val="20"/>
                <w:szCs w:val="20"/>
                <w:color w:val="auto"/>
              </w:rPr>
            </w:pPr>
            <w:r>
              <w:rPr>
                <w:rFonts w:ascii="Arial" w:cs="Arial" w:eastAsia="Arial" w:hAnsi="Arial"/>
                <w:sz w:val="18"/>
                <w:szCs w:val="18"/>
                <w:color w:val="auto"/>
              </w:rPr>
              <w:t>Print other revenue</w:t>
            </w:r>
          </w:p>
        </w:tc>
        <w:tc>
          <w:tcPr>
            <w:tcW w:w="2360" w:type="dxa"/>
            <w:vAlign w:val="bottom"/>
          </w:tcPr>
          <w:p>
            <w:pPr>
              <w:jc w:val="right"/>
              <w:ind w:right="850"/>
              <w:spacing w:after="0"/>
              <w:rPr>
                <w:sz w:val="20"/>
                <w:szCs w:val="20"/>
                <w:color w:val="auto"/>
              </w:rPr>
            </w:pPr>
            <w:r>
              <w:rPr>
                <w:rFonts w:ascii="Arial" w:cs="Arial" w:eastAsia="Arial" w:hAnsi="Arial"/>
                <w:sz w:val="18"/>
                <w:szCs w:val="18"/>
                <w:color w:val="auto"/>
              </w:rPr>
              <w:t>7,837</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8,278</w:t>
            </w:r>
          </w:p>
        </w:tc>
        <w:tc>
          <w:tcPr>
            <w:tcW w:w="2040" w:type="dxa"/>
            <w:vAlign w:val="bottom"/>
          </w:tcPr>
          <w:p>
            <w:pPr>
              <w:jc w:val="right"/>
              <w:ind w:right="810"/>
              <w:spacing w:after="0"/>
              <w:rPr>
                <w:sz w:val="20"/>
                <w:szCs w:val="20"/>
                <w:color w:val="auto"/>
              </w:rPr>
            </w:pPr>
            <w:r>
              <w:rPr>
                <w:rFonts w:ascii="Arial" w:cs="Arial" w:eastAsia="Arial" w:hAnsi="Arial"/>
                <w:sz w:val="18"/>
                <w:szCs w:val="18"/>
                <w:color w:val="auto"/>
              </w:rPr>
              <w:t>22,938</w:t>
            </w:r>
          </w:p>
        </w:tc>
        <w:tc>
          <w:tcPr>
            <w:tcW w:w="780" w:type="dxa"/>
            <w:vAlign w:val="bottom"/>
          </w:tcPr>
          <w:p>
            <w:pPr>
              <w:jc w:val="right"/>
              <w:spacing w:after="0"/>
              <w:rPr>
                <w:sz w:val="20"/>
                <w:szCs w:val="20"/>
                <w:color w:val="auto"/>
              </w:rPr>
            </w:pPr>
            <w:r>
              <w:rPr>
                <w:rFonts w:ascii="Arial" w:cs="Arial" w:eastAsia="Arial" w:hAnsi="Arial"/>
                <w:sz w:val="18"/>
                <w:szCs w:val="18"/>
                <w:color w:val="auto"/>
              </w:rPr>
              <w:t>24,839</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other revenue</w:t>
            </w:r>
          </w:p>
        </w:tc>
        <w:tc>
          <w:tcPr>
            <w:tcW w:w="23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5,328</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5,150</w:t>
            </w:r>
          </w:p>
        </w:tc>
        <w:tc>
          <w:tcPr>
            <w:tcW w:w="204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15,241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15,230</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3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13,165</w:t>
            </w: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13,428</w:t>
            </w:r>
          </w:p>
        </w:tc>
        <w:tc>
          <w:tcPr>
            <w:tcW w:w="20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38,179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40,069</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3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141,294</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8"/>
              </w:rPr>
              <w:t>150,578</w:t>
            </w:r>
          </w:p>
        </w:tc>
        <w:tc>
          <w:tcPr>
            <w:tcW w:w="204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423,235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452,806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30"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The Company’s primary source of contract liabilities is unearned revenue from subscriptions paid in advance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service provided. The Company expects to recognize the revenue related to unsatisfied performance obligations over the next twelve months in accordance with the terms of the subscriptions and other contracts with customers. Revenue recognized in the nine months ended June 29, 2025, that was included in the contract liability as of September 29, 2024, was $28.2 million.</w:t>
      </w:r>
    </w:p>
    <w:p>
      <w:pPr>
        <w:spacing w:after="0" w:line="13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Accounts receivable, excluding allowance for credit losses was $62.1 million and $67.2 million as of June 29, 2025, and September 29, 2024</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Allowance for credit losses was $5.0 million and $6.5 million as of June 29, 2025, and September 29, 2024</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Valuation and qualifying account information related to the allowance for credit losses related to continuing operations is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45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440" w:type="dxa"/>
            <w:vAlign w:val="bottom"/>
            <w:tcBorders>
              <w:top w:val="single" w:sz="8" w:color="auto"/>
            </w:tcBorders>
          </w:tcPr>
          <w:p>
            <w:pPr>
              <w:jc w:val="right"/>
              <w:ind w:right="510"/>
              <w:spacing w:after="0" w:line="189" w:lineRule="exact"/>
              <w:rPr>
                <w:sz w:val="20"/>
                <w:szCs w:val="20"/>
                <w:color w:val="auto"/>
              </w:rPr>
            </w:pPr>
            <w:r>
              <w:rPr>
                <w:rFonts w:ascii="Arial" w:cs="Arial" w:eastAsia="Arial" w:hAnsi="Arial"/>
                <w:sz w:val="18"/>
                <w:szCs w:val="18"/>
                <w:color w:val="auto"/>
              </w:rPr>
              <w:t>June 29,</w:t>
            </w:r>
          </w:p>
        </w:tc>
        <w:tc>
          <w:tcPr>
            <w:tcW w:w="18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41"/>
        </w:trPr>
        <w:tc>
          <w:tcPr>
            <w:tcW w:w="4540" w:type="dxa"/>
            <w:vAlign w:val="bottom"/>
            <w:tcBorders>
              <w:bottom w:val="single" w:sz="8" w:color="auto"/>
            </w:tcBorders>
            <w:vMerge w:val="continue"/>
          </w:tcPr>
          <w:p>
            <w:pPr>
              <w:spacing w:after="0"/>
              <w:rPr>
                <w:sz w:val="20"/>
                <w:szCs w:val="20"/>
                <w:color w:val="auto"/>
              </w:rPr>
            </w:pPr>
          </w:p>
        </w:tc>
        <w:tc>
          <w:tcPr>
            <w:tcW w:w="3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2025</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2"/>
        </w:trPr>
        <w:tc>
          <w:tcPr>
            <w:tcW w:w="45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4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6,514</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52"/>
        </w:trPr>
        <w:tc>
          <w:tcPr>
            <w:tcW w:w="454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3440" w:type="dxa"/>
            <w:vAlign w:val="bottom"/>
          </w:tcPr>
          <w:p>
            <w:pPr>
              <w:jc w:val="right"/>
              <w:ind w:right="570"/>
              <w:spacing w:after="0"/>
              <w:rPr>
                <w:sz w:val="20"/>
                <w:szCs w:val="20"/>
                <w:color w:val="auto"/>
              </w:rPr>
            </w:pPr>
            <w:r>
              <w:rPr>
                <w:rFonts w:ascii="Arial" w:cs="Arial" w:eastAsia="Arial" w:hAnsi="Arial"/>
                <w:sz w:val="18"/>
                <w:szCs w:val="18"/>
                <w:color w:val="auto"/>
              </w:rPr>
              <w:t>10,853</w:t>
            </w:r>
          </w:p>
        </w:tc>
        <w:tc>
          <w:tcPr>
            <w:tcW w:w="1820" w:type="dxa"/>
            <w:vAlign w:val="bottom"/>
          </w:tcPr>
          <w:p>
            <w:pPr>
              <w:jc w:val="right"/>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256"/>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Deductions from reserves</w:t>
            </w:r>
          </w:p>
        </w:tc>
        <w:tc>
          <w:tcPr>
            <w:tcW w:w="34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(12,370)</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period</w:t>
            </w:r>
          </w:p>
        </w:tc>
        <w:tc>
          <w:tcPr>
            <w:tcW w:w="3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4,997</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Sales commissions are expensed as incurred as the associated contractual periods are one year or less. These costs are recorded within "Compensation" on the Consolidated Statements of Loss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Comprehensive Loss. Most of our contracts have original expected lengths of one year or less and revenue is earned at a rate and amount that corresponds directly with the value to the customer.</w:t>
      </w:r>
    </w:p>
    <w:p>
      <w:pPr>
        <w:spacing w:after="0" w:line="126" w:lineRule="exact"/>
        <w:rPr>
          <w:sz w:val="20"/>
          <w:szCs w:val="20"/>
          <w:color w:val="auto"/>
        </w:rPr>
      </w:pPr>
    </w:p>
    <w:p>
      <w:pPr>
        <w:ind w:left="660" w:right="7080" w:hanging="652"/>
        <w:spacing w:after="0" w:line="453" w:lineRule="auto"/>
        <w:tabs>
          <w:tab w:leader="none" w:pos="31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spacing w:after="0" w:line="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Gannett Co., Inc.'s subsidiary Citizen Publishing Company (“Citizen”),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 to the partnership's operations and publication of the newspaper and other media.</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or loss of TNI (before income taxes) is allocated equally to Star Publishing and Citizen.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TNI are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3220" w:type="dxa"/>
            <w:vAlign w:val="bottom"/>
            <w:tcBorders>
              <w:top w:val="single" w:sz="8" w:color="auto"/>
              <w:bottom w:val="single" w:sz="8" w:color="auto"/>
            </w:tcBorders>
          </w:tcPr>
          <w:p>
            <w:pPr>
              <w:spacing w:after="0"/>
              <w:rPr>
                <w:sz w:val="21"/>
                <w:szCs w:val="21"/>
                <w:color w:val="auto"/>
              </w:rPr>
            </w:pPr>
          </w:p>
        </w:tc>
        <w:tc>
          <w:tcPr>
            <w:tcW w:w="3940" w:type="dxa"/>
            <w:vAlign w:val="bottom"/>
            <w:tcBorders>
              <w:top w:val="single" w:sz="8" w:color="auto"/>
              <w:bottom w:val="single" w:sz="8" w:color="auto"/>
            </w:tcBorders>
            <w:gridSpan w:val="2"/>
          </w:tcPr>
          <w:p>
            <w:pPr>
              <w:jc w:val="right"/>
              <w:ind w:right="930"/>
              <w:spacing w:after="0"/>
              <w:rPr>
                <w:sz w:val="20"/>
                <w:szCs w:val="20"/>
                <w:color w:val="auto"/>
              </w:rPr>
            </w:pPr>
            <w:r>
              <w:rPr>
                <w:rFonts w:ascii="Arial" w:cs="Arial" w:eastAsia="Arial" w:hAnsi="Arial"/>
                <w:sz w:val="18"/>
                <w:szCs w:val="18"/>
                <w:color w:val="auto"/>
              </w:rPr>
              <w:t>Three months ended</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Nine months ended</w:t>
            </w:r>
          </w:p>
        </w:tc>
        <w:tc>
          <w:tcPr>
            <w:tcW w:w="7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3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460" w:type="dxa"/>
            <w:vAlign w:val="bottom"/>
          </w:tcPr>
          <w:p>
            <w:pPr>
              <w:jc w:val="right"/>
              <w:ind w:right="310"/>
              <w:spacing w:after="0" w:line="177" w:lineRule="exact"/>
              <w:rPr>
                <w:sz w:val="20"/>
                <w:szCs w:val="20"/>
                <w:color w:val="auto"/>
              </w:rPr>
            </w:pPr>
            <w:r>
              <w:rPr>
                <w:rFonts w:ascii="Arial" w:cs="Arial" w:eastAsia="Arial" w:hAnsi="Arial"/>
                <w:sz w:val="18"/>
                <w:szCs w:val="18"/>
                <w:color w:val="auto"/>
              </w:rPr>
              <w:t>June 29,</w:t>
            </w:r>
          </w:p>
        </w:tc>
        <w:tc>
          <w:tcPr>
            <w:tcW w:w="1480" w:type="dxa"/>
            <w:vAlign w:val="bottom"/>
          </w:tcPr>
          <w:p>
            <w:pPr>
              <w:jc w:val="right"/>
              <w:ind w:right="290"/>
              <w:spacing w:after="0" w:line="177" w:lineRule="exact"/>
              <w:rPr>
                <w:sz w:val="20"/>
                <w:szCs w:val="20"/>
                <w:color w:val="auto"/>
              </w:rPr>
            </w:pPr>
            <w:r>
              <w:rPr>
                <w:rFonts w:ascii="Arial" w:cs="Arial" w:eastAsia="Arial" w:hAnsi="Arial"/>
                <w:sz w:val="18"/>
                <w:szCs w:val="18"/>
                <w:color w:val="auto"/>
              </w:rPr>
              <w:t>June 23,</w:t>
            </w:r>
          </w:p>
        </w:tc>
        <w:tc>
          <w:tcPr>
            <w:tcW w:w="1920" w:type="dxa"/>
            <w:vAlign w:val="bottom"/>
          </w:tcPr>
          <w:p>
            <w:pPr>
              <w:jc w:val="right"/>
              <w:ind w:right="710"/>
              <w:spacing w:after="0" w:line="177" w:lineRule="exact"/>
              <w:rPr>
                <w:sz w:val="20"/>
                <w:szCs w:val="20"/>
                <w:color w:val="auto"/>
              </w:rPr>
            </w:pPr>
            <w:r>
              <w:rPr>
                <w:rFonts w:ascii="Arial" w:cs="Arial" w:eastAsia="Arial" w:hAnsi="Arial"/>
                <w:sz w:val="18"/>
                <w:szCs w:val="18"/>
                <w:color w:val="auto"/>
              </w:rPr>
              <w:t>June 29,</w:t>
            </w: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w w:val="98"/>
              </w:rPr>
              <w:t>June 23,</w:t>
            </w:r>
          </w:p>
        </w:tc>
        <w:tc>
          <w:tcPr>
            <w:tcW w:w="0" w:type="dxa"/>
            <w:vAlign w:val="bottom"/>
          </w:tcPr>
          <w:p>
            <w:pPr>
              <w:spacing w:after="0"/>
              <w:rPr>
                <w:sz w:val="1"/>
                <w:szCs w:val="1"/>
                <w:color w:val="auto"/>
              </w:rPr>
            </w:pPr>
          </w:p>
        </w:tc>
      </w:tr>
      <w:tr>
        <w:trPr>
          <w:trHeight w:val="235"/>
        </w:trPr>
        <w:tc>
          <w:tcPr>
            <w:tcW w:w="3220" w:type="dxa"/>
            <w:vAlign w:val="bottom"/>
            <w:tcBorders>
              <w:bottom w:val="single" w:sz="8" w:color="auto"/>
            </w:tcBorders>
            <w:vMerge w:val="continue"/>
          </w:tcPr>
          <w:p>
            <w:pPr>
              <w:spacing w:after="0"/>
              <w:rPr>
                <w:sz w:val="20"/>
                <w:szCs w:val="20"/>
                <w:color w:val="auto"/>
              </w:rPr>
            </w:pPr>
          </w:p>
        </w:tc>
        <w:tc>
          <w:tcPr>
            <w:tcW w:w="24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w:t>
            </w:r>
          </w:p>
        </w:tc>
        <w:tc>
          <w:tcPr>
            <w:tcW w:w="1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5,320</w:t>
            </w:r>
          </w:p>
        </w:tc>
        <w:tc>
          <w:tcPr>
            <w:tcW w:w="14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6,667</w:t>
            </w:r>
          </w:p>
        </w:tc>
        <w:tc>
          <w:tcPr>
            <w:tcW w:w="19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17,609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21,018</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2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3,764</w:t>
            </w: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5,076</w:t>
            </w:r>
          </w:p>
        </w:tc>
        <w:tc>
          <w:tcPr>
            <w:tcW w:w="19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13,050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15,207</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1,556</w:t>
            </w:r>
          </w:p>
        </w:tc>
        <w:tc>
          <w:tcPr>
            <w:tcW w:w="14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1,591</w:t>
            </w:r>
          </w:p>
        </w:tc>
        <w:tc>
          <w:tcPr>
            <w:tcW w:w="19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4,559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246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1,529</w:t>
            </w:r>
          </w:p>
        </w:tc>
        <w:tc>
          <w:tcPr>
            <w:tcW w:w="14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1,544</w:t>
            </w:r>
          </w:p>
        </w:tc>
        <w:tc>
          <w:tcPr>
            <w:tcW w:w="1920" w:type="dxa"/>
            <w:vAlign w:val="bottom"/>
            <w:tcBorders>
              <w:bottom w:val="single" w:sz="8" w:color="auto"/>
            </w:tcBorders>
          </w:tcPr>
          <w:p>
            <w:pPr>
              <w:jc w:val="right"/>
              <w:ind w:right="770"/>
              <w:spacing w:after="0" w:line="203" w:lineRule="exact"/>
              <w:rPr>
                <w:sz w:val="20"/>
                <w:szCs w:val="20"/>
                <w:color w:val="auto"/>
              </w:rPr>
            </w:pPr>
            <w:r>
              <w:rPr>
                <w:rFonts w:ascii="Arial" w:cs="Arial" w:eastAsia="Arial" w:hAnsi="Arial"/>
                <w:sz w:val="18"/>
                <w:szCs w:val="18"/>
                <w:color w:val="auto"/>
              </w:rPr>
              <w:t>4,596</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TNI</w:t>
            </w:r>
          </w:p>
        </w:tc>
        <w:tc>
          <w:tcPr>
            <w:tcW w:w="24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765</w:t>
            </w:r>
          </w:p>
        </w:tc>
        <w:tc>
          <w:tcPr>
            <w:tcW w:w="14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772</w:t>
            </w:r>
          </w:p>
        </w:tc>
        <w:tc>
          <w:tcPr>
            <w:tcW w:w="19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2,298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TNI makes periodic distributions of its earnings and for the three months ended June 29, 2025, and June 23, 2024, we received $0.7 million and $0.6 million in distributions, respectively. In the nine months ended June 29, 2025 and June 23, 2024, we received $2.4 million and $2.7 million in distributions, respectively.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000" w:type="dxa"/>
            <w:vAlign w:val="bottom"/>
            <w:tcBorders>
              <w:top w:val="single" w:sz="8" w:color="auto"/>
              <w:bottom w:val="single" w:sz="8" w:color="auto"/>
            </w:tcBorders>
          </w:tcPr>
          <w:p>
            <w:pPr>
              <w:spacing w:after="0"/>
              <w:rPr>
                <w:sz w:val="21"/>
                <w:szCs w:val="21"/>
                <w:color w:val="auto"/>
              </w:rPr>
            </w:pPr>
          </w:p>
        </w:tc>
        <w:tc>
          <w:tcPr>
            <w:tcW w:w="3160" w:type="dxa"/>
            <w:vAlign w:val="bottom"/>
            <w:tcBorders>
              <w:top w:val="single" w:sz="8" w:color="auto"/>
              <w:bottom w:val="single" w:sz="8" w:color="auto"/>
            </w:tcBorders>
            <w:gridSpan w:val="2"/>
          </w:tcPr>
          <w:p>
            <w:pPr>
              <w:jc w:val="right"/>
              <w:ind w:right="930"/>
              <w:spacing w:after="0"/>
              <w:rPr>
                <w:sz w:val="20"/>
                <w:szCs w:val="20"/>
                <w:color w:val="auto"/>
              </w:rPr>
            </w:pPr>
            <w:r>
              <w:rPr>
                <w:rFonts w:ascii="Arial" w:cs="Arial" w:eastAsia="Arial" w:hAnsi="Arial"/>
                <w:sz w:val="18"/>
                <w:szCs w:val="18"/>
                <w:color w:val="auto"/>
              </w:rPr>
              <w:t>Three months ended</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Nine months ended</w:t>
            </w:r>
          </w:p>
        </w:tc>
        <w:tc>
          <w:tcPr>
            <w:tcW w:w="7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80" w:type="dxa"/>
            <w:vAlign w:val="bottom"/>
          </w:tcPr>
          <w:p>
            <w:pPr>
              <w:jc w:val="right"/>
              <w:ind w:right="310"/>
              <w:spacing w:after="0" w:line="169" w:lineRule="exact"/>
              <w:rPr>
                <w:sz w:val="20"/>
                <w:szCs w:val="20"/>
                <w:color w:val="auto"/>
              </w:rPr>
            </w:pPr>
            <w:r>
              <w:rPr>
                <w:rFonts w:ascii="Arial" w:cs="Arial" w:eastAsia="Arial" w:hAnsi="Arial"/>
                <w:sz w:val="18"/>
                <w:szCs w:val="18"/>
                <w:color w:val="auto"/>
              </w:rPr>
              <w:t>June 29,</w:t>
            </w:r>
          </w:p>
        </w:tc>
        <w:tc>
          <w:tcPr>
            <w:tcW w:w="148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June 23,</w:t>
            </w:r>
          </w:p>
        </w:tc>
        <w:tc>
          <w:tcPr>
            <w:tcW w:w="1920" w:type="dxa"/>
            <w:vAlign w:val="bottom"/>
          </w:tcPr>
          <w:p>
            <w:pPr>
              <w:jc w:val="right"/>
              <w:ind w:right="710"/>
              <w:spacing w:after="0" w:line="169" w:lineRule="exact"/>
              <w:rPr>
                <w:sz w:val="20"/>
                <w:szCs w:val="20"/>
                <w:color w:val="auto"/>
              </w:rPr>
            </w:pPr>
            <w:r>
              <w:rPr>
                <w:rFonts w:ascii="Arial" w:cs="Arial" w:eastAsia="Arial" w:hAnsi="Arial"/>
                <w:sz w:val="18"/>
                <w:szCs w:val="18"/>
                <w:color w:val="auto"/>
              </w:rPr>
              <w:t>June 29,</w:t>
            </w: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w w:val="98"/>
              </w:rPr>
              <w:t>June 23,</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vMerge w:val="continue"/>
          </w:tcPr>
          <w:p>
            <w:pPr>
              <w:spacing w:after="0"/>
              <w:rPr>
                <w:sz w:val="21"/>
                <w:szCs w:val="21"/>
                <w:color w:val="auto"/>
              </w:rPr>
            </w:pPr>
          </w:p>
        </w:tc>
        <w:tc>
          <w:tcPr>
            <w:tcW w:w="1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w:t>
            </w:r>
          </w:p>
        </w:tc>
        <w:tc>
          <w:tcPr>
            <w:tcW w:w="1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9,136</w:t>
            </w:r>
          </w:p>
        </w:tc>
        <w:tc>
          <w:tcPr>
            <w:tcW w:w="14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10,136</w:t>
            </w:r>
          </w:p>
        </w:tc>
        <w:tc>
          <w:tcPr>
            <w:tcW w:w="19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27,974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30,560</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 excluding restructuring</w:t>
            </w:r>
          </w:p>
        </w:tc>
        <w:tc>
          <w:tcPr>
            <w:tcW w:w="1680" w:type="dxa"/>
            <w:vAlign w:val="bottom"/>
            <w:vMerge w:val="restart"/>
          </w:tcPr>
          <w:p>
            <w:pPr>
              <w:jc w:val="right"/>
              <w:ind w:right="370"/>
              <w:spacing w:after="0"/>
              <w:rPr>
                <w:sz w:val="20"/>
                <w:szCs w:val="20"/>
                <w:color w:val="auto"/>
              </w:rPr>
            </w:pPr>
            <w:r>
              <w:rPr>
                <w:rFonts w:ascii="Arial" w:cs="Arial" w:eastAsia="Arial" w:hAnsi="Arial"/>
                <w:sz w:val="18"/>
                <w:szCs w:val="18"/>
                <w:color w:val="auto"/>
              </w:rPr>
              <w:t>7,252</w:t>
            </w:r>
          </w:p>
        </w:tc>
        <w:tc>
          <w:tcPr>
            <w:tcW w:w="1480" w:type="dxa"/>
            <w:vAlign w:val="bottom"/>
            <w:vMerge w:val="restart"/>
          </w:tcPr>
          <w:p>
            <w:pPr>
              <w:jc w:val="right"/>
              <w:ind w:right="350"/>
              <w:spacing w:after="0"/>
              <w:rPr>
                <w:sz w:val="20"/>
                <w:szCs w:val="20"/>
                <w:color w:val="auto"/>
              </w:rPr>
            </w:pPr>
            <w:r>
              <w:rPr>
                <w:rFonts w:ascii="Arial" w:cs="Arial" w:eastAsia="Arial" w:hAnsi="Arial"/>
                <w:sz w:val="18"/>
                <w:szCs w:val="18"/>
                <w:color w:val="auto"/>
              </w:rPr>
              <w:t>7,829</w:t>
            </w:r>
          </w:p>
        </w:tc>
        <w:tc>
          <w:tcPr>
            <w:tcW w:w="1920" w:type="dxa"/>
            <w:vAlign w:val="bottom"/>
            <w:vMerge w:val="restart"/>
          </w:tcPr>
          <w:p>
            <w:pPr>
              <w:jc w:val="right"/>
              <w:ind w:right="770"/>
              <w:spacing w:after="0"/>
              <w:rPr>
                <w:sz w:val="20"/>
                <w:szCs w:val="20"/>
                <w:color w:val="auto"/>
              </w:rPr>
            </w:pPr>
            <w:r>
              <w:rPr>
                <w:rFonts w:ascii="Arial" w:cs="Arial" w:eastAsia="Arial" w:hAnsi="Arial"/>
                <w:sz w:val="18"/>
                <w:szCs w:val="18"/>
                <w:color w:val="auto"/>
              </w:rPr>
              <w:t>21,720</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23,275</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costs, depreciation and amortization</w:t>
            </w:r>
          </w:p>
        </w:tc>
        <w:tc>
          <w:tcPr>
            <w:tcW w:w="168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192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95</w:t>
            </w:r>
          </w:p>
        </w:tc>
        <w:tc>
          <w:tcPr>
            <w:tcW w:w="14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w:t>
            </w:r>
          </w:p>
        </w:tc>
        <w:tc>
          <w:tcPr>
            <w:tcW w:w="19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118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89</w:t>
            </w: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121</w:t>
            </w:r>
          </w:p>
        </w:tc>
        <w:tc>
          <w:tcPr>
            <w:tcW w:w="19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269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1,700</w:t>
            </w:r>
          </w:p>
        </w:tc>
        <w:tc>
          <w:tcPr>
            <w:tcW w:w="14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2,182</w:t>
            </w:r>
          </w:p>
        </w:tc>
        <w:tc>
          <w:tcPr>
            <w:tcW w:w="19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5,867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16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(157)</w:t>
            </w:r>
          </w:p>
        </w:tc>
        <w:tc>
          <w:tcPr>
            <w:tcW w:w="14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699</w:t>
            </w:r>
          </w:p>
        </w:tc>
        <w:tc>
          <w:tcPr>
            <w:tcW w:w="1920" w:type="dxa"/>
            <w:vAlign w:val="bottom"/>
            <w:tcBorders>
              <w:bottom w:val="single" w:sz="8" w:color="auto"/>
            </w:tcBorders>
          </w:tcPr>
          <w:p>
            <w:pPr>
              <w:jc w:val="right"/>
              <w:ind w:right="770"/>
              <w:spacing w:after="0" w:line="203" w:lineRule="exact"/>
              <w:rPr>
                <w:sz w:val="20"/>
                <w:szCs w:val="20"/>
                <w:color w:val="auto"/>
              </w:rPr>
            </w:pPr>
            <w:r>
              <w:rPr>
                <w:rFonts w:ascii="Arial" w:cs="Arial" w:eastAsia="Arial" w:hAnsi="Arial"/>
                <w:sz w:val="18"/>
                <w:szCs w:val="18"/>
                <w:color w:val="auto"/>
              </w:rPr>
              <w:t>1,330</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MNI</w:t>
            </w:r>
          </w:p>
        </w:tc>
        <w:tc>
          <w:tcPr>
            <w:tcW w:w="1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(79)</w:t>
            </w:r>
          </w:p>
        </w:tc>
        <w:tc>
          <w:tcPr>
            <w:tcW w:w="14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350</w:t>
            </w:r>
          </w:p>
        </w:tc>
        <w:tc>
          <w:tcPr>
            <w:tcW w:w="19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665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MNI makes periodic distributions of its earnings and in the three months ended June 29, 2025 and June 23, 2024, we received zero and $0.4 million in distributions, respectively. In the nine months ended June 29, 2025 and June 23, 2024, we received distributions of $0.9 million and $1.0 million, respectively.</w:t>
      </w:r>
    </w:p>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GOODWILL AND OTHER INTANGIBLE ASSETS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and identified intangible assets consist of the following:</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4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940" w:type="dxa"/>
            <w:vAlign w:val="bottom"/>
            <w:tcBorders>
              <w:top w:val="single" w:sz="8" w:color="auto"/>
            </w:tcBorders>
          </w:tcPr>
          <w:p>
            <w:pPr>
              <w:jc w:val="right"/>
              <w:ind w:right="110"/>
              <w:spacing w:after="0" w:line="189" w:lineRule="exact"/>
              <w:rPr>
                <w:sz w:val="20"/>
                <w:szCs w:val="20"/>
                <w:color w:val="auto"/>
              </w:rPr>
            </w:pPr>
            <w:r>
              <w:rPr>
                <w:rFonts w:ascii="Arial" w:cs="Arial" w:eastAsia="Arial" w:hAnsi="Arial"/>
                <w:sz w:val="18"/>
                <w:szCs w:val="18"/>
                <w:color w:val="auto"/>
              </w:rPr>
              <w:t>June 29,</w:t>
            </w:r>
          </w:p>
        </w:tc>
        <w:tc>
          <w:tcPr>
            <w:tcW w:w="1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auto"/>
            </w:tcBorders>
            <w:vMerge w:val="continue"/>
          </w:tcPr>
          <w:p>
            <w:pPr>
              <w:spacing w:after="0"/>
              <w:rPr>
                <w:sz w:val="21"/>
                <w:szCs w:val="21"/>
                <w:color w:val="auto"/>
              </w:rPr>
            </w:pPr>
          </w:p>
        </w:tc>
        <w:tc>
          <w:tcPr>
            <w:tcW w:w="2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period</w:t>
            </w:r>
          </w:p>
        </w:tc>
        <w:tc>
          <w:tcPr>
            <w:tcW w:w="2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328,040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329,504</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Allocated to sold operations</w:t>
            </w:r>
          </w:p>
        </w:tc>
        <w:tc>
          <w:tcPr>
            <w:tcW w:w="2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(4,182)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end of period</w:t>
            </w:r>
          </w:p>
        </w:tc>
        <w:tc>
          <w:tcPr>
            <w:tcW w:w="2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323,858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328,040</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2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Mastheads</w:t>
            </w:r>
          </w:p>
        </w:tc>
        <w:tc>
          <w:tcPr>
            <w:tcW w:w="2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10,917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2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and newspaper subscriber lists</w:t>
            </w:r>
          </w:p>
        </w:tc>
        <w:tc>
          <w:tcPr>
            <w:tcW w:w="2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262,146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262,242</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accumulated amortization</w:t>
            </w:r>
          </w:p>
        </w:tc>
        <w:tc>
          <w:tcPr>
            <w:tcW w:w="2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(212,156)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(203,084)</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49,990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59,158</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intangibles, net</w:t>
            </w:r>
          </w:p>
        </w:tc>
        <w:tc>
          <w:tcPr>
            <w:tcW w:w="2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384,765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398,115</w:t>
            </w:r>
          </w:p>
        </w:tc>
        <w:tc>
          <w:tcPr>
            <w:tcW w:w="0" w:type="dxa"/>
            <w:vAlign w:val="bottom"/>
          </w:tcPr>
          <w:p>
            <w:pPr>
              <w:spacing w:after="0"/>
              <w:rPr>
                <w:sz w:val="1"/>
                <w:szCs w:val="1"/>
                <w:color w:val="auto"/>
              </w:rPr>
            </w:pPr>
          </w:p>
        </w:tc>
      </w:tr>
      <w:tr>
        <w:trPr>
          <w:trHeight w:val="21"/>
        </w:trPr>
        <w:tc>
          <w:tcPr>
            <w:tcW w:w="54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for amortizable assets is approximately ten years.</w:t>
      </w:r>
    </w:p>
    <w:p>
      <w:pPr>
        <w:spacing w:after="0" w:line="18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During the nine months ended June 29, 2025, the Company sold non-core operations. Goodwill was allocated to these operations, which totaled $4.2 million.</w:t>
      </w:r>
    </w:p>
    <w:p>
      <w:pPr>
        <w:spacing w:after="0" w:line="200" w:lineRule="exact"/>
        <w:rPr>
          <w:sz w:val="20"/>
          <w:szCs w:val="20"/>
          <w:color w:val="auto"/>
        </w:rPr>
      </w:pPr>
    </w:p>
    <w:p>
      <w:pPr>
        <w:spacing w:after="0" w:line="344"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has debt consisting of a single 25-year term loan with BH Finance LLC, with an aggregate principal balance of $455.9 million at a 9% annual fixed rate and maturing on March 16, 2045 (referred to herein as “Credit Agreement” and “Term Loan”). On June 29, 2025, the fair value was $375.6 million, representing a Level 2 fair value measurement, which are fair values estimated using significant other observable inputs.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During the nine months ended June 29, 2025, Net Cash Proceeds, as defined in our Credit Agreement, from asset sales totaled $6.5 million. The Company made $1.4 million principal debt payments as a result of non-core asset sales, and the remaining net cash proceeds remain payable to BH Finance. Future payments are contingent on the Company's ability to generate future excess cash flow, as defined in the Credit Agreement. As of June 29, 2025, there was no excess cash flow payment due.</w:t>
      </w:r>
    </w:p>
    <w:p>
      <w:pPr>
        <w:spacing w:after="0" w:line="14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an effort to provide short-term liquidity to fund the Cyber Incident's remediation efforts and other operations, in February 2025, BH Finance LLC waived the current payment of the interest and BH Media Group, Inc. waived the lease payment due March 1, 2025. A similar waiver was provided for payments due in April and May 2025. As of June 29, 2025, the waivers increased the outstanding debt balance by $11.3 million and is treated as non-cash activity within the statement of cash flows. These waivers were treated as modifications to the existing credit agreement. In addition, the May 2025 waiver was accompanied by an amendment to the Credit Agreement which includes provisions requiring the Company to prepay the loan in an aggregate amount equal to 100% of net cash proceeds received by the Company or its subsidiaries within three days following the receipt of such net cash proceeds and allowing BH Finance to assign its rights and obligations under the Credit Agreement to any person other than a natural person.</w:t>
      </w:r>
    </w:p>
    <w:p>
      <w:pPr>
        <w:spacing w:after="0" w:line="144"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one defined benefit pension plan that covers certain employees, including plans established under collective bargaining agreements. Additionally, we provide retiree medical and life insurance benefits under postretirement plans at several of our operating locations. Through June 29, 2025, our liability and related expense for benefits under the plans are recorded over the service period of employees based upon annual actuarial calculations.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pension and postretirement cost (benefit) components for our plans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 w:type="dxa"/>
            <w:vAlign w:val="bottom"/>
          </w:tcPr>
          <w:p>
            <w:pPr>
              <w:spacing w:after="0"/>
              <w:rPr>
                <w:sz w:val="21"/>
                <w:szCs w:val="21"/>
                <w:color w:val="auto"/>
              </w:rPr>
            </w:pPr>
          </w:p>
        </w:tc>
        <w:tc>
          <w:tcPr>
            <w:tcW w:w="4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PENSION PLANS</w:t>
            </w:r>
          </w:p>
        </w:tc>
        <w:tc>
          <w:tcPr>
            <w:tcW w:w="3080" w:type="dxa"/>
            <w:vAlign w:val="bottom"/>
            <w:tcBorders>
              <w:top w:val="single" w:sz="8" w:color="auto"/>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Three months ended</w:t>
            </w:r>
          </w:p>
        </w:tc>
        <w:tc>
          <w:tcPr>
            <w:tcW w:w="232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Nine months ended</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4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820" w:type="dxa"/>
            <w:vAlign w:val="bottom"/>
          </w:tcPr>
          <w:p>
            <w:pPr>
              <w:jc w:val="right"/>
              <w:ind w:right="190"/>
              <w:spacing w:after="0" w:line="169" w:lineRule="exact"/>
              <w:rPr>
                <w:sz w:val="20"/>
                <w:szCs w:val="20"/>
                <w:color w:val="auto"/>
              </w:rPr>
            </w:pPr>
            <w:r>
              <w:rPr>
                <w:rFonts w:ascii="Arial" w:cs="Arial" w:eastAsia="Arial" w:hAnsi="Arial"/>
                <w:sz w:val="18"/>
                <w:szCs w:val="18"/>
                <w:color w:val="auto"/>
              </w:rPr>
              <w:t>June 29,</w:t>
            </w:r>
          </w:p>
        </w:tc>
        <w:tc>
          <w:tcPr>
            <w:tcW w:w="1260" w:type="dxa"/>
            <w:vAlign w:val="bottom"/>
          </w:tcPr>
          <w:p>
            <w:pPr>
              <w:jc w:val="right"/>
              <w:ind w:right="170"/>
              <w:spacing w:after="0" w:line="169" w:lineRule="exact"/>
              <w:rPr>
                <w:sz w:val="20"/>
                <w:szCs w:val="20"/>
                <w:color w:val="auto"/>
              </w:rPr>
            </w:pPr>
            <w:r>
              <w:rPr>
                <w:rFonts w:ascii="Arial" w:cs="Arial" w:eastAsia="Arial" w:hAnsi="Arial"/>
                <w:sz w:val="18"/>
                <w:szCs w:val="18"/>
                <w:color w:val="auto"/>
              </w:rPr>
              <w:t>June 23,</w:t>
            </w:r>
          </w:p>
        </w:tc>
        <w:tc>
          <w:tcPr>
            <w:tcW w:w="1320" w:type="dxa"/>
            <w:vAlign w:val="bottom"/>
          </w:tcPr>
          <w:p>
            <w:pPr>
              <w:jc w:val="right"/>
              <w:ind w:right="210"/>
              <w:spacing w:after="0" w:line="169" w:lineRule="exact"/>
              <w:rPr>
                <w:sz w:val="20"/>
                <w:szCs w:val="20"/>
                <w:color w:val="auto"/>
              </w:rPr>
            </w:pPr>
            <w:r>
              <w:rPr>
                <w:rFonts w:ascii="Arial" w:cs="Arial" w:eastAsia="Arial" w:hAnsi="Arial"/>
                <w:sz w:val="18"/>
                <w:szCs w:val="18"/>
                <w:color w:val="auto"/>
              </w:rPr>
              <w:t>June 29,</w:t>
            </w:r>
          </w:p>
        </w:tc>
        <w:tc>
          <w:tcPr>
            <w:tcW w:w="1000" w:type="dxa"/>
            <w:vAlign w:val="bottom"/>
          </w:tcPr>
          <w:p>
            <w:pPr>
              <w:jc w:val="right"/>
              <w:spacing w:after="0" w:line="169" w:lineRule="exact"/>
              <w:rPr>
                <w:sz w:val="20"/>
                <w:szCs w:val="20"/>
                <w:color w:val="auto"/>
              </w:rPr>
            </w:pPr>
            <w:r>
              <w:rPr>
                <w:rFonts w:ascii="Arial" w:cs="Arial" w:eastAsia="Arial" w:hAnsi="Arial"/>
                <w:sz w:val="18"/>
                <w:szCs w:val="18"/>
                <w:color w:val="auto"/>
              </w:rPr>
              <w:t>June 23,</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400" w:type="dxa"/>
            <w:vAlign w:val="bottom"/>
            <w:tcBorders>
              <w:bottom w:val="single" w:sz="8" w:color="auto"/>
            </w:tcBorders>
            <w:vMerge w:val="continue"/>
          </w:tcPr>
          <w:p>
            <w:pPr>
              <w:spacing w:after="0"/>
              <w:rPr>
                <w:sz w:val="21"/>
                <w:szCs w:val="21"/>
                <w:color w:val="auto"/>
              </w:rPr>
            </w:pP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2024</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18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820" w:type="dxa"/>
            <w:vAlign w:val="bottom"/>
          </w:tcPr>
          <w:p>
            <w:pPr>
              <w:jc w:val="right"/>
              <w:ind w:right="250"/>
              <w:spacing w:after="0"/>
              <w:rPr>
                <w:sz w:val="20"/>
                <w:szCs w:val="20"/>
                <w:color w:val="auto"/>
              </w:rPr>
            </w:pPr>
            <w:r>
              <w:rPr>
                <w:rFonts w:ascii="Arial" w:cs="Arial" w:eastAsia="Arial" w:hAnsi="Arial"/>
                <w:sz w:val="18"/>
                <w:szCs w:val="18"/>
                <w:color w:val="auto"/>
              </w:rPr>
              <w:t>2,034</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2,253</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6,103</w:t>
            </w:r>
          </w:p>
        </w:tc>
        <w:tc>
          <w:tcPr>
            <w:tcW w:w="1000" w:type="dxa"/>
            <w:vAlign w:val="bottom"/>
          </w:tcPr>
          <w:p>
            <w:pPr>
              <w:jc w:val="right"/>
              <w:spacing w:after="0"/>
              <w:rPr>
                <w:sz w:val="20"/>
                <w:szCs w:val="20"/>
                <w:color w:val="auto"/>
              </w:rPr>
            </w:pPr>
            <w:r>
              <w:rPr>
                <w:rFonts w:ascii="Arial" w:cs="Arial" w:eastAsia="Arial" w:hAnsi="Arial"/>
                <w:sz w:val="18"/>
                <w:szCs w:val="18"/>
                <w:color w:val="auto"/>
              </w:rPr>
              <w:t>7,021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(2,319)</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(2,310)</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(6,956)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Amortization of net (gain) loss</w:t>
            </w:r>
          </w:p>
        </w:tc>
        <w:tc>
          <w:tcPr>
            <w:tcW w:w="18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18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212</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212</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Settlement gain</w:t>
            </w:r>
          </w:p>
        </w:tc>
        <w:tc>
          <w:tcPr>
            <w:tcW w:w="1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(benefit) cost</w:t>
            </w:r>
          </w:p>
        </w:tc>
        <w:tc>
          <w:tcPr>
            <w:tcW w:w="18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(72)</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155</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(214)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gridSpan w:val="2"/>
          </w:tcPr>
          <w:p>
            <w:pPr>
              <w:spacing w:after="0" w:line="20" w:lineRule="exact"/>
              <w:rPr>
                <w:sz w:val="1"/>
                <w:szCs w:val="1"/>
                <w:color w:val="auto"/>
              </w:rPr>
            </w:pPr>
          </w:p>
        </w:tc>
        <w:tc>
          <w:tcPr>
            <w:tcW w:w="2320" w:type="dxa"/>
            <w:vAlign w:val="bottom"/>
            <w:tcBorders>
              <w:top w:val="single" w:sz="8" w:color="CCEEFF"/>
              <w:bottom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6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3080" w:type="dxa"/>
            <w:vAlign w:val="bottom"/>
            <w:gridSpan w:val="2"/>
          </w:tcPr>
          <w:p>
            <w:pPr>
              <w:spacing w:after="0"/>
              <w:rPr>
                <w:sz w:val="23"/>
                <w:szCs w:val="23"/>
                <w:color w:val="auto"/>
              </w:rPr>
            </w:pPr>
          </w:p>
        </w:tc>
        <w:tc>
          <w:tcPr>
            <w:tcW w:w="310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POSTRETIREMENT MEDICAL PLANS</w:t>
            </w:r>
          </w:p>
        </w:tc>
        <w:tc>
          <w:tcPr>
            <w:tcW w:w="3080" w:type="dxa"/>
            <w:vAlign w:val="bottom"/>
            <w:tcBorders>
              <w:top w:val="single" w:sz="8" w:color="auto"/>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Three months ended</w:t>
            </w:r>
          </w:p>
        </w:tc>
        <w:tc>
          <w:tcPr>
            <w:tcW w:w="232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Nine months ended</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4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820" w:type="dxa"/>
            <w:vAlign w:val="bottom"/>
          </w:tcPr>
          <w:p>
            <w:pPr>
              <w:jc w:val="right"/>
              <w:ind w:right="190"/>
              <w:spacing w:after="0" w:line="169" w:lineRule="exact"/>
              <w:rPr>
                <w:sz w:val="20"/>
                <w:szCs w:val="20"/>
                <w:color w:val="auto"/>
              </w:rPr>
            </w:pPr>
            <w:r>
              <w:rPr>
                <w:rFonts w:ascii="Arial" w:cs="Arial" w:eastAsia="Arial" w:hAnsi="Arial"/>
                <w:sz w:val="18"/>
                <w:szCs w:val="18"/>
                <w:color w:val="auto"/>
              </w:rPr>
              <w:t>June 29,</w:t>
            </w:r>
          </w:p>
        </w:tc>
        <w:tc>
          <w:tcPr>
            <w:tcW w:w="1260" w:type="dxa"/>
            <w:vAlign w:val="bottom"/>
          </w:tcPr>
          <w:p>
            <w:pPr>
              <w:jc w:val="right"/>
              <w:ind w:right="170"/>
              <w:spacing w:after="0" w:line="169" w:lineRule="exact"/>
              <w:rPr>
                <w:sz w:val="20"/>
                <w:szCs w:val="20"/>
                <w:color w:val="auto"/>
              </w:rPr>
            </w:pPr>
            <w:r>
              <w:rPr>
                <w:rFonts w:ascii="Arial" w:cs="Arial" w:eastAsia="Arial" w:hAnsi="Arial"/>
                <w:sz w:val="18"/>
                <w:szCs w:val="18"/>
                <w:color w:val="auto"/>
              </w:rPr>
              <w:t>June 23,</w:t>
            </w:r>
          </w:p>
        </w:tc>
        <w:tc>
          <w:tcPr>
            <w:tcW w:w="1320" w:type="dxa"/>
            <w:vAlign w:val="bottom"/>
          </w:tcPr>
          <w:p>
            <w:pPr>
              <w:jc w:val="right"/>
              <w:ind w:right="210"/>
              <w:spacing w:after="0" w:line="169" w:lineRule="exact"/>
              <w:rPr>
                <w:sz w:val="20"/>
                <w:szCs w:val="20"/>
                <w:color w:val="auto"/>
              </w:rPr>
            </w:pPr>
            <w:r>
              <w:rPr>
                <w:rFonts w:ascii="Arial" w:cs="Arial" w:eastAsia="Arial" w:hAnsi="Arial"/>
                <w:sz w:val="18"/>
                <w:szCs w:val="18"/>
                <w:color w:val="auto"/>
              </w:rPr>
              <w:t>June 29,</w:t>
            </w:r>
          </w:p>
        </w:tc>
        <w:tc>
          <w:tcPr>
            <w:tcW w:w="1000" w:type="dxa"/>
            <w:vAlign w:val="bottom"/>
          </w:tcPr>
          <w:p>
            <w:pPr>
              <w:jc w:val="right"/>
              <w:spacing w:after="0" w:line="169" w:lineRule="exact"/>
              <w:rPr>
                <w:sz w:val="20"/>
                <w:szCs w:val="20"/>
                <w:color w:val="auto"/>
              </w:rPr>
            </w:pPr>
            <w:r>
              <w:rPr>
                <w:rFonts w:ascii="Arial" w:cs="Arial" w:eastAsia="Arial" w:hAnsi="Arial"/>
                <w:sz w:val="18"/>
                <w:szCs w:val="18"/>
                <w:color w:val="auto"/>
              </w:rPr>
              <w:t>June 23,</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400" w:type="dxa"/>
            <w:vAlign w:val="bottom"/>
            <w:tcBorders>
              <w:bottom w:val="single" w:sz="8" w:color="auto"/>
            </w:tcBorders>
            <w:vMerge w:val="continue"/>
          </w:tcPr>
          <w:p>
            <w:pPr>
              <w:spacing w:after="0"/>
              <w:rPr>
                <w:sz w:val="21"/>
                <w:szCs w:val="21"/>
                <w:color w:val="auto"/>
              </w:rPr>
            </w:pP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2024</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18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820" w:type="dxa"/>
            <w:vAlign w:val="bottom"/>
          </w:tcPr>
          <w:p>
            <w:pPr>
              <w:jc w:val="right"/>
              <w:ind w:right="250"/>
              <w:spacing w:after="0"/>
              <w:rPr>
                <w:sz w:val="20"/>
                <w:szCs w:val="20"/>
                <w:color w:val="auto"/>
              </w:rPr>
            </w:pPr>
            <w:r>
              <w:rPr>
                <w:rFonts w:ascii="Arial" w:cs="Arial" w:eastAsia="Arial" w:hAnsi="Arial"/>
                <w:sz w:val="18"/>
                <w:szCs w:val="18"/>
                <w:color w:val="auto"/>
              </w:rPr>
              <w:t>108</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149</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325</w:t>
            </w:r>
          </w:p>
        </w:tc>
        <w:tc>
          <w:tcPr>
            <w:tcW w:w="1000" w:type="dxa"/>
            <w:vAlign w:val="bottom"/>
          </w:tcPr>
          <w:p>
            <w:pPr>
              <w:jc w:val="right"/>
              <w:spacing w:after="0"/>
              <w:rPr>
                <w:sz w:val="20"/>
                <w:szCs w:val="20"/>
                <w:color w:val="auto"/>
              </w:rPr>
            </w:pPr>
            <w:r>
              <w:rPr>
                <w:rFonts w:ascii="Arial" w:cs="Arial" w:eastAsia="Arial" w:hAnsi="Arial"/>
                <w:sz w:val="18"/>
                <w:szCs w:val="18"/>
                <w:color w:val="auto"/>
              </w:rPr>
              <w:t>447</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(410)</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(320)</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Amortization of net gain</w:t>
            </w:r>
          </w:p>
        </w:tc>
        <w:tc>
          <w:tcPr>
            <w:tcW w:w="1820" w:type="dxa"/>
            <w:vAlign w:val="bottom"/>
          </w:tcPr>
          <w:p>
            <w:pPr>
              <w:jc w:val="right"/>
              <w:ind w:right="210"/>
              <w:spacing w:after="0"/>
              <w:rPr>
                <w:sz w:val="20"/>
                <w:szCs w:val="20"/>
                <w:color w:val="auto"/>
              </w:rPr>
            </w:pPr>
            <w:r>
              <w:rPr>
                <w:rFonts w:ascii="Arial" w:cs="Arial" w:eastAsia="Arial" w:hAnsi="Arial"/>
                <w:sz w:val="18"/>
                <w:szCs w:val="18"/>
                <w:color w:val="auto"/>
              </w:rPr>
              <w:t>(292)</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(308)</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(876)</w:t>
            </w:r>
          </w:p>
        </w:tc>
        <w:tc>
          <w:tcPr>
            <w:tcW w:w="1000" w:type="dxa"/>
            <w:vAlign w:val="bottom"/>
          </w:tcPr>
          <w:p>
            <w:pPr>
              <w:jc w:val="right"/>
              <w:spacing w:after="0"/>
              <w:rPr>
                <w:sz w:val="20"/>
                <w:szCs w:val="20"/>
                <w:color w:val="auto"/>
              </w:rPr>
            </w:pPr>
            <w:r>
              <w:rPr>
                <w:rFonts w:ascii="Arial" w:cs="Arial" w:eastAsia="Arial" w:hAnsi="Arial"/>
                <w:sz w:val="18"/>
                <w:szCs w:val="18"/>
                <w:color w:val="auto"/>
              </w:rPr>
              <w:t>(925)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1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(71)</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(94)</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Curtailment gain</w:t>
            </w:r>
          </w:p>
        </w:tc>
        <w:tc>
          <w:tcPr>
            <w:tcW w:w="1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postretirement benefit</w:t>
            </w:r>
          </w:p>
        </w:tc>
        <w:tc>
          <w:tcPr>
            <w:tcW w:w="18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(664)</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(560)</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(1,994)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6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20" w:type="dxa"/>
            <w:vAlign w:val="bottom"/>
          </w:tcPr>
          <w:p>
            <w:pPr>
              <w:jc w:val="right"/>
              <w:ind w:right="1070"/>
              <w:spacing w:after="0"/>
              <w:rPr>
                <w:sz w:val="20"/>
                <w:szCs w:val="20"/>
                <w:color w:val="auto"/>
              </w:rPr>
            </w:pPr>
            <w:r>
              <w:rPr>
                <w:rFonts w:ascii="Arial" w:cs="Arial" w:eastAsia="Arial" w:hAnsi="Arial"/>
                <w:sz w:val="18"/>
                <w:szCs w:val="18"/>
                <w:color w:val="auto"/>
              </w:rPr>
              <w:t>12</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6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In the nine months ended June 29, 2025 and June 23, 2024, we made no contributions to our pension plans. We have no required contributions to our pension plans for 2025.</w:t>
      </w:r>
    </w:p>
    <w:p>
      <w:pPr>
        <w:spacing w:after="0" w:line="12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During the nine months ended June 23, 2024, the Company offered a voluntary lump sum payment of future benefits to terminated vested participants in the defined benefit pension plan. The offer was accepted by 522 participants, representing a $ 22.6 million settlement of related pension plan liability. The Company recognized a non-cash settlement gain of $2.4 million, which is reflected within "Curtailment/Settlement gains" on the Consolidated Statements of Loss and Comprehensive Loss. Pension plan assets and liabilities were reduced by $22.6 million.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1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In prior periods, the Company effectuated withdrawals from several multiemployer plans. As of June 29, 2025 and September 29, 2024, we had $22.7 million and $23.6 million of accrued withdrawal liabilities. The liabilities reflect the estimated value of payments to the fund, payable over 20-years.</w:t>
      </w:r>
    </w:p>
    <w:p>
      <w:pPr>
        <w:spacing w:after="0" w:line="144"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We recorded an income tax benefit of $2.7 million related to loss before taxes of $4.4 million for the three months ended June 29, 2025, and an income tax benefit of $1.3 million related to loss before income taxes of $31.2 million for the nine months ended June 29, 2025. We recorded an income tax benefit of $0.8 million related to loss before taxes of $4.5 million for the three months ended June 23, 2024, and an income tax benefit of $3.4 million related to a loss before income taxes of $17.5 million for the nine months ended June 23, 2024. The effective income tax rate for the three and nine months ended June 29, 2025, was 61.4% and 4.2%, respectively. The effective income tax rate for the three and nine months ended June 23, 2024, were 18.7% and 19.6%, respectively.</w:t>
      </w:r>
    </w:p>
    <w:p>
      <w:pPr>
        <w:spacing w:after="0" w:line="35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primary differences between these rates and the U.S. federal statutory rate of 21% are because of state taxes, non-deductible expenses, increase in valuation allowance, and adjustments to reserves for uncertain tax positions, including any related interest.</w:t>
      </w:r>
    </w:p>
    <w:p>
      <w:pPr>
        <w:spacing w:after="0" w:line="12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or material state income tax examinations in progress. Our income tax returns have generally been audited or closed to audit through 2016.</w:t>
      </w:r>
    </w:p>
    <w:p>
      <w:pPr>
        <w:spacing w:after="0" w:line="130"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On July 4, 2025, President Trump signed into law the One Big Beautiful Bill Act ("OBBBA"). The OBBBA makes permanent key elements of the Tax Cuts and Jobs Act, including 100% bonus depreciation, domestic research cost expensing, and the business interest expense limitation. We are currently evaluating the impact of the OBBBA and expect the results of such evaluation to be reflected in our Annual Report on Form 10K for the year ended September 28,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COMMON SHARE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10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2"/>
          </w:tcPr>
          <w:p>
            <w:pPr>
              <w:jc w:val="right"/>
              <w:ind w:right="930"/>
              <w:spacing w:after="0"/>
              <w:rPr>
                <w:sz w:val="20"/>
                <w:szCs w:val="20"/>
                <w:color w:val="auto"/>
              </w:rPr>
            </w:pPr>
            <w:r>
              <w:rPr>
                <w:rFonts w:ascii="Arial" w:cs="Arial" w:eastAsia="Arial" w:hAnsi="Arial"/>
                <w:sz w:val="18"/>
                <w:szCs w:val="18"/>
                <w:color w:val="auto"/>
              </w:rPr>
              <w:t>Three months ended</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Nine months ended</w:t>
            </w:r>
          </w:p>
        </w:tc>
        <w:tc>
          <w:tcPr>
            <w:tcW w:w="7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100" w:type="dxa"/>
            <w:vAlign w:val="bottom"/>
          </w:tcPr>
          <w:p>
            <w:pPr>
              <w:ind w:left="20"/>
              <w:spacing w:after="0" w:line="169" w:lineRule="exact"/>
              <w:rPr>
                <w:sz w:val="20"/>
                <w:szCs w:val="20"/>
                <w:color w:val="auto"/>
              </w:rPr>
            </w:pPr>
            <w:r>
              <w:rPr>
                <w:rFonts w:ascii="Arial" w:cs="Arial" w:eastAsia="Arial" w:hAnsi="Arial"/>
                <w:sz w:val="18"/>
                <w:szCs w:val="18"/>
                <w:color w:val="auto"/>
              </w:rPr>
              <w:t>(Thousands of Dollars and Shares, Except Per</w:t>
            </w:r>
          </w:p>
        </w:tc>
        <w:tc>
          <w:tcPr>
            <w:tcW w:w="1580" w:type="dxa"/>
            <w:vAlign w:val="bottom"/>
          </w:tcPr>
          <w:p>
            <w:pPr>
              <w:jc w:val="right"/>
              <w:ind w:right="310"/>
              <w:spacing w:after="0" w:line="169" w:lineRule="exact"/>
              <w:rPr>
                <w:sz w:val="20"/>
                <w:szCs w:val="20"/>
                <w:color w:val="auto"/>
              </w:rPr>
            </w:pPr>
            <w:r>
              <w:rPr>
                <w:rFonts w:ascii="Arial" w:cs="Arial" w:eastAsia="Arial" w:hAnsi="Arial"/>
                <w:sz w:val="18"/>
                <w:szCs w:val="18"/>
                <w:color w:val="auto"/>
              </w:rPr>
              <w:t>June 29,</w:t>
            </w:r>
          </w:p>
        </w:tc>
        <w:tc>
          <w:tcPr>
            <w:tcW w:w="148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June 23,</w:t>
            </w:r>
          </w:p>
        </w:tc>
        <w:tc>
          <w:tcPr>
            <w:tcW w:w="1920" w:type="dxa"/>
            <w:vAlign w:val="bottom"/>
          </w:tcPr>
          <w:p>
            <w:pPr>
              <w:jc w:val="right"/>
              <w:ind w:right="710"/>
              <w:spacing w:after="0" w:line="169" w:lineRule="exact"/>
              <w:rPr>
                <w:sz w:val="20"/>
                <w:szCs w:val="20"/>
                <w:color w:val="auto"/>
              </w:rPr>
            </w:pPr>
            <w:r>
              <w:rPr>
                <w:rFonts w:ascii="Arial" w:cs="Arial" w:eastAsia="Arial" w:hAnsi="Arial"/>
                <w:sz w:val="18"/>
                <w:szCs w:val="18"/>
                <w:color w:val="auto"/>
              </w:rPr>
              <w:t>June 29,</w:t>
            </w: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w w:val="98"/>
              </w:rPr>
              <w:t>June 23,</w:t>
            </w:r>
          </w:p>
        </w:tc>
        <w:tc>
          <w:tcPr>
            <w:tcW w:w="0" w:type="dxa"/>
            <w:vAlign w:val="bottom"/>
          </w:tcPr>
          <w:p>
            <w:pPr>
              <w:spacing w:after="0"/>
              <w:rPr>
                <w:sz w:val="1"/>
                <w:szCs w:val="1"/>
                <w:color w:val="auto"/>
              </w:rPr>
            </w:pPr>
          </w:p>
        </w:tc>
      </w:tr>
      <w:tr>
        <w:trPr>
          <w:trHeight w:val="241"/>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 Data)</w:t>
            </w:r>
          </w:p>
        </w:tc>
        <w:tc>
          <w:tcPr>
            <w:tcW w:w="1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w:t>
            </w:r>
          </w:p>
        </w:tc>
        <w:tc>
          <w:tcPr>
            <w:tcW w:w="1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attributable to Lee Enterprises,</w:t>
            </w:r>
          </w:p>
        </w:tc>
        <w:tc>
          <w:tcPr>
            <w:tcW w:w="15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(1,920)</w:t>
            </w:r>
          </w:p>
        </w:tc>
        <w:tc>
          <w:tcPr>
            <w:tcW w:w="1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(4,266)</w:t>
            </w:r>
          </w:p>
        </w:tc>
        <w:tc>
          <w:tcPr>
            <w:tcW w:w="1920" w:type="dxa"/>
            <w:vAlign w:val="bottom"/>
            <w:vMerge w:val="restart"/>
            <w:shd w:val="clear" w:color="auto" w:fill="CCEEFF"/>
          </w:tcPr>
          <w:p>
            <w:pPr>
              <w:jc w:val="right"/>
              <w:ind w:right="710"/>
              <w:spacing w:after="0"/>
              <w:rPr>
                <w:sz w:val="20"/>
                <w:szCs w:val="20"/>
                <w:color w:val="auto"/>
              </w:rPr>
            </w:pPr>
            <w:r>
              <w:rPr>
                <w:rFonts w:ascii="Arial" w:cs="Arial" w:eastAsia="Arial" w:hAnsi="Arial"/>
                <w:sz w:val="18"/>
                <w:szCs w:val="18"/>
                <w:color w:val="auto"/>
              </w:rPr>
              <w:t>(31,179)</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(15,757)</w:t>
            </w:r>
          </w:p>
        </w:tc>
        <w:tc>
          <w:tcPr>
            <w:tcW w:w="0" w:type="dxa"/>
            <w:vAlign w:val="bottom"/>
          </w:tcPr>
          <w:p>
            <w:pPr>
              <w:spacing w:after="0"/>
              <w:rPr>
                <w:sz w:val="1"/>
                <w:szCs w:val="1"/>
                <w:color w:val="auto"/>
              </w:rPr>
            </w:pPr>
          </w:p>
        </w:tc>
      </w:tr>
      <w:tr>
        <w:trPr>
          <w:trHeight w:val="263"/>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Incorporated:</w:t>
            </w:r>
          </w:p>
        </w:tc>
        <w:tc>
          <w:tcPr>
            <w:tcW w:w="1580" w:type="dxa"/>
            <w:vAlign w:val="bottom"/>
            <w:tcBorders>
              <w:bottom w:val="single" w:sz="8" w:color="auto"/>
            </w:tcBorders>
            <w:vMerge w:val="continue"/>
            <w:shd w:val="clear" w:color="auto" w:fill="CCEEFF"/>
          </w:tcPr>
          <w:p>
            <w:pPr>
              <w:spacing w:after="0"/>
              <w:rPr>
                <w:sz w:val="22"/>
                <w:szCs w:val="22"/>
                <w:color w:val="auto"/>
              </w:rPr>
            </w:pPr>
          </w:p>
        </w:tc>
        <w:tc>
          <w:tcPr>
            <w:tcW w:w="1480" w:type="dxa"/>
            <w:vAlign w:val="bottom"/>
            <w:tcBorders>
              <w:bottom w:val="single" w:sz="8" w:color="auto"/>
            </w:tcBorders>
            <w:vMerge w:val="continue"/>
            <w:shd w:val="clear" w:color="auto" w:fill="CCEEFF"/>
          </w:tcPr>
          <w:p>
            <w:pPr>
              <w:spacing w:after="0"/>
              <w:rPr>
                <w:sz w:val="22"/>
                <w:szCs w:val="22"/>
                <w:color w:val="auto"/>
              </w:rPr>
            </w:pPr>
          </w:p>
        </w:tc>
        <w:tc>
          <w:tcPr>
            <w:tcW w:w="1920" w:type="dxa"/>
            <w:vAlign w:val="bottom"/>
            <w:tcBorders>
              <w:bottom w:val="single" w:sz="8" w:color="auto"/>
            </w:tcBorders>
            <w:vMerge w:val="continue"/>
            <w:shd w:val="clear" w:color="auto" w:fill="CCEEFF"/>
          </w:tcPr>
          <w:p>
            <w:pPr>
              <w:spacing w:after="0"/>
              <w:rPr>
                <w:sz w:val="22"/>
                <w:szCs w:val="22"/>
                <w:color w:val="auto"/>
              </w:rPr>
            </w:pPr>
          </w:p>
        </w:tc>
        <w:tc>
          <w:tcPr>
            <w:tcW w:w="7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common shares</w:t>
            </w:r>
          </w:p>
        </w:tc>
        <w:tc>
          <w:tcPr>
            <w:tcW w:w="1580" w:type="dxa"/>
            <w:vAlign w:val="bottom"/>
          </w:tcPr>
          <w:p>
            <w:pPr>
              <w:jc w:val="right"/>
              <w:ind w:right="370"/>
              <w:spacing w:after="0" w:line="203" w:lineRule="exact"/>
              <w:rPr>
                <w:sz w:val="20"/>
                <w:szCs w:val="20"/>
                <w:color w:val="auto"/>
              </w:rPr>
            </w:pPr>
            <w:r>
              <w:rPr>
                <w:rFonts w:ascii="Arial" w:cs="Arial" w:eastAsia="Arial" w:hAnsi="Arial"/>
                <w:sz w:val="18"/>
                <w:szCs w:val="18"/>
                <w:color w:val="auto"/>
              </w:rPr>
              <w:t>6,232</w:t>
            </w:r>
          </w:p>
        </w:tc>
        <w:tc>
          <w:tcPr>
            <w:tcW w:w="1480" w:type="dxa"/>
            <w:vAlign w:val="bottom"/>
          </w:tcPr>
          <w:p>
            <w:pPr>
              <w:jc w:val="right"/>
              <w:ind w:right="350"/>
              <w:spacing w:after="0" w:line="203" w:lineRule="exact"/>
              <w:rPr>
                <w:sz w:val="20"/>
                <w:szCs w:val="20"/>
                <w:color w:val="auto"/>
              </w:rPr>
            </w:pPr>
            <w:r>
              <w:rPr>
                <w:rFonts w:ascii="Arial" w:cs="Arial" w:eastAsia="Arial" w:hAnsi="Arial"/>
                <w:sz w:val="18"/>
                <w:szCs w:val="18"/>
                <w:color w:val="auto"/>
              </w:rPr>
              <w:t>6,080</w:t>
            </w:r>
          </w:p>
        </w:tc>
        <w:tc>
          <w:tcPr>
            <w:tcW w:w="1920" w:type="dxa"/>
            <w:vAlign w:val="bottom"/>
          </w:tcPr>
          <w:p>
            <w:pPr>
              <w:jc w:val="right"/>
              <w:ind w:right="770"/>
              <w:spacing w:after="0" w:line="203" w:lineRule="exact"/>
              <w:rPr>
                <w:sz w:val="20"/>
                <w:szCs w:val="20"/>
                <w:color w:val="auto"/>
              </w:rPr>
            </w:pPr>
            <w:r>
              <w:rPr>
                <w:rFonts w:ascii="Arial" w:cs="Arial" w:eastAsia="Arial" w:hAnsi="Arial"/>
                <w:sz w:val="18"/>
                <w:szCs w:val="18"/>
                <w:color w:val="auto"/>
              </w:rPr>
              <w:t>6,214</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weighted average restricted Common</w:t>
            </w:r>
          </w:p>
        </w:tc>
        <w:tc>
          <w:tcPr>
            <w:tcW w:w="15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(120)</w:t>
            </w:r>
          </w:p>
        </w:tc>
        <w:tc>
          <w:tcPr>
            <w:tcW w:w="1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(215)</w:t>
            </w:r>
          </w:p>
        </w:tc>
        <w:tc>
          <w:tcPr>
            <w:tcW w:w="1920" w:type="dxa"/>
            <w:vAlign w:val="bottom"/>
            <w:vMerge w:val="restart"/>
            <w:shd w:val="clear" w:color="auto" w:fill="CCEEFF"/>
          </w:tcPr>
          <w:p>
            <w:pPr>
              <w:jc w:val="right"/>
              <w:ind w:right="710"/>
              <w:spacing w:after="0"/>
              <w:rPr>
                <w:sz w:val="20"/>
                <w:szCs w:val="20"/>
                <w:color w:val="auto"/>
              </w:rPr>
            </w:pPr>
            <w:r>
              <w:rPr>
                <w:rFonts w:ascii="Arial" w:cs="Arial" w:eastAsia="Arial" w:hAnsi="Arial"/>
                <w:sz w:val="18"/>
                <w:szCs w:val="18"/>
                <w:color w:val="auto"/>
              </w:rPr>
              <w:t>(171)</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580" w:type="dxa"/>
            <w:vAlign w:val="bottom"/>
            <w:tcBorders>
              <w:bottom w:val="single" w:sz="8" w:color="auto"/>
            </w:tcBorders>
            <w:vMerge w:val="continue"/>
            <w:shd w:val="clear" w:color="auto" w:fill="CCEEFF"/>
          </w:tcPr>
          <w:p>
            <w:pPr>
              <w:spacing w:after="0"/>
              <w:rPr>
                <w:sz w:val="21"/>
                <w:szCs w:val="21"/>
                <w:color w:val="auto"/>
              </w:rPr>
            </w:pPr>
          </w:p>
        </w:tc>
        <w:tc>
          <w:tcPr>
            <w:tcW w:w="1480" w:type="dxa"/>
            <w:vAlign w:val="bottom"/>
            <w:tcBorders>
              <w:bottom w:val="single" w:sz="8" w:color="auto"/>
            </w:tcBorders>
            <w:vMerge w:val="continue"/>
            <w:shd w:val="clear" w:color="auto" w:fill="CCEEFF"/>
          </w:tcPr>
          <w:p>
            <w:pPr>
              <w:spacing w:after="0"/>
              <w:rPr>
                <w:sz w:val="21"/>
                <w:szCs w:val="21"/>
                <w:color w:val="auto"/>
              </w:rPr>
            </w:pPr>
          </w:p>
        </w:tc>
        <w:tc>
          <w:tcPr>
            <w:tcW w:w="1920" w:type="dxa"/>
            <w:vAlign w:val="bottom"/>
            <w:tcBorders>
              <w:bottom w:val="single" w:sz="8" w:color="auto"/>
            </w:tcBorders>
            <w:vMerge w:val="continue"/>
            <w:shd w:val="clear" w:color="auto" w:fill="CCEEFF"/>
          </w:tcPr>
          <w:p>
            <w:pPr>
              <w:spacing w:after="0"/>
              <w:rPr>
                <w:sz w:val="21"/>
                <w:szCs w:val="21"/>
                <w:color w:val="auto"/>
              </w:rPr>
            </w:pPr>
          </w:p>
        </w:tc>
        <w:tc>
          <w:tcPr>
            <w:tcW w:w="7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Basic average common shares</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6,112</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5,865</w:t>
            </w:r>
          </w:p>
        </w:tc>
        <w:tc>
          <w:tcPr>
            <w:tcW w:w="1920" w:type="dxa"/>
            <w:vAlign w:val="bottom"/>
          </w:tcPr>
          <w:p>
            <w:pPr>
              <w:jc w:val="right"/>
              <w:ind w:right="770"/>
              <w:spacing w:after="0"/>
              <w:rPr>
                <w:sz w:val="20"/>
                <w:szCs w:val="20"/>
                <w:color w:val="auto"/>
              </w:rPr>
            </w:pPr>
            <w:r>
              <w:rPr>
                <w:rFonts w:ascii="Arial" w:cs="Arial" w:eastAsia="Arial" w:hAnsi="Arial"/>
                <w:sz w:val="18"/>
                <w:szCs w:val="18"/>
                <w:color w:val="auto"/>
              </w:rPr>
              <w:t>6,043</w:t>
            </w:r>
          </w:p>
        </w:tc>
        <w:tc>
          <w:tcPr>
            <w:tcW w:w="720" w:type="dxa"/>
            <w:vAlign w:val="bottom"/>
          </w:tcPr>
          <w:p>
            <w:pPr>
              <w:jc w:val="right"/>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Dilutive restricted Common Stock</w:t>
            </w:r>
          </w:p>
        </w:tc>
        <w:tc>
          <w:tcPr>
            <w:tcW w:w="1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average common shares</w:t>
            </w: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6,112</w:t>
            </w: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5,865</w:t>
            </w:r>
          </w:p>
        </w:tc>
        <w:tc>
          <w:tcPr>
            <w:tcW w:w="19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6,043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common share:</w:t>
            </w:r>
          </w:p>
        </w:tc>
        <w:tc>
          <w:tcPr>
            <w:tcW w:w="15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Basic</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(0.31)</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(0.73)</w:t>
            </w:r>
          </w:p>
        </w:tc>
        <w:tc>
          <w:tcPr>
            <w:tcW w:w="1920" w:type="dxa"/>
            <w:vAlign w:val="bottom"/>
          </w:tcPr>
          <w:p>
            <w:pPr>
              <w:jc w:val="right"/>
              <w:ind w:right="710"/>
              <w:spacing w:after="0"/>
              <w:rPr>
                <w:sz w:val="20"/>
                <w:szCs w:val="20"/>
                <w:color w:val="auto"/>
              </w:rPr>
            </w:pPr>
            <w:r>
              <w:rPr>
                <w:rFonts w:ascii="Arial" w:cs="Arial" w:eastAsia="Arial" w:hAnsi="Arial"/>
                <w:sz w:val="18"/>
                <w:szCs w:val="18"/>
                <w:color w:val="auto"/>
              </w:rPr>
              <w:t>(5.16)</w:t>
            </w:r>
          </w:p>
        </w:tc>
        <w:tc>
          <w:tcPr>
            <w:tcW w:w="72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54"/>
        </w:trPr>
        <w:tc>
          <w:tcPr>
            <w:tcW w:w="41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(0.31)</w:t>
            </w: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(0.73)</w:t>
            </w:r>
          </w:p>
        </w:tc>
        <w:tc>
          <w:tcPr>
            <w:tcW w:w="1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(5.16)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For the three months ended June 29, 2025 and June 23, 2024, no shares were considered in the computation of diluted earnings per common share because the Company recorded net losses. For the nine months ended June 29, 2025 and June 23, 2024, no shares were considered in the computation of diluted earnings per common share because the Company recorded net losses.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Rights Agreement</w:t>
      </w:r>
    </w:p>
    <w:p>
      <w:pPr>
        <w:spacing w:after="0" w:line="252" w:lineRule="exact"/>
        <w:rPr>
          <w:sz w:val="20"/>
          <w:szCs w:val="20"/>
          <w:color w:val="auto"/>
        </w:rPr>
      </w:pPr>
    </w:p>
    <w:p>
      <w:pPr>
        <w:jc w:val="both"/>
        <w:ind w:left="660"/>
        <w:spacing w:after="0" w:line="248" w:lineRule="auto"/>
        <w:rPr>
          <w:sz w:val="20"/>
          <w:szCs w:val="20"/>
          <w:color w:val="auto"/>
        </w:rPr>
      </w:pPr>
      <w:r>
        <w:rPr>
          <w:rFonts w:ascii="Arial" w:cs="Arial" w:eastAsia="Arial" w:hAnsi="Arial"/>
          <w:sz w:val="18"/>
          <w:szCs w:val="18"/>
          <w:color w:val="auto"/>
        </w:rPr>
        <w:t>On March 28, 2024, our Board of Directors adopted a stockholder rights plan (the “Rights Agreement”). Pursuant to the Rights Agreement, on March 28, 2024, our Board of Directors declared a dividend of one preferred share purchase right (a “Right”), payable on April 8, 2024, for each share of our Common Stock outstanding to the stockholders of record on that date. Each Right entitles the registered holder to purchase from the Company one one-thousandth of a share of Series C Participating Convertible Preferred Stock, without par value (the “Preferred Shares”), of the Company at a price of $90.00 per one one-thousandth of a Preferred Share represented by a Right, subject to adjustment.</w:t>
      </w:r>
    </w:p>
    <w:p>
      <w:pPr>
        <w:spacing w:after="0" w:line="202"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15%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was to continue in effect until March 27, 2025, or unless earlier redeemed or terminated by the Company, as provided in the Rights Agreement. On March 27, 2025, the Board of Directors extended the termination date of the Rights Agreement to March 27, 2026. The Rights have no voting or dividend privileges, and, unless and until they become exercisable, have no dilutive effect on the earnings of the Company.</w:t>
      </w:r>
    </w:p>
    <w:p>
      <w:pPr>
        <w:spacing w:after="0" w:line="20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143" w:lineRule="exact"/>
        <w:rPr>
          <w:sz w:val="20"/>
          <w:szCs w:val="20"/>
          <w:color w:val="auto"/>
        </w:rPr>
      </w:pPr>
    </w:p>
    <w:p>
      <w:pPr>
        <w:ind w:left="660" w:right="6820" w:hanging="652"/>
        <w:spacing w:after="0" w:line="453" w:lineRule="auto"/>
        <w:tabs>
          <w:tab w:leader="none" w:pos="3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Legal Proceedings</w:t>
      </w:r>
    </w:p>
    <w:p>
      <w:pPr>
        <w:spacing w:after="0" w:line="2"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 xml:space="preserve">ultimate outcome of these legal actions, it is our opinion that the disposition of these matters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have a material adverse effect on our Consolidated Financial Statements, taken as a whole.</w:t>
      </w:r>
    </w:p>
    <w:p>
      <w:pPr>
        <w:spacing w:after="0" w:line="12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color w:val="auto"/>
        </w:rPr>
        <w:t xml:space="preserve">Video Privacy Protection Act Litigation and Settlement. </w:t>
      </w:r>
      <w:r>
        <w:rPr>
          <w:rFonts w:ascii="Arial" w:cs="Arial" w:eastAsia="Arial" w:hAnsi="Arial"/>
          <w:sz w:val="18"/>
          <w:szCs w:val="18"/>
          <w:color w:val="auto"/>
        </w:rPr>
        <w:t>Company was named as a defendant by a group of Plaintiffs acting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a proposed class of digital subscribers in a lawsuit in 2022. The lawsuit alleged that the Company violated the Video Privacy Protection Act (“VPPA”) by using pixels to track subscribers’ video viewing activity on Company websites and sharing it with Meta without consent.</w:t>
      </w:r>
    </w:p>
    <w:p>
      <w:pPr>
        <w:spacing w:after="0" w:line="203"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Company has agreed to a preliminary settlement with the Plaintiffs for $9.5 million, subject to required court approval. The entire settlement amount will be paid by the Company’s insurance carriers.</w:t>
      </w:r>
    </w:p>
    <w:p>
      <w:pPr>
        <w:spacing w:after="0" w:line="181"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The settlement liability and insurance receivable are recorded within “Compensation and other accrued liabilities” and “Prepaids and other” on the Consolidated Balance Sheets as of June 29, 2025 and September 29, 2024, respectively.</w:t>
      </w:r>
    </w:p>
    <w:p>
      <w:pPr>
        <w:spacing w:after="0" w:line="153"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i w:val="1"/>
          <w:iCs w:val="1"/>
          <w:color w:val="auto"/>
        </w:rPr>
        <w:t xml:space="preserve">Cybersecurity Incident Litigation. </w:t>
      </w:r>
      <w:r>
        <w:rPr>
          <w:rFonts w:ascii="Arial" w:cs="Arial" w:eastAsia="Arial" w:hAnsi="Arial"/>
          <w:sz w:val="18"/>
          <w:szCs w:val="18"/>
          <w:color w:val="auto"/>
        </w:rPr>
        <w:t>As previously disclosed, the Company experienced a cybersecurity incident during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2025, which involved unauthorized access to certain systems and data. Following public disclosure of the incident, the Company was named as a defendant in several putative class action lawsuits filed in or around June 2025, in the United States District Court for the Southern District of Iowa on behalf of all individuals affected by the cybersecurity incident, including those who received notice of the incident. These lawsuits generally allege, among other things, that the Company failed to adequately protect personal or sensitive information and seek unspecified damages and other relief.</w:t>
      </w:r>
    </w:p>
    <w:p>
      <w:pPr>
        <w:spacing w:after="0" w:line="206" w:lineRule="exact"/>
        <w:rPr>
          <w:sz w:val="20"/>
          <w:szCs w:val="20"/>
          <w:color w:val="auto"/>
        </w:rPr>
      </w:pPr>
    </w:p>
    <w:p>
      <w:pPr>
        <w:ind w:left="660" w:right="600"/>
        <w:spacing w:after="0" w:line="256" w:lineRule="auto"/>
        <w:rPr>
          <w:sz w:val="20"/>
          <w:szCs w:val="20"/>
          <w:color w:val="auto"/>
        </w:rPr>
      </w:pPr>
      <w:r>
        <w:rPr>
          <w:rFonts w:ascii="Arial" w:cs="Arial" w:eastAsia="Arial" w:hAnsi="Arial"/>
          <w:sz w:val="18"/>
          <w:szCs w:val="18"/>
          <w:color w:val="auto"/>
        </w:rPr>
        <w:t>The Company is vigorously defending against these claims. Given the early stage of these proceedings, the outcome of these matters is uncertain, and the Company is unable to estimate a possible loss or range of loss at this time.</w:t>
      </w:r>
    </w:p>
    <w:p>
      <w:pPr>
        <w:spacing w:after="0" w:line="193" w:lineRule="exact"/>
        <w:rPr>
          <w:sz w:val="20"/>
          <w:szCs w:val="20"/>
          <w:color w:val="auto"/>
        </w:rPr>
      </w:pPr>
    </w:p>
    <w:p>
      <w:pPr>
        <w:ind w:left="660" w:right="320"/>
        <w:spacing w:after="0" w:line="301" w:lineRule="auto"/>
        <w:rPr>
          <w:sz w:val="20"/>
          <w:szCs w:val="20"/>
          <w:color w:val="auto"/>
        </w:rPr>
      </w:pPr>
      <w:r>
        <w:rPr>
          <w:rFonts w:ascii="Arial" w:cs="Arial" w:eastAsia="Arial" w:hAnsi="Arial"/>
          <w:sz w:val="17"/>
          <w:szCs w:val="17"/>
          <w:color w:val="auto"/>
        </w:rPr>
        <w:t>The Company maintains cyber liability and other applicable insurance coverage and believes that any potential losses associated with these claims, if adverse outcomes were to occur, would be covered, subject to applicable deductibles and policy limits.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three months ended June 29, 2025. This discussion should be read in conjunction with the Consolidated Financial Statements and related Notes thereto, included herein, and our 2024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Lee Enterprises, Incorporated, together with its subsidiaries, is a digital-first subscription business providing local markets with valuable, high quality, trusted, intensely local news, information, advertising and marketing services. We inform consumers in 72 mid-sized local communities in 25 states with a rapidly growing digital subscription platform including 670,000 digital subscribers. Our core strategy aims to grow audiences and engagement through creating, collecting, and distributing trusted local news and information, continuous improvements to subscriber experience, and offering a full suite of omni-channel advertising and marketing to more than 20,000 local advertisers.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product portfolio includes digital subscription platforms, daily, weekly and monthly newspapers and niche products, all delivering original local news and information as well as national and international news. Our products offer digital and print editions, and our content and advertising is available in real time through our websites and mobile apps. We operate in predominately mid-sized communities with products ranging from large daily newspapers and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Buffalo News</w:t>
      </w:r>
      <w:r>
        <w:rPr>
          <w:rFonts w:ascii="Arial" w:cs="Arial" w:eastAsia="Arial" w:hAnsi="Arial"/>
          <w:sz w:val="18"/>
          <w:szCs w:val="18"/>
          <w:color w:val="auto"/>
        </w:rPr>
        <w:t>, to non-daily newspapers with news websites and digital platforms serving smaller communities.</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made investments in talent and technology to improve user experience, content, data visualization and marketing to align with the shift in spending habits by both consumers and advertisers toward digital products.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aim to grow our business through three main categories: subscriptions to our product offerings, advertising and marketing solutions to local advertisers, and digital services to a diverse set of customers. Execution of this strategy is expected to transform Lee into a growing and sustainable local media organization.</w:t>
      </w:r>
    </w:p>
    <w:p>
      <w:pPr>
        <w:spacing w:after="0" w:line="14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digital subscription platforms are the fastest growing digital subscription platforms in local media.</w:t>
      </w:r>
    </w:p>
    <w:p>
      <w:pPr>
        <w:spacing w:after="0" w:line="182" w:lineRule="exact"/>
        <w:rPr>
          <w:rFonts w:ascii="Arial" w:cs="Arial" w:eastAsia="Arial" w:hAnsi="Arial"/>
          <w:sz w:val="18"/>
          <w:szCs w:val="18"/>
          <w:color w:val="auto"/>
        </w:rPr>
      </w:pPr>
    </w:p>
    <w:p>
      <w:pPr>
        <w:ind w:left="660" w:right="180" w:hanging="328"/>
        <w:spacing w:after="0" w:line="22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Amplified Digital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Agency("Amplified"), our digital marketing services agency, offers a full suite of digital marketing solutions to local advertisers.</w:t>
      </w:r>
    </w:p>
    <w:p>
      <w:pPr>
        <w:spacing w:after="0" w:line="15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BLOX Digital (formerly known as TownNews), our software as a service (SaaS) content platform, is one of the largest web-hosting and content management SaaS providers in North America. BLOX Digital represents a powerful opportunity to drive additional digital revenue by providing state-of-the-art web hosting and content management services to more than 2,000 customers who rely on BLOX Digital for their web, over-the-top display, mobile, video and social media products.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generate revenue primarily through advertising and marketing services, subscriptions to our digital and print products, and digital services, primarily through our majority-owned subsidiary, BLOX Digital.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major subscription and advertising platform, a trusted local news provider and innovative, digitally-focused marketing solutions company. Our focus is on the local market - including local news and information, local advertising and marketing services to top local accounts, and digital services to local content curators. To align with the core strength of our Company, our operating strategy is locally focused around three pillars:</w:t>
      </w:r>
    </w:p>
    <w:p>
      <w:pPr>
        <w:spacing w:after="0" w:line="13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digital audiences by transforming the way we present local news and information.</w:t>
      </w:r>
    </w:p>
    <w:p>
      <w:pPr>
        <w:spacing w:after="0" w:line="1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digital subscription base and revenue through audience growth and continued conversion of our massive digital audiences.</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Diversify and expand offerings for advertisers through our vast array of rapidly growing digital products, our large digitally adept sales force, and Amplified, our full-service digital agency.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29,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June 29, 2025</w:t>
            </w:r>
          </w:p>
        </w:tc>
        <w:tc>
          <w:tcPr>
            <w:tcW w:w="200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June 23, 2024</w:t>
            </w:r>
          </w:p>
        </w:tc>
        <w:tc>
          <w:tcPr>
            <w:tcW w:w="128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35"/>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2640" w:type="dxa"/>
            <w:vAlign w:val="bottom"/>
            <w:tcBorders>
              <w:bottom w:val="single" w:sz="8" w:color="auto"/>
            </w:tcBorders>
            <w:vMerge w:val="continue"/>
          </w:tcPr>
          <w:p>
            <w:pPr>
              <w:spacing w:after="0"/>
              <w:rPr>
                <w:sz w:val="20"/>
                <w:szCs w:val="20"/>
                <w:color w:val="auto"/>
              </w:rPr>
            </w:pPr>
          </w:p>
        </w:tc>
        <w:tc>
          <w:tcPr>
            <w:tcW w:w="200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17,474</w:t>
            </w:r>
          </w:p>
        </w:tc>
        <w:tc>
          <w:tcPr>
            <w:tcW w:w="2000" w:type="dxa"/>
            <w:vAlign w:val="bottom"/>
          </w:tcPr>
          <w:p>
            <w:pPr>
              <w:jc w:val="right"/>
              <w:ind w:right="550"/>
              <w:spacing w:after="0"/>
              <w:rPr>
                <w:sz w:val="20"/>
                <w:szCs w:val="20"/>
                <w:color w:val="auto"/>
              </w:rPr>
            </w:pPr>
            <w:r>
              <w:rPr>
                <w:rFonts w:ascii="Arial" w:cs="Arial" w:eastAsia="Arial" w:hAnsi="Arial"/>
                <w:sz w:val="18"/>
                <w:szCs w:val="18"/>
                <w:color w:val="auto"/>
              </w:rPr>
              <w:t>18,941</w:t>
            </w: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2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49,097</w:t>
            </w:r>
          </w:p>
        </w:tc>
        <w:tc>
          <w:tcPr>
            <w:tcW w:w="2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49,903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66,571</w:t>
            </w: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68,844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38,076</w:t>
            </w:r>
          </w:p>
        </w:tc>
        <w:tc>
          <w:tcPr>
            <w:tcW w:w="20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47,605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2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23,482</w:t>
            </w: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20,701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61,558</w:t>
            </w:r>
          </w:p>
        </w:tc>
        <w:tc>
          <w:tcPr>
            <w:tcW w:w="2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68,306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532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7,837</w:t>
            </w:r>
          </w:p>
        </w:tc>
        <w:tc>
          <w:tcPr>
            <w:tcW w:w="2000" w:type="dxa"/>
            <w:vAlign w:val="bottom"/>
          </w:tcPr>
          <w:p>
            <w:pPr>
              <w:jc w:val="right"/>
              <w:ind w:right="550"/>
              <w:spacing w:after="0"/>
              <w:rPr>
                <w:sz w:val="20"/>
                <w:szCs w:val="20"/>
                <w:color w:val="auto"/>
              </w:rPr>
            </w:pPr>
            <w:r>
              <w:rPr>
                <w:rFonts w:ascii="Arial" w:cs="Arial" w:eastAsia="Arial" w:hAnsi="Arial"/>
                <w:sz w:val="18"/>
                <w:szCs w:val="18"/>
                <w:color w:val="auto"/>
              </w:rPr>
              <w:t>8,278</w:t>
            </w: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5,328</w:t>
            </w:r>
          </w:p>
        </w:tc>
        <w:tc>
          <w:tcPr>
            <w:tcW w:w="2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5,150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13,165</w:t>
            </w: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13,428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141,294</w:t>
            </w:r>
          </w:p>
        </w:tc>
        <w:tc>
          <w:tcPr>
            <w:tcW w:w="2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150,578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2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47,436</w:t>
            </w:r>
          </w:p>
        </w:tc>
        <w:tc>
          <w:tcPr>
            <w:tcW w:w="20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59,278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3,268</w:t>
            </w:r>
          </w:p>
        </w:tc>
        <w:tc>
          <w:tcPr>
            <w:tcW w:w="2000" w:type="dxa"/>
            <w:vAlign w:val="bottom"/>
          </w:tcPr>
          <w:p>
            <w:pPr>
              <w:jc w:val="right"/>
              <w:ind w:right="550"/>
              <w:spacing w:after="0"/>
              <w:rPr>
                <w:sz w:val="20"/>
                <w:szCs w:val="20"/>
                <w:color w:val="auto"/>
              </w:rPr>
            </w:pPr>
            <w:r>
              <w:rPr>
                <w:rFonts w:ascii="Arial" w:cs="Arial" w:eastAsia="Arial" w:hAnsi="Arial"/>
                <w:sz w:val="18"/>
                <w:szCs w:val="18"/>
                <w:color w:val="auto"/>
              </w:rPr>
              <w:t>4,096</w:t>
            </w:r>
          </w:p>
        </w:tc>
        <w:tc>
          <w:tcPr>
            <w:tcW w:w="12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77,252</w:t>
            </w:r>
          </w:p>
        </w:tc>
        <w:tc>
          <w:tcPr>
            <w:tcW w:w="20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74,177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3,783</w:t>
            </w:r>
          </w:p>
        </w:tc>
        <w:tc>
          <w:tcPr>
            <w:tcW w:w="2000" w:type="dxa"/>
            <w:vAlign w:val="bottom"/>
          </w:tcPr>
          <w:p>
            <w:pPr>
              <w:jc w:val="right"/>
              <w:ind w:right="550"/>
              <w:spacing w:after="0"/>
              <w:rPr>
                <w:sz w:val="20"/>
                <w:szCs w:val="20"/>
                <w:color w:val="auto"/>
              </w:rPr>
            </w:pPr>
            <w:r>
              <w:rPr>
                <w:rFonts w:ascii="Arial" w:cs="Arial" w:eastAsia="Arial" w:hAnsi="Arial"/>
                <w:sz w:val="18"/>
                <w:szCs w:val="18"/>
                <w:color w:val="auto"/>
              </w:rPr>
              <w:t>6,850</w:t>
            </w:r>
          </w:p>
        </w:tc>
        <w:tc>
          <w:tcPr>
            <w:tcW w:w="128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gain on sales, impairments and other</w:t>
            </w:r>
          </w:p>
        </w:tc>
        <w:tc>
          <w:tcPr>
            <w:tcW w:w="2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(1,562)</w:t>
            </w:r>
          </w:p>
        </w:tc>
        <w:tc>
          <w:tcPr>
            <w:tcW w:w="20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(1,421)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2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7,141</w:t>
            </w: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3,795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88.2 %</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137,318</w:t>
            </w:r>
          </w:p>
        </w:tc>
        <w:tc>
          <w:tcPr>
            <w:tcW w:w="20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146,775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686</w:t>
            </w: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1,122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4,662</w:t>
            </w:r>
          </w:p>
        </w:tc>
        <w:tc>
          <w:tcPr>
            <w:tcW w:w="2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4,925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6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(10,132)</w:t>
            </w:r>
          </w:p>
        </w:tc>
        <w:tc>
          <w:tcPr>
            <w:tcW w:w="20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(10,082)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Pension and OPEB related benefit and other, net</w:t>
            </w:r>
          </w:p>
        </w:tc>
        <w:tc>
          <w:tcPr>
            <w:tcW w:w="2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1,050</w:t>
            </w:r>
          </w:p>
        </w:tc>
        <w:tc>
          <w:tcPr>
            <w:tcW w:w="2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617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70.2 %</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net</w:t>
            </w:r>
          </w:p>
        </w:tc>
        <w:tc>
          <w:tcPr>
            <w:tcW w:w="26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(9,082)</w:t>
            </w:r>
          </w:p>
        </w:tc>
        <w:tc>
          <w:tcPr>
            <w:tcW w:w="20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(9,465)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640" w:type="dxa"/>
            <w:vAlign w:val="bottom"/>
          </w:tcPr>
          <w:p>
            <w:pPr>
              <w:jc w:val="right"/>
              <w:ind w:right="190"/>
              <w:spacing w:after="0"/>
              <w:rPr>
                <w:sz w:val="20"/>
                <w:szCs w:val="20"/>
                <w:color w:val="auto"/>
              </w:rPr>
            </w:pPr>
            <w:r>
              <w:rPr>
                <w:rFonts w:ascii="Arial" w:cs="Arial" w:eastAsia="Arial" w:hAnsi="Arial"/>
                <w:sz w:val="18"/>
                <w:szCs w:val="18"/>
                <w:color w:val="auto"/>
              </w:rPr>
              <w:t>(4,420)</w:t>
            </w:r>
          </w:p>
        </w:tc>
        <w:tc>
          <w:tcPr>
            <w:tcW w:w="2000" w:type="dxa"/>
            <w:vAlign w:val="bottom"/>
          </w:tcPr>
          <w:p>
            <w:pPr>
              <w:jc w:val="right"/>
              <w:ind w:right="510"/>
              <w:spacing w:after="0"/>
              <w:rPr>
                <w:sz w:val="20"/>
                <w:szCs w:val="20"/>
                <w:color w:val="auto"/>
              </w:rPr>
            </w:pPr>
            <w:r>
              <w:rPr>
                <w:rFonts w:ascii="Arial" w:cs="Arial" w:eastAsia="Arial" w:hAnsi="Arial"/>
                <w:sz w:val="18"/>
                <w:szCs w:val="18"/>
                <w:color w:val="auto"/>
              </w:rPr>
              <w:t>(4,540)</w:t>
            </w: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(2,744)</w:t>
            </w:r>
          </w:p>
        </w:tc>
        <w:tc>
          <w:tcPr>
            <w:tcW w:w="20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(849)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w:t>
            </w:r>
          </w:p>
        </w:tc>
        <w:tc>
          <w:tcPr>
            <w:tcW w:w="2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(1,676)</w:t>
            </w:r>
          </w:p>
        </w:tc>
        <w:tc>
          <w:tcPr>
            <w:tcW w:w="2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(3,691)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Loss per common share:</w:t>
            </w:r>
          </w:p>
        </w:tc>
        <w:tc>
          <w:tcPr>
            <w:tcW w:w="26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(0.31)</w:t>
            </w:r>
          </w:p>
        </w:tc>
        <w:tc>
          <w:tcPr>
            <w:tcW w:w="20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(0.73)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2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(0.31)</w:t>
            </w:r>
          </w:p>
        </w:tc>
        <w:tc>
          <w:tcPr>
            <w:tcW w:w="2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(0.73)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the “2025 Quarter” refer to the three months ended June 29, 2025. Similarly, references to the “2024 Quarter” refer to the three months ended June 23, 2024.</w:t>
      </w:r>
    </w:p>
    <w:p>
      <w:pPr>
        <w:spacing w:after="0" w:line="12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$141.3 million in the 2025 Quarter, down $9.3 million, or 6.2%, compared to the 2024 Quarter.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and marketing services revenue totaled $66.6 million in the 2025 Quarter, down 3.3% compared to the 2024 Quarter. Print advertising revenues were $17.5 million in the 2025 Quarter, down 7.7% compared to the 2024 Quarter due to continued secular declines in demand for print advertising and impacts from the Cyber Incident, which limited capacity for print advertising for certain publications for a short period of time. Digital advertising and marketing services totaled $49.1 million in the 2025 Quarter, down 1.6% compared to the 2024 Quarter. Digital advertising and marketing services represented 73.8% of the 2025 Quarter total advertising and marketing services revenue, compared to 72.5% in the same period last year.</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$61.6 million in the 2025 Quarter, down 9.9% compared to the 2024 Quarter. Decline in full access volume, consistent with historical and industry trends were partially offset by selective increases on our full access subscriptions, and price increases on digital subscriptions. Digital-only subscribers now total 670,000. Digital-only subscription revenue grew 13.4% compared to the 2024 Quarter.</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revenue, which primarily consists of commercial printing revenue and digital services from BLOX Digital, decreased $0.3 million, or 2.0%, in the 2025 Quarter compared to the 2024 Quarter. Digital services revenue totaled $5.3 million in the 2025 Quarter, a 3.5% increase compared to the 2024 Quarter. Commercial printing revenue totaled $4.2 million in the 2025 Quarter, a 4.9% decrease compared to the 2024 Quarter, primarily driven by reduction in print volumes from our partners.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$77.9 million in the 2025 Quarter, an increase of 2.8% over the 2024 Quarter, and represented 55.1% of our total operating revenue in the 2025 Quarter.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$0.4 million in the 2025 Quarter.</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operating expenses were $137.3 million in the 2025 Quarter, a 6.4% decrease compared to the 2024 Quarter. Cash Costs, a non-GAAP financial measure used to summarize certain operating expense (see reconciliation of Non-GAAP financial measures below), were down 7.0% in the 2025 Quarter.</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Compensation expense decreased $11.8 million in the 2025 Quarter, or 20.0%, compared to the 2024 Quarter from reductions in full time employees ("FTEs") due to continued business transformation efforts, partially offset by investments in digital talent and higher expenses related to the Company's self-insured medical plan.</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Newsprint and ink costs decreased $0.8 million in the 2025 Quarter, or 20.2%, compared to the 2024 Quarter. The decrease is attributable to declines in newsprint volumes.</w:t>
      </w:r>
    </w:p>
    <w:p>
      <w:pPr>
        <w:spacing w:after="0" w:line="11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Other operating expenses increased $3.1 million in the 2025 Quarter, or 4.1%, compared to the 2024 Quarter. Other operating expenses include all operating costs not considered to be compensation, newsprint, depreciation and amortization, or restructuring costs and assets loss on sales, impairments, and other, net. The largest components are costs associated with printing and distribution of our printed products, digital cost of goods sold and facility expenses. The increase is attributable to investments to our digital growth.</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Restructuring costs and other increased $3.3 million, or 88.2%, compared to the 2024 Quarter. The increase is primarily driven from costs associated with recovering from the Cyber Incident, closing down outsourced production facilities, ongoing business transformation efforts, and severance. Restructuring costs and other include severance costs, litigation expenses, restructuring expenses, cyber restoration costs, and advisor expenses.</w:t>
      </w:r>
    </w:p>
    <w:p>
      <w:pPr>
        <w:spacing w:after="0" w:line="1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Depreciation and amortization expense decreased $3.1 million, or 44.8%, in the 2025 Quarter. The decrease in both is attributable to assets becoming fully depreciated or amortized.</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Assets gain on sales, impairments and other, was a net gain of $1.6 million in the 2025 Quarter compared to a net gain of $1.4 million in the 2024 Quarter. Assets gain on sales in both quarters were due to asset sales.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an operating income of $4.7 million in the 2025 Quarter compared to $4.9 million in the 2024 Quarter.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Non-operating income and expense decreased by $0.4 million</w:t>
      </w:r>
      <w:r>
        <w:rPr>
          <w:rFonts w:ascii="Arial" w:cs="Arial" w:eastAsia="Arial" w:hAnsi="Arial"/>
          <w:sz w:val="21"/>
          <w:szCs w:val="21"/>
          <w:color w:val="auto"/>
        </w:rPr>
        <w:t>, or</w:t>
      </w:r>
      <w:r>
        <w:rPr>
          <w:rFonts w:ascii="Arial" w:cs="Arial" w:eastAsia="Arial" w:hAnsi="Arial"/>
          <w:sz w:val="18"/>
          <w:szCs w:val="18"/>
          <w:color w:val="auto"/>
        </w:rPr>
        <w:t xml:space="preserve"> 4.0%. The decrease is primarily driven by an increase in Pension and OPEB related benefits offset by an increase in Interest expense of $0.1 million, or 0.5%, to $ 10.1 million in the 2025 Quarter, compared to the same Quarter last year. The increase to interest expense was due to the interest and rent waivers received in the second quarter which was added to the outstanding balance on our Term Loan. Our weighted average cost of debt was 9% at the end of the 2025 Quarter and 2024 Quarter.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Benefit</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recorded an income tax benefit of $2.7 million, or 61.4% of pretax loss in the 2025 Quarter. In the 2024 Quarter, we recognized an income tax benefit of $0.8 million, or 18.7% of pretax loss.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loss and Loss Per Share</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Net loss was $1.7 million and diluted loss per share were $0.31 for the 2025 Quarter compared to net loss of $3.7 million and diluted losses per share of $0.73 for the 2024 Quarter. The change reflects the various items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June 29,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26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June 29, 2025</w:t>
            </w:r>
          </w:p>
        </w:tc>
        <w:tc>
          <w:tcPr>
            <w:tcW w:w="1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June 23, 2024</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Percent Change</w:t>
            </w:r>
          </w:p>
        </w:tc>
      </w:tr>
      <w:tr>
        <w:trPr>
          <w:trHeight w:val="250"/>
        </w:trPr>
        <w:tc>
          <w:tcPr>
            <w:tcW w:w="53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600" w:type="dxa"/>
            <w:vAlign w:val="bottom"/>
          </w:tcPr>
          <w:p>
            <w:pPr>
              <w:jc w:val="right"/>
              <w:ind w:right="250"/>
              <w:spacing w:after="0"/>
              <w:rPr>
                <w:sz w:val="20"/>
                <w:szCs w:val="20"/>
                <w:color w:val="auto"/>
              </w:rPr>
            </w:pPr>
            <w:r>
              <w:rPr>
                <w:rFonts w:ascii="Arial" w:cs="Arial" w:eastAsia="Arial" w:hAnsi="Arial"/>
                <w:sz w:val="18"/>
                <w:szCs w:val="18"/>
                <w:color w:val="auto"/>
              </w:rPr>
              <w:t>53,867</w:t>
            </w: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62,118</w:t>
            </w:r>
          </w:p>
        </w:tc>
        <w:tc>
          <w:tcPr>
            <w:tcW w:w="16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5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2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139,766</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141,747</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193,633</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203,865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122,587</w:t>
            </w:r>
          </w:p>
        </w:tc>
        <w:tc>
          <w:tcPr>
            <w:tcW w:w="1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148,443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2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68,836</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60,429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13.9 %</w:t>
            </w: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191,423</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208,872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536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600" w:type="dxa"/>
            <w:vAlign w:val="bottom"/>
          </w:tcPr>
          <w:p>
            <w:pPr>
              <w:jc w:val="right"/>
              <w:ind w:right="250"/>
              <w:spacing w:after="0"/>
              <w:rPr>
                <w:sz w:val="20"/>
                <w:szCs w:val="20"/>
                <w:color w:val="auto"/>
              </w:rPr>
            </w:pPr>
            <w:r>
              <w:rPr>
                <w:rFonts w:ascii="Arial" w:cs="Arial" w:eastAsia="Arial" w:hAnsi="Arial"/>
                <w:sz w:val="18"/>
                <w:szCs w:val="18"/>
                <w:color w:val="auto"/>
              </w:rPr>
              <w:t>22,938</w:t>
            </w: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24,839</w:t>
            </w:r>
          </w:p>
        </w:tc>
        <w:tc>
          <w:tcPr>
            <w:tcW w:w="16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5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15,241</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15,230</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38,179</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40,069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423,235</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452,806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2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164,349</w:t>
            </w:r>
          </w:p>
        </w:tc>
        <w:tc>
          <w:tcPr>
            <w:tcW w:w="1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175,757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2600" w:type="dxa"/>
            <w:vAlign w:val="bottom"/>
          </w:tcPr>
          <w:p>
            <w:pPr>
              <w:jc w:val="right"/>
              <w:ind w:right="250"/>
              <w:spacing w:after="0"/>
              <w:rPr>
                <w:sz w:val="20"/>
                <w:szCs w:val="20"/>
                <w:color w:val="auto"/>
              </w:rPr>
            </w:pPr>
            <w:r>
              <w:rPr>
                <w:rFonts w:ascii="Arial" w:cs="Arial" w:eastAsia="Arial" w:hAnsi="Arial"/>
                <w:sz w:val="18"/>
                <w:szCs w:val="18"/>
                <w:color w:val="auto"/>
              </w:rPr>
              <w:t>9,996</w:t>
            </w: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13,101</w:t>
            </w:r>
          </w:p>
        </w:tc>
        <w:tc>
          <w:tcPr>
            <w:tcW w:w="160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29"/>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223,387</w:t>
            </w:r>
          </w:p>
        </w:tc>
        <w:tc>
          <w:tcPr>
            <w:tcW w:w="1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221,247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jc w:val="right"/>
              <w:ind w:right="250"/>
              <w:spacing w:after="0"/>
              <w:rPr>
                <w:sz w:val="20"/>
                <w:szCs w:val="20"/>
                <w:color w:val="auto"/>
              </w:rPr>
            </w:pPr>
            <w:r>
              <w:rPr>
                <w:rFonts w:ascii="Arial" w:cs="Arial" w:eastAsia="Arial" w:hAnsi="Arial"/>
                <w:sz w:val="18"/>
                <w:szCs w:val="18"/>
                <w:color w:val="auto"/>
              </w:rPr>
              <w:t>15,218</w:t>
            </w: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21,438</w:t>
            </w:r>
          </w:p>
        </w:tc>
        <w:tc>
          <w:tcPr>
            <w:tcW w:w="16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loss (gain) on sales, impairments and other</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(2,365)</w:t>
            </w:r>
          </w:p>
        </w:tc>
        <w:tc>
          <w:tcPr>
            <w:tcW w:w="1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4,727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2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18,806</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12,199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54.2 %</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429,391</w:t>
            </w:r>
          </w:p>
        </w:tc>
        <w:tc>
          <w:tcPr>
            <w:tcW w:w="1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448,469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2,963</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3,869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(3,193)</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8,206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(30,365)</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(30,427)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Pension and OPEB related benefit and other, net</w:t>
            </w:r>
          </w:p>
        </w:tc>
        <w:tc>
          <w:tcPr>
            <w:tcW w:w="2600" w:type="dxa"/>
            <w:vAlign w:val="bottom"/>
          </w:tcPr>
          <w:p>
            <w:pPr>
              <w:jc w:val="right"/>
              <w:ind w:right="250"/>
              <w:spacing w:after="0"/>
              <w:rPr>
                <w:sz w:val="20"/>
                <w:szCs w:val="20"/>
                <w:color w:val="auto"/>
              </w:rPr>
            </w:pPr>
            <w:r>
              <w:rPr>
                <w:rFonts w:ascii="Arial" w:cs="Arial" w:eastAsia="Arial" w:hAnsi="Arial"/>
                <w:sz w:val="18"/>
                <w:szCs w:val="18"/>
                <w:color w:val="auto"/>
              </w:rPr>
              <w:t>2,362</w:t>
            </w: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1,096</w:t>
            </w:r>
          </w:p>
        </w:tc>
        <w:tc>
          <w:tcPr>
            <w:tcW w:w="16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Curtailment/Settlement gains</w:t>
            </w:r>
          </w:p>
        </w:tc>
        <w:tc>
          <w:tcPr>
            <w:tcW w:w="2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3,593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(28,003)</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(25,738)</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8.8 %</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(31,196)</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(17,532)</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77.9 %</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(1,281)</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(3,438)</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(29,915)</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(14,094)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70"/>
        </w:trPr>
        <w:tc>
          <w:tcPr>
            <w:tcW w:w="53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common share:</w:t>
            </w:r>
          </w:p>
        </w:tc>
        <w:tc>
          <w:tcPr>
            <w:tcW w:w="26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Basic</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(5.16)</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(2.68)</w:t>
            </w:r>
          </w:p>
        </w:tc>
        <w:tc>
          <w:tcPr>
            <w:tcW w:w="1600" w:type="dxa"/>
            <w:vAlign w:val="bottom"/>
          </w:tcPr>
          <w:p>
            <w:pPr>
              <w:jc w:val="right"/>
              <w:spacing w:after="0"/>
              <w:rPr>
                <w:sz w:val="20"/>
                <w:szCs w:val="20"/>
                <w:color w:val="auto"/>
              </w:rPr>
            </w:pPr>
            <w:r>
              <w:rPr>
                <w:rFonts w:ascii="Arial" w:cs="Arial" w:eastAsia="Arial" w:hAnsi="Arial"/>
                <w:sz w:val="18"/>
                <w:szCs w:val="18"/>
                <w:color w:val="auto"/>
              </w:rPr>
              <w:t>92.7 %</w:t>
            </w:r>
          </w:p>
        </w:tc>
      </w:tr>
      <w:tr>
        <w:trPr>
          <w:trHeight w:val="230"/>
        </w:trPr>
        <w:tc>
          <w:tcPr>
            <w:tcW w:w="5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(5.16)</w:t>
            </w: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(2.68)</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92.7 %</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the “2025 Period” refer to the nine months ended June 29, 2025. Similarly, references to the “2024 Period” refer to the nine months ended June 23, 2024.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$423.2 million in the 2025 Period, down $29.6 million, or 6.5%, compared to the 2024 Period.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and marketing services revenue totaled $193.6 million in the 2025 Period, down 5.0% compared to the 2024 Period. Print advertising revenues were $53.9 million in the 2025 Period, down 13.3% compared to the 2024 Period due to continued secular declines in demand for print advertising and impacts from the Cyber Incident, which limited capacity for print advertising for certain publications for a short period of time. Digital advertising and marketing services totaled $139.8 million in the 2025 Period, down 1.4% compared to the 2024 Period. Digital advertising and marketing services represented 72.2% of the 2025 Period total advertising and marketing services revenue, compared to 69.5% during the 2024 Period.</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$191.4 million in the 2025 Period, down 8.4% compared to the 2024 Period. Decline in full access volume, consistent with historical and industry trends were partially offset by selective increases on our full access subscriptions, and price increases on digital subscriptions. Digital-only subscribers now total 670,000. Digital-only subscription revenue grew 14.0% compared to the 2024 Period.</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revenue, which primarily consists of commercial printing revenue and digital services from BLOX Digital, decreased $1.9 million, or 4.7%, in the 2025 Period compared to the 2024 Period. Digital services revenue totaled $15.2 million in the 2025 Period, a 0.1% increase compared to the 2024 Period. Commercial printing revenue totaled $12.1 million in the 2025 Period, a 8.0% decrease compared to the 2024 Period, primarily driven by reductions in print volumes from our partners.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$ 223.8 million in the 2025 Period, an increase of 3.0% over the 2024 Period, and represented 52.9% of our total operating revenue in the 2025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$0.9 million in the 2025 Period.</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Total operating expenses were $429.4 million in the 2025 Period, a 4.3% decrease compared to the 2024 Period. Cash Costs, a non-GAAP financial measure used to summarize certain operating expense (see reconciliation of Non-GAAP financial measures below), were down 3.0% in the 2025 Period.</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Compensation expense decreased $11.4 million in the 2025 Period, or 6.5%, compared to the 2024 Period from reductions in full time employees ("FTEs") due to continued business transformation efforts, partially offset by investments in digital talent and higher expenses related to the Company's self-insured medical plan.</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Newsprint and ink costs decreased $3.1 million in the 2025 Period, or 23.7%, compared to the 2024 Period. The decrease is attributable to declines in newsprint volumes.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operating expenses increased $2.1 million in the 2025 Period, or 1.0%, compared to the 2024 Period. Other operating expenses include all operating costs not considered to be compensation, newsprint, depreciation and amortization, or restructuring costs and assets loss (gain) on sales, impairments, and other, net. The largest components are costs associated with printing and distribution of our printed products, digital cost of goods sold and facility expenses. The increase is attributable to investments to our digital growth.</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Restructuring costs and other increased $6.6 million in the 2025 Period, compared to the 2024 Period. The increase is primarily driven from costs associated with recovering from the Cyber Incident, closing down outsourced production facilities, ongoing business transformation efforts, and severance. Restructuring costs and other include severance costs, litigation expenses, restructuring expenses, cyber restoration costs, and advisor expenses.</w:t>
      </w:r>
    </w:p>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Depreciation and amortization expense decreased $6.2 million in the 2025 Period, or 29.0%, compared to the 2024 Period. The decrease in both is attributable to assets becoming fully depreciated or amortized.</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loss (gain) on sales, impairments and other, was a net gain of $2.4 million in the 2025 Period compared to a net loss of $4.7 million in the 2024 Period. Assets loss (gain) on sales, impairments and other in the 2024 Period were primarily due to non-cash charges of $7.6 million that were recorded to reduce the carrying value of</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mastheads, which are non-amortized intangible assets. Assets gain on sales, impairments and other in the 2025 Period were the result of the disposition of non-core assets, including real estate.</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factors noted above resulted in an operating loss of $3.2 million in the 2025 Period compared to operating income of $8.2 million in the 2024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decreased $0.1 million, or 0.2%, to $30.4 million in the 2025 Period, compared to the same period last year. The decrease was due to a lower average outstanding balance on our Term Loan. Our weighted average cost of debt was 9% at the end of the 2025 Period and 2024 Period.</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We recorded $2.2 million of periodic pension and other postretirement benefits in the 2025 Period compared to $4.7 million in the 2024 Period. The decrease was attributable due to the Company recognizing a non-cash curtailment gain of $1.2 million in the 2024 Period as a result of outsourcing certain postemployment defined benefit plan functions. Additionally, during the 2024 Period, the Company completed a voluntary lump sum payment of future benefits to terminated vested participants. The offer was accepted by 522 participants, representing a $ 22.6 million pension plan liability. As a result of the offer, a non-cash settlement gain of $2.4 million was recorded in Curtailment/Settlement gain on the Consolidated Statements of Loss and Comprehensive Loss. Both assets and liabilities of the plan were reduced by $22.6 million.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Benefit</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an income tax expense of $1.3 million, or 4.1% of pretax loss in the 2025 Period. In the 2024 Period, we recognized an income tax benefit of $3.4 million, or 19.6% of pretax loss.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loss and Loss Per Share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loss was $29.9 million and diluted loss per share were $5.16 for the 2025 Period compared to net loss of $14.1 million and diluted losses per share of $2.68 for the 2024 Period. The change reflects the various items discussed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Adjusted EBITDA and Cash Costs are reconciled to net income (loss) and operating expenses, below, the closest comparable numbers under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0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2"/>
          </w:tcPr>
          <w:p>
            <w:pPr>
              <w:jc w:val="right"/>
              <w:ind w:right="870"/>
              <w:spacing w:after="0"/>
              <w:rPr>
                <w:sz w:val="20"/>
                <w:szCs w:val="20"/>
                <w:color w:val="auto"/>
              </w:rPr>
            </w:pPr>
            <w:r>
              <w:rPr>
                <w:rFonts w:ascii="Arial" w:cs="Arial" w:eastAsia="Arial" w:hAnsi="Arial"/>
                <w:sz w:val="18"/>
                <w:szCs w:val="18"/>
                <w:color w:val="auto"/>
              </w:rPr>
              <w:t>Three months ended</w:t>
            </w:r>
          </w:p>
        </w:tc>
        <w:tc>
          <w:tcPr>
            <w:tcW w:w="2980" w:type="dxa"/>
            <w:vAlign w:val="bottom"/>
            <w:tcBorders>
              <w:top w:val="single" w:sz="8" w:color="auto"/>
              <w:bottom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Nine months ended</w:t>
            </w:r>
          </w:p>
        </w:tc>
      </w:tr>
      <w:tr>
        <w:trPr>
          <w:trHeight w:val="22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June 29, 2025</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June 23, 2024</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June 29, 2025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23, 2024</w:t>
            </w:r>
          </w:p>
        </w:tc>
      </w:tr>
      <w:tr>
        <w:trPr>
          <w:trHeight w:val="250"/>
        </w:trPr>
        <w:tc>
          <w:tcPr>
            <w:tcW w:w="49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(1,676)</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(3,691)</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(29,915)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(14,094)</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Adjusted to exclude</w:t>
            </w:r>
          </w:p>
        </w:tc>
        <w:tc>
          <w:tcPr>
            <w:tcW w:w="1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(2,744)</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(849)</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(1,281)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Non-operating expenses, net</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9,082</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9,465</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28,003</w:t>
            </w:r>
          </w:p>
        </w:tc>
        <w:tc>
          <w:tcPr>
            <w:tcW w:w="1380" w:type="dxa"/>
            <w:vAlign w:val="bottom"/>
          </w:tcPr>
          <w:p>
            <w:pPr>
              <w:jc w:val="right"/>
              <w:spacing w:after="0"/>
              <w:rPr>
                <w:sz w:val="20"/>
                <w:szCs w:val="20"/>
                <w:color w:val="auto"/>
              </w:rPr>
            </w:pPr>
            <w:r>
              <w:rPr>
                <w:rFonts w:ascii="Arial" w:cs="Arial" w:eastAsia="Arial" w:hAnsi="Arial"/>
                <w:sz w:val="18"/>
                <w:szCs w:val="18"/>
                <w:color w:val="auto"/>
              </w:rPr>
              <w:t>25,738</w:t>
            </w: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TNI and MNI</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(686)</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(1,122)</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(2,963)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3,783</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6,850</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15,218</w:t>
            </w:r>
          </w:p>
        </w:tc>
        <w:tc>
          <w:tcPr>
            <w:tcW w:w="1380" w:type="dxa"/>
            <w:vAlign w:val="bottom"/>
          </w:tcPr>
          <w:p>
            <w:pPr>
              <w:jc w:val="right"/>
              <w:spacing w:after="0"/>
              <w:rPr>
                <w:sz w:val="20"/>
                <w:szCs w:val="20"/>
                <w:color w:val="auto"/>
              </w:rPr>
            </w:pPr>
            <w:r>
              <w:rPr>
                <w:rFonts w:ascii="Arial" w:cs="Arial" w:eastAsia="Arial" w:hAnsi="Arial"/>
                <w:sz w:val="18"/>
                <w:szCs w:val="18"/>
                <w:color w:val="auto"/>
              </w:rPr>
              <w:t>21,438</w:t>
            </w: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7,141</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3,795</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18,806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12,199</w:t>
            </w: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Assets (gain) loss on sales, impairments and other, net</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(1,562)</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(1,421)</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(2,365)</w:t>
            </w:r>
          </w:p>
        </w:tc>
        <w:tc>
          <w:tcPr>
            <w:tcW w:w="1380" w:type="dxa"/>
            <w:vAlign w:val="bottom"/>
          </w:tcPr>
          <w:p>
            <w:pPr>
              <w:jc w:val="right"/>
              <w:spacing w:after="0"/>
              <w:rPr>
                <w:sz w:val="20"/>
                <w:szCs w:val="20"/>
                <w:color w:val="auto"/>
              </w:rPr>
            </w:pPr>
            <w:r>
              <w:rPr>
                <w:rFonts w:ascii="Arial" w:cs="Arial" w:eastAsia="Arial" w:hAnsi="Arial"/>
                <w:sz w:val="18"/>
                <w:szCs w:val="18"/>
                <w:color w:val="auto"/>
              </w:rPr>
              <w:t>4,727</w:t>
            </w: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540</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474</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1,328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Add:</w:t>
            </w:r>
          </w:p>
        </w:tc>
        <w:tc>
          <w:tcPr>
            <w:tcW w:w="1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Ownership share of TNI and MNI EBITDA (50%)</w:t>
            </w:r>
          </w:p>
        </w:tc>
        <w:tc>
          <w:tcPr>
            <w:tcW w:w="1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1,066</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1,323</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3,488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r>
      <w:tr>
        <w:trPr>
          <w:trHeight w:val="22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1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14,944</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14,824</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30,319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48,534</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902"/>
        </w:trPr>
        <w:tc>
          <w:tcPr>
            <w:tcW w:w="4900" w:type="dxa"/>
            <w:vAlign w:val="bottom"/>
          </w:tcPr>
          <w:p>
            <w:pPr>
              <w:spacing w:after="0"/>
              <w:rPr>
                <w:sz w:val="24"/>
                <w:szCs w:val="24"/>
                <w:color w:val="auto"/>
              </w:rPr>
            </w:pPr>
          </w:p>
        </w:tc>
        <w:tc>
          <w:tcPr>
            <w:tcW w:w="1760" w:type="dxa"/>
            <w:vAlign w:val="bottom"/>
          </w:tcPr>
          <w:p>
            <w:pPr>
              <w:jc w:val="right"/>
              <w:ind w:right="850"/>
              <w:spacing w:after="0"/>
              <w:rPr>
                <w:sz w:val="20"/>
                <w:szCs w:val="20"/>
                <w:color w:val="auto"/>
              </w:rPr>
            </w:pPr>
            <w:r>
              <w:rPr>
                <w:rFonts w:ascii="Arial" w:cs="Arial" w:eastAsia="Arial" w:hAnsi="Arial"/>
                <w:sz w:val="18"/>
                <w:szCs w:val="18"/>
                <w:color w:val="auto"/>
              </w:rPr>
              <w:t>23</w:t>
            </w: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1"/>
        </w:trPr>
        <w:tc>
          <w:tcPr>
            <w:tcW w:w="49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0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2"/>
          </w:tcPr>
          <w:p>
            <w:pPr>
              <w:jc w:val="right"/>
              <w:ind w:right="870"/>
              <w:spacing w:after="0"/>
              <w:rPr>
                <w:sz w:val="20"/>
                <w:szCs w:val="20"/>
                <w:color w:val="auto"/>
              </w:rPr>
            </w:pPr>
            <w:r>
              <w:rPr>
                <w:rFonts w:ascii="Arial" w:cs="Arial" w:eastAsia="Arial" w:hAnsi="Arial"/>
                <w:sz w:val="18"/>
                <w:szCs w:val="18"/>
                <w:color w:val="auto"/>
              </w:rPr>
              <w:t>Three months ended</w:t>
            </w:r>
          </w:p>
        </w:tc>
        <w:tc>
          <w:tcPr>
            <w:tcW w:w="2980" w:type="dxa"/>
            <w:vAlign w:val="bottom"/>
            <w:tcBorders>
              <w:top w:val="single" w:sz="8" w:color="auto"/>
              <w:bottom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Nine months ended</w:t>
            </w:r>
          </w:p>
        </w:tc>
      </w:tr>
      <w:tr>
        <w:trPr>
          <w:trHeight w:val="22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June 29, 2025</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June 23, 2024</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June 29, 2025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23, 2024</w:t>
            </w:r>
          </w:p>
        </w:tc>
      </w:tr>
      <w:tr>
        <w:trPr>
          <w:trHeight w:val="250"/>
        </w:trPr>
        <w:tc>
          <w:tcPr>
            <w:tcW w:w="49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137,318</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146,775</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429,391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448,469</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3,783</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6,850</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15,218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21,438</w:t>
            </w: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Assets (gain) loss on sales, impairments and other, net</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(1,562)</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(1,421)</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(2,365)</w:t>
            </w:r>
          </w:p>
        </w:tc>
        <w:tc>
          <w:tcPr>
            <w:tcW w:w="1380" w:type="dxa"/>
            <w:vAlign w:val="bottom"/>
          </w:tcPr>
          <w:p>
            <w:pPr>
              <w:jc w:val="right"/>
              <w:spacing w:after="0"/>
              <w:rPr>
                <w:sz w:val="20"/>
                <w:szCs w:val="20"/>
                <w:color w:val="auto"/>
              </w:rPr>
            </w:pPr>
            <w:r>
              <w:rPr>
                <w:rFonts w:ascii="Arial" w:cs="Arial" w:eastAsia="Arial" w:hAnsi="Arial"/>
                <w:sz w:val="18"/>
                <w:szCs w:val="18"/>
                <w:color w:val="auto"/>
              </w:rPr>
              <w:t>4,727</w:t>
            </w:r>
          </w:p>
        </w:tc>
      </w:tr>
      <w:tr>
        <w:trPr>
          <w:trHeight w:val="229"/>
        </w:trPr>
        <w:tc>
          <w:tcPr>
            <w:tcW w:w="4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1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7,141</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3,795</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18,806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12,199</w:t>
            </w:r>
          </w:p>
        </w:tc>
      </w:tr>
      <w:tr>
        <w:trPr>
          <w:trHeight w:val="22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Costs</w:t>
            </w:r>
          </w:p>
        </w:tc>
        <w:tc>
          <w:tcPr>
            <w:tcW w:w="1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127,956</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137,551</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397,732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410,105</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flows is included in the narrative below.</w:t>
      </w:r>
    </w:p>
    <w:p>
      <w:pPr>
        <w:spacing w:after="0" w:line="18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Operating Activities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required for operating activities totaled $0.8 million in the 2025 Period compared to cash provided by operating activities of $1.4 million in 2024 Period, a decrease of $0.6 million. The decrease was primarily driven by a decrease in operating results of $24.1 million (defined as net loss adjusted for non-working capital items), partially offset by non-cash interest expense of $10.1 million and an increase in working capital of $13.4 million. The increase in working capital is primarily related to the cyber incident, which increased both accounts payable and accounts receivable.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provided by investing activities totaled $5.1 million in the 2025 Period compared to cash provided by investing activities of $ 0.5 million in the 2024 Period. 2025 Period and 2024 Period included $8.7 million and $7.1 million, respectively, in proceeds from the sale of assets as the Company divested non-core real estate.</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anticipate that funds necessary for capital expenditures, which are expected to total up to $7.0 million in 2025, and other requirements, will be available from internally generated funds.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Cash required for financing activities totaled $ 1.4 million in the 2025 Period compared to $3.0 million required in the 2024 Period. The Debt reduction accounted for nearly all the usage of funds in both periods.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on Liquidity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liquidity, consisting of cash on the balance sheet, totaled $14.1 million on June 29, 2025. This liquidity amount excludes any future cash flows from operations. For the nine months ending June 29, 2025, cash provided by operating activities totaled $0.8 million. The current operating environment, business transformation spending, and impacts from the Cyber Incident have reduced net cash flows and put pressure on the Company's liquidity. In response to the current challenges, the Company has implemented specific plans to maintain sufficient liquidity for the foreseeable future.</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plan includes reducing operating and capital spending and reducing outstanding accounts receivable. Reductions in operating expenses and capital spending largely impact the Company's print businesses and future products that are not generating revenue today. Due to the cyber incident and in an effort to improve liquidity, the Company was granted waivers of interest and rent for three months.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executed its plan in the 13 weeks ended June 29, 2025, resulting in an improvement in operating results (defined as net loss adjusted for non-working capital items). This improvement marked a significant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milestone in the cyber recovery, as since May 2025 all mandatory and principal payments were funded through cash from operations. The Company anticipates the improvement to continue into future quarters.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are paid more than the current United States or state minimum wage rates. However, until changes to such rates are enacted, the impact of the changes cannot be determined.</w:t>
      </w:r>
    </w:p>
    <w:p>
      <w:pPr>
        <w:spacing w:after="0" w:line="14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13 weeks ended June 29, 2025 that have materially affected, or are reasonably likely to materially affect, our internal control over financial reporting.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0" w:lineRule="exact"/>
        <w:rPr>
          <w:sz w:val="20"/>
          <w:szCs w:val="20"/>
          <w:color w:val="auto"/>
        </w:rPr>
      </w:pPr>
    </w:p>
    <w:p>
      <w:pPr>
        <w:spacing w:after="0" w:line="38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have a material adverse effect on our Consolidated Financial Statements, taken as a whole.</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Video Privacy Protection Act Litigation and Settlement. </w:t>
      </w:r>
      <w:r>
        <w:rPr>
          <w:rFonts w:ascii="Arial" w:cs="Arial" w:eastAsia="Arial" w:hAnsi="Arial"/>
          <w:sz w:val="18"/>
          <w:szCs w:val="18"/>
          <w:color w:val="auto"/>
        </w:rPr>
        <w:t>The Company was named as a defendant by a group of Plaintiffs acting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a proposed class of digital subscribers in a lawsuit in 2022. The lawsuit alleged that the Company violated the Video Privacy Protection Act (“VPPA”) by using pixels to track subscribers’ video viewing activity on Company websites and sharing it with Meta without consent.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has agreed to a preliminary settlement with the Plaintiffs for $9.5 million, subject to required court approval. The entire settlement amount will be paid by the Company’s insurance carriers.</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settlement liability and insurance receivable are recorded within “Compensation and other accrued liabilities” and “Prepaids and other” on the Consolidated Balance Sheets as of June 29, 2025 and September 29, 2024, respectively.</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Cybersecurity Incident Litigation. </w:t>
      </w:r>
      <w:r>
        <w:rPr>
          <w:rFonts w:ascii="Arial" w:cs="Arial" w:eastAsia="Arial" w:hAnsi="Arial"/>
          <w:sz w:val="18"/>
          <w:szCs w:val="18"/>
          <w:color w:val="auto"/>
        </w:rPr>
        <w:t>As previously disclosed, the Company experienced a cybersecurity incident during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2025, which involved unauthorized access to certain systems and data. Following public disclosure of the incident, the Company was named as a defendant in several putative class action lawsuits filed in or around June 2025, in the United States District Court for the Southern District of Iowa on behalf of all individuals affected by the cybersecurity incident, including those who received notice of the incident. These lawsuits generally allege, among other things, that the Company failed to adequately protect personal or sensitive information and seek unspecified damages and other relief.</w:t>
      </w:r>
    </w:p>
    <w:p>
      <w:pPr>
        <w:spacing w:after="0" w:line="206"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Company is vigorously defending against these claims. Given the early stage of these proceedings, the outcome of these matters is uncertain, and the Company is unable to estimate a possible loss or range of loss at this time.</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Company maintains cyber liability and other applicable insurance coverage and believes that any potential losses associated with these claims, if adverse outcomes were to occur, would be covered, subject to applicable deductibles and policy limits.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2024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Incident</w:t>
      </w:r>
    </w:p>
    <w:p>
      <w:pPr>
        <w:spacing w:after="0" w:line="2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February 3, 2025, the Company experienced a systems outage caused by a cybersecurity attack by threat actors who unlawfully accessed the Company's network, encrypted critical applications, and exfiltrated certain files (the "Cyber Incident"). Upon discovery, the Company promptly activated its incident response plan, engaging both internal teams and third-party cybersecurity experts.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containment of the initial threat and as a result of a subsequent, comprehensive review with a third-party vendor, the Company determined certain files may have been accessed or acquired on February 1, 2025, including customers' and subscribers personal information. The Company reported the Incident to relevant law enforcement and will cooperate with any resulting investigation or efforts to hold the perpetrators accountable. In addition, through a data breach and recovery services vendor, the Company is offering identity theft protection services to those customers and subscribers potentially involved in the data breach.</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June 29, 2025, the Company incurred $1.2 million of expenses related to the Cyber Incident. During the nine months ended June 29, 2025, the Company incurred $3.1 million of expenses related to the Cyber Incident. These expenses are recognized in "Restructuring and Other" in the Consolidated Statements of Loss and Comprehensive Loss. The Cyber Incident remains under legal and forensic investigation, including evaluation of the extent and potential risk related to unauthorized access to sensitive data.</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incident continues to have a significant negative impact on the Company's 2025 operating results. Various revenue lines were impacted, certain operating expenses are trending higher than they were prior to the incident, and many projects underway were significantly delayed. While operating impacts from the incident have not been fully realized, the Company estimates the incident impacted revenue by more than $10 million.</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maintains cyber insurance coverage to limit its exposure to losses such as those related to the Cyber Incident, subject to a $500,000 deductible. Coverage includes, among other things, the cost of recovery and restoration as well as business interruption. The Company has submitted claims to its insurers for reimbursement of certain costs, expenses, and losses stemming from the Cyber Incident. To date, $707,000 reimbursements have been received, however the claims processing is ongoing as of the date of this 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Agreement</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28, 2024, our Board of Directors adopted a stockholder rights plan (the “Rights Agreement”). Pursuant to the Rights Agreement, on March 28, 2024, our Board of Directors declared a dividend of one preferred share purchase right (a “Right”), payable on April 8, 2024, for each share of our Common Stock outstanding to the stockholders of record on that date. Each Right entitles the registered holder to purchase from the Company one one-thousandth of a share of Series C Participating Convertible Preferred Stock, without par value (the “Preferred Shares”), of the Company at a price of $90.00 per one one-thousandth of a Preferred Share represented by a Right, subject to adjustment.</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15%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was to continue in effect until March 27, 2025, or unless earlier redeemed or terminated by the Company, as provided in the Rights Agreement. On March 27, 2025, the Board of Directors extended the termination date of the Rights Agreement to March 27, 2026 The Rights have no voting or dividend privileges, and, unless and until they become exercisable, have no dilutive effect on the earnings of the Company.</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interest of our stockholders. However, the overall effect of the Rights Agreement may render it more difficult or discourage a merger, tender offer, or other business combination involving us that is not supported by our Board of Directors.</w:t>
      </w:r>
    </w:p>
    <w:p>
      <w:pPr>
        <w:spacing w:after="0" w:line="3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8780" w:type="dxa"/>
            <w:vAlign w:val="bottom"/>
            <w:tcBorders>
              <w:top w:val="single" w:sz="8" w:color="auto"/>
              <w:bottom w:val="single" w:sz="8" w:color="auto"/>
            </w:tcBorders>
            <w:gridSpan w:val="11"/>
          </w:tcPr>
          <w:p>
            <w:pPr>
              <w:ind w:left="3780"/>
              <w:spacing w:after="0"/>
              <w:rPr>
                <w:sz w:val="20"/>
                <w:szCs w:val="20"/>
                <w:color w:val="auto"/>
              </w:rPr>
            </w:pPr>
            <w:r>
              <w:rPr>
                <w:rFonts w:ascii="Arial" w:cs="Arial" w:eastAsia="Arial" w:hAnsi="Arial"/>
                <w:sz w:val="18"/>
                <w:szCs w:val="18"/>
                <w:color w:val="auto"/>
              </w:rPr>
              <w:t>Description</w:t>
            </w:r>
          </w:p>
        </w:tc>
        <w:tc>
          <w:tcPr>
            <w:tcW w:w="1080" w:type="dxa"/>
            <w:vAlign w:val="bottom"/>
            <w:tcBorders>
              <w:top w:val="single" w:sz="8" w:color="auto"/>
              <w:bottom w:val="single" w:sz="8" w:color="auto"/>
            </w:tcBorders>
          </w:tcPr>
          <w:p>
            <w:pPr>
              <w:spacing w:after="0"/>
              <w:rPr>
                <w:sz w:val="21"/>
                <w:szCs w:val="21"/>
                <w:color w:val="auto"/>
              </w:rPr>
            </w:pPr>
          </w:p>
        </w:tc>
      </w:tr>
      <w:tr>
        <w:trPr>
          <w:trHeight w:val="439"/>
        </w:trPr>
        <w:tc>
          <w:tcPr>
            <w:tcW w:w="1380" w:type="dxa"/>
            <w:vAlign w:val="bottom"/>
          </w:tcPr>
          <w:p>
            <w:pPr>
              <w:ind w:left="20"/>
              <w:spacing w:after="0"/>
              <w:rPr>
                <w:sz w:val="20"/>
                <w:szCs w:val="20"/>
                <w:color w:val="auto"/>
              </w:rPr>
            </w:pPr>
            <w:r>
              <w:rPr>
                <w:rFonts w:ascii="Arial" w:cs="Arial" w:eastAsia="Arial" w:hAnsi="Arial"/>
                <w:sz w:val="18"/>
                <w:szCs w:val="18"/>
                <w:color w:val="auto"/>
              </w:rPr>
              <w:t>4.2*</w:t>
            </w:r>
          </w:p>
        </w:tc>
        <w:tc>
          <w:tcPr>
            <w:tcW w:w="8780" w:type="dxa"/>
            <w:vAlign w:val="bottom"/>
            <w:gridSpan w:val="11"/>
          </w:tcPr>
          <w:p>
            <w:pPr>
              <w:spacing w:after="0"/>
              <w:rPr>
                <w:rFonts w:ascii="Arial" w:cs="Arial" w:eastAsia="Arial" w:hAnsi="Arial"/>
                <w:sz w:val="18"/>
                <w:szCs w:val="18"/>
                <w:color w:val="0000EE"/>
              </w:rPr>
            </w:pPr>
            <w:hyperlink r:id="rId41">
              <w:r>
                <w:rPr>
                  <w:rFonts w:ascii="Arial" w:cs="Arial" w:eastAsia="Arial" w:hAnsi="Arial"/>
                  <w:sz w:val="18"/>
                  <w:szCs w:val="18"/>
                  <w:color w:val="0000EE"/>
                </w:rPr>
                <w:t>Amendment No. 1 to Rights Agreement, dated as of March 26, 2025, between Lee Enterprises,</w:t>
              </w:r>
            </w:hyperlink>
          </w:p>
        </w:tc>
        <w:tc>
          <w:tcPr>
            <w:tcW w:w="108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56"/>
        </w:trPr>
        <w:tc>
          <w:tcPr>
            <w:tcW w:w="1380" w:type="dxa"/>
            <w:vAlign w:val="bottom"/>
          </w:tcPr>
          <w:p>
            <w:pPr>
              <w:spacing w:after="0"/>
              <w:rPr>
                <w:sz w:val="13"/>
                <w:szCs w:val="13"/>
                <w:color w:val="auto"/>
              </w:rPr>
            </w:pPr>
          </w:p>
        </w:tc>
        <w:tc>
          <w:tcPr>
            <w:tcW w:w="8780" w:type="dxa"/>
            <w:vAlign w:val="bottom"/>
            <w:gridSpan w:val="11"/>
          </w:tcPr>
          <w:p>
            <w:pPr>
              <w:spacing w:after="0" w:line="156" w:lineRule="exact"/>
              <w:rPr>
                <w:rFonts w:ascii="Arial" w:cs="Arial" w:eastAsia="Arial" w:hAnsi="Arial"/>
                <w:sz w:val="18"/>
                <w:szCs w:val="18"/>
                <w:color w:val="0000EE"/>
              </w:rPr>
            </w:pPr>
            <w:hyperlink r:id="rId41">
              <w:r>
                <w:rPr>
                  <w:rFonts w:ascii="Arial" w:cs="Arial" w:eastAsia="Arial" w:hAnsi="Arial"/>
                  <w:sz w:val="18"/>
                  <w:szCs w:val="18"/>
                  <w:color w:val="0000EE"/>
                </w:rPr>
                <w:t>Incorporated and Equiniti Trust Company, LLC, as rights agent (incorporated by reference to Exhibit 4.2 to</w:t>
              </w:r>
            </w:hyperlink>
          </w:p>
        </w:tc>
        <w:tc>
          <w:tcPr>
            <w:tcW w:w="10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548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0000EE"/>
                <w:w w:val="99"/>
              </w:rPr>
            </w:pPr>
            <w:hyperlink r:id="rId41">
              <w:r>
                <w:rPr>
                  <w:rFonts w:ascii="Arial" w:cs="Arial" w:eastAsia="Arial" w:hAnsi="Arial"/>
                  <w:sz w:val="18"/>
                  <w:szCs w:val="18"/>
                  <w:color w:val="0000EE"/>
                  <w:w w:val="99"/>
                </w:rPr>
                <w:t>the Company’s Current Report on Form 8-K filed on March 26, 2025)</w:t>
              </w:r>
            </w:hyperlink>
          </w:p>
        </w:tc>
        <w:tc>
          <w:tcPr>
            <w:tcW w:w="2940" w:type="dxa"/>
            <w:vAlign w:val="bottom"/>
            <w:tcBorders>
              <w:top w:val="single" w:sz="8" w:color="0000EE"/>
            </w:tcBorders>
            <w:gridSpan w:val="3"/>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23"/>
        </w:trPr>
        <w:tc>
          <w:tcPr>
            <w:tcW w:w="1380" w:type="dxa"/>
            <w:vAlign w:val="bottom"/>
          </w:tcPr>
          <w:p>
            <w:pPr>
              <w:ind w:left="20"/>
              <w:spacing w:after="0"/>
              <w:rPr>
                <w:sz w:val="20"/>
                <w:szCs w:val="20"/>
                <w:color w:val="auto"/>
              </w:rPr>
            </w:pPr>
            <w:r>
              <w:rPr>
                <w:rFonts w:ascii="Arial" w:cs="Arial" w:eastAsia="Arial" w:hAnsi="Arial"/>
                <w:sz w:val="18"/>
                <w:szCs w:val="18"/>
                <w:color w:val="auto"/>
              </w:rPr>
              <w:t>10.1*</w:t>
            </w:r>
          </w:p>
        </w:tc>
        <w:tc>
          <w:tcPr>
            <w:tcW w:w="8780" w:type="dxa"/>
            <w:vAlign w:val="bottom"/>
            <w:gridSpan w:val="11"/>
          </w:tcPr>
          <w:p>
            <w:pPr>
              <w:spacing w:after="0"/>
              <w:rPr>
                <w:rFonts w:ascii="Arial" w:cs="Arial" w:eastAsia="Arial" w:hAnsi="Arial"/>
                <w:sz w:val="18"/>
                <w:szCs w:val="18"/>
                <w:color w:val="0000FF"/>
              </w:rPr>
            </w:pPr>
            <w:hyperlink r:id="rId42">
              <w:r>
                <w:rPr>
                  <w:rFonts w:ascii="Arial" w:cs="Arial" w:eastAsia="Arial" w:hAnsi="Arial"/>
                  <w:sz w:val="18"/>
                  <w:szCs w:val="18"/>
                  <w:color w:val="0000FF"/>
                </w:rPr>
                <w:t>Waiver and Amendment to Credit Agreement among Lee Enterprises, Incorporated, BH Finance LLC, and</w:t>
              </w:r>
            </w:hyperlink>
          </w:p>
        </w:tc>
        <w:tc>
          <w:tcPr>
            <w:tcW w:w="1080" w:type="dxa"/>
            <w:vAlign w:val="bottom"/>
          </w:tcPr>
          <w:p>
            <w:pPr>
              <w:spacing w:after="0"/>
              <w:rPr>
                <w:sz w:val="19"/>
                <w:szCs w:val="19"/>
                <w:color w:val="auto"/>
              </w:rPr>
            </w:pPr>
          </w:p>
        </w:tc>
      </w:tr>
      <w:tr>
        <w:trPr>
          <w:trHeight w:val="155"/>
        </w:trPr>
        <w:tc>
          <w:tcPr>
            <w:tcW w:w="1380" w:type="dxa"/>
            <w:vAlign w:val="bottom"/>
          </w:tcPr>
          <w:p>
            <w:pPr>
              <w:spacing w:after="0"/>
              <w:rPr>
                <w:sz w:val="13"/>
                <w:szCs w:val="13"/>
                <w:color w:val="auto"/>
              </w:rPr>
            </w:pPr>
          </w:p>
        </w:tc>
        <w:tc>
          <w:tcPr>
            <w:tcW w:w="84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42">
              <w:r>
                <w:rPr>
                  <w:rFonts w:ascii="Arial" w:cs="Arial" w:eastAsia="Arial" w:hAnsi="Arial"/>
                  <w:sz w:val="18"/>
                  <w:szCs w:val="18"/>
                  <w:color w:val="0000FF"/>
                </w:rPr>
                <w:t>BH Media Group, Inc. dated May 1, 2025 (incorporated by reference to Exhibit 10.1 of the company's</w:t>
              </w:r>
            </w:hyperlink>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80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42">
              <w:r>
                <w:rPr>
                  <w:rFonts w:ascii="Arial" w:cs="Arial" w:eastAsia="Arial" w:hAnsi="Arial"/>
                  <w:sz w:val="18"/>
                  <w:szCs w:val="18"/>
                  <w:color w:val="0000FF"/>
                </w:rPr>
                <w:t>Current Report on Form 8-K filed on May 5, 2025)</w:t>
              </w:r>
            </w:hyperlink>
          </w:p>
        </w:tc>
        <w:tc>
          <w:tcPr>
            <w:tcW w:w="760" w:type="dxa"/>
            <w:vAlign w:val="bottom"/>
            <w:gridSpan w:val="3"/>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1380" w:type="dxa"/>
            <w:vAlign w:val="bottom"/>
          </w:tcPr>
          <w:p>
            <w:pPr>
              <w:ind w:left="20"/>
              <w:spacing w:after="0"/>
              <w:rPr>
                <w:sz w:val="20"/>
                <w:szCs w:val="20"/>
                <w:color w:val="auto"/>
              </w:rPr>
            </w:pPr>
            <w:r>
              <w:rPr>
                <w:rFonts w:ascii="Arial" w:cs="Arial" w:eastAsia="Arial" w:hAnsi="Arial"/>
                <w:sz w:val="18"/>
                <w:szCs w:val="18"/>
                <w:color w:val="auto"/>
              </w:rPr>
              <w:t>31.1</w:t>
            </w:r>
          </w:p>
        </w:tc>
        <w:tc>
          <w:tcPr>
            <w:tcW w:w="42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Rule 13a-14(a) Certification of Chief Executive Officer</w:t>
            </w:r>
          </w:p>
        </w:tc>
        <w:tc>
          <w:tcPr>
            <w:tcW w:w="4500" w:type="dxa"/>
            <w:vAlign w:val="bottom"/>
            <w:gridSpan w:val="6"/>
          </w:tcPr>
          <w:p>
            <w:pPr>
              <w:spacing w:after="0"/>
              <w:rPr>
                <w:sz w:val="19"/>
                <w:szCs w:val="19"/>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31.2</w:t>
            </w:r>
          </w:p>
        </w:tc>
        <w:tc>
          <w:tcPr>
            <w:tcW w:w="42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Rule 13a-14(a) Certification of Chief Financial Officer</w:t>
            </w:r>
          </w:p>
        </w:tc>
        <w:tc>
          <w:tcPr>
            <w:tcW w:w="4560" w:type="dxa"/>
            <w:vAlign w:val="bottom"/>
            <w:gridSpan w:val="7"/>
          </w:tcPr>
          <w:p>
            <w:pPr>
              <w:spacing w:after="0"/>
              <w:rPr>
                <w:sz w:val="18"/>
                <w:szCs w:val="18"/>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32.1</w:t>
            </w:r>
          </w:p>
        </w:tc>
        <w:tc>
          <w:tcPr>
            <w:tcW w:w="8780" w:type="dxa"/>
            <w:vAlign w:val="bottom"/>
            <w:gridSpan w:val="11"/>
          </w:tcPr>
          <w:p>
            <w:pPr>
              <w:spacing w:after="0"/>
              <w:rPr>
                <w:sz w:val="20"/>
                <w:szCs w:val="20"/>
                <w:color w:val="auto"/>
              </w:rPr>
            </w:pPr>
            <w:r>
              <w:rPr>
                <w:rFonts w:ascii="Arial" w:cs="Arial" w:eastAsia="Arial" w:hAnsi="Arial"/>
                <w:sz w:val="18"/>
                <w:szCs w:val="18"/>
                <w:color w:val="0000FF"/>
              </w:rPr>
              <w:t>Section 1350 Certification of Chief Executive Officer</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32.2</w:t>
            </w:r>
          </w:p>
        </w:tc>
        <w:tc>
          <w:tcPr>
            <w:tcW w:w="41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4660" w:type="dxa"/>
            <w:vAlign w:val="bottom"/>
            <w:gridSpan w:val="8"/>
          </w:tcPr>
          <w:p>
            <w:pPr>
              <w:spacing w:after="0"/>
              <w:rPr>
                <w:sz w:val="18"/>
                <w:szCs w:val="18"/>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0"/>
        </w:trPr>
        <w:tc>
          <w:tcPr>
            <w:tcW w:w="1380" w:type="dxa"/>
            <w:vAlign w:val="bottom"/>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72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Arial" w:cs="Arial" w:eastAsia="Arial" w:hAnsi="Arial"/>
                <w:sz w:val="18"/>
                <w:szCs w:val="18"/>
                <w:color w:val="auto"/>
              </w:rPr>
              <w:t>101.INS</w:t>
            </w:r>
          </w:p>
        </w:tc>
        <w:tc>
          <w:tcPr>
            <w:tcW w:w="8780" w:type="dxa"/>
            <w:vAlign w:val="bottom"/>
            <w:gridSpan w:val="11"/>
          </w:tcPr>
          <w:p>
            <w:pPr>
              <w:spacing w:after="0" w:line="196" w:lineRule="exact"/>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1080" w:type="dxa"/>
            <w:vAlign w:val="bottom"/>
          </w:tcPr>
          <w:p>
            <w:pPr>
              <w:ind w:left="360"/>
              <w:spacing w:after="0" w:line="196" w:lineRule="exact"/>
              <w:rPr>
                <w:sz w:val="20"/>
                <w:szCs w:val="20"/>
                <w:color w:val="auto"/>
              </w:rPr>
            </w:pPr>
            <w:r>
              <w:rPr>
                <w:rFonts w:ascii="Arial" w:cs="Arial" w:eastAsia="Arial" w:hAnsi="Arial"/>
                <w:sz w:val="18"/>
                <w:szCs w:val="18"/>
                <w:color w:val="auto"/>
                <w:w w:val="98"/>
              </w:rPr>
              <w:t>Attached</w:t>
            </w:r>
          </w:p>
        </w:tc>
      </w:tr>
      <w:tr>
        <w:trPr>
          <w:trHeight w:val="238"/>
        </w:trPr>
        <w:tc>
          <w:tcPr>
            <w:tcW w:w="1380" w:type="dxa"/>
            <w:vAlign w:val="bottom"/>
          </w:tcPr>
          <w:p>
            <w:pPr>
              <w:spacing w:after="0"/>
              <w:rPr>
                <w:sz w:val="20"/>
                <w:szCs w:val="20"/>
                <w:color w:val="auto"/>
              </w:rPr>
            </w:pPr>
          </w:p>
        </w:tc>
        <w:tc>
          <w:tcPr>
            <w:tcW w:w="8780" w:type="dxa"/>
            <w:vAlign w:val="bottom"/>
            <w:gridSpan w:val="11"/>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1080" w:type="dxa"/>
            <w:vAlign w:val="bottom"/>
          </w:tcPr>
          <w:p>
            <w:pPr>
              <w:spacing w:after="0"/>
              <w:rPr>
                <w:sz w:val="20"/>
                <w:szCs w:val="20"/>
                <w:color w:val="auto"/>
              </w:rPr>
            </w:pP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101.SCH</w:t>
            </w:r>
          </w:p>
        </w:tc>
        <w:tc>
          <w:tcPr>
            <w:tcW w:w="878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101.CAL</w:t>
            </w:r>
          </w:p>
        </w:tc>
        <w:tc>
          <w:tcPr>
            <w:tcW w:w="878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101.DEF</w:t>
            </w:r>
          </w:p>
        </w:tc>
        <w:tc>
          <w:tcPr>
            <w:tcW w:w="878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101.LAB</w:t>
            </w:r>
          </w:p>
        </w:tc>
        <w:tc>
          <w:tcPr>
            <w:tcW w:w="878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101.PRE</w:t>
            </w:r>
          </w:p>
        </w:tc>
        <w:tc>
          <w:tcPr>
            <w:tcW w:w="878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181"/>
        </w:trPr>
        <w:tc>
          <w:tcPr>
            <w:tcW w:w="1380" w:type="dxa"/>
            <w:vAlign w:val="bottom"/>
          </w:tcPr>
          <w:p>
            <w:pPr>
              <w:ind w:left="20"/>
              <w:spacing w:after="0" w:line="181" w:lineRule="exact"/>
              <w:rPr>
                <w:sz w:val="20"/>
                <w:szCs w:val="20"/>
                <w:color w:val="auto"/>
              </w:rPr>
            </w:pPr>
            <w:r>
              <w:rPr>
                <w:rFonts w:ascii="Arial" w:cs="Arial" w:eastAsia="Arial" w:hAnsi="Arial"/>
                <w:sz w:val="18"/>
                <w:szCs w:val="18"/>
                <w:color w:val="auto"/>
              </w:rPr>
              <w:t>104</w:t>
            </w:r>
          </w:p>
        </w:tc>
        <w:tc>
          <w:tcPr>
            <w:tcW w:w="8780" w:type="dxa"/>
            <w:vAlign w:val="bottom"/>
            <w:gridSpan w:val="11"/>
          </w:tcPr>
          <w:p>
            <w:pPr>
              <w:spacing w:after="0" w:line="181"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1080" w:type="dxa"/>
            <w:vAlign w:val="bottom"/>
          </w:tcPr>
          <w:p>
            <w:pPr>
              <w:ind w:left="360"/>
              <w:spacing w:after="0" w:line="181" w:lineRule="exact"/>
              <w:rPr>
                <w:sz w:val="20"/>
                <w:szCs w:val="20"/>
                <w:color w:val="auto"/>
              </w:rPr>
            </w:pPr>
            <w:r>
              <w:rPr>
                <w:rFonts w:ascii="Arial" w:cs="Arial" w:eastAsia="Arial" w:hAnsi="Arial"/>
                <w:sz w:val="18"/>
                <w:szCs w:val="18"/>
                <w:color w:val="auto"/>
                <w:w w:val="98"/>
              </w:rPr>
              <w:t>Attached</w:t>
            </w:r>
          </w:p>
        </w:tc>
      </w:tr>
      <w:tr>
        <w:trPr>
          <w:trHeight w:val="241"/>
        </w:trPr>
        <w:tc>
          <w:tcPr>
            <w:tcW w:w="1380" w:type="dxa"/>
            <w:vAlign w:val="bottom"/>
            <w:tcBorders>
              <w:bottom w:val="single" w:sz="8" w:color="auto"/>
            </w:tcBorders>
          </w:tcPr>
          <w:p>
            <w:pPr>
              <w:spacing w:after="0"/>
              <w:rPr>
                <w:sz w:val="20"/>
                <w:szCs w:val="20"/>
                <w:color w:val="auto"/>
              </w:rPr>
            </w:pPr>
          </w:p>
        </w:tc>
        <w:tc>
          <w:tcPr>
            <w:tcW w:w="878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rPr>
              <w:t>document)</w:t>
            </w:r>
          </w:p>
        </w:tc>
        <w:tc>
          <w:tcPr>
            <w:tcW w:w="1080" w:type="dxa"/>
            <w:vAlign w:val="bottom"/>
            <w:tcBorders>
              <w:bottom w:val="single" w:sz="8" w:color="auto"/>
            </w:tcBorders>
          </w:tcPr>
          <w:p>
            <w:pPr>
              <w:spacing w:after="0"/>
              <w:rPr>
                <w:sz w:val="20"/>
                <w:szCs w:val="20"/>
                <w:color w:val="auto"/>
              </w:rPr>
            </w:pPr>
          </w:p>
        </w:tc>
      </w:tr>
      <w:tr>
        <w:trPr>
          <w:trHeight w:val="891"/>
        </w:trPr>
        <w:tc>
          <w:tcPr>
            <w:tcW w:w="1380" w:type="dxa"/>
            <w:vAlign w:val="bottom"/>
          </w:tcPr>
          <w:p>
            <w:pPr>
              <w:spacing w:after="0"/>
              <w:rPr>
                <w:sz w:val="24"/>
                <w:szCs w:val="24"/>
                <w:color w:val="auto"/>
              </w:rPr>
            </w:pPr>
          </w:p>
        </w:tc>
        <w:tc>
          <w:tcPr>
            <w:tcW w:w="5480" w:type="dxa"/>
            <w:vAlign w:val="bottom"/>
            <w:gridSpan w:val="6"/>
          </w:tcPr>
          <w:p>
            <w:pPr>
              <w:ind w:left="4140"/>
              <w:spacing w:after="0"/>
              <w:rPr>
                <w:sz w:val="20"/>
                <w:szCs w:val="20"/>
                <w:color w:val="auto"/>
              </w:rPr>
            </w:pPr>
            <w:r>
              <w:rPr>
                <w:rFonts w:ascii="Arial" w:cs="Arial" w:eastAsia="Arial" w:hAnsi="Arial"/>
                <w:sz w:val="18"/>
                <w:szCs w:val="18"/>
                <w:color w:val="auto"/>
              </w:rPr>
              <w:t>27</w:t>
            </w:r>
          </w:p>
        </w:tc>
        <w:tc>
          <w:tcPr>
            <w:tcW w:w="2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1"/>
        </w:trPr>
        <w:tc>
          <w:tcPr>
            <w:tcW w:w="138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239"/>
        </w:trPr>
        <w:tc>
          <w:tcPr>
            <w:tcW w:w="4740" w:type="dxa"/>
            <w:vAlign w:val="bottom"/>
          </w:tcPr>
          <w:p>
            <w:pPr>
              <w:ind w:left="20"/>
              <w:spacing w:after="0"/>
              <w:rPr>
                <w:sz w:val="20"/>
                <w:szCs w:val="20"/>
                <w:color w:val="auto"/>
              </w:rPr>
            </w:pPr>
            <w:r>
              <w:rPr>
                <w:rFonts w:ascii="Arial" w:cs="Arial" w:eastAsia="Arial" w:hAnsi="Arial"/>
                <w:sz w:val="18"/>
                <w:szCs w:val="18"/>
                <w:color w:val="auto"/>
              </w:rPr>
              <w:t>LEE ENTERPRISES, INCORPORATED</w:t>
            </w:r>
          </w:p>
        </w:tc>
        <w:tc>
          <w:tcPr>
            <w:tcW w:w="16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96"/>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Millage</w:t>
            </w:r>
          </w:p>
        </w:tc>
        <w:tc>
          <w:tcPr>
            <w:tcW w:w="1680" w:type="dxa"/>
            <w:vAlign w:val="bottom"/>
            <w:tcBorders>
              <w:bottom w:val="single" w:sz="8" w:color="auto"/>
            </w:tcBorders>
          </w:tcPr>
          <w:p>
            <w:pPr>
              <w:spacing w:after="0"/>
              <w:rPr>
                <w:sz w:val="24"/>
                <w:szCs w:val="24"/>
                <w:color w:val="auto"/>
              </w:rPr>
            </w:pPr>
          </w:p>
        </w:tc>
        <w:tc>
          <w:tcPr>
            <w:tcW w:w="4320" w:type="dxa"/>
            <w:vAlign w:val="bottom"/>
          </w:tcPr>
          <w:p>
            <w:pPr>
              <w:ind w:left="3100"/>
              <w:spacing w:after="0"/>
              <w:rPr>
                <w:sz w:val="20"/>
                <w:szCs w:val="20"/>
                <w:color w:val="auto"/>
              </w:rPr>
            </w:pPr>
            <w:r>
              <w:rPr>
                <w:rFonts w:ascii="Arial" w:cs="Arial" w:eastAsia="Arial" w:hAnsi="Arial"/>
                <w:sz w:val="18"/>
                <w:szCs w:val="18"/>
                <w:color w:val="auto"/>
                <w:w w:val="99"/>
              </w:rPr>
              <w:t>August 8, 2025</w:t>
            </w:r>
          </w:p>
        </w:tc>
      </w:tr>
      <w:tr>
        <w:trPr>
          <w:trHeight w:val="218"/>
        </w:trPr>
        <w:tc>
          <w:tcPr>
            <w:tcW w:w="474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168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c>
          <w:tcPr>
            <w:tcW w:w="168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239"/>
        </w:trPr>
        <w:tc>
          <w:tcPr>
            <w:tcW w:w="47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6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904"/>
        </w:trPr>
        <w:tc>
          <w:tcPr>
            <w:tcW w:w="4740" w:type="dxa"/>
            <w:vAlign w:val="bottom"/>
          </w:tcPr>
          <w:p>
            <w:pPr>
              <w:spacing w:after="0"/>
              <w:rPr>
                <w:sz w:val="24"/>
                <w:szCs w:val="24"/>
                <w:color w:val="auto"/>
              </w:rPr>
            </w:pPr>
          </w:p>
        </w:tc>
        <w:tc>
          <w:tcPr>
            <w:tcW w:w="1680" w:type="dxa"/>
            <w:vAlign w:val="bottom"/>
          </w:tcPr>
          <w:p>
            <w:pPr>
              <w:jc w:val="right"/>
              <w:ind w:right="850"/>
              <w:spacing w:after="0"/>
              <w:rPr>
                <w:sz w:val="20"/>
                <w:szCs w:val="20"/>
                <w:color w:val="auto"/>
              </w:rPr>
            </w:pPr>
            <w:r>
              <w:rPr>
                <w:rFonts w:ascii="Arial" w:cs="Arial" w:eastAsia="Arial" w:hAnsi="Arial"/>
                <w:sz w:val="18"/>
                <w:szCs w:val="18"/>
                <w:color w:val="auto"/>
              </w:rPr>
              <w:t>28</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58"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2025</w:t>
      </w:r>
    </w:p>
    <w:p>
      <w:pPr>
        <w:spacing w:after="0" w:line="19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33172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Kevin D. Mowbray</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079"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58"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2025</w:t>
      </w:r>
    </w:p>
    <w:p>
      <w:pPr>
        <w:spacing w:after="0" w:line="19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17780</wp:posOffset>
            </wp:positionV>
            <wp:extent cx="38144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Timothy R. Millage</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079" w:right="339" w:bottom="1440" w:gutter="0" w:footer="0" w:header="0"/>
        </w:sectPr>
      </w:pPr>
    </w:p>
    <w:bookmarkStart w:id="32" w:name="page33"/>
    <w:bookmarkEnd w:id="32"/>
    <w:p>
      <w:pPr>
        <w:ind w:left="10240"/>
        <w:spacing w:after="0"/>
        <w:rPr>
          <w:sz w:val="20"/>
          <w:szCs w:val="20"/>
          <w:color w:val="auto"/>
        </w:rPr>
      </w:pPr>
      <w:r>
        <w:rPr>
          <w:rFonts w:ascii="Arial" w:cs="Arial" w:eastAsia="Arial" w:hAnsi="Arial"/>
          <w:sz w:val="17"/>
          <w:szCs w:val="17"/>
          <w:b w:val="1"/>
          <w:bCs w:val="1"/>
          <w:color w:val="auto"/>
        </w:rPr>
        <w:t>Exhibit 32.1</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360" w:hanging="492"/>
        <w:spacing w:after="0" w:line="287" w:lineRule="auto"/>
        <w:tabs>
          <w:tab w:leader="none" w:pos="4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June 29, 2025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8144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D. Mowbray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06" w:right="339" w:bottom="1440" w:gutter="0" w:footer="0" w:header="0"/>
        </w:sectPr>
      </w:pPr>
    </w:p>
    <w:bookmarkStart w:id="33" w:name="page34"/>
    <w:bookmarkEnd w:id="33"/>
    <w:p>
      <w:pPr>
        <w:ind w:left="10240"/>
        <w:spacing w:after="0"/>
        <w:rPr>
          <w:sz w:val="20"/>
          <w:szCs w:val="20"/>
          <w:color w:val="auto"/>
        </w:rPr>
      </w:pPr>
      <w:r>
        <w:rPr>
          <w:rFonts w:ascii="Arial" w:cs="Arial" w:eastAsia="Arial" w:hAnsi="Arial"/>
          <w:sz w:val="17"/>
          <w:szCs w:val="17"/>
          <w:b w:val="1"/>
          <w:bCs w:val="1"/>
          <w:color w:val="auto"/>
        </w:rPr>
        <w:t>Exhibit 32.2</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360" w:hanging="492"/>
        <w:spacing w:after="0" w:line="287" w:lineRule="auto"/>
        <w:tabs>
          <w:tab w:leader="none" w:pos="4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June 29, 2025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2025</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8144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and Treasurer</w:t>
      </w:r>
    </w:p>
    <w:p>
      <w:pPr>
        <w:spacing w:after="0" w:line="2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bullet"/>
      <w:start w:val="1"/>
    </w:lvl>
  </w:abstractNum>
  <w:abstractNum w:abstractNumId="2">
    <w:nsid w:val="3352255A"/>
    <w:multiLevelType w:val="hybridMultilevel"/>
    <w:lvl w:ilvl="0">
      <w:lvlJc w:val="left"/>
      <w:lvlText w:val="2"/>
      <w:numFmt w:val="bullet"/>
      <w:start w:val="1"/>
    </w:lvl>
  </w:abstractNum>
  <w:abstractNum w:abstractNumId="3">
    <w:nsid w:val="109CF92E"/>
    <w:multiLevelType w:val="hybridMultilevel"/>
    <w:lvl w:ilvl="0">
      <w:lvlJc w:val="left"/>
      <w:lvlText w:val="3"/>
      <w:numFmt w:val="bullet"/>
      <w:start w:val="1"/>
    </w:lvl>
  </w:abstractNum>
  <w:abstractNum w:abstractNumId="4">
    <w:nsid w:val="DED7263"/>
    <w:multiLevelType w:val="hybridMultilevel"/>
    <w:lvl w:ilvl="0">
      <w:lvlJc w:val="left"/>
      <w:lvlText w:val="5"/>
      <w:numFmt w:val="bullet"/>
      <w:start w:val="1"/>
    </w:lvl>
  </w:abstractNum>
  <w:abstractNum w:abstractNumId="5">
    <w:nsid w:val="7FDCC233"/>
    <w:multiLevelType w:val="hybridMultilevel"/>
    <w:lvl w:ilvl="0">
      <w:lvlJc w:val="left"/>
      <w:lvlText w:val="6"/>
      <w:numFmt w:val="bullet"/>
      <w:start w:val="1"/>
    </w:lvl>
  </w:abstractNum>
  <w:abstractNum w:abstractNumId="6">
    <w:nsid w:val="1BEFD79F"/>
    <w:multiLevelType w:val="hybridMultilevel"/>
    <w:lvl w:ilvl="0">
      <w:lvlJc w:val="left"/>
      <w:lvlText w:val="7"/>
      <w:numFmt w:val="bullet"/>
      <w:start w:val="1"/>
    </w:lvl>
  </w:abstractNum>
  <w:abstractNum w:abstractNumId="7">
    <w:nsid w:val="41A7C4C9"/>
    <w:multiLevelType w:val="hybridMultilevel"/>
    <w:lvl w:ilvl="0">
      <w:lvlJc w:val="left"/>
      <w:lvlText w:val="8"/>
      <w:numFmt w:val="bullet"/>
      <w:start w:val="1"/>
    </w:lvl>
  </w:abstractNum>
  <w:abstractNum w:abstractNumId="8">
    <w:nsid w:val="6B68079A"/>
    <w:multiLevelType w:val="hybridMultilevel"/>
    <w:lvl w:ilvl="0">
      <w:lvlJc w:val="left"/>
      <w:lvlText w:val="9"/>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2"/>
      <w:numFmt w:val="bullet"/>
      <w:start w:val="1"/>
    </w:lvl>
  </w:abstractNum>
  <w:abstractNum w:abstractNumId="13">
    <w:nsid w:val="3F2DBA31"/>
    <w:multiLevelType w:val="hybridMultilevel"/>
    <w:lvl w:ilvl="0">
      <w:lvlJc w:val="left"/>
      <w:lvlText w:val="3"/>
      <w:numFmt w:val="bullet"/>
      <w:start w:val="1"/>
    </w:lvl>
  </w:abstractNum>
  <w:abstractNum w:abstractNumId="14">
    <w:nsid w:val="7C83E458"/>
    <w:multiLevelType w:val="hybridMultilevel"/>
    <w:lvl w:ilvl="0">
      <w:lvlJc w:val="left"/>
      <w:lvlText w:val="4"/>
      <w:numFmt w:val="bullet"/>
      <w:start w:val="1"/>
    </w:lvl>
    <w:lvl w:ilvl="1">
      <w:lvlJc w:val="left"/>
      <w:lvlText w:val="%2)"/>
      <w:numFmt w:val="lowerLetter"/>
      <w:start w:val="1"/>
    </w:lvl>
  </w:abstractNum>
  <w:abstractNum w:abstractNumId="15">
    <w:nsid w:val="257130A3"/>
    <w:multiLevelType w:val="hybridMultilevel"/>
    <w:lvl w:ilvl="0">
      <w:lvlJc w:val="left"/>
      <w:lvlText w:val="5"/>
      <w:numFmt w:val="bullet"/>
      <w:start w:val="1"/>
    </w:lvl>
    <w:lvl w:ilvl="1">
      <w:lvlJc w:val="left"/>
      <w:lvlText w:val="%2)"/>
      <w:numFmt w:val="lowerLetter"/>
      <w:start w:val="1"/>
    </w:lvl>
  </w:abstractNum>
  <w:abstractNum w:abstractNumId="16">
    <w:nsid w:val="62BBD95A"/>
    <w:multiLevelType w:val="hybridMultilevel"/>
    <w:lvl w:ilvl="0">
      <w:lvlJc w:val="left"/>
      <w:lvlText w:val="1"/>
      <w:numFmt w:val="bullet"/>
      <w:start w:val="1"/>
    </w:lvl>
  </w:abstractNum>
  <w:abstractNum w:abstractNumId="17">
    <w:nsid w:val="436C6125"/>
    <w:multiLevelType w:val="hybridMultilevel"/>
    <w:lvl w:ilvl="0">
      <w:lvlJc w:val="left"/>
      <w:lvlText w:val="2"/>
      <w:numFmt w:val="bullet"/>
      <w:start w:val="1"/>
    </w:lvl>
  </w:abstractNum>
  <w:abstractNum w:abstractNumId="18">
    <w:nsid w:val="628C895D"/>
    <w:multiLevelType w:val="hybridMultilevel"/>
    <w:lvl w:ilvl="0">
      <w:lvlJc w:val="left"/>
      <w:lvlText w:val="3"/>
      <w:numFmt w:val="bullet"/>
      <w:start w:val="1"/>
    </w:lvl>
  </w:abstractNum>
  <w:abstractNum w:abstractNumId="19">
    <w:nsid w:val="333AB105"/>
    <w:multiLevelType w:val="hybridMultilevel"/>
    <w:lvl w:ilvl="0">
      <w:lvlJc w:val="left"/>
      <w:lvlText w:val="4"/>
      <w:numFmt w:val="bullet"/>
      <w:start w:val="1"/>
    </w:lvl>
    <w:lvl w:ilvl="1">
      <w:lvlJc w:val="left"/>
      <w:lvlText w:val="%2)"/>
      <w:numFmt w:val="lowerLetter"/>
      <w:start w:val="1"/>
    </w:lvl>
  </w:abstractNum>
  <w:abstractNum w:abstractNumId="20">
    <w:nsid w:val="721DA317"/>
    <w:multiLevelType w:val="hybridMultilevel"/>
    <w:lvl w:ilvl="0">
      <w:lvlJc w:val="left"/>
      <w:lvlText w:val="5"/>
      <w:numFmt w:val="bullet"/>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1" Type="http://schemas.openxmlformats.org/officeDocument/2006/relationships/hyperlink" Target="https://www.sec.gov/Archives/edgar/data/58361/000162828025014962/a42lee-rightsagreementxame.htm" TargetMode="External"/><Relationship Id="rId42" Type="http://schemas.openxmlformats.org/officeDocument/2006/relationships/hyperlink" Target="https://www.sec.gov/Archives/edgar/data/58361/000162828025022263/lee-202505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2025-08-08T14:42:34Z</dcterms:created>
  <dcterms:modified xsi:type="dcterms:W3CDTF">2025-08-08T14:42:34Z</dcterms:modified>
</cp:coreProperties>
</file>