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 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jc w:val="center"/>
        <w:spacing w:after="0"/>
        <w:rPr>
          <w:sz w:val="20"/>
          <w:szCs w:val="20"/>
          <w:color w:val="auto"/>
        </w:rPr>
      </w:pPr>
      <w:r>
        <w:rPr>
          <w:rFonts w:ascii="Arial" w:cs="Arial" w:eastAsia="Arial" w:hAnsi="Arial"/>
          <w:sz w:val="18"/>
          <w:szCs w:val="18"/>
          <w:b w:val="1"/>
          <w:bCs w:val="1"/>
          <w:color w:val="auto"/>
        </w:rPr>
        <w:t>FORM 10-Q</w:t>
      </w:r>
    </w:p>
    <w:p>
      <w:pPr>
        <w:spacing w:after="0" w:line="180" w:lineRule="exact"/>
        <w:rPr>
          <w:sz w:val="24"/>
          <w:szCs w:val="24"/>
          <w:color w:val="auto"/>
        </w:rPr>
      </w:pPr>
    </w:p>
    <w:p>
      <w:pPr>
        <w:ind w:left="3980" w:right="2600" w:hanging="1370"/>
        <w:spacing w:after="0" w:line="271" w:lineRule="auto"/>
        <w:tabs>
          <w:tab w:leader="none" w:pos="28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27,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980" w:right="2600" w:hanging="1371"/>
        <w:spacing w:after="0" w:line="271" w:lineRule="auto"/>
        <w:tabs>
          <w:tab w:leader="none" w:pos="28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66" w:right="339" w:bottom="1440" w:gutter="0" w:footer="0" w:header="0"/>
        </w:sectPr>
      </w:pPr>
    </w:p>
    <w:p>
      <w:pPr>
        <w:spacing w:after="0" w:line="198"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Delaware</w:t>
      </w:r>
    </w:p>
    <w:p>
      <w:pPr>
        <w:spacing w:after="0" w:line="14"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42-0823980</w:t>
      </w:r>
    </w:p>
    <w:p>
      <w:pPr>
        <w:spacing w:after="0" w:line="14"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192" w:lineRule="exact"/>
        <w:rPr>
          <w:sz w:val="24"/>
          <w:szCs w:val="24"/>
          <w:color w:val="auto"/>
        </w:rPr>
      </w:pPr>
    </w:p>
    <w:p>
      <w:pPr>
        <w:sectPr>
          <w:pgSz w:w="11900" w:h="16838" w:orient="portrait"/>
          <w:cols w:equalWidth="0" w:num="2">
            <w:col w:w="6280" w:space="720"/>
            <w:col w:w="4240"/>
          </w:cols>
          <w:pgMar w:left="320" w:top="1066" w:right="339" w:bottom="1440" w:gutter="0" w:footer="0" w:header="0"/>
          <w:type w:val="continuous"/>
        </w:sectPr>
      </w:pPr>
    </w:p>
    <w:p>
      <w:pPr>
        <w:ind w:left="3880"/>
        <w:spacing w:after="0"/>
        <w:rPr>
          <w:sz w:val="20"/>
          <w:szCs w:val="20"/>
          <w:color w:val="auto"/>
        </w:rPr>
      </w:pPr>
      <w:r>
        <w:rPr>
          <w:rFonts w:ascii="Arial" w:cs="Arial" w:eastAsia="Arial" w:hAnsi="Arial"/>
          <w:sz w:val="18"/>
          <w:szCs w:val="18"/>
          <w:color w:val="auto"/>
        </w:rPr>
        <w:t>4600 E. 53rd Street, Davenport, Iowa 52807</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Trading Symbol(s)</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8"/>
        </w:trPr>
        <w:tc>
          <w:tcPr>
            <w:tcW w:w="4240" w:type="dxa"/>
            <w:vAlign w:val="bottom"/>
          </w:tcPr>
          <w:p>
            <w:pPr>
              <w:jc w:val="center"/>
              <w:ind w:right="190"/>
              <w:spacing w:after="0"/>
              <w:rPr>
                <w:sz w:val="20"/>
                <w:szCs w:val="20"/>
                <w:color w:val="auto"/>
              </w:rPr>
            </w:pPr>
            <w:r>
              <w:rPr>
                <w:rFonts w:ascii="Arial" w:cs="Arial" w:eastAsia="Arial" w:hAnsi="Arial"/>
                <w:sz w:val="18"/>
                <w:szCs w:val="18"/>
                <w:color w:val="auto"/>
                <w:w w:val="99"/>
              </w:rPr>
              <w:t>Common Stock, par value $.01 per share</w:t>
            </w:r>
          </w:p>
        </w:tc>
        <w:tc>
          <w:tcPr>
            <w:tcW w:w="2660" w:type="dxa"/>
            <w:vAlign w:val="bottom"/>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Pr>
          <w:p>
            <w:pPr>
              <w:jc w:val="center"/>
              <w:ind w:left="310"/>
              <w:spacing w:after="0"/>
              <w:rPr>
                <w:sz w:val="20"/>
                <w:szCs w:val="20"/>
                <w:color w:val="auto"/>
              </w:rPr>
            </w:pPr>
            <w:r>
              <w:rPr>
                <w:rFonts w:ascii="Arial" w:cs="Arial" w:eastAsia="Arial" w:hAnsi="Arial"/>
                <w:sz w:val="18"/>
                <w:szCs w:val="18"/>
                <w:color w:val="auto"/>
                <w:w w:val="99"/>
              </w:rPr>
              <w:t>The Nasdaq Global Select Market</w:t>
            </w:r>
          </w:p>
        </w:tc>
      </w:tr>
      <w:tr>
        <w:trPr>
          <w:trHeight w:val="239"/>
        </w:trPr>
        <w:tc>
          <w:tcPr>
            <w:tcW w:w="4240" w:type="dxa"/>
            <w:vAlign w:val="bottom"/>
          </w:tcPr>
          <w:p>
            <w:pPr>
              <w:jc w:val="center"/>
              <w:ind w:right="190"/>
              <w:spacing w:after="0"/>
              <w:rPr>
                <w:sz w:val="20"/>
                <w:szCs w:val="20"/>
                <w:color w:val="auto"/>
              </w:rPr>
            </w:pPr>
            <w:r>
              <w:rPr>
                <w:rFonts w:ascii="Arial" w:cs="Arial" w:eastAsia="Arial" w:hAnsi="Arial"/>
                <w:sz w:val="18"/>
                <w:szCs w:val="18"/>
                <w:color w:val="auto"/>
                <w:w w:val="99"/>
              </w:rPr>
              <w:t>Preferred Share Purchase Rights</w:t>
            </w:r>
          </w:p>
        </w:tc>
        <w:tc>
          <w:tcPr>
            <w:tcW w:w="2660" w:type="dxa"/>
            <w:vAlign w:val="bottom"/>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Pr>
          <w:p>
            <w:pPr>
              <w:jc w:val="center"/>
              <w:ind w:left="310"/>
              <w:spacing w:after="0"/>
              <w:rPr>
                <w:sz w:val="20"/>
                <w:szCs w:val="20"/>
                <w:color w:val="auto"/>
              </w:rPr>
            </w:pPr>
            <w:r>
              <w:rPr>
                <w:rFonts w:ascii="Arial" w:cs="Arial" w:eastAsia="Arial" w:hAnsi="Arial"/>
                <w:sz w:val="18"/>
                <w:szCs w:val="18"/>
                <w:color w:val="auto"/>
                <w:w w:val="99"/>
              </w:rPr>
              <w:t>The Nasdaq Global Select Market</w:t>
            </w:r>
          </w:p>
        </w:tc>
      </w:tr>
    </w:tbl>
    <w:p>
      <w:pPr>
        <w:spacing w:after="0" w:line="396"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84"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84"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4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44"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right="2180"/>
        <w:spacing w:after="0" w:line="22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2022, 5,957,536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Table Of Contents</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0400" w:type="dxa"/>
            <w:vAlign w:val="bottom"/>
            <w:gridSpan w:val="22"/>
          </w:tcPr>
          <w:p>
            <w:pPr>
              <w:spacing w:after="0"/>
              <w:rPr>
                <w:sz w:val="20"/>
                <w:szCs w:val="20"/>
                <w:color w:val="auto"/>
              </w:rPr>
            </w:pPr>
            <w:r>
              <w:rPr>
                <w:rFonts w:ascii="Arial" w:cs="Arial" w:eastAsia="Arial" w:hAnsi="Arial"/>
                <w:sz w:val="18"/>
                <w:szCs w:val="18"/>
                <w:color w:val="0000EE"/>
              </w:rPr>
              <w:t>FORWARD LOOKING STATEMENTS</w:t>
            </w:r>
          </w:p>
        </w:tc>
        <w:tc>
          <w:tcPr>
            <w:tcW w:w="520" w:type="dxa"/>
            <w:vAlign w:val="bottom"/>
            <w:gridSpan w:val="4"/>
          </w:tcPr>
          <w:p>
            <w:pPr>
              <w:jc w:val="center"/>
              <w:ind w:left="210"/>
              <w:spacing w:after="0"/>
              <w:rPr>
                <w:sz w:val="20"/>
                <w:szCs w:val="20"/>
                <w:color w:val="auto"/>
              </w:rPr>
            </w:pPr>
            <w:r>
              <w:rPr>
                <w:rFonts w:ascii="Arial" w:cs="Arial" w:eastAsia="Arial" w:hAnsi="Arial"/>
                <w:sz w:val="18"/>
                <w:szCs w:val="18"/>
                <w:color w:val="0000EE"/>
                <w:w w:val="99"/>
              </w:rPr>
              <w:t>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9"/>
          </w:tcPr>
          <w:p>
            <w:pPr>
              <w:spacing w:after="0"/>
              <w:rPr>
                <w:sz w:val="20"/>
                <w:szCs w:val="20"/>
                <w:color w:val="auto"/>
              </w:rPr>
            </w:pPr>
            <w:r>
              <w:rPr>
                <w:rFonts w:ascii="Arial" w:cs="Arial" w:eastAsia="Arial" w:hAnsi="Arial"/>
                <w:sz w:val="18"/>
                <w:szCs w:val="18"/>
                <w:color w:val="0000EE"/>
                <w:w w:val="98"/>
              </w:rPr>
              <w:t>FINANCIAL INFORMATION</w:t>
            </w:r>
          </w:p>
        </w:tc>
        <w:tc>
          <w:tcPr>
            <w:tcW w:w="7360" w:type="dxa"/>
            <w:vAlign w:val="bottom"/>
            <w:gridSpan w:val="12"/>
          </w:tcPr>
          <w:p>
            <w:pPr>
              <w:spacing w:after="0"/>
              <w:rPr>
                <w:sz w:val="24"/>
                <w:szCs w:val="24"/>
                <w:color w:val="auto"/>
              </w:rPr>
            </w:pPr>
          </w:p>
        </w:tc>
        <w:tc>
          <w:tcPr>
            <w:tcW w:w="360" w:type="dxa"/>
            <w:vAlign w:val="bottom"/>
            <w:gridSpan w:val="2"/>
          </w:tcPr>
          <w:p>
            <w:pPr>
              <w:spacing w:after="0"/>
              <w:rPr>
                <w:sz w:val="24"/>
                <w:szCs w:val="24"/>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EE"/>
                <w:w w:val="99"/>
              </w:rPr>
              <w:t>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18"/>
          </w:tcPr>
          <w:p>
            <w:pPr>
              <w:spacing w:after="0"/>
              <w:rPr>
                <w:sz w:val="20"/>
                <w:szCs w:val="20"/>
                <w:color w:val="auto"/>
              </w:rPr>
            </w:pPr>
            <w:r>
              <w:rPr>
                <w:rFonts w:ascii="Arial" w:cs="Arial" w:eastAsia="Arial" w:hAnsi="Arial"/>
                <w:sz w:val="18"/>
                <w:szCs w:val="18"/>
                <w:color w:val="0000EE"/>
              </w:rPr>
              <w:t>Financial Statements (Unaudited)</w:t>
            </w:r>
          </w:p>
        </w:tc>
        <w:tc>
          <w:tcPr>
            <w:tcW w:w="520" w:type="dxa"/>
            <w:vAlign w:val="bottom"/>
            <w:gridSpan w:val="4"/>
          </w:tcPr>
          <w:p>
            <w:pPr>
              <w:jc w:val="center"/>
              <w:ind w:left="210"/>
              <w:spacing w:after="0"/>
              <w:rPr>
                <w:sz w:val="20"/>
                <w:szCs w:val="20"/>
                <w:color w:val="auto"/>
              </w:rPr>
            </w:pPr>
            <w:r>
              <w:rPr>
                <w:rFonts w:ascii="Arial" w:cs="Arial" w:eastAsia="Arial" w:hAnsi="Arial"/>
                <w:sz w:val="18"/>
                <w:szCs w:val="18"/>
                <w:color w:val="0000EE"/>
                <w:w w:val="99"/>
              </w:rPr>
              <w:t>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Arial" w:cs="Arial" w:eastAsia="Arial" w:hAnsi="Arial"/>
                <w:sz w:val="18"/>
                <w:szCs w:val="18"/>
                <w:color w:val="0000EE"/>
                <w:w w:val="99"/>
              </w:rPr>
              <w:t>Consolidated Balance Sheets - March 27, 2022, and September 26, 2021</w:t>
            </w:r>
          </w:p>
        </w:tc>
        <w:tc>
          <w:tcPr>
            <w:tcW w:w="2960" w:type="dxa"/>
            <w:vAlign w:val="bottom"/>
            <w:gridSpan w:val="5"/>
          </w:tcPr>
          <w:p>
            <w:pPr>
              <w:spacing w:after="0"/>
              <w:rPr>
                <w:sz w:val="24"/>
                <w:szCs w:val="24"/>
                <w:color w:val="auto"/>
              </w:rPr>
            </w:pPr>
          </w:p>
        </w:tc>
        <w:tc>
          <w:tcPr>
            <w:tcW w:w="360" w:type="dxa"/>
            <w:vAlign w:val="bottom"/>
            <w:gridSpan w:val="2"/>
          </w:tcPr>
          <w:p>
            <w:pPr>
              <w:spacing w:after="0"/>
              <w:rPr>
                <w:sz w:val="24"/>
                <w:szCs w:val="24"/>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EE"/>
                <w:w w:val="99"/>
              </w:rPr>
              <w:t>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20" w:type="dxa"/>
            <w:vAlign w:val="bottom"/>
            <w:gridSpan w:val="18"/>
          </w:tcPr>
          <w:p>
            <w:pPr>
              <w:spacing w:after="0"/>
              <w:rPr>
                <w:sz w:val="20"/>
                <w:szCs w:val="20"/>
                <w:color w:val="auto"/>
              </w:rPr>
            </w:pPr>
            <w:r>
              <w:rPr>
                <w:rFonts w:ascii="Arial" w:cs="Arial" w:eastAsia="Arial" w:hAnsi="Arial"/>
                <w:sz w:val="18"/>
                <w:szCs w:val="18"/>
                <w:color w:val="0000EE"/>
              </w:rPr>
              <w:t>Consolidated Statements of Income (Loss) and Comprehensive Income (Loss) -Three and six months March</w:t>
            </w:r>
          </w:p>
        </w:tc>
        <w:tc>
          <w:tcPr>
            <w:tcW w:w="520" w:type="dxa"/>
            <w:vAlign w:val="bottom"/>
            <w:gridSpan w:val="4"/>
          </w:tcPr>
          <w:p>
            <w:pPr>
              <w:jc w:val="center"/>
              <w:ind w:left="210"/>
              <w:spacing w:after="0"/>
              <w:rPr>
                <w:sz w:val="20"/>
                <w:szCs w:val="20"/>
                <w:color w:val="auto"/>
              </w:rPr>
            </w:pPr>
            <w:r>
              <w:rPr>
                <w:rFonts w:ascii="Arial" w:cs="Arial" w:eastAsia="Arial" w:hAnsi="Arial"/>
                <w:sz w:val="18"/>
                <w:szCs w:val="18"/>
                <w:color w:val="0000EE"/>
                <w:w w:val="99"/>
              </w:rPr>
              <w:t>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27, 2022 and March 28, 2021</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20" w:type="dxa"/>
            <w:vAlign w:val="bottom"/>
            <w:gridSpan w:val="18"/>
          </w:tcPr>
          <w:p>
            <w:pPr>
              <w:spacing w:after="0"/>
              <w:rPr>
                <w:sz w:val="20"/>
                <w:szCs w:val="20"/>
                <w:color w:val="auto"/>
              </w:rPr>
            </w:pPr>
            <w:r>
              <w:rPr>
                <w:rFonts w:ascii="Arial" w:cs="Arial" w:eastAsia="Arial" w:hAnsi="Arial"/>
                <w:sz w:val="18"/>
                <w:szCs w:val="18"/>
                <w:color w:val="0000EE"/>
              </w:rPr>
              <w:t>Consolidated Statements of Stockholder's Equity - Three and six months March 27, 2022, and March 28,</w:t>
            </w:r>
          </w:p>
        </w:tc>
        <w:tc>
          <w:tcPr>
            <w:tcW w:w="520" w:type="dxa"/>
            <w:vAlign w:val="bottom"/>
            <w:gridSpan w:val="4"/>
          </w:tcPr>
          <w:p>
            <w:pPr>
              <w:jc w:val="center"/>
              <w:ind w:left="210"/>
              <w:spacing w:after="0"/>
              <w:rPr>
                <w:sz w:val="20"/>
                <w:szCs w:val="20"/>
                <w:color w:val="auto"/>
              </w:rPr>
            </w:pPr>
            <w:r>
              <w:rPr>
                <w:rFonts w:ascii="Arial" w:cs="Arial" w:eastAsia="Arial" w:hAnsi="Arial"/>
                <w:sz w:val="18"/>
                <w:szCs w:val="18"/>
                <w:color w:val="0000EE"/>
                <w:w w:val="99"/>
              </w:rPr>
              <w:t>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2021</w:t>
            </w:r>
          </w:p>
        </w:tc>
        <w:tc>
          <w:tcPr>
            <w:tcW w:w="2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5"/>
          </w:tcPr>
          <w:p>
            <w:pPr>
              <w:spacing w:after="0"/>
              <w:rPr>
                <w:sz w:val="20"/>
                <w:szCs w:val="20"/>
                <w:color w:val="auto"/>
              </w:rPr>
            </w:pPr>
            <w:r>
              <w:rPr>
                <w:rFonts w:ascii="Arial" w:cs="Arial" w:eastAsia="Arial" w:hAnsi="Arial"/>
                <w:sz w:val="18"/>
                <w:szCs w:val="18"/>
                <w:color w:val="0000EE"/>
                <w:w w:val="99"/>
              </w:rPr>
              <w:t>Consolidated Statements of Cash Flows - 26 weeks ended March 27, 2022, and March 28, 2021</w:t>
            </w:r>
          </w:p>
        </w:tc>
        <w:tc>
          <w:tcPr>
            <w:tcW w:w="1140" w:type="dxa"/>
            <w:vAlign w:val="bottom"/>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EE"/>
                <w:w w:val="99"/>
              </w:rPr>
              <w:t>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00" w:type="dxa"/>
            <w:vAlign w:val="bottom"/>
            <w:gridSpan w:val="11"/>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180" w:type="dxa"/>
            <w:vAlign w:val="bottom"/>
            <w:gridSpan w:val="4"/>
          </w:tcPr>
          <w:p>
            <w:pPr>
              <w:spacing w:after="0"/>
              <w:rPr>
                <w:sz w:val="24"/>
                <w:szCs w:val="24"/>
                <w:color w:val="auto"/>
              </w:rPr>
            </w:pPr>
          </w:p>
        </w:tc>
        <w:tc>
          <w:tcPr>
            <w:tcW w:w="1140" w:type="dxa"/>
            <w:vAlign w:val="bottom"/>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EE"/>
                <w:w w:val="99"/>
              </w:rPr>
              <w:t>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740" w:type="dxa"/>
            <w:vAlign w:val="bottom"/>
            <w:gridSpan w:val="4"/>
          </w:tcPr>
          <w:p>
            <w:pPr>
              <w:spacing w:after="0"/>
              <w:rPr>
                <w:sz w:val="24"/>
                <w:szCs w:val="24"/>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color w:val="0000EE"/>
                <w:w w:val="99"/>
              </w:rPr>
              <w:t>12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4"/>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740" w:type="dxa"/>
            <w:vAlign w:val="bottom"/>
            <w:gridSpan w:val="4"/>
          </w:tcPr>
          <w:p>
            <w:pPr>
              <w:spacing w:after="0"/>
              <w:rPr>
                <w:sz w:val="24"/>
                <w:szCs w:val="24"/>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color w:val="0000EE"/>
                <w:w w:val="99"/>
              </w:rPr>
              <w:t>18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2"/>
          </w:tcPr>
          <w:p>
            <w:pPr>
              <w:spacing w:after="0"/>
              <w:rPr>
                <w:sz w:val="20"/>
                <w:szCs w:val="20"/>
                <w:color w:val="auto"/>
              </w:rPr>
            </w:pPr>
            <w:r>
              <w:rPr>
                <w:rFonts w:ascii="Arial" w:cs="Arial" w:eastAsia="Arial" w:hAnsi="Arial"/>
                <w:sz w:val="18"/>
                <w:szCs w:val="18"/>
                <w:color w:val="0000EE"/>
              </w:rPr>
              <w:t>Controls and Procedures</w:t>
            </w:r>
          </w:p>
        </w:tc>
        <w:tc>
          <w:tcPr>
            <w:tcW w:w="4120" w:type="dxa"/>
            <w:vAlign w:val="bottom"/>
            <w:gridSpan w:val="6"/>
          </w:tcPr>
          <w:p>
            <w:pPr>
              <w:spacing w:after="0"/>
              <w:rPr>
                <w:sz w:val="24"/>
                <w:szCs w:val="24"/>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color w:val="0000EE"/>
                <w:w w:val="99"/>
              </w:rPr>
              <w:t>18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9600" w:type="dxa"/>
            <w:vAlign w:val="bottom"/>
            <w:gridSpan w:val="21"/>
          </w:tcPr>
          <w:p>
            <w:pPr>
              <w:spacing w:after="0"/>
              <w:rPr>
                <w:sz w:val="20"/>
                <w:szCs w:val="20"/>
                <w:color w:val="auto"/>
              </w:rPr>
            </w:pPr>
            <w:r>
              <w:rPr>
                <w:rFonts w:ascii="Arial" w:cs="Arial" w:eastAsia="Arial" w:hAnsi="Arial"/>
                <w:sz w:val="18"/>
                <w:szCs w:val="18"/>
                <w:color w:val="0000EE"/>
              </w:rPr>
              <w:t>OTHER INFORMATION</w:t>
            </w:r>
          </w:p>
        </w:tc>
        <w:tc>
          <w:tcPr>
            <w:tcW w:w="800" w:type="dxa"/>
            <w:vAlign w:val="bottom"/>
            <w:gridSpan w:val="5"/>
          </w:tcPr>
          <w:p>
            <w:pPr>
              <w:jc w:val="center"/>
              <w:spacing w:after="0"/>
              <w:rPr>
                <w:sz w:val="20"/>
                <w:szCs w:val="20"/>
                <w:color w:val="auto"/>
              </w:rPr>
            </w:pPr>
            <w:r>
              <w:rPr>
                <w:rFonts w:ascii="Arial" w:cs="Arial" w:eastAsia="Arial" w:hAnsi="Arial"/>
                <w:sz w:val="18"/>
                <w:szCs w:val="18"/>
                <w:color w:val="0000EE"/>
                <w:w w:val="99"/>
              </w:rPr>
              <w:t>19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18"/>
          </w:tcPr>
          <w:p>
            <w:pPr>
              <w:spacing w:after="0"/>
              <w:rPr>
                <w:sz w:val="20"/>
                <w:szCs w:val="20"/>
                <w:color w:val="auto"/>
              </w:rPr>
            </w:pPr>
            <w:r>
              <w:rPr>
                <w:rFonts w:ascii="Arial" w:cs="Arial" w:eastAsia="Arial" w:hAnsi="Arial"/>
                <w:sz w:val="18"/>
                <w:szCs w:val="18"/>
                <w:color w:val="0000EE"/>
              </w:rPr>
              <w:t>Legal Proceedings</w:t>
            </w:r>
          </w:p>
        </w:tc>
        <w:tc>
          <w:tcPr>
            <w:tcW w:w="800" w:type="dxa"/>
            <w:vAlign w:val="bottom"/>
            <w:gridSpan w:val="5"/>
          </w:tcPr>
          <w:p>
            <w:pPr>
              <w:jc w:val="center"/>
              <w:spacing w:after="0"/>
              <w:rPr>
                <w:sz w:val="20"/>
                <w:szCs w:val="20"/>
                <w:color w:val="auto"/>
              </w:rPr>
            </w:pPr>
            <w:r>
              <w:rPr>
                <w:rFonts w:ascii="Arial" w:cs="Arial" w:eastAsia="Arial" w:hAnsi="Arial"/>
                <w:sz w:val="18"/>
                <w:szCs w:val="18"/>
                <w:color w:val="0000EE"/>
                <w:w w:val="99"/>
              </w:rPr>
              <w:t>19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gridSpan w:val="4"/>
          </w:tcPr>
          <w:p>
            <w:pPr>
              <w:spacing w:after="0"/>
              <w:rPr>
                <w:sz w:val="24"/>
                <w:szCs w:val="24"/>
                <w:color w:val="auto"/>
              </w:rPr>
            </w:pPr>
          </w:p>
        </w:tc>
        <w:tc>
          <w:tcPr>
            <w:tcW w:w="7340" w:type="dxa"/>
            <w:vAlign w:val="bottom"/>
            <w:gridSpan w:val="11"/>
          </w:tcPr>
          <w:p>
            <w:pPr>
              <w:spacing w:after="0"/>
              <w:rPr>
                <w:sz w:val="24"/>
                <w:szCs w:val="24"/>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color w:val="0000EE"/>
                <w:w w:val="99"/>
              </w:rPr>
              <w:t>19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20" w:type="dxa"/>
            <w:vAlign w:val="bottom"/>
            <w:gridSpan w:val="1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00" w:type="dxa"/>
            <w:vAlign w:val="bottom"/>
            <w:gridSpan w:val="3"/>
          </w:tcPr>
          <w:p>
            <w:pPr>
              <w:spacing w:after="0"/>
              <w:rPr>
                <w:sz w:val="20"/>
                <w:szCs w:val="20"/>
                <w:color w:val="auto"/>
              </w:rPr>
            </w:pPr>
            <w:r>
              <w:rPr>
                <w:rFonts w:ascii="Arial" w:cs="Arial" w:eastAsia="Arial" w:hAnsi="Arial"/>
                <w:sz w:val="18"/>
                <w:szCs w:val="18"/>
                <w:color w:val="0000EE"/>
              </w:rPr>
              <w:t>Exhibits</w:t>
            </w:r>
          </w:p>
        </w:tc>
        <w:tc>
          <w:tcPr>
            <w:tcW w:w="7820" w:type="dxa"/>
            <w:vAlign w:val="bottom"/>
            <w:gridSpan w:val="15"/>
          </w:tcPr>
          <w:p>
            <w:pPr>
              <w:spacing w:after="0"/>
              <w:rPr>
                <w:sz w:val="24"/>
                <w:szCs w:val="24"/>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color w:val="0000EE"/>
                <w:w w:val="99"/>
              </w:rPr>
              <w:t>19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Arial" w:cs="Arial" w:eastAsia="Arial" w:hAnsi="Arial"/>
                <w:sz w:val="18"/>
                <w:szCs w:val="18"/>
                <w:color w:val="0000EE"/>
              </w:rPr>
              <w:t>SIGNATURES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color w:val="0000EE"/>
                <w:w w:val="99"/>
              </w:rPr>
              <w:t>20</w:t>
            </w:r>
          </w:p>
        </w:tc>
        <w:tc>
          <w:tcPr>
            <w:tcW w:w="20" w:type="dxa"/>
            <w:vAlign w:val="bottom"/>
          </w:tcPr>
          <w:p>
            <w:pPr>
              <w:spacing w:after="0"/>
              <w:rPr>
                <w:sz w:val="24"/>
                <w:szCs w:val="24"/>
                <w:color w:val="auto"/>
              </w:rPr>
            </w:pPr>
          </w:p>
        </w:tc>
      </w:tr>
      <w:tr>
        <w:trPr>
          <w:trHeight w:val="568"/>
        </w:trPr>
        <w:tc>
          <w:tcPr>
            <w:tcW w:w="20" w:type="dxa"/>
            <w:vAlign w:val="bottom"/>
            <w:tcBorders>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“2022”, “2021" and the like refer to the fiscal years ended the last Sunday in September.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6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impact the COVID-19 pandemic has on the Company's revenues and costs;</w:t>
      </w:r>
    </w:p>
    <w:p>
      <w:pPr>
        <w:spacing w:after="0" w:line="63"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long-term or permanent changes the COVID-19 pandemic may have on the publishing industry, which may result in permanent revenue reductions and other risks and uncertainties;</w:t>
      </w:r>
    </w:p>
    <w:p>
      <w:pPr>
        <w:spacing w:after="0" w:line="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spacing w:after="0" w:line="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63"/>
        </w:trPr>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Pr>
          <w:p>
            <w:pPr>
              <w:spacing w:after="0"/>
              <w:rPr>
                <w:sz w:val="24"/>
                <w:szCs w:val="24"/>
                <w:color w:val="auto"/>
              </w:rPr>
            </w:pPr>
          </w:p>
        </w:tc>
      </w:tr>
      <w:tr>
        <w:trPr>
          <w:trHeight w:val="247"/>
        </w:trPr>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FINANCIAL INFORMATION</w:t>
            </w:r>
          </w:p>
        </w:tc>
        <w:tc>
          <w:tcPr>
            <w:tcW w:w="1640" w:type="dxa"/>
            <w:vAlign w:val="bottom"/>
          </w:tcPr>
          <w:p>
            <w:pPr>
              <w:spacing w:after="0"/>
              <w:rPr>
                <w:sz w:val="21"/>
                <w:szCs w:val="21"/>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5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1"/>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9"/>
              </w:rPr>
              <w:t>LEE ENTERPRISES, INCORPORATED</w:t>
            </w:r>
          </w:p>
        </w:tc>
        <w:tc>
          <w:tcPr>
            <w:tcW w:w="1640" w:type="dxa"/>
            <w:vAlign w:val="bottom"/>
          </w:tcPr>
          <w:p>
            <w:pPr>
              <w:spacing w:after="0"/>
              <w:rPr>
                <w:sz w:val="24"/>
                <w:szCs w:val="24"/>
                <w:color w:val="auto"/>
              </w:rPr>
            </w:pPr>
          </w:p>
        </w:tc>
      </w:tr>
      <w:tr>
        <w:trPr>
          <w:trHeight w:val="247"/>
        </w:trPr>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CONSOLIDATED BALANCE SHEETS</w:t>
            </w:r>
          </w:p>
        </w:tc>
        <w:tc>
          <w:tcPr>
            <w:tcW w:w="1640" w:type="dxa"/>
            <w:vAlign w:val="bottom"/>
          </w:tcPr>
          <w:p>
            <w:pPr>
              <w:spacing w:after="0"/>
              <w:rPr>
                <w:sz w:val="21"/>
                <w:szCs w:val="21"/>
                <w:color w:val="auto"/>
              </w:rPr>
            </w:pPr>
          </w:p>
        </w:tc>
      </w:tr>
      <w:tr>
        <w:trPr>
          <w:trHeight w:val="177"/>
        </w:trPr>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196"/>
        </w:trPr>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(Unaudited)</w:t>
            </w:r>
          </w:p>
        </w:tc>
        <w:tc>
          <w:tcPr>
            <w:tcW w:w="1640" w:type="dxa"/>
            <w:vAlign w:val="bottom"/>
            <w:tcBorders>
              <w:bottom w:val="single" w:sz="8" w:color="auto"/>
            </w:tcBorders>
          </w:tcPr>
          <w:p>
            <w:pPr>
              <w:spacing w:after="0"/>
              <w:rPr>
                <w:sz w:val="17"/>
                <w:szCs w:val="17"/>
                <w:color w:val="auto"/>
              </w:rPr>
            </w:pPr>
          </w:p>
        </w:tc>
      </w:tr>
      <w:tr>
        <w:trPr>
          <w:trHeight w:val="177"/>
        </w:trPr>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72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27,</w:t>
            </w:r>
          </w:p>
        </w:tc>
        <w:tc>
          <w:tcPr>
            <w:tcW w:w="1640" w:type="dxa"/>
            <w:vAlign w:val="bottom"/>
          </w:tcPr>
          <w:p>
            <w:pPr>
              <w:jc w:val="right"/>
              <w:ind w:right="10"/>
              <w:spacing w:after="0" w:line="177" w:lineRule="exact"/>
              <w:rPr>
                <w:sz w:val="20"/>
                <w:szCs w:val="20"/>
                <w:color w:val="auto"/>
              </w:rPr>
            </w:pPr>
            <w:r>
              <w:rPr>
                <w:rFonts w:ascii="Arial" w:cs="Arial" w:eastAsia="Arial" w:hAnsi="Arial"/>
                <w:sz w:val="18"/>
                <w:szCs w:val="18"/>
                <w:color w:val="auto"/>
              </w:rPr>
              <w:t>September 26,</w:t>
            </w:r>
          </w:p>
        </w:tc>
      </w:tr>
      <w:tr>
        <w:trPr>
          <w:trHeight w:val="221"/>
        </w:trPr>
        <w:tc>
          <w:tcPr>
            <w:tcW w:w="3880" w:type="dxa"/>
            <w:vAlign w:val="bottom"/>
            <w:tcBorders>
              <w:bottom w:val="single" w:sz="8" w:color="auto"/>
            </w:tcBorders>
            <w:gridSpan w:val="3"/>
          </w:tcPr>
          <w:p>
            <w:pPr>
              <w:spacing w:after="0"/>
              <w:rPr>
                <w:sz w:val="20"/>
                <w:szCs w:val="20"/>
                <w:color w:val="auto"/>
              </w:rPr>
            </w:pPr>
            <w:r>
              <w:rPr>
                <w:rFonts w:ascii="Arial" w:cs="Arial" w:eastAsia="Arial" w:hAnsi="Arial"/>
                <w:sz w:val="16"/>
                <w:szCs w:val="16"/>
                <w:i w:val="1"/>
                <w:iCs w:val="1"/>
                <w:color w:val="auto"/>
              </w:rPr>
              <w:t>(Thousands of Dollars)</w:t>
            </w:r>
          </w:p>
        </w:tc>
        <w:tc>
          <w:tcPr>
            <w:tcW w:w="5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1280" w:type="dxa"/>
            <w:vAlign w:val="bottom"/>
            <w:gridSpan w:val="2"/>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15,335</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26,112</w:t>
            </w:r>
          </w:p>
        </w:tc>
      </w:tr>
      <w:tr>
        <w:trPr>
          <w:trHeight w:val="203"/>
        </w:trPr>
        <w:tc>
          <w:tcPr>
            <w:tcW w:w="38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and contract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67,734</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65,070</w:t>
            </w: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Inventories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7,509</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6,297</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12,984</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11,320</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current assets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103,562</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108,799</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Associated companies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26,855</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26,682</w:t>
            </w:r>
          </w:p>
        </w:tc>
      </w:tr>
      <w:tr>
        <w:trPr>
          <w:trHeight w:val="216"/>
        </w:trPr>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6,217</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6,065</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investments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33,072</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32,747</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14,505</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16,576</w:t>
            </w:r>
          </w:p>
        </w:tc>
      </w:tr>
      <w:tr>
        <w:trPr>
          <w:trHeight w:val="203"/>
        </w:trPr>
        <w:tc>
          <w:tcPr>
            <w:tcW w:w="38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Buildings and improvements</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93,010</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106,890</w:t>
            </w:r>
          </w:p>
        </w:tc>
      </w:tr>
      <w:tr>
        <w:trPr>
          <w:trHeight w:val="202"/>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Equipment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210,523</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228,817</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6,401</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324,439</w:t>
            </w: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355,096</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246,257</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271,830</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Property and equipment, net</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78,182</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83,266</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57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59,721</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65,682</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330,204</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330,204</w:t>
            </w: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145,568</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156,671</w:t>
            </w:r>
          </w:p>
        </w:tc>
      </w:tr>
      <w:tr>
        <w:trPr>
          <w:trHeight w:val="203"/>
        </w:trPr>
        <w:tc>
          <w:tcPr>
            <w:tcW w:w="3880" w:type="dxa"/>
            <w:vAlign w:val="bottom"/>
            <w:gridSpan w:val="3"/>
          </w:tcPr>
          <w:p>
            <w:pPr>
              <w:spacing w:after="0" w:line="202" w:lineRule="exact"/>
              <w:rPr>
                <w:sz w:val="20"/>
                <w:szCs w:val="20"/>
                <w:color w:val="auto"/>
              </w:rPr>
            </w:pPr>
            <w:r>
              <w:rPr>
                <w:rFonts w:ascii="Arial" w:cs="Arial" w:eastAsia="Arial" w:hAnsi="Arial"/>
                <w:sz w:val="18"/>
                <w:szCs w:val="18"/>
                <w:color w:val="auto"/>
              </w:rPr>
              <w:t>Pension plan assets, net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13,971</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35,855</w:t>
            </w: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Medical plan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18,004</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16,695</w:t>
            </w:r>
          </w:p>
        </w:tc>
      </w:tr>
      <w:tr>
        <w:trPr>
          <w:trHeight w:val="203"/>
        </w:trPr>
        <w:tc>
          <w:tcPr>
            <w:tcW w:w="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13,117</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13,632</w:t>
            </w:r>
          </w:p>
        </w:tc>
      </w:tr>
      <w:tr>
        <w:trPr>
          <w:trHeight w:val="236"/>
        </w:trPr>
        <w:tc>
          <w:tcPr>
            <w:tcW w:w="3880" w:type="dxa"/>
            <w:vAlign w:val="bottom"/>
            <w:tcBorders>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7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795,401</w:t>
            </w:r>
          </w:p>
        </w:tc>
        <w:tc>
          <w:tcPr>
            <w:tcW w:w="1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843,551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(Unaudited)</w:t>
            </w:r>
          </w:p>
        </w:tc>
        <w:tc>
          <w:tcPr>
            <w:tcW w:w="1620" w:type="dxa"/>
            <w:vAlign w:val="bottom"/>
            <w:tcBorders>
              <w:top w:val="single" w:sz="8" w:color="auto"/>
              <w:bottom w:val="single" w:sz="8" w:color="auto"/>
            </w:tcBorders>
          </w:tcPr>
          <w:p>
            <w:pPr>
              <w:spacing w:after="0"/>
              <w:rPr>
                <w:sz w:val="18"/>
                <w:szCs w:val="18"/>
                <w:color w:val="auto"/>
              </w:rPr>
            </w:pPr>
          </w:p>
        </w:tc>
      </w:tr>
      <w:tr>
        <w:trPr>
          <w:trHeight w:val="177"/>
        </w:trPr>
        <w:tc>
          <w:tcPr>
            <w:tcW w:w="7580" w:type="dxa"/>
            <w:vAlign w:val="bottom"/>
          </w:tcPr>
          <w:p>
            <w:pPr>
              <w:spacing w:after="0"/>
              <w:rPr>
                <w:sz w:val="15"/>
                <w:szCs w:val="15"/>
                <w:color w:val="auto"/>
              </w:rPr>
            </w:pPr>
          </w:p>
        </w:tc>
        <w:tc>
          <w:tcPr>
            <w:tcW w:w="2040" w:type="dxa"/>
            <w:vAlign w:val="bottom"/>
          </w:tcPr>
          <w:p>
            <w:pPr>
              <w:jc w:val="right"/>
              <w:ind w:right="290"/>
              <w:spacing w:after="0" w:line="177" w:lineRule="exact"/>
              <w:rPr>
                <w:sz w:val="20"/>
                <w:szCs w:val="20"/>
                <w:color w:val="auto"/>
              </w:rPr>
            </w:pPr>
            <w:r>
              <w:rPr>
                <w:rFonts w:ascii="Arial" w:cs="Arial" w:eastAsia="Arial" w:hAnsi="Arial"/>
                <w:sz w:val="18"/>
                <w:szCs w:val="18"/>
                <w:color w:val="auto"/>
              </w:rPr>
              <w:t>March 27,</w:t>
            </w:r>
          </w:p>
        </w:tc>
        <w:tc>
          <w:tcPr>
            <w:tcW w:w="1620" w:type="dxa"/>
            <w:vAlign w:val="bottom"/>
          </w:tcPr>
          <w:p>
            <w:pPr>
              <w:jc w:val="right"/>
              <w:ind w:right="10"/>
              <w:spacing w:after="0" w:line="177" w:lineRule="exact"/>
              <w:rPr>
                <w:sz w:val="20"/>
                <w:szCs w:val="20"/>
                <w:color w:val="auto"/>
              </w:rPr>
            </w:pPr>
            <w:r>
              <w:rPr>
                <w:rFonts w:ascii="Arial" w:cs="Arial" w:eastAsia="Arial" w:hAnsi="Arial"/>
                <w:sz w:val="18"/>
                <w:szCs w:val="18"/>
                <w:color w:val="auto"/>
              </w:rPr>
              <w:t>September 26,</w:t>
            </w:r>
          </w:p>
        </w:tc>
      </w:tr>
      <w:tr>
        <w:trPr>
          <w:trHeight w:val="221"/>
        </w:trPr>
        <w:tc>
          <w:tcPr>
            <w:tcW w:w="7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7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EQUITY</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Current portion of lease liabilities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8,765</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8,612</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6,112</w:t>
            </w: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27,391</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20,420</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41,551</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45,076</w:t>
            </w:r>
          </w:p>
        </w:tc>
      </w:tr>
      <w:tr>
        <w:trPr>
          <w:trHeight w:val="216"/>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62,085</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61,404</w:t>
            </w:r>
          </w:p>
        </w:tc>
      </w:tr>
      <w:tr>
        <w:trPr>
          <w:trHeight w:val="19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139,792</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141,624</w:t>
            </w:r>
          </w:p>
        </w:tc>
      </w:tr>
      <w:tr>
        <w:trPr>
          <w:trHeight w:val="196"/>
        </w:trPr>
        <w:tc>
          <w:tcPr>
            <w:tcW w:w="758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0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462,554</w:t>
            </w:r>
          </w:p>
        </w:tc>
        <w:tc>
          <w:tcPr>
            <w:tcW w:w="1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476,504</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51,558</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57,683</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951</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22,444</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11,472</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11,008</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38,397</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40,295</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8,821</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9,174</w:t>
            </w:r>
          </w:p>
        </w:tc>
      </w:tr>
      <w:tr>
        <w:trPr>
          <w:trHeight w:val="216"/>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26,487</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28,121</w:t>
            </w:r>
          </w:p>
        </w:tc>
      </w:tr>
      <w:tr>
        <w:trPr>
          <w:trHeight w:val="19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740,032</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786,853</w:t>
            </w:r>
          </w:p>
        </w:tc>
      </w:tr>
      <w:tr>
        <w:trPr>
          <w:trHeight w:val="196"/>
        </w:trPr>
        <w:tc>
          <w:tcPr>
            <w:tcW w:w="7580" w:type="dxa"/>
            <w:vAlign w:val="bottom"/>
          </w:tcPr>
          <w:p>
            <w:pPr>
              <w:spacing w:after="0" w:line="196" w:lineRule="exact"/>
              <w:rPr>
                <w:sz w:val="20"/>
                <w:szCs w:val="20"/>
                <w:color w:val="auto"/>
              </w:rPr>
            </w:pPr>
            <w:r>
              <w:rPr>
                <w:rFonts w:ascii="Arial" w:cs="Arial" w:eastAsia="Arial" w:hAnsi="Arial"/>
                <w:sz w:val="18"/>
                <w:szCs w:val="18"/>
                <w:color w:val="auto"/>
              </w:rPr>
              <w:t>Equity:</w:t>
            </w: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equity:</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$0.01 par value; authorized 12,000 shares; issued and outstanding:</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60</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w:t>
            </w:r>
          </w:p>
        </w:tc>
      </w:tr>
      <w:tr>
        <w:trPr>
          <w:trHeight w:val="203"/>
        </w:trPr>
        <w:tc>
          <w:tcPr>
            <w:tcW w:w="7580" w:type="dxa"/>
            <w:vAlign w:val="bottom"/>
          </w:tcPr>
          <w:p>
            <w:pPr>
              <w:ind w:left="500"/>
              <w:spacing w:after="0" w:line="202" w:lineRule="exact"/>
              <w:rPr>
                <w:sz w:val="20"/>
                <w:szCs w:val="20"/>
                <w:color w:val="auto"/>
              </w:rPr>
            </w:pPr>
            <w:r>
              <w:rPr>
                <w:rFonts w:ascii="Arial" w:cs="Arial" w:eastAsia="Arial" w:hAnsi="Arial"/>
                <w:sz w:val="18"/>
                <w:szCs w:val="18"/>
                <w:color w:val="auto"/>
              </w:rPr>
              <w:t>March 27, 2022; 5,957 shares; $0.01 par value</w:t>
            </w: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September 26, 2021; 5,889 shares; $0.01 par value</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Class B Common Stock, $2 par value; authorized 3,000 shares; none issued</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258,523</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258,063</w:t>
            </w: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(240,362)</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(245,744)</w:t>
            </w:r>
          </w:p>
        </w:tc>
      </w:tr>
      <w:tr>
        <w:trPr>
          <w:trHeight w:val="203"/>
        </w:trPr>
        <w:tc>
          <w:tcPr>
            <w:tcW w:w="75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income</w:t>
            </w:r>
          </w:p>
        </w:tc>
        <w:tc>
          <w:tcPr>
            <w:tcW w:w="20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34,908</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42,187</w:t>
            </w:r>
          </w:p>
        </w:tc>
      </w:tr>
      <w:tr>
        <w:trPr>
          <w:trHeight w:val="196"/>
        </w:trPr>
        <w:tc>
          <w:tcPr>
            <w:tcW w:w="75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20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53,129</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54,565</w:t>
            </w:r>
          </w:p>
        </w:tc>
      </w:tr>
      <w:tr>
        <w:trPr>
          <w:trHeight w:val="209"/>
        </w:trPr>
        <w:tc>
          <w:tcPr>
            <w:tcW w:w="7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2,240</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196"/>
        </w:trPr>
        <w:tc>
          <w:tcPr>
            <w:tcW w:w="7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0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55,369</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56,698</w:t>
            </w:r>
          </w:p>
        </w:tc>
      </w:tr>
      <w:tr>
        <w:trPr>
          <w:trHeight w:val="23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equity</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795,401</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843,551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Three months ended</w:t>
            </w:r>
          </w:p>
        </w:tc>
        <w:tc>
          <w:tcPr>
            <w:tcW w:w="24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Six months ended</w:t>
            </w:r>
          </w:p>
        </w:tc>
      </w:tr>
      <w:tr>
        <w:trPr>
          <w:trHeight w:val="177"/>
        </w:trPr>
        <w:tc>
          <w:tcPr>
            <w:tcW w:w="5600" w:type="dxa"/>
            <w:vAlign w:val="bottom"/>
          </w:tcPr>
          <w:p>
            <w:pPr>
              <w:spacing w:after="0"/>
              <w:rPr>
                <w:sz w:val="15"/>
                <w:szCs w:val="15"/>
                <w:color w:val="auto"/>
              </w:rPr>
            </w:pPr>
          </w:p>
        </w:tc>
        <w:tc>
          <w:tcPr>
            <w:tcW w:w="182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March 27,</w:t>
            </w:r>
          </w:p>
        </w:tc>
        <w:tc>
          <w:tcPr>
            <w:tcW w:w="136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28,</w:t>
            </w:r>
          </w:p>
        </w:tc>
        <w:tc>
          <w:tcPr>
            <w:tcW w:w="132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140" w:type="dxa"/>
            <w:vAlign w:val="bottom"/>
          </w:tcPr>
          <w:p>
            <w:pPr>
              <w:jc w:val="right"/>
              <w:ind w:right="10"/>
              <w:spacing w:after="0" w:line="177" w:lineRule="exact"/>
              <w:rPr>
                <w:sz w:val="20"/>
                <w:szCs w:val="20"/>
                <w:color w:val="auto"/>
              </w:rPr>
            </w:pPr>
            <w:r>
              <w:rPr>
                <w:rFonts w:ascii="Arial" w:cs="Arial" w:eastAsia="Arial" w:hAnsi="Arial"/>
                <w:sz w:val="18"/>
                <w:szCs w:val="18"/>
                <w:color w:val="auto"/>
              </w:rPr>
              <w:t>March 28,</w:t>
            </w:r>
          </w:p>
        </w:tc>
      </w:tr>
      <w:tr>
        <w:trPr>
          <w:trHeight w:val="221"/>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5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8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Advertising and marketing services</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87,633</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85,575</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186,387</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188,204</w:t>
            </w: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Subscription</w:t>
            </w:r>
          </w:p>
        </w:tc>
        <w:tc>
          <w:tcPr>
            <w:tcW w:w="18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87,348</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89,777</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174,867</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181,080</w:t>
            </w:r>
          </w:p>
        </w:tc>
      </w:tr>
      <w:tr>
        <w:trPr>
          <w:trHeight w:val="203"/>
        </w:trPr>
        <w:tc>
          <w:tcPr>
            <w:tcW w:w="56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1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15,033</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17,078</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31,042</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34,964</w:t>
            </w:r>
          </w:p>
        </w:tc>
      </w:tr>
      <w:tr>
        <w:trPr>
          <w:trHeight w:val="196"/>
        </w:trPr>
        <w:tc>
          <w:tcPr>
            <w:tcW w:w="5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8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190,014</w:t>
            </w:r>
          </w:p>
        </w:tc>
        <w:tc>
          <w:tcPr>
            <w:tcW w:w="13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192,430</w:t>
            </w:r>
          </w:p>
        </w:tc>
        <w:tc>
          <w:tcPr>
            <w:tcW w:w="13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392,296</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404,248</w:t>
            </w: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18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83,513</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83,154</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168,207</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167,317</w:t>
            </w: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7,068</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7,179</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14,712</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15,171</w:t>
            </w: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8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84,679</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79,865</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170,661</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161,632</w:t>
            </w: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8,951</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12,517</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18,627</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22,958</w:t>
            </w: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18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(152)</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1,474</w:t>
            </w:r>
          </w:p>
        </w:tc>
        <w:tc>
          <w:tcPr>
            <w:tcW w:w="13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(12,426)</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6,696</w:t>
            </w:r>
          </w:p>
        </w:tc>
      </w:tr>
      <w:tr>
        <w:trPr>
          <w:trHeight w:val="203"/>
        </w:trPr>
        <w:tc>
          <w:tcPr>
            <w:tcW w:w="56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1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10,590</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1,294</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13,790</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4,461</w:t>
            </w:r>
          </w:p>
        </w:tc>
      </w:tr>
      <w:tr>
        <w:trPr>
          <w:trHeight w:val="196"/>
        </w:trPr>
        <w:tc>
          <w:tcPr>
            <w:tcW w:w="5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8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194,649</w:t>
            </w:r>
          </w:p>
        </w:tc>
        <w:tc>
          <w:tcPr>
            <w:tcW w:w="13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185,483</w:t>
            </w:r>
          </w:p>
        </w:tc>
        <w:tc>
          <w:tcPr>
            <w:tcW w:w="13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373,571</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378,235</w:t>
            </w:r>
          </w:p>
        </w:tc>
      </w:tr>
      <w:tr>
        <w:trPr>
          <w:trHeight w:val="196"/>
        </w:trPr>
        <w:tc>
          <w:tcPr>
            <w:tcW w:w="5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18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1,407</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1,471</w:t>
            </w:r>
          </w:p>
        </w:tc>
        <w:tc>
          <w:tcPr>
            <w:tcW w:w="13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3,161</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3,213</w:t>
            </w:r>
          </w:p>
        </w:tc>
      </w:tr>
      <w:tr>
        <w:trPr>
          <w:trHeight w:val="196"/>
        </w:trPr>
        <w:tc>
          <w:tcPr>
            <w:tcW w:w="5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 income</w:t>
            </w:r>
          </w:p>
        </w:tc>
        <w:tc>
          <w:tcPr>
            <w:tcW w:w="182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(3,228)</w:t>
            </w:r>
          </w:p>
        </w:tc>
        <w:tc>
          <w:tcPr>
            <w:tcW w:w="13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8,418</w:t>
            </w:r>
          </w:p>
        </w:tc>
        <w:tc>
          <w:tcPr>
            <w:tcW w:w="13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21,886</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29,226</w:t>
            </w: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Non-operating (expense) income:</w:t>
            </w: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(10,523)</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(11,237)</w:t>
            </w:r>
          </w:p>
        </w:tc>
        <w:tc>
          <w:tcPr>
            <w:tcW w:w="13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(21,186)</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(23,119)</w:t>
            </w: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1,027</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23,830</w:t>
            </w:r>
          </w:p>
        </w:tc>
      </w:tr>
      <w:tr>
        <w:trPr>
          <w:trHeight w:val="202"/>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8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(2,335)</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(2,335)</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(12,310)</w:t>
            </w:r>
          </w:p>
        </w:tc>
      </w:tr>
      <w:tr>
        <w:trPr>
          <w:trHeight w:val="203"/>
        </w:trPr>
        <w:tc>
          <w:tcPr>
            <w:tcW w:w="56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1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6,248</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1,640</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9,320</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3,908</w:t>
            </w:r>
          </w:p>
        </w:tc>
      </w:tr>
      <w:tr>
        <w:trPr>
          <w:trHeight w:val="196"/>
        </w:trPr>
        <w:tc>
          <w:tcPr>
            <w:tcW w:w="5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non-operating (expense) income, net</w:t>
            </w:r>
          </w:p>
        </w:tc>
        <w:tc>
          <w:tcPr>
            <w:tcW w:w="182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(6,610)</w:t>
            </w:r>
          </w:p>
        </w:tc>
        <w:tc>
          <w:tcPr>
            <w:tcW w:w="136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(9,597)</w:t>
            </w:r>
          </w:p>
        </w:tc>
        <w:tc>
          <w:tcPr>
            <w:tcW w:w="13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(13,174)</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(7,691)</w:t>
            </w: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(Loss) Income before income taxes</w:t>
            </w:r>
          </w:p>
        </w:tc>
        <w:tc>
          <w:tcPr>
            <w:tcW w:w="18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(9,838)</w:t>
            </w:r>
          </w:p>
        </w:tc>
        <w:tc>
          <w:tcPr>
            <w:tcW w:w="13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(1,179)</w:t>
            </w:r>
          </w:p>
        </w:tc>
        <w:tc>
          <w:tcPr>
            <w:tcW w:w="132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8,712</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21,535</w:t>
            </w:r>
          </w:p>
        </w:tc>
      </w:tr>
      <w:tr>
        <w:trPr>
          <w:trHeight w:val="203"/>
        </w:trPr>
        <w:tc>
          <w:tcPr>
            <w:tcW w:w="5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(benefit) expense</w:t>
            </w:r>
          </w:p>
        </w:tc>
        <w:tc>
          <w:tcPr>
            <w:tcW w:w="18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(3,144)</w:t>
            </w:r>
          </w:p>
        </w:tc>
        <w:tc>
          <w:tcPr>
            <w:tcW w:w="13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(571)</w:t>
            </w:r>
          </w:p>
        </w:tc>
        <w:tc>
          <w:tcPr>
            <w:tcW w:w="13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2,207</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5,740</w:t>
            </w: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(loss) income</w:t>
            </w:r>
          </w:p>
        </w:tc>
        <w:tc>
          <w:tcPr>
            <w:tcW w:w="18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(6,694)</w:t>
            </w:r>
          </w:p>
        </w:tc>
        <w:tc>
          <w:tcPr>
            <w:tcW w:w="13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(608)</w:t>
            </w:r>
          </w:p>
        </w:tc>
        <w:tc>
          <w:tcPr>
            <w:tcW w:w="132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6,505</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15,795</w:t>
            </w:r>
          </w:p>
        </w:tc>
      </w:tr>
      <w:tr>
        <w:trPr>
          <w:trHeight w:val="203"/>
        </w:trPr>
        <w:tc>
          <w:tcPr>
            <w:tcW w:w="5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(582)</w:t>
            </w:r>
          </w:p>
        </w:tc>
        <w:tc>
          <w:tcPr>
            <w:tcW w:w="13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(526)</w:t>
            </w:r>
          </w:p>
        </w:tc>
        <w:tc>
          <w:tcPr>
            <w:tcW w:w="13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(1,123)</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(1,027)</w:t>
            </w: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(Loss) Income attributable to Lee Enterprises, Incorporated</w:t>
            </w:r>
          </w:p>
        </w:tc>
        <w:tc>
          <w:tcPr>
            <w:tcW w:w="18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(7,276)</w:t>
            </w:r>
          </w:p>
        </w:tc>
        <w:tc>
          <w:tcPr>
            <w:tcW w:w="13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(1,134)</w:t>
            </w:r>
          </w:p>
        </w:tc>
        <w:tc>
          <w:tcPr>
            <w:tcW w:w="132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5,382</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14,768</w:t>
            </w:r>
          </w:p>
        </w:tc>
      </w:tr>
      <w:tr>
        <w:trPr>
          <w:trHeight w:val="203"/>
        </w:trPr>
        <w:tc>
          <w:tcPr>
            <w:tcW w:w="56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 income, net of income taxes</w:t>
            </w:r>
          </w:p>
        </w:tc>
        <w:tc>
          <w:tcPr>
            <w:tcW w:w="18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(1,167)</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478</w:t>
            </w:r>
          </w:p>
        </w:tc>
        <w:tc>
          <w:tcPr>
            <w:tcW w:w="13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(7,279)</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1,620</w:t>
            </w:r>
          </w:p>
        </w:tc>
      </w:tr>
      <w:tr>
        <w:trPr>
          <w:trHeight w:val="177"/>
        </w:trPr>
        <w:tc>
          <w:tcPr>
            <w:tcW w:w="5600" w:type="dxa"/>
            <w:vAlign w:val="bottom"/>
          </w:tcPr>
          <w:p>
            <w:pPr>
              <w:spacing w:after="0" w:line="177" w:lineRule="exact"/>
              <w:rPr>
                <w:sz w:val="20"/>
                <w:szCs w:val="20"/>
                <w:color w:val="auto"/>
              </w:rPr>
            </w:pPr>
            <w:r>
              <w:rPr>
                <w:rFonts w:ascii="Arial" w:cs="Arial" w:eastAsia="Arial" w:hAnsi="Arial"/>
                <w:sz w:val="18"/>
                <w:szCs w:val="18"/>
                <w:color w:val="auto"/>
              </w:rPr>
              <w:t>Comprehensive (loss) income attributable to Lee Enterprises,</w:t>
            </w: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1"/>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Incorporated</w:t>
            </w:r>
          </w:p>
        </w:tc>
        <w:tc>
          <w:tcPr>
            <w:tcW w:w="1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(8,443)</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(656)</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(1,897)</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16,388</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18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(1.26)</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(0.20)</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0.94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2.59</w:t>
            </w:r>
          </w:p>
        </w:tc>
      </w:tr>
      <w:tr>
        <w:trPr>
          <w:trHeight w:val="243"/>
        </w:trPr>
        <w:tc>
          <w:tcPr>
            <w:tcW w:w="56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8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(1.26)</w:t>
            </w:r>
          </w:p>
        </w:tc>
        <w:tc>
          <w:tcPr>
            <w:tcW w:w="13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(0.20)</w:t>
            </w:r>
          </w:p>
        </w:tc>
        <w:tc>
          <w:tcPr>
            <w:tcW w:w="13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0.92</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Accumulated</w:t>
            </w:r>
          </w:p>
        </w:tc>
        <w:tc>
          <w:tcPr>
            <w:tcW w:w="980" w:type="dxa"/>
            <w:vAlign w:val="bottom"/>
            <w:tcBorders>
              <w:top w:val="single" w:sz="8" w:color="auto"/>
            </w:tcBorders>
          </w:tcPr>
          <w:p>
            <w:pPr>
              <w:spacing w:after="0"/>
              <w:rPr>
                <w:sz w:val="18"/>
                <w:szCs w:val="18"/>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27, 2021</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(245,744)</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59</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258,063</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42,187</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54,565</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12,658</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12,658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186</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(8,174)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(8,174)</w:t>
            </w: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2,062</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2,062</w:t>
            </w: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26, 2021</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(233,086)</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60</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257,863</w:t>
            </w:r>
          </w:p>
        </w:tc>
        <w:tc>
          <w:tcPr>
            <w:tcW w:w="168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36,075</w:t>
            </w:r>
          </w:p>
        </w:tc>
        <w:tc>
          <w:tcPr>
            <w:tcW w:w="9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60,912</w:t>
            </w: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(7,276)</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(7,276)</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663</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(1,667)</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(1,667)</w:t>
            </w: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500</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500</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27, 2022</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(240,362)</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60</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258,523</w:t>
            </w:r>
          </w:p>
        </w:tc>
        <w:tc>
          <w:tcPr>
            <w:tcW w:w="16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34,908</w:t>
            </w: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53,129</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2"/>
        </w:trPr>
        <w:tc>
          <w:tcPr>
            <w:tcW w:w="4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4"/>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jc w:val="right"/>
              <w:ind w:right="230"/>
              <w:spacing w:after="0" w:line="183" w:lineRule="exact"/>
              <w:rPr>
                <w:sz w:val="20"/>
                <w:szCs w:val="20"/>
                <w:color w:val="auto"/>
              </w:rPr>
            </w:pPr>
            <w:r>
              <w:rPr>
                <w:rFonts w:ascii="Arial" w:cs="Arial" w:eastAsia="Arial" w:hAnsi="Arial"/>
                <w:sz w:val="18"/>
                <w:szCs w:val="18"/>
                <w:color w:val="auto"/>
              </w:rPr>
              <w:t>Accumulated</w:t>
            </w:r>
          </w:p>
        </w:tc>
        <w:tc>
          <w:tcPr>
            <w:tcW w:w="980" w:type="dxa"/>
            <w:vAlign w:val="bottom"/>
          </w:tcPr>
          <w:p>
            <w:pPr>
              <w:spacing w:after="0"/>
              <w:rPr>
                <w:sz w:val="15"/>
                <w:szCs w:val="15"/>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28, 2020</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(268,529)</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58</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256,957</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(20,050)</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(31,564)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2"/>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15,902</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15,902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220</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1,347</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1,347</w:t>
            </w: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(205)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27, 2020</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(252,627)</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257,122</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(18,908)</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(14,354)</w:t>
            </w: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(1,134)</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214</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682</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682</w:t>
            </w: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(204)</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28, 2021</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(253,761)</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257,328</w:t>
            </w:r>
          </w:p>
        </w:tc>
        <w:tc>
          <w:tcPr>
            <w:tcW w:w="1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(18,430)</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(14,804)</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Six months ended</w:t>
            </w:r>
          </w:p>
        </w:tc>
      </w:tr>
      <w:tr>
        <w:trPr>
          <w:trHeight w:val="177"/>
        </w:trPr>
        <w:tc>
          <w:tcPr>
            <w:tcW w:w="8040" w:type="dxa"/>
            <w:vAlign w:val="bottom"/>
          </w:tcPr>
          <w:p>
            <w:pPr>
              <w:spacing w:after="0"/>
              <w:rPr>
                <w:sz w:val="15"/>
                <w:szCs w:val="15"/>
                <w:color w:val="auto"/>
              </w:rPr>
            </w:pPr>
          </w:p>
        </w:tc>
        <w:tc>
          <w:tcPr>
            <w:tcW w:w="20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27,</w:t>
            </w:r>
          </w:p>
        </w:tc>
        <w:tc>
          <w:tcPr>
            <w:tcW w:w="1200" w:type="dxa"/>
            <w:vAlign w:val="bottom"/>
          </w:tcPr>
          <w:p>
            <w:pPr>
              <w:jc w:val="right"/>
              <w:ind w:right="10"/>
              <w:spacing w:after="0" w:line="177" w:lineRule="exact"/>
              <w:rPr>
                <w:sz w:val="20"/>
                <w:szCs w:val="20"/>
                <w:color w:val="auto"/>
              </w:rPr>
            </w:pPr>
            <w:r>
              <w:rPr>
                <w:rFonts w:ascii="Arial" w:cs="Arial" w:eastAsia="Arial" w:hAnsi="Arial"/>
                <w:sz w:val="18"/>
                <w:szCs w:val="18"/>
                <w:color w:val="auto"/>
              </w:rPr>
              <w:t>March 28,</w:t>
            </w:r>
          </w:p>
        </w:tc>
      </w:tr>
      <w:tr>
        <w:trPr>
          <w:trHeight w:val="221"/>
        </w:trPr>
        <w:tc>
          <w:tcPr>
            <w:tcW w:w="80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8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2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6,505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15,795</w:t>
            </w: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18,627</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22,958</w:t>
            </w: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20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(1,027)</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(23,830)</w:t>
            </w: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2,335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12,310</w:t>
            </w: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20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699</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434</w:t>
            </w: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20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(12,426)</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6,696</w:t>
            </w: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20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664</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w:t>
            </w: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Pension contributions</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(965)</w:t>
            </w: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Return of (Payments to collateralize) letters of credit</w:t>
            </w:r>
          </w:p>
        </w:tc>
        <w:tc>
          <w:tcPr>
            <w:tcW w:w="20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151</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1,686</w:t>
            </w: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Other, net</w:t>
            </w:r>
          </w:p>
        </w:tc>
        <w:tc>
          <w:tcPr>
            <w:tcW w:w="20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(1,011)</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w:t>
            </w:r>
          </w:p>
        </w:tc>
      </w:tr>
      <w:tr>
        <w:trPr>
          <w:trHeight w:val="202"/>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8040" w:type="dxa"/>
            <w:vAlign w:val="bottom"/>
          </w:tcPr>
          <w:p>
            <w:pPr>
              <w:ind w:left="340"/>
              <w:spacing w:after="0" w:line="202" w:lineRule="exact"/>
              <w:rPr>
                <w:sz w:val="20"/>
                <w:szCs w:val="20"/>
                <w:color w:val="auto"/>
              </w:rPr>
            </w:pPr>
            <w:r>
              <w:rPr>
                <w:rFonts w:ascii="Arial" w:cs="Arial" w:eastAsia="Arial" w:hAnsi="Arial"/>
                <w:sz w:val="18"/>
                <w:szCs w:val="18"/>
                <w:color w:val="auto"/>
              </w:rPr>
              <w:t>(Increase) decrease in receivables and contract assets</w:t>
            </w:r>
          </w:p>
        </w:tc>
        <w:tc>
          <w:tcPr>
            <w:tcW w:w="20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(3,060)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(6,786)</w:t>
            </w:r>
          </w:p>
        </w:tc>
      </w:tr>
      <w:tr>
        <w:trPr>
          <w:trHeight w:val="203"/>
        </w:trPr>
        <w:tc>
          <w:tcPr>
            <w:tcW w:w="8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inventories and other</w:t>
            </w:r>
          </w:p>
        </w:tc>
        <w:tc>
          <w:tcPr>
            <w:tcW w:w="20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(1,033)</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782</w:t>
            </w:r>
          </w:p>
        </w:tc>
      </w:tr>
      <w:tr>
        <w:trPr>
          <w:trHeight w:val="203"/>
        </w:trPr>
        <w:tc>
          <w:tcPr>
            <w:tcW w:w="8040" w:type="dxa"/>
            <w:vAlign w:val="bottom"/>
          </w:tcPr>
          <w:p>
            <w:pPr>
              <w:ind w:left="340"/>
              <w:spacing w:after="0" w:line="202" w:lineRule="exact"/>
              <w:rPr>
                <w:sz w:val="20"/>
                <w:szCs w:val="20"/>
                <w:color w:val="auto"/>
              </w:rPr>
            </w:pPr>
            <w:r>
              <w:rPr>
                <w:rFonts w:ascii="Arial" w:cs="Arial" w:eastAsia="Arial" w:hAnsi="Arial"/>
                <w:sz w:val="18"/>
                <w:szCs w:val="18"/>
                <w:color w:val="auto"/>
              </w:rPr>
              <w:t>Increase (decrease) in accounts payable and other accrued liabilities</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5,694</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3,944</w:t>
            </w:r>
          </w:p>
        </w:tc>
      </w:tr>
      <w:tr>
        <w:trPr>
          <w:trHeight w:val="203"/>
        </w:trPr>
        <w:tc>
          <w:tcPr>
            <w:tcW w:w="8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20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(9,388)</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(3,291)</w:t>
            </w:r>
          </w:p>
        </w:tc>
      </w:tr>
      <w:tr>
        <w:trPr>
          <w:trHeight w:val="203"/>
        </w:trPr>
        <w:tc>
          <w:tcPr>
            <w:tcW w:w="8040" w:type="dxa"/>
            <w:vAlign w:val="bottom"/>
          </w:tcPr>
          <w:p>
            <w:pPr>
              <w:ind w:left="340"/>
              <w:spacing w:after="0" w:line="202" w:lineRule="exact"/>
              <w:rPr>
                <w:sz w:val="20"/>
                <w:szCs w:val="20"/>
                <w:color w:val="auto"/>
              </w:rPr>
            </w:pPr>
            <w:r>
              <w:rPr>
                <w:rFonts w:ascii="Arial" w:cs="Arial" w:eastAsia="Arial" w:hAnsi="Arial"/>
                <w:sz w:val="18"/>
                <w:szCs w:val="18"/>
                <w:color w:val="auto"/>
              </w:rPr>
              <w:t>Change in income taxes payable</w:t>
            </w:r>
          </w:p>
        </w:tc>
        <w:tc>
          <w:tcPr>
            <w:tcW w:w="20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(3,686)</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4,214</w:t>
            </w:r>
          </w:p>
        </w:tc>
      </w:tr>
      <w:tr>
        <w:trPr>
          <w:trHeight w:val="203"/>
        </w:trPr>
        <w:tc>
          <w:tcPr>
            <w:tcW w:w="804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(3,650)</w:t>
            </w: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5,563</w:t>
            </w:r>
          </w:p>
        </w:tc>
      </w:tr>
      <w:tr>
        <w:trPr>
          <w:trHeight w:val="196"/>
        </w:trPr>
        <w:tc>
          <w:tcPr>
            <w:tcW w:w="8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provided by operating activities</w:t>
            </w:r>
          </w:p>
        </w:tc>
        <w:tc>
          <w:tcPr>
            <w:tcW w:w="20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(606)</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39,253</w:t>
            </w: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(required for) investing activities:</w:t>
            </w:r>
          </w:p>
        </w:tc>
        <w:tc>
          <w:tcPr>
            <w:tcW w:w="2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2"/>
        </w:trPr>
        <w:tc>
          <w:tcPr>
            <w:tcW w:w="804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0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(4,570)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(2,927)</w:t>
            </w: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sales of assets</w:t>
            </w:r>
          </w:p>
        </w:tc>
        <w:tc>
          <w:tcPr>
            <w:tcW w:w="20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14,744</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2,751</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Distributions greater (less) than earnings of TNI and MNI</w:t>
            </w:r>
          </w:p>
        </w:tc>
        <w:tc>
          <w:tcPr>
            <w:tcW w:w="20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(102)</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555</w:t>
            </w:r>
          </w:p>
        </w:tc>
      </w:tr>
      <w:tr>
        <w:trPr>
          <w:trHeight w:val="203"/>
        </w:trPr>
        <w:tc>
          <w:tcPr>
            <w:tcW w:w="8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20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(192)</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r>
      <w:tr>
        <w:trPr>
          <w:trHeight w:val="196"/>
        </w:trPr>
        <w:tc>
          <w:tcPr>
            <w:tcW w:w="8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investing activities</w:t>
            </w:r>
          </w:p>
        </w:tc>
        <w:tc>
          <w:tcPr>
            <w:tcW w:w="2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9,880</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301</w:t>
            </w: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(required for) financing activities:</w:t>
            </w:r>
          </w:p>
        </w:tc>
        <w:tc>
          <w:tcPr>
            <w:tcW w:w="2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Payments on long-term debt</w:t>
            </w:r>
          </w:p>
        </w:tc>
        <w:tc>
          <w:tcPr>
            <w:tcW w:w="20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(20,062)</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(39,375)</w:t>
            </w:r>
          </w:p>
        </w:tc>
      </w:tr>
      <w:tr>
        <w:trPr>
          <w:trHeight w:val="203"/>
        </w:trPr>
        <w:tc>
          <w:tcPr>
            <w:tcW w:w="8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Common stock transactions, net</w:t>
            </w:r>
          </w:p>
        </w:tc>
        <w:tc>
          <w:tcPr>
            <w:tcW w:w="20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r>
      <w:tr>
        <w:trPr>
          <w:trHeight w:val="196"/>
        </w:trPr>
        <w:tc>
          <w:tcPr>
            <w:tcW w:w="8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financing activities</w:t>
            </w:r>
          </w:p>
        </w:tc>
        <w:tc>
          <w:tcPr>
            <w:tcW w:w="20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(20,051)</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(39,534)</w:t>
            </w: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0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(10,777)</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0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Beginning of period</w:t>
            </w:r>
          </w:p>
        </w:tc>
        <w:tc>
          <w:tcPr>
            <w:tcW w:w="20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26,112</w:t>
            </w: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33,733</w:t>
            </w:r>
          </w:p>
        </w:tc>
      </w:tr>
      <w:tr>
        <w:trPr>
          <w:trHeight w:val="196"/>
        </w:trPr>
        <w:tc>
          <w:tcPr>
            <w:tcW w:w="80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End of period</w:t>
            </w:r>
          </w:p>
        </w:tc>
        <w:tc>
          <w:tcPr>
            <w:tcW w:w="2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15,335</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33,753</w:t>
            </w: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LEE ENTERPRISES, INCORPORATED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ind w:left="4700" w:right="3300" w:hanging="4692"/>
        <w:spacing w:after="0" w:line="469" w:lineRule="auto"/>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right="80"/>
        <w:spacing w:after="0" w:line="242"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March 27, 2022, and our results of operations and cash flows for the periods presented. The Consolidated Financial Statements should be read in conjunction with the Consolidated Financial Statements and Notes thereto included in the Company's 2021 Annual Report on Form 10-K.</w:t>
      </w:r>
    </w:p>
    <w:p>
      <w:pPr>
        <w:spacing w:after="0" w:line="165"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color w:val="auto"/>
        </w:rPr>
        <w:t>The Company's fiscal year ends on the last Sunday in September. Fiscal year 2022 ends on September 25, 2022 and fiscal year 2021 ended September 26, 2021. Fiscal year 2022 and 2021 are 52-week years with 13 weeks in each quarter. Because of seasonal and other factors, the results of operations for the three and six months ended March 27, 2022, are not necessarily indicative of the results to be expected for the full year.</w:t>
      </w:r>
    </w:p>
    <w:p>
      <w:pPr>
        <w:spacing w:after="0" w:line="160" w:lineRule="exact"/>
        <w:rPr>
          <w:sz w:val="20"/>
          <w:szCs w:val="20"/>
          <w:color w:val="auto"/>
        </w:rPr>
      </w:pPr>
    </w:p>
    <w:p>
      <w:pPr>
        <w:jc w:val="both"/>
        <w:ind w:left="660" w:right="80"/>
        <w:spacing w:after="0" w:line="271"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“2022”, “2021” and the like refer to the fiscal years ended the last Sunday in September.</w:t>
      </w:r>
    </w:p>
    <w:p>
      <w:pPr>
        <w:spacing w:after="0" w:line="140" w:lineRule="exact"/>
        <w:rPr>
          <w:sz w:val="20"/>
          <w:szCs w:val="20"/>
          <w:color w:val="auto"/>
        </w:rPr>
      </w:pPr>
    </w:p>
    <w:p>
      <w:pPr>
        <w:jc w:val="both"/>
        <w:ind w:left="660" w:right="80"/>
        <w:spacing w:after="0" w:line="271"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(“TownNews.com”).</w:t>
      </w:r>
    </w:p>
    <w:p>
      <w:pPr>
        <w:spacing w:after="0" w:line="140"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55" w:lineRule="exact"/>
        <w:rPr>
          <w:sz w:val="20"/>
          <w:szCs w:val="20"/>
          <w:color w:val="auto"/>
        </w:rPr>
      </w:pPr>
    </w:p>
    <w:p>
      <w:pPr>
        <w:jc w:val="both"/>
        <w:ind w:left="660" w:right="80"/>
        <w:spacing w:after="0" w:line="271" w:lineRule="auto"/>
        <w:rPr>
          <w:sz w:val="20"/>
          <w:szCs w:val="20"/>
          <w:color w:val="auto"/>
        </w:rPr>
      </w:pPr>
      <w:r>
        <w:rPr>
          <w:rFonts w:ascii="Arial" w:cs="Arial" w:eastAsia="Arial" w:hAnsi="Arial"/>
          <w:sz w:val="18"/>
          <w:szCs w:val="18"/>
          <w:color w:val="auto"/>
        </w:rPr>
        <w:t>On March 16, 2020, the Company completed the acquisition of BH Media Group, Inc. and The Buffalo News, Inc. for a combined purchase price of $140,000,000 (collectively, the "Transactions").</w:t>
      </w:r>
    </w:p>
    <w:p>
      <w:pPr>
        <w:spacing w:after="0" w:line="38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source:</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Three months ended</w:t>
            </w:r>
          </w:p>
        </w:tc>
        <w:tc>
          <w:tcPr>
            <w:tcW w:w="254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177"/>
        </w:trPr>
        <w:tc>
          <w:tcPr>
            <w:tcW w:w="4560" w:type="dxa"/>
            <w:vAlign w:val="bottom"/>
          </w:tcPr>
          <w:p>
            <w:pPr>
              <w:spacing w:after="0"/>
              <w:rPr>
                <w:sz w:val="15"/>
                <w:szCs w:val="15"/>
                <w:color w:val="auto"/>
              </w:rPr>
            </w:pPr>
          </w:p>
        </w:tc>
        <w:tc>
          <w:tcPr>
            <w:tcW w:w="216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4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28,</w:t>
            </w:r>
          </w:p>
        </w:tc>
        <w:tc>
          <w:tcPr>
            <w:tcW w:w="1380" w:type="dxa"/>
            <w:vAlign w:val="bottom"/>
          </w:tcPr>
          <w:p>
            <w:pPr>
              <w:jc w:val="right"/>
              <w:ind w:right="190"/>
              <w:spacing w:after="0" w:line="177" w:lineRule="exact"/>
              <w:rPr>
                <w:sz w:val="20"/>
                <w:szCs w:val="20"/>
                <w:color w:val="auto"/>
              </w:rPr>
            </w:pPr>
            <w:r>
              <w:rPr>
                <w:rFonts w:ascii="Arial" w:cs="Arial" w:eastAsia="Arial" w:hAnsi="Arial"/>
                <w:sz w:val="18"/>
                <w:szCs w:val="18"/>
                <w:color w:val="auto"/>
              </w:rPr>
              <w:t>March 27,</w:t>
            </w:r>
          </w:p>
        </w:tc>
        <w:tc>
          <w:tcPr>
            <w:tcW w:w="1160" w:type="dxa"/>
            <w:vAlign w:val="bottom"/>
          </w:tcPr>
          <w:p>
            <w:pPr>
              <w:jc w:val="right"/>
              <w:ind w:right="10"/>
              <w:spacing w:after="0" w:line="177" w:lineRule="exact"/>
              <w:rPr>
                <w:sz w:val="20"/>
                <w:szCs w:val="20"/>
                <w:color w:val="auto"/>
              </w:rPr>
            </w:pPr>
            <w:r>
              <w:rPr>
                <w:rFonts w:ascii="Arial" w:cs="Arial" w:eastAsia="Arial" w:hAnsi="Arial"/>
                <w:sz w:val="18"/>
                <w:szCs w:val="18"/>
                <w:color w:val="auto"/>
              </w:rPr>
              <w:t>March 28,</w:t>
            </w: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4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Print</w:t>
            </w:r>
          </w:p>
        </w:tc>
        <w:tc>
          <w:tcPr>
            <w:tcW w:w="21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44,248</w:t>
            </w:r>
          </w:p>
        </w:tc>
        <w:tc>
          <w:tcPr>
            <w:tcW w:w="14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53,685</w:t>
            </w: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100,218</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120,291</w:t>
            </w:r>
          </w:p>
        </w:tc>
      </w:tr>
      <w:tr>
        <w:trPr>
          <w:trHeight w:val="203"/>
        </w:trPr>
        <w:tc>
          <w:tcPr>
            <w:tcW w:w="456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Digital</w:t>
            </w:r>
          </w:p>
        </w:tc>
        <w:tc>
          <w:tcPr>
            <w:tcW w:w="21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43,385</w:t>
            </w:r>
          </w:p>
        </w:tc>
        <w:tc>
          <w:tcPr>
            <w:tcW w:w="14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31,890</w:t>
            </w:r>
          </w:p>
        </w:tc>
        <w:tc>
          <w:tcPr>
            <w:tcW w:w="13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86,169</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67,913</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21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87,633</w:t>
            </w:r>
          </w:p>
        </w:tc>
        <w:tc>
          <w:tcPr>
            <w:tcW w:w="1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85,575</w:t>
            </w:r>
          </w:p>
        </w:tc>
        <w:tc>
          <w:tcPr>
            <w:tcW w:w="1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186,387</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188,204</w:t>
            </w:r>
          </w:p>
        </w:tc>
      </w:tr>
      <w:tr>
        <w:trPr>
          <w:trHeight w:val="196"/>
        </w:trPr>
        <w:tc>
          <w:tcPr>
            <w:tcW w:w="45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Print</w:t>
            </w:r>
          </w:p>
        </w:tc>
        <w:tc>
          <w:tcPr>
            <w:tcW w:w="216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77,255</w:t>
            </w:r>
          </w:p>
        </w:tc>
        <w:tc>
          <w:tcPr>
            <w:tcW w:w="1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82,801</w:t>
            </w:r>
          </w:p>
        </w:tc>
        <w:tc>
          <w:tcPr>
            <w:tcW w:w="1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156,883</w:t>
            </w:r>
          </w:p>
        </w:tc>
        <w:tc>
          <w:tcPr>
            <w:tcW w:w="11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167,816</w:t>
            </w:r>
          </w:p>
        </w:tc>
      </w:tr>
      <w:tr>
        <w:trPr>
          <w:trHeight w:val="203"/>
        </w:trPr>
        <w:tc>
          <w:tcPr>
            <w:tcW w:w="456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Digital</w:t>
            </w:r>
          </w:p>
        </w:tc>
        <w:tc>
          <w:tcPr>
            <w:tcW w:w="21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10,093</w:t>
            </w:r>
          </w:p>
        </w:tc>
        <w:tc>
          <w:tcPr>
            <w:tcW w:w="14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6,976</w:t>
            </w:r>
          </w:p>
        </w:tc>
        <w:tc>
          <w:tcPr>
            <w:tcW w:w="13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17,984</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13,264</w:t>
            </w:r>
          </w:p>
        </w:tc>
      </w:tr>
      <w:tr>
        <w:trPr>
          <w:trHeight w:val="19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Subscription revenue</w:t>
            </w:r>
          </w:p>
        </w:tc>
        <w:tc>
          <w:tcPr>
            <w:tcW w:w="21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87,348</w:t>
            </w:r>
          </w:p>
        </w:tc>
        <w:tc>
          <w:tcPr>
            <w:tcW w:w="1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89,777</w:t>
            </w:r>
          </w:p>
        </w:tc>
        <w:tc>
          <w:tcPr>
            <w:tcW w:w="1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174,867</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181,080</w:t>
            </w:r>
          </w:p>
        </w:tc>
      </w:tr>
      <w:tr>
        <w:trPr>
          <w:trHeight w:val="196"/>
        </w:trPr>
        <w:tc>
          <w:tcPr>
            <w:tcW w:w="4560" w:type="dxa"/>
            <w:vAlign w:val="bottom"/>
          </w:tcPr>
          <w:p>
            <w:pPr>
              <w:ind w:left="160"/>
              <w:spacing w:after="0" w:line="196" w:lineRule="exact"/>
              <w:rPr>
                <w:sz w:val="20"/>
                <w:szCs w:val="20"/>
                <w:color w:val="auto"/>
              </w:rPr>
            </w:pPr>
            <w:r>
              <w:rPr>
                <w:rFonts w:ascii="Arial" w:cs="Arial" w:eastAsia="Arial" w:hAnsi="Arial"/>
                <w:sz w:val="18"/>
                <w:szCs w:val="18"/>
                <w:color w:val="auto"/>
              </w:rPr>
              <w:t>Print</w:t>
            </w:r>
          </w:p>
        </w:tc>
        <w:tc>
          <w:tcPr>
            <w:tcW w:w="21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10,374</w:t>
            </w:r>
          </w:p>
        </w:tc>
        <w:tc>
          <w:tcPr>
            <w:tcW w:w="140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12,240</w:t>
            </w:r>
          </w:p>
        </w:tc>
        <w:tc>
          <w:tcPr>
            <w:tcW w:w="13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21,759</w:t>
            </w:r>
          </w:p>
        </w:tc>
        <w:tc>
          <w:tcPr>
            <w:tcW w:w="11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25,301</w:t>
            </w:r>
          </w:p>
        </w:tc>
      </w:tr>
      <w:tr>
        <w:trPr>
          <w:trHeight w:val="203"/>
        </w:trPr>
        <w:tc>
          <w:tcPr>
            <w:tcW w:w="456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Digital</w:t>
            </w:r>
          </w:p>
        </w:tc>
        <w:tc>
          <w:tcPr>
            <w:tcW w:w="21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4,659</w:t>
            </w:r>
          </w:p>
        </w:tc>
        <w:tc>
          <w:tcPr>
            <w:tcW w:w="14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4,838</w:t>
            </w:r>
          </w:p>
        </w:tc>
        <w:tc>
          <w:tcPr>
            <w:tcW w:w="13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9,283</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9,663</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revenue</w:t>
            </w:r>
          </w:p>
        </w:tc>
        <w:tc>
          <w:tcPr>
            <w:tcW w:w="21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15,033</w:t>
            </w:r>
          </w:p>
        </w:tc>
        <w:tc>
          <w:tcPr>
            <w:tcW w:w="1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17,078</w:t>
            </w:r>
          </w:p>
        </w:tc>
        <w:tc>
          <w:tcPr>
            <w:tcW w:w="1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31,042</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34,964</w:t>
            </w: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1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190,014</w:t>
            </w:r>
          </w:p>
        </w:tc>
        <w:tc>
          <w:tcPr>
            <w:tcW w:w="1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192,430</w:t>
            </w:r>
          </w:p>
        </w:tc>
        <w:tc>
          <w:tcPr>
            <w:tcW w:w="1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392,296</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404,248</w:t>
            </w:r>
          </w:p>
        </w:tc>
      </w:tr>
    </w:tbl>
    <w:p>
      <w:pPr>
        <w:spacing w:after="0" w:line="184"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55"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Total Digital Revenue in the prior year was reclassified to conform to the current year presentation. Total Digital Revenue is defined as digital advertising and marketing services revenue (including Amplified), digital-only subscription revenue and digital services revenue.</w:t>
      </w:r>
    </w:p>
    <w:p>
      <w:pPr>
        <w:spacing w:after="0" w:line="155"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ectPr>
          <w:pgSz w:w="11900" w:h="16838" w:orient="portrait"/>
          <w:cols w:equalWidth="0" w:num="1">
            <w:col w:w="11320"/>
          </w:cols>
          <w:pgMar w:left="320" w:top="121" w:right="259" w:bottom="1440" w:gutter="0" w:footer="0" w:header="0"/>
        </w:sect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Revenue recognized in the six months ended March 27, 2022 that was included in the contract liability as of September 26, 2021 was $47,340,000.</w:t>
      </w:r>
    </w:p>
    <w:p>
      <w:pPr>
        <w:spacing w:after="0" w:line="160"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Accounts receivable, excluding allowance for credit losses was $74,422,000 and $71,644,000 as of March 27, 2022 and September 26, 2021, respectively. Allowance for credit losses was $6,688,000 and $6,574,000 as of March 27, 2022 and September 26, 2021, respectively.</w:t>
      </w:r>
    </w:p>
    <w:p>
      <w:pPr>
        <w:spacing w:after="0" w:line="155"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The vast majority of our contracts have original expected lengths of one year or less and revenue is earned at a rate and amount that corresponds directly with the value to the customer.</w:t>
      </w:r>
    </w:p>
    <w:p>
      <w:pPr>
        <w:spacing w:after="0" w:line="196" w:lineRule="exact"/>
        <w:rPr>
          <w:sz w:val="20"/>
          <w:szCs w:val="20"/>
          <w:color w:val="auto"/>
        </w:rPr>
      </w:pPr>
    </w:p>
    <w:p>
      <w:pPr>
        <w:ind w:left="660" w:right="6820" w:hanging="652"/>
        <w:spacing w:after="0" w:line="469"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1"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 xml:space="preserve">In Tucson, Arizona, TNI, acting as agent for our subsidiary, Star Publishing Company (“Star Publishing”), and Gannets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60" w:lineRule="exact"/>
        <w:rPr>
          <w:rFonts w:ascii="Arial" w:cs="Arial" w:eastAsia="Arial" w:hAnsi="Arial"/>
          <w:sz w:val="18"/>
          <w:szCs w:val="18"/>
          <w:b w:val="1"/>
          <w:bCs w:val="1"/>
          <w:color w:val="auto"/>
        </w:rPr>
      </w:pPr>
    </w:p>
    <w:p>
      <w:pPr>
        <w:ind w:left="660" w:right="3140"/>
        <w:spacing w:after="0" w:line="488" w:lineRule="auto"/>
        <w:rPr>
          <w:rFonts w:ascii="Arial" w:cs="Arial" w:eastAsia="Arial" w:hAnsi="Arial"/>
          <w:sz w:val="18"/>
          <w:szCs w:val="18"/>
          <w:b w:val="1"/>
          <w:bCs w:val="1"/>
          <w:color w:val="auto"/>
        </w:rPr>
      </w:pPr>
      <w:r>
        <w:rPr>
          <w:rFonts w:ascii="Arial" w:cs="Arial" w:eastAsia="Arial" w:hAnsi="Arial"/>
          <w:sz w:val="18"/>
          <w:szCs w:val="18"/>
          <w:color w:val="auto"/>
        </w:rPr>
        <w:t>Income or loss of TNI (before income taxes) is allocated equally to Star Publishing and Citizen. Summarized results of TNI are as follows:</w:t>
      </w:r>
    </w:p>
    <w:tbl>
      <w:tblPr>
        <w:tblLayout w:type="fixed"/>
        <w:tblInd w:w="660" w:type="dxa"/>
        <w:tblCellMar>
          <w:top w:w="0" w:type="dxa"/>
          <w:left w:w="0" w:type="dxa"/>
          <w:bottom w:w="0" w:type="dxa"/>
          <w:right w:w="0" w:type="dxa"/>
        </w:tblCellMar>
      </w:tblPr>
      <w:tr>
        <w:trPr>
          <w:trHeight w:val="197"/>
        </w:trPr>
        <w:tc>
          <w:tcPr>
            <w:tcW w:w="4520" w:type="dxa"/>
            <w:vAlign w:val="bottom"/>
            <w:tcBorders>
              <w:top w:val="single" w:sz="8" w:color="auto"/>
              <w:bottom w:val="single" w:sz="8" w:color="auto"/>
            </w:tcBorders>
          </w:tcPr>
          <w:p>
            <w:pPr>
              <w:spacing w:after="0"/>
              <w:rPr>
                <w:sz w:val="17"/>
                <w:szCs w:val="17"/>
                <w:color w:val="auto"/>
              </w:rPr>
            </w:pPr>
          </w:p>
        </w:tc>
        <w:tc>
          <w:tcPr>
            <w:tcW w:w="3600" w:type="dxa"/>
            <w:vAlign w:val="bottom"/>
            <w:tcBorders>
              <w:top w:val="single" w:sz="8" w:color="auto"/>
              <w:bottom w:val="single" w:sz="8" w:color="auto"/>
            </w:tcBorders>
            <w:gridSpan w:val="2"/>
          </w:tcPr>
          <w:p>
            <w:pPr>
              <w:jc w:val="right"/>
              <w:ind w:right="670"/>
              <w:spacing w:after="0" w:line="196" w:lineRule="exact"/>
              <w:rPr>
                <w:sz w:val="20"/>
                <w:szCs w:val="20"/>
                <w:color w:val="auto"/>
              </w:rPr>
            </w:pPr>
            <w:r>
              <w:rPr>
                <w:rFonts w:ascii="Arial" w:cs="Arial" w:eastAsia="Arial" w:hAnsi="Arial"/>
                <w:sz w:val="18"/>
                <w:szCs w:val="18"/>
                <w:color w:val="auto"/>
              </w:rPr>
              <w:t>Three months ended</w:t>
            </w:r>
          </w:p>
        </w:tc>
        <w:tc>
          <w:tcPr>
            <w:tcW w:w="2540" w:type="dxa"/>
            <w:vAlign w:val="bottom"/>
            <w:tcBorders>
              <w:top w:val="single" w:sz="8" w:color="auto"/>
              <w:bottom w:val="single" w:sz="8" w:color="auto"/>
            </w:tcBorders>
            <w:gridSpan w:val="2"/>
          </w:tcPr>
          <w:p>
            <w:pPr>
              <w:jc w:val="right"/>
              <w:ind w:right="550"/>
              <w:spacing w:after="0" w:line="196" w:lineRule="exact"/>
              <w:rPr>
                <w:sz w:val="20"/>
                <w:szCs w:val="20"/>
                <w:color w:val="auto"/>
              </w:rPr>
            </w:pPr>
            <w:r>
              <w:rPr>
                <w:rFonts w:ascii="Arial" w:cs="Arial" w:eastAsia="Arial" w:hAnsi="Arial"/>
                <w:sz w:val="18"/>
                <w:szCs w:val="18"/>
                <w:color w:val="auto"/>
              </w:rPr>
              <w:t>Six months ended</w:t>
            </w:r>
          </w:p>
        </w:tc>
      </w:tr>
      <w:tr>
        <w:trPr>
          <w:trHeight w:val="177"/>
        </w:trPr>
        <w:tc>
          <w:tcPr>
            <w:tcW w:w="4520" w:type="dxa"/>
            <w:vAlign w:val="bottom"/>
          </w:tcPr>
          <w:p>
            <w:pPr>
              <w:spacing w:after="0"/>
              <w:rPr>
                <w:sz w:val="15"/>
                <w:szCs w:val="15"/>
                <w:color w:val="auto"/>
              </w:rPr>
            </w:pPr>
          </w:p>
        </w:tc>
        <w:tc>
          <w:tcPr>
            <w:tcW w:w="22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4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28,</w:t>
            </w:r>
          </w:p>
        </w:tc>
        <w:tc>
          <w:tcPr>
            <w:tcW w:w="1380" w:type="dxa"/>
            <w:vAlign w:val="bottom"/>
          </w:tcPr>
          <w:p>
            <w:pPr>
              <w:jc w:val="right"/>
              <w:ind w:right="190"/>
              <w:spacing w:after="0" w:line="177" w:lineRule="exact"/>
              <w:rPr>
                <w:sz w:val="20"/>
                <w:szCs w:val="20"/>
                <w:color w:val="auto"/>
              </w:rPr>
            </w:pPr>
            <w:r>
              <w:rPr>
                <w:rFonts w:ascii="Arial" w:cs="Arial" w:eastAsia="Arial" w:hAnsi="Arial"/>
                <w:sz w:val="18"/>
                <w:szCs w:val="18"/>
                <w:color w:val="auto"/>
              </w:rPr>
              <w:t>March 27,</w:t>
            </w:r>
          </w:p>
        </w:tc>
        <w:tc>
          <w:tcPr>
            <w:tcW w:w="1160" w:type="dxa"/>
            <w:vAlign w:val="bottom"/>
          </w:tcPr>
          <w:p>
            <w:pPr>
              <w:jc w:val="right"/>
              <w:ind w:right="10"/>
              <w:spacing w:after="0" w:line="177" w:lineRule="exact"/>
              <w:rPr>
                <w:sz w:val="20"/>
                <w:szCs w:val="20"/>
                <w:color w:val="auto"/>
              </w:rPr>
            </w:pPr>
            <w:r>
              <w:rPr>
                <w:rFonts w:ascii="Arial" w:cs="Arial" w:eastAsia="Arial" w:hAnsi="Arial"/>
                <w:sz w:val="18"/>
                <w:szCs w:val="18"/>
                <w:color w:val="auto"/>
              </w:rPr>
              <w:t>March 28,</w:t>
            </w:r>
          </w:p>
        </w:tc>
      </w:tr>
      <w:tr>
        <w:trPr>
          <w:trHeight w:val="221"/>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45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2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8,594</w:t>
            </w:r>
          </w:p>
        </w:tc>
        <w:tc>
          <w:tcPr>
            <w:tcW w:w="1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8,759</w:t>
            </w:r>
          </w:p>
        </w:tc>
        <w:tc>
          <w:tcPr>
            <w:tcW w:w="1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17,575</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18,159</w:t>
            </w:r>
          </w:p>
        </w:tc>
      </w:tr>
      <w:tr>
        <w:trPr>
          <w:trHeight w:val="203"/>
        </w:trPr>
        <w:tc>
          <w:tcPr>
            <w:tcW w:w="45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22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6,409</w:t>
            </w:r>
          </w:p>
        </w:tc>
        <w:tc>
          <w:tcPr>
            <w:tcW w:w="14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6,424</w:t>
            </w:r>
          </w:p>
        </w:tc>
        <w:tc>
          <w:tcPr>
            <w:tcW w:w="13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12,873</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13,429</w:t>
            </w:r>
          </w:p>
        </w:tc>
      </w:tr>
      <w:tr>
        <w:trPr>
          <w:trHeight w:val="236"/>
        </w:trPr>
        <w:tc>
          <w:tcPr>
            <w:tcW w:w="4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2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2,185</w:t>
            </w:r>
          </w:p>
        </w:tc>
        <w:tc>
          <w:tcPr>
            <w:tcW w:w="1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2,335</w:t>
            </w:r>
          </w:p>
        </w:tc>
        <w:tc>
          <w:tcPr>
            <w:tcW w:w="1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4,702</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4,730</w:t>
            </w:r>
          </w:p>
        </w:tc>
      </w:tr>
      <w:tr>
        <w:trPr>
          <w:trHeight w:val="183"/>
        </w:trPr>
        <w:tc>
          <w:tcPr>
            <w:tcW w:w="4520" w:type="dxa"/>
            <w:vAlign w:val="bottom"/>
          </w:tcPr>
          <w:p>
            <w:pPr>
              <w:spacing w:after="0" w:line="183" w:lineRule="exact"/>
              <w:rPr>
                <w:sz w:val="20"/>
                <w:szCs w:val="20"/>
                <w:color w:val="auto"/>
              </w:rPr>
            </w:pPr>
            <w:r>
              <w:rPr>
                <w:rFonts w:ascii="Arial" w:cs="Arial" w:eastAsia="Arial" w:hAnsi="Arial"/>
                <w:sz w:val="18"/>
                <w:szCs w:val="18"/>
                <w:color w:val="auto"/>
              </w:rPr>
              <w:t>Company's 50% share of operating income</w:t>
            </w:r>
          </w:p>
        </w:tc>
        <w:tc>
          <w:tcPr>
            <w:tcW w:w="220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1,093</w:t>
            </w:r>
          </w:p>
        </w:tc>
        <w:tc>
          <w:tcPr>
            <w:tcW w:w="140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1,168</w:t>
            </w:r>
          </w:p>
        </w:tc>
        <w:tc>
          <w:tcPr>
            <w:tcW w:w="1380" w:type="dxa"/>
            <w:vAlign w:val="bottom"/>
          </w:tcPr>
          <w:p>
            <w:pPr>
              <w:jc w:val="right"/>
              <w:ind w:right="190"/>
              <w:spacing w:after="0" w:line="183" w:lineRule="exact"/>
              <w:rPr>
                <w:sz w:val="20"/>
                <w:szCs w:val="20"/>
                <w:color w:val="auto"/>
              </w:rPr>
            </w:pPr>
            <w:r>
              <w:rPr>
                <w:rFonts w:ascii="Arial" w:cs="Arial" w:eastAsia="Arial" w:hAnsi="Arial"/>
                <w:sz w:val="18"/>
                <w:szCs w:val="18"/>
                <w:color w:val="auto"/>
              </w:rPr>
              <w:t>2,351</w:t>
            </w:r>
          </w:p>
        </w:tc>
        <w:tc>
          <w:tcPr>
            <w:tcW w:w="1160" w:type="dxa"/>
            <w:vAlign w:val="bottom"/>
          </w:tcPr>
          <w:p>
            <w:pPr>
              <w:jc w:val="right"/>
              <w:ind w:right="10"/>
              <w:spacing w:after="0" w:line="183" w:lineRule="exact"/>
              <w:rPr>
                <w:sz w:val="20"/>
                <w:szCs w:val="20"/>
                <w:color w:val="auto"/>
              </w:rPr>
            </w:pPr>
            <w:r>
              <w:rPr>
                <w:rFonts w:ascii="Arial" w:cs="Arial" w:eastAsia="Arial" w:hAnsi="Arial"/>
                <w:sz w:val="18"/>
                <w:szCs w:val="18"/>
                <w:color w:val="auto"/>
              </w:rPr>
              <w:t>2,365</w:t>
            </w:r>
          </w:p>
        </w:tc>
      </w:tr>
      <w:tr>
        <w:trPr>
          <w:trHeight w:val="243"/>
        </w:trPr>
        <w:tc>
          <w:tcPr>
            <w:tcW w:w="4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TNI</w:t>
            </w:r>
          </w:p>
        </w:tc>
        <w:tc>
          <w:tcPr>
            <w:tcW w:w="22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1,093</w:t>
            </w:r>
          </w:p>
        </w:tc>
        <w:tc>
          <w:tcPr>
            <w:tcW w:w="14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1,168</w:t>
            </w:r>
          </w:p>
        </w:tc>
        <w:tc>
          <w:tcPr>
            <w:tcW w:w="13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2,351</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2,365</w:t>
            </w:r>
          </w:p>
        </w:tc>
      </w:tr>
    </w:tbl>
    <w:p>
      <w:pPr>
        <w:spacing w:after="0" w:line="184"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TNI makes periodic distributions of its earnings and for the three months ended March 27, 2022 and March 28, 2021, we received $1,401,000 and $1,561,000 in distributions, respectively. In the six months ended March 27, 2022 and March 28, 2021, we received $2,259,000 and $2,617,000 in distributions,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98"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4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Three months ended</w:t>
            </w:r>
          </w:p>
        </w:tc>
        <w:tc>
          <w:tcPr>
            <w:tcW w:w="254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177"/>
        </w:trPr>
        <w:tc>
          <w:tcPr>
            <w:tcW w:w="5340" w:type="dxa"/>
            <w:vAlign w:val="bottom"/>
          </w:tcPr>
          <w:p>
            <w:pPr>
              <w:spacing w:after="0"/>
              <w:rPr>
                <w:sz w:val="15"/>
                <w:szCs w:val="15"/>
                <w:color w:val="auto"/>
              </w:rPr>
            </w:pPr>
          </w:p>
        </w:tc>
        <w:tc>
          <w:tcPr>
            <w:tcW w:w="138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4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28,</w:t>
            </w:r>
          </w:p>
        </w:tc>
        <w:tc>
          <w:tcPr>
            <w:tcW w:w="1380" w:type="dxa"/>
            <w:vAlign w:val="bottom"/>
          </w:tcPr>
          <w:p>
            <w:pPr>
              <w:jc w:val="right"/>
              <w:ind w:right="190"/>
              <w:spacing w:after="0" w:line="177" w:lineRule="exact"/>
              <w:rPr>
                <w:sz w:val="20"/>
                <w:szCs w:val="20"/>
                <w:color w:val="auto"/>
              </w:rPr>
            </w:pPr>
            <w:r>
              <w:rPr>
                <w:rFonts w:ascii="Arial" w:cs="Arial" w:eastAsia="Arial" w:hAnsi="Arial"/>
                <w:sz w:val="18"/>
                <w:szCs w:val="18"/>
                <w:color w:val="auto"/>
              </w:rPr>
              <w:t>March 27,</w:t>
            </w:r>
          </w:p>
        </w:tc>
        <w:tc>
          <w:tcPr>
            <w:tcW w:w="1160" w:type="dxa"/>
            <w:vAlign w:val="bottom"/>
          </w:tcPr>
          <w:p>
            <w:pPr>
              <w:jc w:val="right"/>
              <w:ind w:right="10"/>
              <w:spacing w:after="0" w:line="177" w:lineRule="exact"/>
              <w:rPr>
                <w:sz w:val="20"/>
                <w:szCs w:val="20"/>
                <w:color w:val="auto"/>
              </w:rPr>
            </w:pPr>
            <w:r>
              <w:rPr>
                <w:rFonts w:ascii="Arial" w:cs="Arial" w:eastAsia="Arial" w:hAnsi="Arial"/>
                <w:sz w:val="18"/>
                <w:szCs w:val="18"/>
                <w:color w:val="auto"/>
              </w:rPr>
              <w:t>March 28,</w:t>
            </w:r>
          </w:p>
        </w:tc>
      </w:tr>
      <w:tr>
        <w:trPr>
          <w:trHeight w:val="221"/>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5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3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11,561</w:t>
            </w:r>
          </w:p>
        </w:tc>
        <w:tc>
          <w:tcPr>
            <w:tcW w:w="1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11,024</w:t>
            </w:r>
          </w:p>
        </w:tc>
        <w:tc>
          <w:tcPr>
            <w:tcW w:w="1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23,756</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22,946</w:t>
            </w:r>
          </w:p>
        </w:tc>
      </w:tr>
      <w:tr>
        <w:trPr>
          <w:trHeight w:val="184"/>
        </w:trPr>
        <w:tc>
          <w:tcPr>
            <w:tcW w:w="5340" w:type="dxa"/>
            <w:vAlign w:val="bottom"/>
          </w:tcPr>
          <w:p>
            <w:pPr>
              <w:spacing w:after="0" w:line="183" w:lineRule="exact"/>
              <w:rPr>
                <w:sz w:val="20"/>
                <w:szCs w:val="20"/>
                <w:color w:val="auto"/>
              </w:rPr>
            </w:pPr>
            <w:r>
              <w:rPr>
                <w:rFonts w:ascii="Arial" w:cs="Arial" w:eastAsia="Arial" w:hAnsi="Arial"/>
                <w:sz w:val="18"/>
                <w:szCs w:val="18"/>
                <w:color w:val="auto"/>
              </w:rPr>
              <w:t>Operating expenses, excluding restructuring costs, depreciation</w:t>
            </w: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8"/>
                <w:szCs w:val="18"/>
                <w:color w:val="auto"/>
              </w:rPr>
              <w:t>and amortization</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10,462</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10,237</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21,296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20,667</w:t>
            </w: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3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5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3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170</w:t>
            </w:r>
          </w:p>
        </w:tc>
        <w:tc>
          <w:tcPr>
            <w:tcW w:w="14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182</w:t>
            </w:r>
          </w:p>
        </w:tc>
        <w:tc>
          <w:tcPr>
            <w:tcW w:w="13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340</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292</w:t>
            </w:r>
          </w:p>
        </w:tc>
      </w:tr>
      <w:tr>
        <w:trPr>
          <w:trHeight w:val="236"/>
        </w:trPr>
        <w:tc>
          <w:tcPr>
            <w:tcW w:w="5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3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929</w:t>
            </w:r>
          </w:p>
        </w:tc>
        <w:tc>
          <w:tcPr>
            <w:tcW w:w="1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605</w:t>
            </w:r>
          </w:p>
        </w:tc>
        <w:tc>
          <w:tcPr>
            <w:tcW w:w="1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2,120</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1,881</w:t>
            </w:r>
          </w:p>
        </w:tc>
      </w:tr>
      <w:tr>
        <w:trPr>
          <w:trHeight w:val="183"/>
        </w:trPr>
        <w:tc>
          <w:tcPr>
            <w:tcW w:w="534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tcPr>
          <w:p>
            <w:pPr>
              <w:jc w:val="right"/>
              <w:ind w:right="210"/>
              <w:spacing w:after="0" w:line="183" w:lineRule="exact"/>
              <w:rPr>
                <w:sz w:val="20"/>
                <w:szCs w:val="20"/>
                <w:color w:val="auto"/>
              </w:rPr>
            </w:pPr>
            <w:r>
              <w:rPr>
                <w:rFonts w:ascii="Arial" w:cs="Arial" w:eastAsia="Arial" w:hAnsi="Arial"/>
                <w:sz w:val="18"/>
                <w:szCs w:val="18"/>
                <w:color w:val="auto"/>
              </w:rPr>
              <w:t>627</w:t>
            </w:r>
          </w:p>
        </w:tc>
        <w:tc>
          <w:tcPr>
            <w:tcW w:w="1400" w:type="dxa"/>
            <w:vAlign w:val="bottom"/>
            <w:tcBorders>
              <w:bottom w:val="single" w:sz="8" w:color="auto"/>
            </w:tcBorders>
          </w:tcPr>
          <w:p>
            <w:pPr>
              <w:jc w:val="right"/>
              <w:ind w:right="210"/>
              <w:spacing w:after="0" w:line="183" w:lineRule="exact"/>
              <w:rPr>
                <w:sz w:val="20"/>
                <w:szCs w:val="20"/>
                <w:color w:val="auto"/>
              </w:rPr>
            </w:pPr>
            <w:r>
              <w:rPr>
                <w:rFonts w:ascii="Arial" w:cs="Arial" w:eastAsia="Arial" w:hAnsi="Arial"/>
                <w:sz w:val="18"/>
                <w:szCs w:val="18"/>
                <w:color w:val="auto"/>
              </w:rPr>
              <w:t>605</w:t>
            </w:r>
          </w:p>
        </w:tc>
        <w:tc>
          <w:tcPr>
            <w:tcW w:w="1380" w:type="dxa"/>
            <w:vAlign w:val="bottom"/>
            <w:tcBorders>
              <w:bottom w:val="single" w:sz="8" w:color="auto"/>
            </w:tcBorders>
          </w:tcPr>
          <w:p>
            <w:pPr>
              <w:jc w:val="right"/>
              <w:ind w:right="190"/>
              <w:spacing w:after="0" w:line="183" w:lineRule="exact"/>
              <w:rPr>
                <w:sz w:val="20"/>
                <w:szCs w:val="20"/>
                <w:color w:val="auto"/>
              </w:rPr>
            </w:pPr>
            <w:r>
              <w:rPr>
                <w:rFonts w:ascii="Arial" w:cs="Arial" w:eastAsia="Arial" w:hAnsi="Arial"/>
                <w:sz w:val="18"/>
                <w:szCs w:val="18"/>
                <w:color w:val="auto"/>
              </w:rPr>
              <w:t>1,620</w:t>
            </w:r>
          </w:p>
        </w:tc>
        <w:tc>
          <w:tcPr>
            <w:tcW w:w="116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1,694</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3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Equity in earnings of MNI</w:t>
            </w:r>
          </w:p>
        </w:tc>
        <w:tc>
          <w:tcPr>
            <w:tcW w:w="1380" w:type="dxa"/>
            <w:vAlign w:val="bottom"/>
            <w:tcBorders>
              <w:bottom w:val="single" w:sz="8" w:color="auto"/>
            </w:tcBorders>
            <w:shd w:val="clear" w:color="auto" w:fill="CCEEFF"/>
          </w:tcPr>
          <w:p>
            <w:pPr>
              <w:jc w:val="right"/>
              <w:ind w:right="210"/>
              <w:spacing w:after="0" w:line="183" w:lineRule="exact"/>
              <w:rPr>
                <w:sz w:val="20"/>
                <w:szCs w:val="20"/>
                <w:color w:val="auto"/>
              </w:rPr>
            </w:pPr>
            <w:r>
              <w:rPr>
                <w:rFonts w:ascii="Arial" w:cs="Arial" w:eastAsia="Arial" w:hAnsi="Arial"/>
                <w:sz w:val="18"/>
                <w:szCs w:val="18"/>
                <w:color w:val="auto"/>
              </w:rPr>
              <w:t>314</w:t>
            </w:r>
          </w:p>
        </w:tc>
        <w:tc>
          <w:tcPr>
            <w:tcW w:w="1400" w:type="dxa"/>
            <w:vAlign w:val="bottom"/>
            <w:tcBorders>
              <w:bottom w:val="single" w:sz="8" w:color="auto"/>
            </w:tcBorders>
            <w:shd w:val="clear" w:color="auto" w:fill="CCEEFF"/>
          </w:tcPr>
          <w:p>
            <w:pPr>
              <w:jc w:val="right"/>
              <w:ind w:right="210"/>
              <w:spacing w:after="0" w:line="183" w:lineRule="exact"/>
              <w:rPr>
                <w:sz w:val="20"/>
                <w:szCs w:val="20"/>
                <w:color w:val="auto"/>
              </w:rPr>
            </w:pPr>
            <w:r>
              <w:rPr>
                <w:rFonts w:ascii="Arial" w:cs="Arial" w:eastAsia="Arial" w:hAnsi="Arial"/>
                <w:sz w:val="18"/>
                <w:szCs w:val="18"/>
                <w:color w:val="auto"/>
              </w:rPr>
              <w:t>303</w:t>
            </w:r>
          </w:p>
        </w:tc>
        <w:tc>
          <w:tcPr>
            <w:tcW w:w="1380" w:type="dxa"/>
            <w:vAlign w:val="bottom"/>
            <w:tcBorders>
              <w:bottom w:val="single" w:sz="8" w:color="auto"/>
            </w:tcBorders>
            <w:shd w:val="clear" w:color="auto" w:fill="CCEEFF"/>
          </w:tcPr>
          <w:p>
            <w:pPr>
              <w:jc w:val="right"/>
              <w:ind w:right="190"/>
              <w:spacing w:after="0" w:line="183" w:lineRule="exact"/>
              <w:rPr>
                <w:sz w:val="20"/>
                <w:szCs w:val="20"/>
                <w:color w:val="auto"/>
              </w:rPr>
            </w:pPr>
            <w:r>
              <w:rPr>
                <w:rFonts w:ascii="Arial" w:cs="Arial" w:eastAsia="Arial" w:hAnsi="Arial"/>
                <w:sz w:val="18"/>
                <w:szCs w:val="18"/>
                <w:color w:val="auto"/>
              </w:rPr>
              <w:t>810</w:t>
            </w:r>
          </w:p>
        </w:tc>
        <w:tc>
          <w:tcPr>
            <w:tcW w:w="116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847</w:t>
            </w:r>
          </w:p>
        </w:tc>
      </w:tr>
    </w:tbl>
    <w:p>
      <w:pPr>
        <w:spacing w:after="0" w:line="184"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MNI makes periodic distributions of its earnings and in the three months ended March 27, 2022 and March 28, 2021, we received $500,000 and $1,150,000, respectively. In the six months ended March 27, 2022 and March 28, 2021, we received dividends of $800,000 and $1,150,000, respectively.</w:t>
      </w:r>
    </w:p>
    <w:p>
      <w:pPr>
        <w:sectPr>
          <w:pgSz w:w="11900" w:h="16838" w:orient="portrait"/>
          <w:cols w:equalWidth="0" w:num="1">
            <w:col w:w="11320"/>
          </w:cols>
          <w:pgMar w:left="320" w:top="121" w:right="259" w:bottom="1440" w:gutter="0" w:footer="0" w:header="0"/>
        </w:sectPr>
      </w:pP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60" w:type="dxa"/>
            <w:vAlign w:val="bottom"/>
          </w:tcPr>
          <w:p>
            <w:pPr>
              <w:jc w:val="right"/>
              <w:ind w:right="470"/>
              <w:spacing w:after="0"/>
              <w:rPr>
                <w:sz w:val="20"/>
                <w:szCs w:val="20"/>
                <w:color w:val="auto"/>
              </w:rPr>
            </w:pPr>
            <w:r>
              <w:rPr>
                <w:rFonts w:ascii="Arial" w:cs="Arial" w:eastAsia="Arial" w:hAnsi="Arial"/>
                <w:sz w:val="18"/>
                <w:szCs w:val="18"/>
                <w:b w:val="1"/>
                <w:bCs w:val="1"/>
                <w:color w:val="auto"/>
                <w:w w:val="79"/>
              </w:rPr>
              <w:t>4</w:t>
            </w:r>
          </w:p>
        </w:tc>
        <w:tc>
          <w:tcPr>
            <w:tcW w:w="6040" w:type="dxa"/>
            <w:vAlign w:val="bottom"/>
          </w:tcPr>
          <w:p>
            <w:pPr>
              <w:spacing w:after="0"/>
              <w:rPr>
                <w:sz w:val="20"/>
                <w:szCs w:val="20"/>
                <w:color w:val="auto"/>
              </w:rPr>
            </w:pPr>
            <w:r>
              <w:rPr>
                <w:rFonts w:ascii="Arial" w:cs="Arial" w:eastAsia="Arial" w:hAnsi="Arial"/>
                <w:sz w:val="18"/>
                <w:szCs w:val="18"/>
                <w:b w:val="1"/>
                <w:bCs w:val="1"/>
                <w:color w:val="auto"/>
              </w:rPr>
              <w:t>GOODWILL AND OTHER INTANGIBLE ASSETS</w:t>
            </w:r>
          </w:p>
        </w:tc>
        <w:tc>
          <w:tcPr>
            <w:tcW w:w="3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397"/>
        </w:trPr>
        <w:tc>
          <w:tcPr>
            <w:tcW w:w="66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Identified intangible assets consist of the following:</w:t>
            </w:r>
          </w:p>
        </w:tc>
        <w:tc>
          <w:tcPr>
            <w:tcW w:w="3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5"/>
        </w:trPr>
        <w:tc>
          <w:tcPr>
            <w:tcW w:w="660" w:type="dxa"/>
            <w:vAlign w:val="bottom"/>
          </w:tcPr>
          <w:p>
            <w:pPr>
              <w:spacing w:after="0"/>
              <w:rPr>
                <w:sz w:val="16"/>
                <w:szCs w:val="16"/>
                <w:color w:val="auto"/>
              </w:rPr>
            </w:pPr>
          </w:p>
        </w:tc>
        <w:tc>
          <w:tcPr>
            <w:tcW w:w="60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177"/>
        </w:trPr>
        <w:tc>
          <w:tcPr>
            <w:tcW w:w="6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312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500" w:type="dxa"/>
            <w:vAlign w:val="bottom"/>
          </w:tcPr>
          <w:p>
            <w:pPr>
              <w:jc w:val="right"/>
              <w:ind w:right="10"/>
              <w:spacing w:after="0" w:line="177" w:lineRule="exact"/>
              <w:rPr>
                <w:sz w:val="20"/>
                <w:szCs w:val="20"/>
                <w:color w:val="auto"/>
              </w:rPr>
            </w:pPr>
            <w:r>
              <w:rPr>
                <w:rFonts w:ascii="Arial" w:cs="Arial" w:eastAsia="Arial" w:hAnsi="Arial"/>
                <w:sz w:val="18"/>
                <w:szCs w:val="18"/>
                <w:color w:val="auto"/>
              </w:rPr>
              <w:t>September 26,</w:t>
            </w:r>
          </w:p>
        </w:tc>
      </w:tr>
      <w:tr>
        <w:trPr>
          <w:trHeight w:val="221"/>
        </w:trPr>
        <w:tc>
          <w:tcPr>
            <w:tcW w:w="660" w:type="dxa"/>
            <w:vAlign w:val="bottom"/>
          </w:tcPr>
          <w:p>
            <w:pPr>
              <w:spacing w:after="0"/>
              <w:rPr>
                <w:sz w:val="19"/>
                <w:szCs w:val="19"/>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6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end of period</w:t>
            </w:r>
          </w:p>
        </w:tc>
        <w:tc>
          <w:tcPr>
            <w:tcW w:w="31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330,204</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330,204</w:t>
            </w:r>
          </w:p>
        </w:tc>
      </w:tr>
      <w:tr>
        <w:trPr>
          <w:trHeight w:val="203"/>
        </w:trPr>
        <w:tc>
          <w:tcPr>
            <w:tcW w:w="66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Non-amortized intangible assets:</w:t>
            </w:r>
          </w:p>
        </w:tc>
        <w:tc>
          <w:tcPr>
            <w:tcW w:w="3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0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Mastheads</w:t>
            </w:r>
          </w:p>
        </w:tc>
        <w:tc>
          <w:tcPr>
            <w:tcW w:w="31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39,849</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39,672</w:t>
            </w:r>
          </w:p>
        </w:tc>
      </w:tr>
      <w:tr>
        <w:trPr>
          <w:trHeight w:val="203"/>
        </w:trPr>
        <w:tc>
          <w:tcPr>
            <w:tcW w:w="66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3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0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Customer and newspaper subscriber lists</w:t>
            </w:r>
          </w:p>
        </w:tc>
        <w:tc>
          <w:tcPr>
            <w:tcW w:w="31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574,451</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774,242</w:t>
            </w:r>
          </w:p>
        </w:tc>
      </w:tr>
      <w:tr>
        <w:trPr>
          <w:trHeight w:val="203"/>
        </w:trPr>
        <w:tc>
          <w:tcPr>
            <w:tcW w:w="660" w:type="dxa"/>
            <w:vAlign w:val="bottom"/>
          </w:tcPr>
          <w:p>
            <w:pPr>
              <w:spacing w:after="0"/>
              <w:rPr>
                <w:sz w:val="17"/>
                <w:szCs w:val="17"/>
                <w:color w:val="auto"/>
              </w:rPr>
            </w:pPr>
          </w:p>
        </w:tc>
        <w:tc>
          <w:tcPr>
            <w:tcW w:w="60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Less accumulated amortization</w:t>
            </w:r>
          </w:p>
        </w:tc>
        <w:tc>
          <w:tcPr>
            <w:tcW w:w="31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(468,732)</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(657,243)</w:t>
            </w:r>
          </w:p>
        </w:tc>
      </w:tr>
      <w:tr>
        <w:trPr>
          <w:trHeight w:val="196"/>
        </w:trPr>
        <w:tc>
          <w:tcPr>
            <w:tcW w:w="660" w:type="dxa"/>
            <w:vAlign w:val="bottom"/>
          </w:tcPr>
          <w:p>
            <w:pPr>
              <w:spacing w:after="0"/>
              <w:rPr>
                <w:sz w:val="17"/>
                <w:szCs w:val="17"/>
                <w:color w:val="auto"/>
              </w:rPr>
            </w:pPr>
          </w:p>
        </w:tc>
        <w:tc>
          <w:tcPr>
            <w:tcW w:w="6040" w:type="dxa"/>
            <w:vAlign w:val="bottom"/>
            <w:tcBorders>
              <w:bottom w:val="single" w:sz="8" w:color="auto"/>
            </w:tcBorders>
            <w:shd w:val="clear" w:color="auto" w:fill="CCEEFF"/>
          </w:tcPr>
          <w:p>
            <w:pPr>
              <w:spacing w:after="0"/>
              <w:rPr>
                <w:sz w:val="17"/>
                <w:szCs w:val="17"/>
                <w:color w:val="auto"/>
              </w:rPr>
            </w:pPr>
          </w:p>
        </w:tc>
        <w:tc>
          <w:tcPr>
            <w:tcW w:w="31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105,719</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116,999</w:t>
            </w:r>
          </w:p>
        </w:tc>
      </w:tr>
      <w:tr>
        <w:trPr>
          <w:trHeight w:val="196"/>
        </w:trPr>
        <w:tc>
          <w:tcPr>
            <w:tcW w:w="660" w:type="dxa"/>
            <w:vAlign w:val="bottom"/>
          </w:tcPr>
          <w:p>
            <w:pPr>
              <w:spacing w:after="0"/>
              <w:rPr>
                <w:sz w:val="17"/>
                <w:szCs w:val="17"/>
                <w:color w:val="auto"/>
              </w:rPr>
            </w:pPr>
          </w:p>
        </w:tc>
        <w:tc>
          <w:tcPr>
            <w:tcW w:w="6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intangibles, net</w:t>
            </w:r>
          </w:p>
        </w:tc>
        <w:tc>
          <w:tcPr>
            <w:tcW w:w="31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475,772</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486,875</w:t>
            </w:r>
          </w:p>
        </w:tc>
      </w:tr>
      <w:tr>
        <w:trPr>
          <w:trHeight w:val="20"/>
        </w:trPr>
        <w:tc>
          <w:tcPr>
            <w:tcW w:w="66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13 years.</w:t>
      </w:r>
    </w:p>
    <w:p>
      <w:pPr>
        <w:spacing w:after="0" w:line="23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Company has debt consisting of a single 25-year term loan with BH Finance LLC, in an aggregate principal balance of $462,554,000 at a 9% annual rate and matures on March 16, 2045 (referred to herein as “Credit Agreement” and “Term Loan”). At March 27, 2022, based on market quotations, the fair value approximates carrying value. This represents a level 2 fair value measurement.</w:t>
      </w:r>
    </w:p>
    <w:p>
      <w:pPr>
        <w:spacing w:after="0" w:line="160"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March 27, 2022 we made no principal debt payments. During the six months ended March 27, 2022, we made principal debt payments of $20,062,000. Future payments are contingent on the Company's ability to generate future excess cash flow, as defined in the Credit Agreement. As of March 27, 2022 there was no excess cash flow payment due (as such term is defined in the Term Loan).</w:t>
      </w:r>
    </w:p>
    <w:p>
      <w:pPr>
        <w:spacing w:after="0" w:line="16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98"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We entered into a Warrant Agreement dated March 31, 2014 (the “Warrant Agreement”). Under the Warrant Agreement, certain warrant holders received warrants to purchase, in cash, an initial aggregate of 600,000 shares of Common Stock, subject to adjustment pursuant to anti-dilution provisions and at an exercise price of $41.90 per share (the “Warrants”). The Warrants expired on March 31, 2022.</w:t>
      </w:r>
    </w:p>
    <w:p>
      <w:pPr>
        <w:spacing w:after="0" w:line="160"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Warrant Agreement required the Warrants to be measured at fair value and included in warrants and other liabilities in our Consolidated Balance Sheets. The initial fair value of the Warrants was $16,930,000. We re-measure the fair value of the liability each reporting period using the Black-Scholes option pricing model. The change in value of $71,000 is reported as income in other, net non-operating income (expense).</w:t>
      </w:r>
    </w:p>
    <w:p>
      <w:pPr>
        <w:spacing w:after="0" w:line="16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March 27, 2022, the warrants had no fair value. As of September 26, 2021, the fair value of the warrants was $71,000.</w:t>
      </w:r>
    </w:p>
    <w:p>
      <w:pPr>
        <w:spacing w:after="0" w:line="198"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issuance of the Warrants, we entered into a Registration Rights Agreement dated March 31, 2014 (the “Registration Rights Agreement”). The Registration Rights Agreement required,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98" w:lineRule="exact"/>
        <w:rPr>
          <w:rFonts w:ascii="Arial" w:cs="Arial" w:eastAsia="Arial" w:hAnsi="Arial"/>
          <w:sz w:val="18"/>
          <w:szCs w:val="18"/>
          <w:b w:val="1"/>
          <w:bCs w:val="1"/>
          <w:color w:val="auto"/>
        </w:rPr>
      </w:pPr>
    </w:p>
    <w:p>
      <w:pPr>
        <w:jc w:val="both"/>
        <w:ind w:left="660" w:right="8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We have several defined benefit pension plans that together cover certain employees, including plans established under collective bargaining agreements. At the end of September 2021 two of seven plans had benefits under the plan frozen and no new participants are permitted. Additionally, we provide retiree medical and life insurance benefits under postretirement plans at several of our operating locations. Through March 27, 2022, our liability and related expense for benefits under the plans are recorded over the service period of employees based upon annual actuarial calculations.</w:t>
      </w:r>
    </w:p>
    <w:p>
      <w:pPr>
        <w:spacing w:after="0" w:line="162" w:lineRule="exact"/>
        <w:rPr>
          <w:rFonts w:ascii="Arial" w:cs="Arial" w:eastAsia="Arial" w:hAnsi="Arial"/>
          <w:sz w:val="18"/>
          <w:szCs w:val="18"/>
          <w:b w:val="1"/>
          <w:bCs w:val="1"/>
          <w:color w:val="auto"/>
        </w:rPr>
      </w:pPr>
    </w:p>
    <w:p>
      <w:pPr>
        <w:jc w:val="both"/>
        <w:ind w:left="660" w:right="8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During the quarter ended December 26, 2021, we notified participants in four of our defined benefit plans of changes to be made to the plans. The Company froze future benefits for an additional four of the defined benefit plans. The freeze of future benefits resulted in a non-cash curtailment gain of $1,027,000 related to the four plans. In connection with the freeze the Company provided certain plan enhancements that resulted in an increase to our net pension liability and a decrease to Accumulated Other Comprehensive income of $6,507,000. Additionally, the Company merged the six frozen plans into one defined benefit plan effective in the second quarter of fiscal 2022.</w:t>
      </w:r>
    </w:p>
    <w:p>
      <w:pPr>
        <w:spacing w:after="0" w:line="165"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During the quarter ended December 27, 2020 we notified certain participants in one of our post-employment benefit plans of changes to be made to the plans, including elimination of coverage for certain participants. The changes resulted in a non-cash curtailment gain of $23,830,000 and a reduction in our benefit obligation by $23,830,000. This is recorded within Curtailment gain and Postretirement and postemployment benefit obligations.</w:t>
      </w:r>
    </w:p>
    <w:p>
      <w:pPr>
        <w:sectPr>
          <w:pgSz w:w="11900" w:h="16838" w:orient="portrait"/>
          <w:cols w:equalWidth="0" w:num="1">
            <w:col w:w="11320"/>
          </w:cols>
          <w:pgMar w:left="320" w:top="121" w:right="259" w:bottom="905" w:gutter="0" w:footer="0" w:header="0"/>
        </w:sectPr>
      </w:pP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90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PENSION PLANS</w:t>
            </w:r>
          </w:p>
        </w:tc>
        <w:tc>
          <w:tcPr>
            <w:tcW w:w="3360" w:type="dxa"/>
            <w:vAlign w:val="bottom"/>
            <w:tcBorders>
              <w:top w:val="single" w:sz="8" w:color="auto"/>
              <w:bottom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Three months ended</w:t>
            </w:r>
          </w:p>
        </w:tc>
        <w:tc>
          <w:tcPr>
            <w:tcW w:w="248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Six months ended</w:t>
            </w:r>
          </w:p>
        </w:tc>
      </w:tr>
      <w:tr>
        <w:trPr>
          <w:trHeight w:val="177"/>
        </w:trPr>
        <w:tc>
          <w:tcPr>
            <w:tcW w:w="4820" w:type="dxa"/>
            <w:vAlign w:val="bottom"/>
          </w:tcPr>
          <w:p>
            <w:pPr>
              <w:spacing w:after="0"/>
              <w:rPr>
                <w:sz w:val="15"/>
                <w:szCs w:val="15"/>
                <w:color w:val="auto"/>
              </w:rPr>
            </w:pPr>
          </w:p>
        </w:tc>
        <w:tc>
          <w:tcPr>
            <w:tcW w:w="20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36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March 28,</w:t>
            </w:r>
          </w:p>
        </w:tc>
        <w:tc>
          <w:tcPr>
            <w:tcW w:w="134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140" w:type="dxa"/>
            <w:vAlign w:val="bottom"/>
          </w:tcPr>
          <w:p>
            <w:pPr>
              <w:jc w:val="right"/>
              <w:ind w:right="10"/>
              <w:spacing w:after="0" w:line="177" w:lineRule="exact"/>
              <w:rPr>
                <w:sz w:val="20"/>
                <w:szCs w:val="20"/>
                <w:color w:val="auto"/>
              </w:rPr>
            </w:pPr>
            <w:r>
              <w:rPr>
                <w:rFonts w:ascii="Arial" w:cs="Arial" w:eastAsia="Arial" w:hAnsi="Arial"/>
                <w:sz w:val="18"/>
                <w:szCs w:val="18"/>
                <w:color w:val="auto"/>
              </w:rPr>
              <w:t>March 28,</w:t>
            </w:r>
          </w:p>
        </w:tc>
      </w:tr>
      <w:tr>
        <w:trPr>
          <w:trHeight w:val="221"/>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4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20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287</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633</w:t>
            </w:r>
          </w:p>
        </w:tc>
        <w:tc>
          <w:tcPr>
            <w:tcW w:w="1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743</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1,266</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0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2,001</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1,787</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3,938</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3,574</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0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(4,535)</w:t>
            </w:r>
          </w:p>
        </w:tc>
        <w:tc>
          <w:tcPr>
            <w:tcW w:w="1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(4,672)</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(9,071)</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(9,344)</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20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(687)</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1,005</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(1,946)</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2,009</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0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212</w:t>
            </w:r>
          </w:p>
        </w:tc>
        <w:tc>
          <w:tcPr>
            <w:tcW w:w="1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w:t>
            </w:r>
          </w:p>
        </w:tc>
        <w:tc>
          <w:tcPr>
            <w:tcW w:w="1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212</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w:t>
            </w:r>
          </w:p>
        </w:tc>
        <w:tc>
          <w:tcPr>
            <w:tcW w:w="20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(1,027)</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4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Pension benefit</w:t>
            </w:r>
          </w:p>
        </w:tc>
        <w:tc>
          <w:tcPr>
            <w:tcW w:w="20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(2,722)</w:t>
            </w:r>
          </w:p>
        </w:tc>
        <w:tc>
          <w:tcPr>
            <w:tcW w:w="1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(1,248)</w:t>
            </w:r>
          </w:p>
        </w:tc>
        <w:tc>
          <w:tcPr>
            <w:tcW w:w="1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(7,151)</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(2,496)</w:t>
            </w:r>
          </w:p>
        </w:tc>
      </w:tr>
      <w:tr>
        <w:trPr>
          <w:trHeight w:val="183"/>
        </w:trPr>
        <w:tc>
          <w:tcPr>
            <w:tcW w:w="48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2"/>
          </w:tcPr>
          <w:p>
            <w:pPr>
              <w:spacing w:after="0"/>
              <w:rPr>
                <w:sz w:val="15"/>
                <w:szCs w:val="15"/>
                <w:color w:val="auto"/>
              </w:rPr>
            </w:pPr>
          </w:p>
        </w:tc>
        <w:tc>
          <w:tcPr>
            <w:tcW w:w="2480" w:type="dxa"/>
            <w:vAlign w:val="bottom"/>
            <w:tcBorders>
              <w:bottom w:val="single" w:sz="8" w:color="auto"/>
            </w:tcBorders>
            <w:gridSpan w:val="2"/>
          </w:tcPr>
          <w:p>
            <w:pPr>
              <w:spacing w:after="0"/>
              <w:rPr>
                <w:sz w:val="15"/>
                <w:szCs w:val="15"/>
                <w:color w:val="auto"/>
              </w:rPr>
            </w:pPr>
          </w:p>
        </w:tc>
      </w:tr>
      <w:tr>
        <w:trPr>
          <w:trHeight w:val="196"/>
        </w:trPr>
        <w:tc>
          <w:tcPr>
            <w:tcW w:w="4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PLANS</w:t>
            </w:r>
          </w:p>
        </w:tc>
        <w:tc>
          <w:tcPr>
            <w:tcW w:w="3360" w:type="dxa"/>
            <w:vAlign w:val="bottom"/>
            <w:tcBorders>
              <w:bottom w:val="single" w:sz="8" w:color="auto"/>
            </w:tcBorders>
            <w:gridSpan w:val="2"/>
          </w:tcPr>
          <w:p>
            <w:pPr>
              <w:jc w:val="right"/>
              <w:ind w:right="650"/>
              <w:spacing w:after="0" w:line="196" w:lineRule="exact"/>
              <w:rPr>
                <w:sz w:val="20"/>
                <w:szCs w:val="20"/>
                <w:color w:val="auto"/>
              </w:rPr>
            </w:pPr>
            <w:r>
              <w:rPr>
                <w:rFonts w:ascii="Arial" w:cs="Arial" w:eastAsia="Arial" w:hAnsi="Arial"/>
                <w:sz w:val="18"/>
                <w:szCs w:val="18"/>
                <w:color w:val="auto"/>
              </w:rPr>
              <w:t>Three months ended</w:t>
            </w:r>
          </w:p>
        </w:tc>
        <w:tc>
          <w:tcPr>
            <w:tcW w:w="2480" w:type="dxa"/>
            <w:vAlign w:val="bottom"/>
            <w:tcBorders>
              <w:bottom w:val="single" w:sz="8" w:color="auto"/>
            </w:tcBorders>
            <w:gridSpan w:val="2"/>
          </w:tcPr>
          <w:p>
            <w:pPr>
              <w:jc w:val="right"/>
              <w:ind w:right="530"/>
              <w:spacing w:after="0" w:line="196" w:lineRule="exact"/>
              <w:rPr>
                <w:sz w:val="20"/>
                <w:szCs w:val="20"/>
                <w:color w:val="auto"/>
              </w:rPr>
            </w:pPr>
            <w:r>
              <w:rPr>
                <w:rFonts w:ascii="Arial" w:cs="Arial" w:eastAsia="Arial" w:hAnsi="Arial"/>
                <w:sz w:val="18"/>
                <w:szCs w:val="18"/>
                <w:color w:val="auto"/>
              </w:rPr>
              <w:t>Six months ended</w:t>
            </w:r>
          </w:p>
        </w:tc>
      </w:tr>
      <w:tr>
        <w:trPr>
          <w:trHeight w:val="177"/>
        </w:trPr>
        <w:tc>
          <w:tcPr>
            <w:tcW w:w="4820" w:type="dxa"/>
            <w:vAlign w:val="bottom"/>
          </w:tcPr>
          <w:p>
            <w:pPr>
              <w:spacing w:after="0"/>
              <w:rPr>
                <w:sz w:val="15"/>
                <w:szCs w:val="15"/>
                <w:color w:val="auto"/>
              </w:rPr>
            </w:pPr>
          </w:p>
        </w:tc>
        <w:tc>
          <w:tcPr>
            <w:tcW w:w="20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36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March 28,</w:t>
            </w:r>
          </w:p>
        </w:tc>
        <w:tc>
          <w:tcPr>
            <w:tcW w:w="134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140" w:type="dxa"/>
            <w:vAlign w:val="bottom"/>
          </w:tcPr>
          <w:p>
            <w:pPr>
              <w:jc w:val="right"/>
              <w:ind w:right="10"/>
              <w:spacing w:after="0" w:line="177" w:lineRule="exact"/>
              <w:rPr>
                <w:sz w:val="20"/>
                <w:szCs w:val="20"/>
                <w:color w:val="auto"/>
              </w:rPr>
            </w:pPr>
            <w:r>
              <w:rPr>
                <w:rFonts w:ascii="Arial" w:cs="Arial" w:eastAsia="Arial" w:hAnsi="Arial"/>
                <w:sz w:val="18"/>
                <w:szCs w:val="18"/>
                <w:color w:val="auto"/>
              </w:rPr>
              <w:t>March 28,</w:t>
            </w:r>
          </w:p>
        </w:tc>
      </w:tr>
      <w:tr>
        <w:trPr>
          <w:trHeight w:val="221"/>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4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20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27</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240</w:t>
            </w:r>
          </w:p>
        </w:tc>
        <w:tc>
          <w:tcPr>
            <w:tcW w:w="1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54</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450</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0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85</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239</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170</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362</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0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(263)</w:t>
            </w:r>
          </w:p>
        </w:tc>
        <w:tc>
          <w:tcPr>
            <w:tcW w:w="1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(252)</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(526)</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Amortization of net gain</w:t>
            </w:r>
          </w:p>
        </w:tc>
        <w:tc>
          <w:tcPr>
            <w:tcW w:w="20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(249)</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(172)</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(498)</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0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(162)</w:t>
            </w:r>
          </w:p>
        </w:tc>
        <w:tc>
          <w:tcPr>
            <w:tcW w:w="1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(162)</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(324)</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r>
      <w:tr>
        <w:trPr>
          <w:trHeight w:val="203"/>
        </w:trPr>
        <w:tc>
          <w:tcPr>
            <w:tcW w:w="4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w:t>
            </w:r>
          </w:p>
        </w:tc>
        <w:tc>
          <w:tcPr>
            <w:tcW w:w="20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(23,830)</w:t>
            </w:r>
          </w:p>
        </w:tc>
      </w:tr>
      <w:tr>
        <w:trPr>
          <w:trHeight w:val="236"/>
        </w:trPr>
        <w:tc>
          <w:tcPr>
            <w:tcW w:w="4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Postretirement medical benefit</w:t>
            </w:r>
          </w:p>
        </w:tc>
        <w:tc>
          <w:tcPr>
            <w:tcW w:w="20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(562)</w:t>
            </w:r>
          </w:p>
        </w:tc>
        <w:tc>
          <w:tcPr>
            <w:tcW w:w="1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(107)</w:t>
            </w:r>
          </w:p>
        </w:tc>
        <w:tc>
          <w:tcPr>
            <w:tcW w:w="1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(1,124)</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(24,189)</w:t>
            </w:r>
          </w:p>
        </w:tc>
      </w:tr>
    </w:tbl>
    <w:p>
      <w:pPr>
        <w:spacing w:after="0" w:line="184"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In the six months ended March 27, 2022, we had no required contributions to our pension plans. In the six months ended March 28, 2021 we contributed $965,000 to our pension plans. We have no required contributions to our pension plans for 2022 and therefore do not expect to make contributions to our pension trust during the remainder of fiscal 2022.</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98"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color w:val="auto"/>
        </w:rPr>
        <w:t>The Company has effecuated withdrawals from several multiemployer plans. We record estimates of withdrawal liabilities as of the time the contracts agreeing to withdraw from those plans are ratified. As of March 27, 2022 and September 26, 2021, we had $25,253,000 and $23,471,000 withdrawal liabilities recorded in Other Liabilities in our Consolidated Balance Sheets. The liabilities reflect the estimated value of payments to the fund, payable over 20-years.</w:t>
      </w:r>
    </w:p>
    <w:p>
      <w:pPr>
        <w:spacing w:after="0" w:line="20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8" w:lineRule="exact"/>
        <w:rPr>
          <w:rFonts w:ascii="Arial" w:cs="Arial" w:eastAsia="Arial" w:hAnsi="Arial"/>
          <w:sz w:val="18"/>
          <w:szCs w:val="18"/>
          <w:b w:val="1"/>
          <w:bCs w:val="1"/>
          <w:color w:val="auto"/>
        </w:rPr>
      </w:pPr>
    </w:p>
    <w:p>
      <w:pPr>
        <w:jc w:val="both"/>
        <w:ind w:left="660" w:right="8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We recorded an income tax benefit of $3,144,000 related to a loss before taxes of $9,838,000 for the three months ended March 27, 2022, and income tax expense of $2,207,000 related to income before taxes of $8,712,000 for the six months ended March 27, 2022. We recorded an income tax benefit of $571,000 related to a loss before taxes of $1,179,000 for the three months ended March 28, 2021, and income tax expense of $5,740,000 related to income before taxes of $21,535,000 for the six months ended March 28, 2021. The effective income tax rates for the three and six months ended March 27, 2022 was negative 32% and 25.3%, respectively. The effective income tax rate for the three and six months ended March 28, 2021 was 48.4% and 26.7%, respectively.</w:t>
      </w:r>
    </w:p>
    <w:p>
      <w:pPr>
        <w:spacing w:after="0" w:line="165" w:lineRule="exact"/>
        <w:rPr>
          <w:rFonts w:ascii="Arial" w:cs="Arial" w:eastAsia="Arial" w:hAnsi="Arial"/>
          <w:sz w:val="18"/>
          <w:szCs w:val="18"/>
          <w:b w:val="1"/>
          <w:bCs w:val="1"/>
          <w:color w:val="auto"/>
        </w:rPr>
      </w:pPr>
    </w:p>
    <w:p>
      <w:pPr>
        <w:jc w:val="both"/>
        <w:ind w:left="6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adjustments to reserves for uncertain tax positions, including any related interest, and mark-to-market adjustments to value stock warrants.</w:t>
      </w:r>
    </w:p>
    <w:p>
      <w:pPr>
        <w:spacing w:after="0" w:line="155" w:lineRule="exact"/>
        <w:rPr>
          <w:rFonts w:ascii="Arial" w:cs="Arial" w:eastAsia="Arial" w:hAnsi="Arial"/>
          <w:sz w:val="18"/>
          <w:szCs w:val="18"/>
          <w:b w:val="1"/>
          <w:bCs w:val="1"/>
          <w:color w:val="auto"/>
        </w:rPr>
      </w:pPr>
    </w:p>
    <w:p>
      <w:pPr>
        <w:jc w:val="both"/>
        <w:ind w:left="6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2014.</w:t>
      </w:r>
    </w:p>
    <w:p>
      <w:pPr>
        <w:spacing w:after="0" w:line="3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9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8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Three months ended</w:t>
            </w:r>
          </w:p>
        </w:tc>
        <w:tc>
          <w:tcPr>
            <w:tcW w:w="250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177"/>
        </w:trPr>
        <w:tc>
          <w:tcPr>
            <w:tcW w:w="5180" w:type="dxa"/>
            <w:vAlign w:val="bottom"/>
          </w:tcPr>
          <w:p>
            <w:pPr>
              <w:spacing w:after="0"/>
              <w:rPr>
                <w:sz w:val="15"/>
                <w:szCs w:val="15"/>
                <w:color w:val="auto"/>
              </w:rPr>
            </w:pPr>
          </w:p>
        </w:tc>
        <w:tc>
          <w:tcPr>
            <w:tcW w:w="158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March 27,</w:t>
            </w:r>
          </w:p>
        </w:tc>
        <w:tc>
          <w:tcPr>
            <w:tcW w:w="1400" w:type="dxa"/>
            <w:vAlign w:val="bottom"/>
          </w:tcPr>
          <w:p>
            <w:pPr>
              <w:jc w:val="right"/>
              <w:ind w:right="250"/>
              <w:spacing w:after="0" w:line="177" w:lineRule="exact"/>
              <w:rPr>
                <w:sz w:val="20"/>
                <w:szCs w:val="20"/>
                <w:color w:val="auto"/>
              </w:rPr>
            </w:pPr>
            <w:r>
              <w:rPr>
                <w:rFonts w:ascii="Arial" w:cs="Arial" w:eastAsia="Arial" w:hAnsi="Arial"/>
                <w:sz w:val="18"/>
                <w:szCs w:val="18"/>
                <w:color w:val="auto"/>
              </w:rPr>
              <w:t>March 28,</w:t>
            </w:r>
          </w:p>
        </w:tc>
        <w:tc>
          <w:tcPr>
            <w:tcW w:w="136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140" w:type="dxa"/>
            <w:vAlign w:val="bottom"/>
          </w:tcPr>
          <w:p>
            <w:pPr>
              <w:jc w:val="right"/>
              <w:ind w:right="10"/>
              <w:spacing w:after="0" w:line="177" w:lineRule="exact"/>
              <w:rPr>
                <w:sz w:val="20"/>
                <w:szCs w:val="20"/>
                <w:color w:val="auto"/>
              </w:rPr>
            </w:pPr>
            <w:r>
              <w:rPr>
                <w:rFonts w:ascii="Arial" w:cs="Arial" w:eastAsia="Arial" w:hAnsi="Arial"/>
                <w:sz w:val="18"/>
                <w:szCs w:val="18"/>
                <w:color w:val="auto"/>
              </w:rPr>
              <w:t>March 28,</w:t>
            </w:r>
          </w:p>
        </w:tc>
      </w:tr>
      <w:tr>
        <w:trPr>
          <w:trHeight w:val="221"/>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5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5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(Loss) income attributable to Lee Enterprises, Incorporated:</w:t>
            </w:r>
          </w:p>
        </w:tc>
        <w:tc>
          <w:tcPr>
            <w:tcW w:w="15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(7,276)</w:t>
            </w:r>
          </w:p>
        </w:tc>
        <w:tc>
          <w:tcPr>
            <w:tcW w:w="14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(1,134)</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5,382</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14,768</w:t>
            </w:r>
          </w:p>
        </w:tc>
      </w:tr>
      <w:tr>
        <w:trPr>
          <w:trHeight w:val="183"/>
        </w:trPr>
        <w:tc>
          <w:tcPr>
            <w:tcW w:w="518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1580" w:type="dxa"/>
            <w:vAlign w:val="bottom"/>
          </w:tcPr>
          <w:p>
            <w:pPr>
              <w:jc w:val="right"/>
              <w:ind w:right="250"/>
              <w:spacing w:after="0" w:line="183" w:lineRule="exact"/>
              <w:rPr>
                <w:sz w:val="20"/>
                <w:szCs w:val="20"/>
                <w:color w:val="auto"/>
              </w:rPr>
            </w:pPr>
            <w:r>
              <w:rPr>
                <w:rFonts w:ascii="Arial" w:cs="Arial" w:eastAsia="Arial" w:hAnsi="Arial"/>
                <w:sz w:val="18"/>
                <w:szCs w:val="18"/>
                <w:color w:val="auto"/>
              </w:rPr>
              <w:t>5,955</w:t>
            </w:r>
          </w:p>
        </w:tc>
        <w:tc>
          <w:tcPr>
            <w:tcW w:w="1400" w:type="dxa"/>
            <w:vAlign w:val="bottom"/>
          </w:tcPr>
          <w:p>
            <w:pPr>
              <w:jc w:val="right"/>
              <w:ind w:right="250"/>
              <w:spacing w:after="0" w:line="183" w:lineRule="exact"/>
              <w:rPr>
                <w:sz w:val="20"/>
                <w:szCs w:val="20"/>
                <w:color w:val="auto"/>
              </w:rPr>
            </w:pPr>
            <w:r>
              <w:rPr>
                <w:rFonts w:ascii="Arial" w:cs="Arial" w:eastAsia="Arial" w:hAnsi="Arial"/>
                <w:sz w:val="18"/>
                <w:szCs w:val="18"/>
                <w:color w:val="auto"/>
              </w:rPr>
              <w:t>5,877</w:t>
            </w:r>
          </w:p>
        </w:tc>
        <w:tc>
          <w:tcPr>
            <w:tcW w:w="136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5,919</w:t>
            </w:r>
          </w:p>
        </w:tc>
        <w:tc>
          <w:tcPr>
            <w:tcW w:w="1140" w:type="dxa"/>
            <w:vAlign w:val="bottom"/>
          </w:tcPr>
          <w:p>
            <w:pPr>
              <w:jc w:val="right"/>
              <w:ind w:right="10"/>
              <w:spacing w:after="0" w:line="183" w:lineRule="exact"/>
              <w:rPr>
                <w:sz w:val="20"/>
                <w:szCs w:val="20"/>
                <w:color w:val="auto"/>
              </w:rPr>
            </w:pPr>
            <w:r>
              <w:rPr>
                <w:rFonts w:ascii="Arial" w:cs="Arial" w:eastAsia="Arial" w:hAnsi="Arial"/>
                <w:sz w:val="18"/>
                <w:szCs w:val="18"/>
                <w:color w:val="auto"/>
              </w:rPr>
              <w:t>5,861</w:t>
            </w:r>
          </w:p>
        </w:tc>
      </w:tr>
      <w:tr>
        <w:trPr>
          <w:trHeight w:val="203"/>
        </w:trPr>
        <w:tc>
          <w:tcPr>
            <w:tcW w:w="5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weighted average restricted Common Stock</w:t>
            </w:r>
          </w:p>
        </w:tc>
        <w:tc>
          <w:tcPr>
            <w:tcW w:w="15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(178)</w:t>
            </w:r>
          </w:p>
        </w:tc>
        <w:tc>
          <w:tcPr>
            <w:tcW w:w="14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(156)</w:t>
            </w:r>
          </w:p>
        </w:tc>
        <w:tc>
          <w:tcPr>
            <w:tcW w:w="13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(167)</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r>
      <w:tr>
        <w:trPr>
          <w:trHeight w:val="196"/>
        </w:trPr>
        <w:tc>
          <w:tcPr>
            <w:tcW w:w="5180" w:type="dxa"/>
            <w:vAlign w:val="bottom"/>
          </w:tcPr>
          <w:p>
            <w:pPr>
              <w:spacing w:after="0" w:line="196" w:lineRule="exact"/>
              <w:rPr>
                <w:sz w:val="20"/>
                <w:szCs w:val="20"/>
                <w:color w:val="auto"/>
              </w:rPr>
            </w:pPr>
            <w:r>
              <w:rPr>
                <w:rFonts w:ascii="Arial" w:cs="Arial" w:eastAsia="Arial" w:hAnsi="Arial"/>
                <w:sz w:val="18"/>
                <w:szCs w:val="18"/>
                <w:color w:val="auto"/>
              </w:rPr>
              <w:t>Basic average common shares</w:t>
            </w:r>
          </w:p>
        </w:tc>
        <w:tc>
          <w:tcPr>
            <w:tcW w:w="15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5,777</w:t>
            </w:r>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5,721</w:t>
            </w:r>
          </w:p>
        </w:tc>
        <w:tc>
          <w:tcPr>
            <w:tcW w:w="13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5,752</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5,706</w:t>
            </w:r>
          </w:p>
        </w:tc>
      </w:tr>
      <w:tr>
        <w:trPr>
          <w:trHeight w:val="203"/>
        </w:trPr>
        <w:tc>
          <w:tcPr>
            <w:tcW w:w="5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158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107</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w:t>
            </w:r>
          </w:p>
        </w:tc>
      </w:tr>
      <w:tr>
        <w:trPr>
          <w:trHeight w:val="196"/>
        </w:trPr>
        <w:tc>
          <w:tcPr>
            <w:tcW w:w="5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 average common shares</w:t>
            </w:r>
          </w:p>
        </w:tc>
        <w:tc>
          <w:tcPr>
            <w:tcW w:w="15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5,777</w:t>
            </w:r>
          </w:p>
        </w:tc>
        <w:tc>
          <w:tcPr>
            <w:tcW w:w="14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5,721</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5,859</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5,781</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15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3"/>
        </w:trPr>
        <w:tc>
          <w:tcPr>
            <w:tcW w:w="518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5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(1.26)</w:t>
            </w:r>
          </w:p>
        </w:tc>
        <w:tc>
          <w:tcPr>
            <w:tcW w:w="14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(0.20)</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0.94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2.59</w:t>
            </w:r>
          </w:p>
        </w:tc>
      </w:tr>
      <w:tr>
        <w:trPr>
          <w:trHeight w:val="243"/>
        </w:trPr>
        <w:tc>
          <w:tcPr>
            <w:tcW w:w="51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15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(1.26)</w:t>
            </w:r>
          </w:p>
        </w:tc>
        <w:tc>
          <w:tcPr>
            <w:tcW w:w="14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(0.20)</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0.92</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w:t>
            </w:r>
          </w:p>
        </w:tc>
      </w:tr>
    </w:tbl>
    <w:p>
      <w:pPr>
        <w:spacing w:after="0" w:line="184" w:lineRule="exact"/>
        <w:rPr>
          <w:sz w:val="20"/>
          <w:szCs w:val="20"/>
          <w:color w:val="auto"/>
        </w:rPr>
      </w:pPr>
    </w:p>
    <w:p>
      <w:pPr>
        <w:jc w:val="both"/>
        <w:ind w:left="660" w:right="100"/>
        <w:spacing w:after="0" w:line="271" w:lineRule="auto"/>
        <w:rPr>
          <w:sz w:val="20"/>
          <w:szCs w:val="20"/>
          <w:color w:val="auto"/>
        </w:rPr>
      </w:pPr>
      <w:r>
        <w:rPr>
          <w:rFonts w:ascii="Arial" w:cs="Arial" w:eastAsia="Arial" w:hAnsi="Arial"/>
          <w:sz w:val="18"/>
          <w:szCs w:val="18"/>
          <w:color w:val="auto"/>
        </w:rPr>
        <w:t>For the three and six months ended March 27, 2022 and March 28, 2021, 600,000 shares were not considered in the computation of diluted earnings per common share because their inclusion would result in an anti-dilutive effect on per share amounts.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Agreement</w:t>
      </w:r>
    </w:p>
    <w:p>
      <w:pPr>
        <w:spacing w:after="0" w:line="198" w:lineRule="exact"/>
        <w:rPr>
          <w:sz w:val="20"/>
          <w:szCs w:val="20"/>
          <w:color w:val="auto"/>
        </w:rPr>
      </w:pPr>
    </w:p>
    <w:p>
      <w:pPr>
        <w:jc w:val="both"/>
        <w:ind w:left="660" w:right="80"/>
        <w:spacing w:after="0" w:line="242" w:lineRule="auto"/>
        <w:rPr>
          <w:sz w:val="20"/>
          <w:szCs w:val="20"/>
          <w:color w:val="auto"/>
        </w:rPr>
      </w:pPr>
      <w:r>
        <w:rPr>
          <w:rFonts w:ascii="Arial" w:cs="Arial" w:eastAsia="Arial" w:hAnsi="Arial"/>
          <w:sz w:val="18"/>
          <w:szCs w:val="18"/>
          <w:color w:val="auto"/>
        </w:rPr>
        <w:t>On November 24, 2021, our Board of Directors adopted a stockholder rights plan (the “Rights Agreement”). Pursuant to the Rights Agreement, on November 24, 2021, our Board of Directors declared a dividend of one preferred share purchase right (a “Right”), payable on December 6, 2021, for each share of our Common Stock outstanding to the stockholders of record on that date. Each Right entitles the registered holder to purchase from the Company one-thousandth of a share of Series B Participating Convertible Preferred Stock, without par value (the “Preferred Shares”), of the Company at a price of $120.00 per one one-thousandth of a Preferred Share represented by a Right, subject to adjustment.</w:t>
      </w:r>
    </w:p>
    <w:p>
      <w:pPr>
        <w:spacing w:after="0" w:line="17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10% (or 20% in the case of certain passive investors)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November 23, 2022,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171"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201" w:lineRule="exact"/>
        <w:rPr>
          <w:sz w:val="20"/>
          <w:szCs w:val="20"/>
          <w:color w:val="auto"/>
        </w:rPr>
      </w:pPr>
    </w:p>
    <w:p>
      <w:pPr>
        <w:ind w:left="660" w:right="6540" w:hanging="652"/>
        <w:spacing w:after="0" w:line="46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Legal Proceedings</w:t>
      </w:r>
    </w:p>
    <w:p>
      <w:pPr>
        <w:spacing w:after="0" w:line="1" w:lineRule="exact"/>
        <w:rPr>
          <w:rFonts w:ascii="Arial" w:cs="Arial" w:eastAsia="Arial" w:hAnsi="Arial"/>
          <w:sz w:val="18"/>
          <w:szCs w:val="18"/>
          <w:b w:val="1"/>
          <w:bCs w:val="1"/>
          <w:color w:val="auto"/>
        </w:rPr>
      </w:pPr>
    </w:p>
    <w:p>
      <w:pPr>
        <w:jc w:val="both"/>
        <w:ind w:left="6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5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98" w:lineRule="exact"/>
        <w:rPr>
          <w:rFonts w:ascii="Arial" w:cs="Arial" w:eastAsia="Arial" w:hAnsi="Arial"/>
          <w:sz w:val="18"/>
          <w:szCs w:val="18"/>
          <w:b w:val="1"/>
          <w:bCs w:val="1"/>
          <w:color w:val="auto"/>
        </w:rPr>
      </w:pPr>
    </w:p>
    <w:p>
      <w:pPr>
        <w:ind w:left="660" w:right="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Subsequent to March 27, 2022, we developed, committed to, and began reductions in staffing in our operations. The Company expects to record pretax charges related to these reductions totaling approximately $4,700,000.</w:t>
      </w: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and six months ended March 27, 2022. This discussion should be read in conjunction with the Consolidated Financial Statements and related Notes thereto, included herein, and our 2021 Annual Report on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Lee Enterprises, Incorporated is a leading provider of high quality, trusted, local news and information in the markets we serve with rapidly growing digital subscription and advertising platforms.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operate 77 principally mid-sized local media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reach nearly 70% of all adults in our larger markets through a combination of our print and digital content offerings.</w:t>
      </w:r>
    </w:p>
    <w:p>
      <w:pPr>
        <w:spacing w:after="0" w:line="198" w:lineRule="exact"/>
        <w:rPr>
          <w:sz w:val="20"/>
          <w:szCs w:val="20"/>
          <w:color w:val="auto"/>
        </w:rPr>
      </w:pPr>
    </w:p>
    <w:p>
      <w:pPr>
        <w:ind w:left="660" w:hanging="328"/>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almost 42 million monthly unique visitors, in March 2022 with 376 million page views and 89 million visits.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approximately one million paid subscribers to our print and digital products. Digital only subscribers totaled approximately 492,000, a 59.2% increase over the prior year.</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w:t>
      </w:r>
      <w:r>
        <w:rPr>
          <w:rFonts w:ascii="Arial" w:cs="Arial" w:eastAsia="Arial" w:hAnsi="Arial"/>
          <w:sz w:val="18"/>
          <w:szCs w:val="18"/>
          <w:color w:val="auto"/>
        </w:rPr>
        <w:t xml:space="preserve"> </w:t>
      </w:r>
      <w:r>
        <w:rPr>
          <w:rFonts w:ascii="Arial" w:cs="Arial" w:eastAsia="Arial" w:hAnsi="Arial"/>
          <w:sz w:val="18"/>
          <w:szCs w:val="18"/>
          <w:i w:val="1"/>
          <w:iCs w:val="1"/>
          <w:color w:val="auto"/>
        </w:rPr>
        <w:t>News</w:t>
      </w:r>
      <w:r>
        <w:rPr>
          <w:rFonts w:ascii="Arial" w:cs="Arial" w:eastAsia="Arial" w:hAnsi="Arial"/>
          <w:sz w:val="18"/>
          <w:szCs w:val="18"/>
          <w:color w:val="auto"/>
        </w:rPr>
        <w:t>, to non-daily newspapers with news websites and digital platforms serving smaller communities.</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also operate TownNews, through our 82.5% owned subsidiary INN Partners, L.C. TownNews provides state-of-the-art web hosting, content management services and video management services to nearly 2,200 other media organizations including broadcast.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 focused marketing solutions company. Our focus is on the local market - including local news and information, local advertising and marketing services to top local accounts, and digital services to local content curators. To align with the core strength of our Company, our post-pandemic operating strategy is locally focused around three pillars:</w:t>
      </w:r>
    </w:p>
    <w:p>
      <w:pPr>
        <w:spacing w:after="0" w:line="160" w:lineRule="exact"/>
        <w:rPr>
          <w:sz w:val="20"/>
          <w:szCs w:val="20"/>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198"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digital subscription base and revenue through audience growth and continued conversion of our massive digital audiences.</w:t>
      </w:r>
    </w:p>
    <w:p>
      <w:pPr>
        <w:spacing w:after="0" w:line="198" w:lineRule="exact"/>
        <w:rPr>
          <w:rFonts w:ascii="Arial" w:cs="Arial" w:eastAsia="Arial" w:hAnsi="Arial"/>
          <w:sz w:val="18"/>
          <w:szCs w:val="18"/>
          <w:color w:val="auto"/>
        </w:rPr>
      </w:pPr>
    </w:p>
    <w:p>
      <w:pPr>
        <w:jc w:val="both"/>
        <w:ind w:left="460" w:right="180" w:hanging="223"/>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Diversify and expand offerings for advertisers by launching a portfolio of video advertising initiatives and e-commerce sales strategies through Lee's in-house Amplified Digital Agency that will enable advertisers to leverage our vast data-rich digital audiences and reach consumers in new ways.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27,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March 27,</w:t>
            </w:r>
          </w:p>
        </w:tc>
        <w:tc>
          <w:tcPr>
            <w:tcW w:w="14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March 28,</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r>
      <w:tr>
        <w:trPr>
          <w:trHeight w:val="203"/>
        </w:trPr>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23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2022</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Change</w:t>
            </w:r>
          </w:p>
        </w:tc>
      </w:tr>
      <w:tr>
        <w:trPr>
          <w:trHeight w:val="196"/>
        </w:trPr>
        <w:tc>
          <w:tcPr>
            <w:tcW w:w="64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6420" w:type="dxa"/>
            <w:vAlign w:val="bottom"/>
          </w:tcPr>
          <w:p>
            <w:pPr>
              <w:ind w:left="180"/>
              <w:spacing w:after="0" w:line="202" w:lineRule="exact"/>
              <w:rPr>
                <w:sz w:val="20"/>
                <w:szCs w:val="20"/>
                <w:color w:val="auto"/>
              </w:rPr>
            </w:pPr>
            <w:r>
              <w:rPr>
                <w:rFonts w:ascii="Arial" w:cs="Arial" w:eastAsia="Arial" w:hAnsi="Arial"/>
                <w:sz w:val="18"/>
                <w:szCs w:val="18"/>
                <w:color w:val="auto"/>
              </w:rPr>
              <w:t>Print</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44,248</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53,685</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r>
      <w:tr>
        <w:trPr>
          <w:trHeight w:val="203"/>
        </w:trPr>
        <w:tc>
          <w:tcPr>
            <w:tcW w:w="64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Digital</w:t>
            </w:r>
          </w:p>
        </w:tc>
        <w:tc>
          <w:tcPr>
            <w:tcW w:w="23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43,385</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31,890</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36.0</w:t>
            </w:r>
          </w:p>
        </w:tc>
      </w:tr>
      <w:tr>
        <w:trPr>
          <w:trHeight w:val="196"/>
        </w:trPr>
        <w:tc>
          <w:tcPr>
            <w:tcW w:w="6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2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87,633</w:t>
            </w:r>
          </w:p>
        </w:tc>
        <w:tc>
          <w:tcPr>
            <w:tcW w:w="14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85,575</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w:t>
            </w:r>
          </w:p>
        </w:tc>
      </w:tr>
      <w:tr>
        <w:trPr>
          <w:trHeight w:val="196"/>
        </w:trPr>
        <w:tc>
          <w:tcPr>
            <w:tcW w:w="64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Print</w:t>
            </w:r>
          </w:p>
        </w:tc>
        <w:tc>
          <w:tcPr>
            <w:tcW w:w="23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77,255</w:t>
            </w:r>
          </w:p>
        </w:tc>
        <w:tc>
          <w:tcPr>
            <w:tcW w:w="14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82,801</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3"/>
        </w:trPr>
        <w:tc>
          <w:tcPr>
            <w:tcW w:w="64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Digital</w:t>
            </w:r>
          </w:p>
        </w:tc>
        <w:tc>
          <w:tcPr>
            <w:tcW w:w="23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10,093</w:t>
            </w:r>
          </w:p>
        </w:tc>
        <w:tc>
          <w:tcPr>
            <w:tcW w:w="14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6,976</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44.7</w:t>
            </w:r>
          </w:p>
        </w:tc>
      </w:tr>
      <w:tr>
        <w:trPr>
          <w:trHeight w:val="196"/>
        </w:trPr>
        <w:tc>
          <w:tcPr>
            <w:tcW w:w="6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Subscription revenue</w:t>
            </w:r>
          </w:p>
        </w:tc>
        <w:tc>
          <w:tcPr>
            <w:tcW w:w="23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87,348</w:t>
            </w:r>
          </w:p>
        </w:tc>
        <w:tc>
          <w:tcPr>
            <w:tcW w:w="14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89,777</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6420" w:type="dxa"/>
            <w:vAlign w:val="bottom"/>
          </w:tcPr>
          <w:p>
            <w:pPr>
              <w:ind w:left="180"/>
              <w:spacing w:after="0" w:line="196" w:lineRule="exact"/>
              <w:rPr>
                <w:sz w:val="20"/>
                <w:szCs w:val="20"/>
                <w:color w:val="auto"/>
              </w:rPr>
            </w:pPr>
            <w:r>
              <w:rPr>
                <w:rFonts w:ascii="Arial" w:cs="Arial" w:eastAsia="Arial" w:hAnsi="Arial"/>
                <w:sz w:val="18"/>
                <w:szCs w:val="18"/>
                <w:color w:val="auto"/>
              </w:rPr>
              <w:t>Print</w:t>
            </w:r>
          </w:p>
        </w:tc>
        <w:tc>
          <w:tcPr>
            <w:tcW w:w="234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10,374</w:t>
            </w:r>
          </w:p>
        </w:tc>
        <w:tc>
          <w:tcPr>
            <w:tcW w:w="14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12,240</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3"/>
        </w:trPr>
        <w:tc>
          <w:tcPr>
            <w:tcW w:w="64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Digital</w:t>
            </w:r>
          </w:p>
        </w:tc>
        <w:tc>
          <w:tcPr>
            <w:tcW w:w="23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4,659</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4,838</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r>
      <w:tr>
        <w:trPr>
          <w:trHeight w:val="196"/>
        </w:trPr>
        <w:tc>
          <w:tcPr>
            <w:tcW w:w="6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revenue</w:t>
            </w:r>
          </w:p>
        </w:tc>
        <w:tc>
          <w:tcPr>
            <w:tcW w:w="2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15,033</w:t>
            </w:r>
          </w:p>
        </w:tc>
        <w:tc>
          <w:tcPr>
            <w:tcW w:w="14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17,078</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6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3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190,014</w:t>
            </w:r>
          </w:p>
        </w:tc>
        <w:tc>
          <w:tcPr>
            <w:tcW w:w="14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192,430</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2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83,513</w:t>
            </w:r>
          </w:p>
        </w:tc>
        <w:tc>
          <w:tcPr>
            <w:tcW w:w="14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83,154</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w:t>
            </w:r>
          </w:p>
        </w:tc>
      </w:tr>
      <w:tr>
        <w:trPr>
          <w:trHeight w:val="203"/>
        </w:trPr>
        <w:tc>
          <w:tcPr>
            <w:tcW w:w="642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7,068</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7,179</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2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84,679</w:t>
            </w:r>
          </w:p>
        </w:tc>
        <w:tc>
          <w:tcPr>
            <w:tcW w:w="14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79,865</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w:t>
            </w:r>
          </w:p>
        </w:tc>
      </w:tr>
      <w:tr>
        <w:trPr>
          <w:trHeight w:val="203"/>
        </w:trPr>
        <w:tc>
          <w:tcPr>
            <w:tcW w:w="642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8,951</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12,517</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2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(152)</w:t>
            </w:r>
          </w:p>
        </w:tc>
        <w:tc>
          <w:tcPr>
            <w:tcW w:w="14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1,474</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4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3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10,590</w:t>
            </w:r>
          </w:p>
        </w:tc>
        <w:tc>
          <w:tcPr>
            <w:tcW w:w="14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1,294</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3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194,649</w:t>
            </w:r>
          </w:p>
        </w:tc>
        <w:tc>
          <w:tcPr>
            <w:tcW w:w="14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185,483</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4.9</w:t>
            </w:r>
          </w:p>
        </w:tc>
      </w:tr>
      <w:tr>
        <w:trPr>
          <w:trHeight w:val="209"/>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 earnings of associated companies</w:t>
            </w:r>
          </w:p>
        </w:tc>
        <w:tc>
          <w:tcPr>
            <w:tcW w:w="2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1,407</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1,471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6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 income</w:t>
            </w:r>
          </w:p>
        </w:tc>
        <w:tc>
          <w:tcPr>
            <w:tcW w:w="2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(3,228)</w:t>
            </w:r>
          </w:p>
        </w:tc>
        <w:tc>
          <w:tcPr>
            <w:tcW w:w="14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8,418</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(10,523)</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(11,237)</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642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2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(2,335)</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4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23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6,248</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1,640</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Non-operating expenses, net</w:t>
            </w:r>
          </w:p>
        </w:tc>
        <w:tc>
          <w:tcPr>
            <w:tcW w:w="2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(6,610)</w:t>
            </w:r>
          </w:p>
        </w:tc>
        <w:tc>
          <w:tcPr>
            <w:tcW w:w="1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(9,597)</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196"/>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2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(9,838)</w:t>
            </w:r>
          </w:p>
        </w:tc>
        <w:tc>
          <w:tcPr>
            <w:tcW w:w="1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(1,179)</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4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2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(3,144)</w:t>
            </w: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(571)</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(6,694)</w:t>
            </w:r>
          </w:p>
        </w:tc>
        <w:tc>
          <w:tcPr>
            <w:tcW w:w="1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(608)</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(582)</w:t>
            </w: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(526)</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10.6</w:t>
            </w:r>
          </w:p>
        </w:tc>
      </w:tr>
      <w:tr>
        <w:trPr>
          <w:trHeight w:val="196"/>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attributable to Lee Enterprises, Incorporated</w:t>
            </w:r>
          </w:p>
        </w:tc>
        <w:tc>
          <w:tcPr>
            <w:tcW w:w="2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(7,276)</w:t>
            </w:r>
          </w:p>
        </w:tc>
        <w:tc>
          <w:tcPr>
            <w:tcW w:w="1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(1,134)</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(loss) income, net of income taxes</w:t>
            </w:r>
          </w:p>
        </w:tc>
        <w:tc>
          <w:tcPr>
            <w:tcW w:w="2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(1,167)</w:t>
            </w:r>
          </w:p>
        </w:tc>
        <w:tc>
          <w:tcPr>
            <w:tcW w:w="14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478</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loss attributable to Lee Enterprises, Incorporated</w:t>
            </w:r>
          </w:p>
        </w:tc>
        <w:tc>
          <w:tcPr>
            <w:tcW w:w="2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(8,443)</w:t>
            </w:r>
          </w:p>
        </w:tc>
        <w:tc>
          <w:tcPr>
            <w:tcW w:w="1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(656)</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Earnings per common share:</w:t>
            </w:r>
          </w:p>
        </w:tc>
        <w:tc>
          <w:tcPr>
            <w:tcW w:w="2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(1.26)</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(0.20)</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4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2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(1.26)</w:t>
            </w: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(0.20)</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-5057140</wp:posOffset>
            </wp:positionV>
            <wp:extent cx="713232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References to the “2022 Quarter” refer to the three months ended March 27, 2022. Similarly, references to the “2021 Quarter” refer to the three months ended March 28, 2021.</w:t>
      </w:r>
    </w:p>
    <w:p>
      <w:pPr>
        <w:spacing w:after="0" w:line="14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$190,014,000 in the 2022 Quarter, down $2,416,000, or 1.3%, compared to the prior year.</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Advertising and marketing services revenue totaled $87,633,000 in the 2022 Quarter, up 2.4% compared to the 2021 Quarter. Print advertising revenues were $44,248,000 in the 2022 Quarter, down 17.6% compared to the 2021 Quarter due to continued secular declines in demand for print advertising. Digital advertising and marketing services totaled $43,385,000 in the 2022 Quarter, up 36% compared to the 2021 Quarter. These gains resulted from an increase in Amplified revenue and an increase in digital advertising on our owned and operated sites. Digital advertising and marketing services represented 49.5% of the 2022 Quarter total advertising and marketing services revenue, compared to 37.3% in the same period last year.</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Subscription revenue totaled $87,348,000 in the 2022 Quarter, down 2.7% compared to the 2021 Quarter. Selective price increases on our full access subscriptions and growth in digital only subscribers, were partially offset by a decline in full access volume, consistent with historical and industry trends. Digital only subscribers grew 59.2% since the 2021 Quarter and now total 492,000.</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revenue, which primarily consists of commercial printing revenue and digital services from TownNews, decreased $2,045,000, or 12.0%, in the 2022 Quarter compared to the 2021 Quarter. Digital services revenue totaled $4,659,000 in the 2022 Quarter, a 3.3% decrease compared to the 2021 Quarter. Commercial printing revenue totaled $5,172,000 in the 2022 Quarter, a 17.3% decrease compared to the 2021 Quarter primarily driven by reduction in print volumes from our partners.</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$58,137,000 in the 2022 Quarter, an increase of 33.0% over the 2021 Quarter, and represented 30.6% of our total operating revenue in the 2022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$64,000 in the 2022 Quarter.</w:t>
      </w:r>
    </w:p>
    <w:p>
      <w:pPr>
        <w:sectPr>
          <w:pgSz w:w="11900" w:h="16838" w:orient="portrait"/>
          <w:cols w:equalWidth="0" w:num="1">
            <w:col w:w="11240"/>
          </w:cols>
          <w:pgMar w:left="320" w:top="121" w:right="339" w:bottom="432"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32"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operating expenses were $194,649,000 in the 2022 Quarter, a 4.9% increase compared to the 2021 Quarter. Operating expenses include compensation expense, newsprint and ink, other operating expenses, depreciation, amortization, restructuring and other expenses, assets gain (loss) on sales, and impairments.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Compensation expense increased $359,000 in the 2022 Quarter, or 0.4%, compared to the 2021 Quarter due to increasing average compensation levels from investments in digital talent partially offset by reductions in FTE's due to continued business transformation efforts.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Newsprint and ink costs decreased $111,000 in the 2022 Quarter, or 1.5%, compared to the 2021 Quarter. The decrease is attributable to declines in newsprint volumes offset by higher newsprint prices. See Item 3, “Commodities”, included herein, for further discussion and analysis of the impact of newsprint on our business.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Other operating expenses increased $4,814,000 in the 2022 Quarter, or 6.0%, compared to the 2021 Quarter.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increases in investments to fund our digital growth strategy partially offset by lower delivery and other print-related costs due to lower volumes of our print editions.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Restructuring costs and other totaled $10,590,000 and $1,294,000 in the 2022 Quarter and 2021 Quarter, respectively. Restructuring costs and other include severance costs, litigation expenses, restructuring expenses, and advisor costs associated with the unsolicited offer in November 2021 in the 2022 Quarter. Restructuring costs in the 2021 Quarter are predominately severance related to our ongoing business transformation.</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Depreciation and amortization expense decreased $3,566,000, or 28.5%, in the 2022 Quarter. The decrease in both is attributable to assets becoming fully depreciated or amortized.</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Assets (gain) loss on sales, impairments and other, was a net gain of $152,000 in the 2022 Quarter compared to a net loss of $1,474,000 in the 2021 Quarter. The gains and losses in the 2022 Quarter and in the 2021 Quarter were the result of the disposition of non-core assets, including real estate.</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factors noted above resulted in an operating loss of $3,228,000 in the 2022 Quarter compared to operating income of $8,418,000 in the 2021 Quarter.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decreased $714,000, or 6.4%, to $10,523,000 in the 2022 Quarter, compared to the same period last year. The decrease was due to a lower outstanding balance on our Term Loan. Debt has been reduced by $36,361,000 since the end of the 2021 Quarter. Our weighted average cost of debt was 9.0% at the end of the 2022 Quarter and 2021 Quarter.</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$3,598,000 periodic pension and other postretirement benefits in the 2022 Quarter compared to $2,228,000 in the 2021 Quarter. We recorded non-operating income of $2,000,000 in the 2022 Quarter and non-operating expense of $833,000 in the 2021 Quarter, related to the changes in the value of the Warrants.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recognized pension withdrawal costs in the 2022 and 2021 Quarter of $2,335,000 and $ 12,310,000, respectively, in connection with the withdrawal from a pension plan that covered certain employees. This withdrawal liability will be paid in equal quarterly installments over the next 20 years.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 Expense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recorded an income tax benefit of $3,144,000, or 32% of pretax loss in the 2022 Quarter. In the 2021 Quarter, we recognized an income tax benefit of $571,000, or 48.4% of pretax loss.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Income and Earnings (losses) Per Share</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Net loss was $6,694,000 and diluted losses per share were $1.26 for the 2022 Quarter compared to net loss of $608,000 and diluted losses per share of $0.20 for the 2021 Quarter. The change reflects the various items discussed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27,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390"/>
              <w:spacing w:after="0" w:line="197" w:lineRule="exact"/>
              <w:rPr>
                <w:sz w:val="20"/>
                <w:szCs w:val="20"/>
                <w:color w:val="auto"/>
              </w:rPr>
            </w:pPr>
            <w:r>
              <w:rPr>
                <w:rFonts w:ascii="Arial" w:cs="Arial" w:eastAsia="Arial" w:hAnsi="Arial"/>
                <w:sz w:val="18"/>
                <w:szCs w:val="18"/>
                <w:color w:val="auto"/>
              </w:rPr>
              <w:t>March 27,</w:t>
            </w:r>
          </w:p>
        </w:tc>
        <w:tc>
          <w:tcPr>
            <w:tcW w:w="1760" w:type="dxa"/>
            <w:vAlign w:val="bottom"/>
            <w:tcBorders>
              <w:top w:val="single" w:sz="8" w:color="auto"/>
            </w:tcBorders>
          </w:tcPr>
          <w:p>
            <w:pPr>
              <w:jc w:val="right"/>
              <w:ind w:right="450"/>
              <w:spacing w:after="0" w:line="197" w:lineRule="exact"/>
              <w:rPr>
                <w:sz w:val="20"/>
                <w:szCs w:val="20"/>
                <w:color w:val="auto"/>
              </w:rPr>
            </w:pPr>
            <w:r>
              <w:rPr>
                <w:rFonts w:ascii="Arial" w:cs="Arial" w:eastAsia="Arial" w:hAnsi="Arial"/>
                <w:sz w:val="18"/>
                <w:szCs w:val="18"/>
                <w:color w:val="auto"/>
              </w:rPr>
              <w:t>March 28,</w:t>
            </w:r>
          </w:p>
        </w:tc>
        <w:tc>
          <w:tcPr>
            <w:tcW w:w="1220" w:type="dxa"/>
            <w:vAlign w:val="bottom"/>
            <w:tcBorders>
              <w:top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Percent</w:t>
            </w:r>
          </w:p>
        </w:tc>
      </w:tr>
      <w:tr>
        <w:trPr>
          <w:trHeight w:val="221"/>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1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196"/>
        </w:trPr>
        <w:tc>
          <w:tcPr>
            <w:tcW w:w="6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Operating revenue:</w:t>
            </w: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Print</w:t>
            </w:r>
          </w:p>
        </w:tc>
        <w:tc>
          <w:tcPr>
            <w:tcW w:w="18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100,218</w:t>
            </w:r>
          </w:p>
        </w:tc>
        <w:tc>
          <w:tcPr>
            <w:tcW w:w="17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120,291</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r>
      <w:tr>
        <w:trPr>
          <w:trHeight w:val="203"/>
        </w:trPr>
        <w:tc>
          <w:tcPr>
            <w:tcW w:w="64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Digital</w:t>
            </w:r>
          </w:p>
        </w:tc>
        <w:tc>
          <w:tcPr>
            <w:tcW w:w="18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86,169</w:t>
            </w:r>
          </w:p>
        </w:tc>
        <w:tc>
          <w:tcPr>
            <w:tcW w:w="176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67,913</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26.9</w:t>
            </w:r>
          </w:p>
        </w:tc>
      </w:tr>
      <w:tr>
        <w:trPr>
          <w:trHeight w:val="196"/>
        </w:trPr>
        <w:tc>
          <w:tcPr>
            <w:tcW w:w="6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18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186,387</w:t>
            </w:r>
          </w:p>
        </w:tc>
        <w:tc>
          <w:tcPr>
            <w:tcW w:w="176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188,204</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6460" w:type="dxa"/>
            <w:vAlign w:val="bottom"/>
          </w:tcPr>
          <w:p>
            <w:pPr>
              <w:ind w:left="180"/>
              <w:spacing w:after="0" w:line="196" w:lineRule="exact"/>
              <w:rPr>
                <w:sz w:val="20"/>
                <w:szCs w:val="20"/>
                <w:color w:val="auto"/>
              </w:rPr>
            </w:pPr>
            <w:r>
              <w:rPr>
                <w:rFonts w:ascii="Arial" w:cs="Arial" w:eastAsia="Arial" w:hAnsi="Arial"/>
                <w:sz w:val="18"/>
                <w:szCs w:val="18"/>
                <w:color w:val="auto"/>
              </w:rPr>
              <w:t>Print</w:t>
            </w:r>
          </w:p>
        </w:tc>
        <w:tc>
          <w:tcPr>
            <w:tcW w:w="180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156,883</w:t>
            </w:r>
          </w:p>
        </w:tc>
        <w:tc>
          <w:tcPr>
            <w:tcW w:w="176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167,816</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3"/>
        </w:trPr>
        <w:tc>
          <w:tcPr>
            <w:tcW w:w="6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Digital</w:t>
            </w:r>
          </w:p>
        </w:tc>
        <w:tc>
          <w:tcPr>
            <w:tcW w:w="180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17,984</w:t>
            </w:r>
          </w:p>
        </w:tc>
        <w:tc>
          <w:tcPr>
            <w:tcW w:w="176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13,264</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35.6</w:t>
            </w:r>
          </w:p>
        </w:tc>
      </w:tr>
      <w:tr>
        <w:trPr>
          <w:trHeight w:val="196"/>
        </w:trPr>
        <w:tc>
          <w:tcPr>
            <w:tcW w:w="6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Subscription revenue</w:t>
            </w:r>
          </w:p>
        </w:tc>
        <w:tc>
          <w:tcPr>
            <w:tcW w:w="18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174,867</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181,080</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64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Print</w:t>
            </w:r>
          </w:p>
        </w:tc>
        <w:tc>
          <w:tcPr>
            <w:tcW w:w="180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21,759</w:t>
            </w:r>
          </w:p>
        </w:tc>
        <w:tc>
          <w:tcPr>
            <w:tcW w:w="176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25,301</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203"/>
        </w:trPr>
        <w:tc>
          <w:tcPr>
            <w:tcW w:w="64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Digital</w:t>
            </w:r>
          </w:p>
        </w:tc>
        <w:tc>
          <w:tcPr>
            <w:tcW w:w="18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9,283</w:t>
            </w:r>
          </w:p>
        </w:tc>
        <w:tc>
          <w:tcPr>
            <w:tcW w:w="176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9,663</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w:t>
            </w:r>
          </w:p>
        </w:tc>
      </w:tr>
      <w:tr>
        <w:trPr>
          <w:trHeight w:val="196"/>
        </w:trPr>
        <w:tc>
          <w:tcPr>
            <w:tcW w:w="6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Other revenue</w:t>
            </w:r>
          </w:p>
        </w:tc>
        <w:tc>
          <w:tcPr>
            <w:tcW w:w="18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31,042</w:t>
            </w:r>
          </w:p>
        </w:tc>
        <w:tc>
          <w:tcPr>
            <w:tcW w:w="176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34,964</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6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18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392,296</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404,248</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Compensation</w:t>
            </w: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168,207</w:t>
            </w:r>
          </w:p>
        </w:tc>
        <w:tc>
          <w:tcPr>
            <w:tcW w:w="17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167,317</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0.5</w:t>
            </w: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8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14,712</w:t>
            </w:r>
          </w:p>
        </w:tc>
        <w:tc>
          <w:tcPr>
            <w:tcW w:w="17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15,171</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170,661</w:t>
            </w:r>
          </w:p>
        </w:tc>
        <w:tc>
          <w:tcPr>
            <w:tcW w:w="17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161,632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w:t>
            </w: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18,627</w:t>
            </w:r>
          </w:p>
        </w:tc>
        <w:tc>
          <w:tcPr>
            <w:tcW w:w="17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22,958</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w:t>
            </w: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18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(12,426)</w:t>
            </w:r>
          </w:p>
        </w:tc>
        <w:tc>
          <w:tcPr>
            <w:tcW w:w="17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6,696</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180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13,790</w:t>
            </w:r>
          </w:p>
        </w:tc>
        <w:tc>
          <w:tcPr>
            <w:tcW w:w="176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4,461</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18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373,571</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378,235</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6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18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3,161</w:t>
            </w:r>
          </w:p>
        </w:tc>
        <w:tc>
          <w:tcPr>
            <w:tcW w:w="176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3,213</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6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18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21,886</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29,226</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8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2"/>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(21,186)</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(23,119)</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8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1,027</w:t>
            </w:r>
          </w:p>
        </w:tc>
        <w:tc>
          <w:tcPr>
            <w:tcW w:w="17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23,830</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w:t>
            </w: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8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(2,335)</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(12,310)</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(81.0)</w:t>
            </w:r>
          </w:p>
        </w:tc>
      </w:tr>
      <w:tr>
        <w:trPr>
          <w:trHeight w:val="203"/>
        </w:trPr>
        <w:tc>
          <w:tcPr>
            <w:tcW w:w="6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80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9,320</w:t>
            </w:r>
          </w:p>
        </w:tc>
        <w:tc>
          <w:tcPr>
            <w:tcW w:w="176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3,908</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Non-operating expenses, net</w:t>
            </w:r>
          </w:p>
        </w:tc>
        <w:tc>
          <w:tcPr>
            <w:tcW w:w="18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(13,174)</w:t>
            </w:r>
          </w:p>
        </w:tc>
        <w:tc>
          <w:tcPr>
            <w:tcW w:w="17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(7,691)</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71.3</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80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8,712</w:t>
            </w:r>
          </w:p>
        </w:tc>
        <w:tc>
          <w:tcPr>
            <w:tcW w:w="176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21,535</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(59.5)</w:t>
            </w:r>
          </w:p>
        </w:tc>
      </w:tr>
      <w:tr>
        <w:trPr>
          <w:trHeight w:val="203"/>
        </w:trPr>
        <w:tc>
          <w:tcPr>
            <w:tcW w:w="64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18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2,207</w:t>
            </w:r>
          </w:p>
        </w:tc>
        <w:tc>
          <w:tcPr>
            <w:tcW w:w="176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5,740</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(61.6)</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80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6,505</w:t>
            </w:r>
          </w:p>
        </w:tc>
        <w:tc>
          <w:tcPr>
            <w:tcW w:w="176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15,795</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(58.8)</w:t>
            </w:r>
          </w:p>
        </w:tc>
      </w:tr>
      <w:tr>
        <w:trPr>
          <w:trHeight w:val="203"/>
        </w:trPr>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(1,123)</w:t>
            </w:r>
          </w:p>
        </w:tc>
        <w:tc>
          <w:tcPr>
            <w:tcW w:w="17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(1,027)</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9.3</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180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5,382</w:t>
            </w:r>
          </w:p>
        </w:tc>
        <w:tc>
          <w:tcPr>
            <w:tcW w:w="176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14,768</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(63.6)</w:t>
            </w:r>
          </w:p>
        </w:tc>
      </w:tr>
      <w:tr>
        <w:trPr>
          <w:trHeight w:val="203"/>
        </w:trPr>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(loss) income, net of income taxes</w:t>
            </w:r>
          </w:p>
        </w:tc>
        <w:tc>
          <w:tcPr>
            <w:tcW w:w="18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(7,279)</w:t>
            </w:r>
          </w:p>
        </w:tc>
        <w:tc>
          <w:tcPr>
            <w:tcW w:w="176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1,620</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36"/>
        </w:trPr>
        <w:tc>
          <w:tcPr>
            <w:tcW w:w="6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(loss) income attributable to Lee Enterprises, Incorporated</w:t>
            </w:r>
          </w:p>
        </w:tc>
        <w:tc>
          <w:tcPr>
            <w:tcW w:w="180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(1,897)</w:t>
            </w:r>
          </w:p>
        </w:tc>
        <w:tc>
          <w:tcPr>
            <w:tcW w:w="176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16,388</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183"/>
        </w:trPr>
        <w:tc>
          <w:tcPr>
            <w:tcW w:w="646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18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8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0.94</w:t>
            </w:r>
          </w:p>
        </w:tc>
        <w:tc>
          <w:tcPr>
            <w:tcW w:w="17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2.59</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(63.8)</w:t>
            </w:r>
          </w:p>
        </w:tc>
      </w:tr>
      <w:tr>
        <w:trPr>
          <w:trHeight w:val="203"/>
        </w:trPr>
        <w:tc>
          <w:tcPr>
            <w:tcW w:w="64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18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0.92</w:t>
            </w:r>
          </w:p>
        </w:tc>
        <w:tc>
          <w:tcPr>
            <w:tcW w:w="176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2.55</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(64.0)</w:t>
            </w:r>
          </w:p>
        </w:tc>
      </w:tr>
    </w:tbl>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References to the “2022 Period” refer to the six months ended March 27, 2022. Similarly, references to the “2021 Period” refer to the six months ended March 28, 2021.</w:t>
      </w:r>
    </w:p>
    <w:p>
      <w:pPr>
        <w:spacing w:after="0" w:line="14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$392,296,000 in the 2022 Period, down $11,952,000, or 3.0%, compared to the 2021 Period.</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Advertising and marketing services revenue totaled $186,387,000 in the 2022 Period, down 1.0% compared to the prior year. Print advertising revenues were $100,218,000 in the Period Quarter, down 16.7% compared to the prior year due to continued secular declines in demand for print advertising. Digital advertising and marketing services totaled $86,169,000 in the 2022 Period, up 26.9% compared to the prior year. These gains resulted from in an increase in Amplified revenue and an increase in advertising on our owned and operated sites. Digital advertising and marketing services represented 46.2% of the 2022 Period total advertising and marketing services revenue, compared to 36.1% in the same period last year.</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Subscription revenue totaled $174,867,000 in the 2022 Period, down 3.4% compared to the 2021 Period. The decline in full access volume, consistent with historical and industry trends were partially offset by growth in digital only subscribers and selective price increases on our full access subscriptions. Digital only subscribers grew 59.2% since the 2021 Period and now total 492,000.</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revenue, which primarily consists of commercial printing revenue and digital services from TownNews, decreased $3,922,000, or 11.2%, in the 2022 Period compared to the 2021 Period. Digital services revenue totaled $9,283,000 in the 2022 Period, a 3.6% decrease compared to the 2021 Period. Commercial printing revenue totaled $10,895,000 in the 2022 Period, a 16.2% decrease compared to the 2021 Period primarily driven by reduction in print volumes from our partners.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$113,436,000 in the 2022 Period, an increase of 24.9% over the 2021 Period, and represented 28.9% of our total operating revenue in the 2022 Period.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$52,000 in the 2022 Period.</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operating expenses were $373,571,000 in the 2022 Period, a 1.2% decrease compared to the 2021 Period. Operating expenses include compensation expense, newsprint and ink, other operating expenses, depreciation, amortization, restructuring and other expenses, assets gain (loss) on sales, and impairments. Cash Costs were $353,580,000, a 2.7% increase compared to the 2021 Period.</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Compensation expense increased $890,000 in the 2022 Period, or 0.5%, compared to the 2021 Period due to investments in digital talent and increasing average compensation levels partially offset by reductions in FTE's due to continued business transformation efforts.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Newsprint and ink costs decreased $459,000 in the 2022 Period, or 3.0%, compared to the 2021 Period. The decrease is attributable to declines in newsprint volumes offset by higher newsprint prices. See Item 3, “Commodities”, included herein, for further discussion and analysis of the impact of newsprint on our business.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Other operating expenses increased $9,029,000 in the 2022 Period, or 5.6%, compared to the 2021 Period.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increases in investments to fund our digital growth strategy partially offset by lower delivery and other print-related costs due to lower volumes of our print editions.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Restructuring costs and other totaled $13,790,000 and $4,461,000 in the 2022 Period and 2021 Period, respectively. Restructuring costs and other include severance costs, litigation costs, restructuring expenses, and advisor costs associated with the unsolicited offer in November 2021 in the 2022 Period. Restructuring costs in the 2021 Period are predominately severance related to our ongoing business transformation.</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Subsequent to March 27, 2022, we developed, committed to, and began reductions in staffing in our operations. The Company expects to record pretax charges related to these reductions totaling approximately $4,700,000 and resulting in an annualized reduction in operating expenses totaling $45,000,000.</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Depreciation and amortization expense decreased $4,331,000, or 18.9%, in the 2022 Period. The decrease in both is attributable to assets becoming fully depreciated or amortized.</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Assets (gain) loss on sales, impairments and other, was a net gain of $12,426,000 in the 2022 Period compared to a net loss of $6,696,000 in the 2021 Period. The gains and losses in the 2022 Period and in the 2021 Period were the result of the disposition of non-core assets, including real estate.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$21,886,000 in the 2022 Period compared to $29,226,000 in the 2021 Period.</w:t>
      </w:r>
    </w:p>
    <w:p>
      <w:pPr>
        <w:spacing w:after="0" w:line="19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Non-operating Income and Expense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decreased $1,933,000, or 8.4%, to $21,186,000 in the 2022 Period, compared to the same period last year. The decrease was due to a lower outstanding balance on our Term Loan. Debt has been reduced by $36,361,000 since the end of the March 2021. Our weighted average cost of debt was 9.0% at the end of the 2022 Period and 2021 Period.</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$8,045,000 periodic pension and other postretirement benefits in the 2022 Period compared to $4,571,000 in the 2021 Period. We recorded non-operating income of $71,000 in the 2022 Period and non-operating expense of $717,000 in the 2021 Period, related to the changes in the value of the Warrants.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recognized a non-cash curtailment gain of $ 1,027,000 in the 2022 Period as a result of freezing certain pension plans. We recognized a non-cash curtailment gain of $23,830,000 and a reduction in our benefit obligation in the 2021 Period by eliminating post-retirement medical coverage for certain employees.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recognized pension withdrawal costs in the 2022 and 2021 Period of $2,335,000 and $12,310,000, respectively in connection with the withdrawal from a pension plan that covered certain employees. These withdrawal liabilities will be paid in equal quarterly installments over the next 20 years.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recorded an income tax expense of $2,207,000, or 25.3% of pretax income in the 2022 Period. In the 2021 Period, we recognized an income tax expense of $5,740,000 or 26.7% of pretax income.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Per Share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income was $6,505,000 and diluted earnings per share were $0.92 for the 2022 Period compared to net income of $15,795,000 and diluted earnings per share of $2.55 for the 2021 Period. The change reflects the various items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ectPr>
          <w:pgSz w:w="11900" w:h="16838" w:orient="portrait"/>
          <w:cols w:equalWidth="0" w:num="1">
            <w:col w:w="11240"/>
          </w:cols>
          <w:pgMar w:left="320" w:top="121" w:right="339" w:bottom="675"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75"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65"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Borders>
              <w:top w:val="single" w:sz="8" w:color="auto"/>
              <w:bottom w:val="single" w:sz="8" w:color="auto"/>
            </w:tcBorders>
          </w:tcPr>
          <w:p>
            <w:pPr>
              <w:spacing w:after="0"/>
              <w:rPr>
                <w:sz w:val="18"/>
                <w:szCs w:val="18"/>
                <w:color w:val="auto"/>
              </w:rPr>
            </w:pPr>
          </w:p>
        </w:tc>
        <w:tc>
          <w:tcPr>
            <w:tcW w:w="3620" w:type="dxa"/>
            <w:vAlign w:val="bottom"/>
            <w:tcBorders>
              <w:top w:val="single" w:sz="8" w:color="auto"/>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Three months ended</w:t>
            </w:r>
          </w:p>
        </w:tc>
        <w:tc>
          <w:tcPr>
            <w:tcW w:w="2460" w:type="dxa"/>
            <w:vAlign w:val="bottom"/>
            <w:tcBorders>
              <w:top w:val="single" w:sz="8" w:color="auto"/>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Six months ended</w:t>
            </w:r>
          </w:p>
        </w:tc>
      </w:tr>
      <w:tr>
        <w:trPr>
          <w:trHeight w:val="177"/>
        </w:trPr>
        <w:tc>
          <w:tcPr>
            <w:tcW w:w="5160" w:type="dxa"/>
            <w:vAlign w:val="bottom"/>
          </w:tcPr>
          <w:p>
            <w:pPr>
              <w:spacing w:after="0"/>
              <w:rPr>
                <w:sz w:val="15"/>
                <w:szCs w:val="15"/>
                <w:color w:val="auto"/>
              </w:rPr>
            </w:pPr>
          </w:p>
        </w:tc>
        <w:tc>
          <w:tcPr>
            <w:tcW w:w="226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March 27,</w:t>
            </w:r>
          </w:p>
        </w:tc>
        <w:tc>
          <w:tcPr>
            <w:tcW w:w="136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28,</w:t>
            </w:r>
          </w:p>
        </w:tc>
        <w:tc>
          <w:tcPr>
            <w:tcW w:w="132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140" w:type="dxa"/>
            <w:vAlign w:val="bottom"/>
          </w:tcPr>
          <w:p>
            <w:pPr>
              <w:jc w:val="right"/>
              <w:ind w:right="10"/>
              <w:spacing w:after="0" w:line="177" w:lineRule="exact"/>
              <w:rPr>
                <w:sz w:val="20"/>
                <w:szCs w:val="20"/>
                <w:color w:val="auto"/>
              </w:rPr>
            </w:pPr>
            <w:r>
              <w:rPr>
                <w:rFonts w:ascii="Arial" w:cs="Arial" w:eastAsia="Arial" w:hAnsi="Arial"/>
                <w:sz w:val="18"/>
                <w:szCs w:val="18"/>
                <w:color w:val="auto"/>
              </w:rPr>
              <w:t>March 28,</w:t>
            </w:r>
          </w:p>
        </w:tc>
      </w:tr>
      <w:tr>
        <w:trPr>
          <w:trHeight w:val="22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5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22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(6,694)</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(608)</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6,505</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15,795</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22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(3,144)</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(571)</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2,207</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5,740</w:t>
            </w:r>
          </w:p>
        </w:tc>
      </w:tr>
      <w:tr>
        <w:trPr>
          <w:trHeight w:val="202"/>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Non-operating expenses, net</w:t>
            </w:r>
          </w:p>
        </w:tc>
        <w:tc>
          <w:tcPr>
            <w:tcW w:w="22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6,610</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9,597</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13,174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7,691</w:t>
            </w: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in earnings of TNI and MNI</w:t>
            </w:r>
          </w:p>
        </w:tc>
        <w:tc>
          <w:tcPr>
            <w:tcW w:w="22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(1,407)</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(1,471)</w:t>
            </w:r>
          </w:p>
        </w:tc>
        <w:tc>
          <w:tcPr>
            <w:tcW w:w="13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(3,161)</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(3,213)</w:t>
            </w: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(Gain) loss on sale of assets and other, net</w:t>
            </w:r>
          </w:p>
        </w:tc>
        <w:tc>
          <w:tcPr>
            <w:tcW w:w="22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(152)</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1,474</w:t>
            </w:r>
          </w:p>
        </w:tc>
        <w:tc>
          <w:tcPr>
            <w:tcW w:w="13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(12,426)</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6,696</w:t>
            </w: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2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8,951</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12,517</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18,627</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22,958</w:t>
            </w: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2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10,590</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1,294</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13,790</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4,461</w:t>
            </w: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22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512</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214</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699</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434</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share of TNI and MNI EBITDA (50%)</w:t>
            </w:r>
          </w:p>
        </w:tc>
        <w:tc>
          <w:tcPr>
            <w:tcW w:w="22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1,657</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1,608</w:t>
            </w:r>
          </w:p>
        </w:tc>
        <w:tc>
          <w:tcPr>
            <w:tcW w:w="13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3,596</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3,498</w:t>
            </w:r>
          </w:p>
        </w:tc>
      </w:tr>
      <w:tr>
        <w:trPr>
          <w:trHeight w:val="196"/>
        </w:trPr>
        <w:tc>
          <w:tcPr>
            <w:tcW w:w="5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2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16,923</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24,054</w:t>
            </w:r>
          </w:p>
        </w:tc>
        <w:tc>
          <w:tcPr>
            <w:tcW w:w="13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43,011</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64,060</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Three months ended</w:t>
            </w:r>
          </w:p>
        </w:tc>
        <w:tc>
          <w:tcPr>
            <w:tcW w:w="2500" w:type="dxa"/>
            <w:vAlign w:val="bottom"/>
            <w:tcBorders>
              <w:top w:val="single" w:sz="8" w:color="auto"/>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Six Months ended</w:t>
            </w:r>
          </w:p>
        </w:tc>
      </w:tr>
      <w:tr>
        <w:trPr>
          <w:trHeight w:val="177"/>
        </w:trPr>
        <w:tc>
          <w:tcPr>
            <w:tcW w:w="5420" w:type="dxa"/>
            <w:vAlign w:val="bottom"/>
          </w:tcPr>
          <w:p>
            <w:pPr>
              <w:spacing w:after="0"/>
              <w:rPr>
                <w:sz w:val="15"/>
                <w:szCs w:val="15"/>
                <w:color w:val="auto"/>
              </w:rPr>
            </w:pPr>
          </w:p>
        </w:tc>
        <w:tc>
          <w:tcPr>
            <w:tcW w:w="200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March 27,</w:t>
            </w:r>
          </w:p>
        </w:tc>
        <w:tc>
          <w:tcPr>
            <w:tcW w:w="132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March 28,</w:t>
            </w:r>
          </w:p>
        </w:tc>
        <w:tc>
          <w:tcPr>
            <w:tcW w:w="136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March 27,</w:t>
            </w:r>
          </w:p>
        </w:tc>
        <w:tc>
          <w:tcPr>
            <w:tcW w:w="1140" w:type="dxa"/>
            <w:vAlign w:val="bottom"/>
          </w:tcPr>
          <w:p>
            <w:pPr>
              <w:jc w:val="right"/>
              <w:ind w:right="10"/>
              <w:spacing w:after="0" w:line="177" w:lineRule="exact"/>
              <w:rPr>
                <w:sz w:val="20"/>
                <w:szCs w:val="20"/>
                <w:color w:val="auto"/>
              </w:rPr>
            </w:pPr>
            <w:r>
              <w:rPr>
                <w:rFonts w:ascii="Arial" w:cs="Arial" w:eastAsia="Arial" w:hAnsi="Arial"/>
                <w:sz w:val="18"/>
                <w:szCs w:val="18"/>
                <w:color w:val="auto"/>
              </w:rPr>
              <w:t>March 28,</w:t>
            </w:r>
          </w:p>
        </w:tc>
      </w:tr>
      <w:tr>
        <w:trPr>
          <w:trHeight w:val="22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5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194,649</w:t>
            </w:r>
          </w:p>
        </w:tc>
        <w:tc>
          <w:tcPr>
            <w:tcW w:w="13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185,483</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373,571</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378,235</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0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8,951</w:t>
            </w:r>
          </w:p>
        </w:tc>
        <w:tc>
          <w:tcPr>
            <w:tcW w:w="13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12,517</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18,627</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22,958</w:t>
            </w: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20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(152)</w:t>
            </w:r>
          </w:p>
        </w:tc>
        <w:tc>
          <w:tcPr>
            <w:tcW w:w="13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1,474</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(12,426)</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6,696</w:t>
            </w:r>
          </w:p>
        </w:tc>
      </w:tr>
      <w:tr>
        <w:trPr>
          <w:trHeight w:val="203"/>
        </w:trPr>
        <w:tc>
          <w:tcPr>
            <w:tcW w:w="54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0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10,590</w:t>
            </w:r>
          </w:p>
        </w:tc>
        <w:tc>
          <w:tcPr>
            <w:tcW w:w="13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1,294</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13,790</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4,461</w:t>
            </w:r>
          </w:p>
        </w:tc>
      </w:tr>
      <w:tr>
        <w:trPr>
          <w:trHeight w:val="196"/>
        </w:trPr>
        <w:tc>
          <w:tcPr>
            <w:tcW w:w="5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Costs</w:t>
            </w:r>
          </w:p>
        </w:tc>
        <w:tc>
          <w:tcPr>
            <w:tcW w:w="20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175,260</w:t>
            </w:r>
          </w:p>
        </w:tc>
        <w:tc>
          <w:tcPr>
            <w:tcW w:w="13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170,198</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353,580</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344,120</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required by operating activities totaled $606,000 in 2022 compared to cash provided by operating activities of $ 39,253,000 in 2021, a decrease of $39,859,000. The decrease was driven by a decrease in operating results of $20,312,000 (defined as net income (loss) adjusted for non-working capital items) and a decrease in cash from working capital of $19,548,000, primarily related to unfavorable changes in inventory, postretirement liabilities, income taxes payable and warrants, partially offset by favorable changes in accounts receivable.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Cash provided by investing activities totaled $ 9,880,000 in the 2022 Period compared to $301,000 in the 2021 Period. 2022 included $14,744,000 in proceeds from the sale of assets as the Company divested non-core real estate.</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anticipate that funds necessary for capital expenditures, which are expected to be $12,000,000 in 2022, and other requirements, will be available from internally generated funds.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required for financing activities totaled $20,051,000 in the 2022 Period compared to $39,534,000 in the 2021 Period. Debt reduction accounted for nearly all of the usage of funds in the 2022 and 2021 Periods.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liquidity, consisting of cash on the balance sheet, totals $15,335,000 at March 27, 2022.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February 2020, our filing of a replacement Form S-3 registration statement ("Shelf") with the SEC was declared effective and expires February 2023. The Shelf registration gives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SEC issuer eligibility rules require us to have a public float of at least $75,000,000 in order to use the Shelf.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 Among other provisions, the CARES Act allows the Company to defer payments of the employer’s share of social security taxes which shall be paid between December 31, 2021, and December 31, 2022. The CARES Act also provides for an Employee Retention Credit which can be applied to the employer’s share of payroll taxes. The Company has elected to defer the employer’s share of social security tax payments and is currently determining the applicability of the Employee Retention Credit.</w:t>
      </w:r>
    </w:p>
    <w:p>
      <w:pPr>
        <w:spacing w:after="0" w:line="16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We have no interest rate hedging in place.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 North American newsprint producers implemented a January 2022 price increase of $25 per tonne and another $25 per tonne March 2022. An additional price increase for May 2022 of $50 per tonne has been announced. The newsprint supply chain is challenged due to significant capacity reductions taken in the last two years including paper machine permanent shutdowns, conversion to paper grades other than newsprint, and recovering demand, domestically and exports, for newsprint. Like other industries, the supply chain is further challenged by shipping delays due to restrictions of personnel crossing the US/Canada border.</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long-term supply strategy continues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$10 per tonne price increase on 27.7 pound newsprint would result in an annualized reduction in income before taxes of approximately $340,000 based on current and anticipated consumption trends in 2022, excluding consumption of TNI and MNI and the impact of LIFO accounting.</w:t>
      </w:r>
    </w:p>
    <w:p>
      <w:pPr>
        <w:sectPr>
          <w:pgSz w:w="11900" w:h="16838" w:orient="portrait"/>
          <w:cols w:equalWidth="0" w:num="1">
            <w:col w:w="11240"/>
          </w:cols>
          <w:pgMar w:left="320" w:top="121" w:right="339" w:bottom="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fixed rate debt consists of $462,554,000 principal amount of the Term Loan recorded at carrying value.</w:t>
      </w:r>
    </w:p>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that as of the Evaluation Date, our disclosure controls and procedures were effective.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and six months ended March 27, 2022 that have materially affected, or are reasonably likely to materially affect, our internal control over financial reporting.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2021 Form 10-K.</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0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560" w:type="dxa"/>
            <w:vAlign w:val="bottom"/>
            <w:tcBorders>
              <w:top w:val="single" w:sz="8" w:color="auto"/>
              <w:bottom w:val="single" w:sz="8" w:color="auto"/>
            </w:tcBorders>
          </w:tcPr>
          <w:p>
            <w:pPr>
              <w:ind w:left="3460"/>
              <w:spacing w:after="0"/>
              <w:rPr>
                <w:sz w:val="20"/>
                <w:szCs w:val="20"/>
                <w:color w:val="auto"/>
              </w:rPr>
            </w:pPr>
            <w:r>
              <w:rPr>
                <w:rFonts w:ascii="Arial" w:cs="Arial" w:eastAsia="Arial" w:hAnsi="Arial"/>
                <w:sz w:val="18"/>
                <w:szCs w:val="18"/>
                <w:color w:val="auto"/>
              </w:rPr>
              <w:t>Description</w:t>
            </w: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8840" w:type="dxa"/>
            <w:vAlign w:val="bottom"/>
            <w:gridSpan w:val="5"/>
          </w:tcPr>
          <w:p>
            <w:pPr>
              <w:spacing w:after="0"/>
              <w:rPr>
                <w:sz w:val="20"/>
                <w:szCs w:val="20"/>
                <w:color w:val="auto"/>
              </w:rPr>
            </w:pPr>
            <w:r>
              <w:rPr>
                <w:rFonts w:ascii="Arial" w:cs="Arial" w:eastAsia="Arial" w:hAnsi="Arial"/>
                <w:sz w:val="18"/>
                <w:szCs w:val="18"/>
                <w:color w:val="0000EE"/>
              </w:rPr>
              <w:t>Rule 13a-14(a) Certification of Chief Executive Officer</w:t>
            </w:r>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42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Rule 13a-14(a) Certification of Chief Financial Officer</w:t>
            </w:r>
          </w:p>
        </w:tc>
        <w:tc>
          <w:tcPr>
            <w:tcW w:w="4560" w:type="dxa"/>
            <w:vAlign w:val="bottom"/>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42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Section 1350 Certification of Chief Executive Officer</w:t>
            </w:r>
          </w:p>
        </w:tc>
        <w:tc>
          <w:tcPr>
            <w:tcW w:w="4620" w:type="dxa"/>
            <w:vAlign w:val="bottom"/>
            <w:gridSpan w:val="2"/>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1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Section 1350 Certification of Chief Financial Officer</w:t>
            </w:r>
          </w:p>
        </w:tc>
        <w:tc>
          <w:tcPr>
            <w:tcW w:w="4720" w:type="dxa"/>
            <w:vAlign w:val="bottom"/>
            <w:gridSpan w:val="3"/>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4060" w:type="dxa"/>
            <w:vAlign w:val="bottom"/>
            <w:shd w:val="clear" w:color="auto" w:fill="0000EE"/>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920" w:type="dxa"/>
            <w:vAlign w:val="bottom"/>
            <w:vMerge w:val="restart"/>
          </w:tcPr>
          <w:p>
            <w:pPr>
              <w:ind w:left="200"/>
              <w:spacing w:after="0"/>
              <w:rPr>
                <w:sz w:val="20"/>
                <w:szCs w:val="20"/>
                <w:color w:val="auto"/>
              </w:rPr>
            </w:pPr>
            <w:r>
              <w:rPr>
                <w:rFonts w:ascii="Arial" w:cs="Arial" w:eastAsia="Arial" w:hAnsi="Arial"/>
                <w:sz w:val="18"/>
                <w:szCs w:val="18"/>
                <w:color w:val="auto"/>
                <w:w w:val="98"/>
              </w:rPr>
              <w:t>Attached</w:t>
            </w:r>
          </w:p>
        </w:tc>
        <w:tc>
          <w:tcPr>
            <w:tcW w:w="0" w:type="dxa"/>
            <w:vAlign w:val="bottom"/>
          </w:tcPr>
          <w:p>
            <w:pPr>
              <w:spacing w:after="0" w:line="20" w:lineRule="exact"/>
              <w:rPr>
                <w:sz w:val="1"/>
                <w:szCs w:val="1"/>
                <w:color w:val="auto"/>
              </w:rPr>
            </w:pPr>
          </w:p>
        </w:tc>
      </w:tr>
      <w:tr>
        <w:trPr>
          <w:trHeight w:val="191"/>
        </w:trPr>
        <w:tc>
          <w:tcPr>
            <w:tcW w:w="1480" w:type="dxa"/>
            <w:vAlign w:val="bottom"/>
            <w:vMerge w:val="continue"/>
          </w:tcPr>
          <w:p>
            <w:pPr>
              <w:spacing w:after="0"/>
              <w:rPr>
                <w:sz w:val="16"/>
                <w:szCs w:val="16"/>
                <w:color w:val="auto"/>
              </w:rPr>
            </w:pPr>
          </w:p>
        </w:tc>
        <w:tc>
          <w:tcPr>
            <w:tcW w:w="8840" w:type="dxa"/>
            <w:vAlign w:val="bottom"/>
            <w:gridSpan w:val="5"/>
          </w:tcPr>
          <w:p>
            <w:pPr>
              <w:spacing w:after="0" w:line="191"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because its XBRL tags are embedded within the Inline XBRL document)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21"/>
        </w:trPr>
        <w:tc>
          <w:tcPr>
            <w:tcW w:w="1480" w:type="dxa"/>
            <w:vAlign w:val="bottom"/>
            <w:tcBorders>
              <w:bottom w:val="single" w:sz="8" w:color="auto"/>
            </w:tcBorders>
          </w:tcPr>
          <w:p>
            <w:pPr>
              <w:spacing w:after="0"/>
              <w:rPr>
                <w:sz w:val="19"/>
                <w:szCs w:val="19"/>
                <w:color w:val="auto"/>
              </w:rPr>
            </w:pPr>
          </w:p>
        </w:tc>
        <w:tc>
          <w:tcPr>
            <w:tcW w:w="8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document)</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18"/>
        </w:trPr>
        <w:tc>
          <w:tcPr>
            <w:tcW w:w="1480" w:type="dxa"/>
            <w:vAlign w:val="bottom"/>
          </w:tcPr>
          <w:p>
            <w:pPr>
              <w:spacing w:after="0"/>
              <w:rPr>
                <w:sz w:val="24"/>
                <w:szCs w:val="24"/>
                <w:color w:val="auto"/>
              </w:rPr>
            </w:pPr>
          </w:p>
        </w:tc>
        <w:tc>
          <w:tcPr>
            <w:tcW w:w="4280" w:type="dxa"/>
            <w:vAlign w:val="bottom"/>
            <w:gridSpan w:val="4"/>
          </w:tcPr>
          <w:p>
            <w:pPr>
              <w:ind w:left="4040"/>
              <w:spacing w:after="0"/>
              <w:rPr>
                <w:sz w:val="20"/>
                <w:szCs w:val="20"/>
                <w:color w:val="auto"/>
              </w:rPr>
            </w:pPr>
            <w:r>
              <w:rPr>
                <w:rFonts w:ascii="Arial" w:cs="Arial" w:eastAsia="Arial" w:hAnsi="Arial"/>
                <w:sz w:val="18"/>
                <w:szCs w:val="18"/>
                <w:color w:val="auto"/>
              </w:rPr>
              <w:t>19</w:t>
            </w:r>
          </w:p>
        </w:tc>
        <w:tc>
          <w:tcPr>
            <w:tcW w:w="4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48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3" w:lineRule="exact"/>
        <w:rPr>
          <w:sz w:val="20"/>
          <w:szCs w:val="20"/>
          <w:color w:val="auto"/>
        </w:rPr>
      </w:pPr>
    </w:p>
    <w:tbl>
      <w:tblPr>
        <w:tblLayout w:type="fixed"/>
        <w:tblInd w:w="280" w:type="dxa"/>
        <w:tblCellMar>
          <w:top w:w="0" w:type="dxa"/>
          <w:left w:w="0" w:type="dxa"/>
          <w:bottom w:w="0" w:type="dxa"/>
          <w:right w:w="0" w:type="dxa"/>
        </w:tblCellMar>
      </w:tblPr>
      <w:tr>
        <w:trPr>
          <w:trHeight w:val="239"/>
        </w:trPr>
        <w:tc>
          <w:tcPr>
            <w:tcW w:w="644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240" w:type="dxa"/>
            <w:vAlign w:val="bottom"/>
          </w:tcPr>
          <w:p>
            <w:pPr>
              <w:spacing w:after="0"/>
              <w:rPr>
                <w:sz w:val="20"/>
                <w:szCs w:val="20"/>
                <w:color w:val="auto"/>
              </w:rPr>
            </w:pPr>
          </w:p>
        </w:tc>
      </w:tr>
      <w:tr>
        <w:trPr>
          <w:trHeight w:val="400"/>
        </w:trPr>
        <w:tc>
          <w:tcPr>
            <w:tcW w:w="6440" w:type="dxa"/>
            <w:vAlign w:val="bottom"/>
          </w:tcPr>
          <w:p>
            <w:pPr>
              <w:spacing w:after="0"/>
              <w:rPr>
                <w:sz w:val="20"/>
                <w:szCs w:val="20"/>
                <w:color w:val="auto"/>
              </w:rPr>
            </w:pPr>
            <w:r>
              <w:rPr>
                <w:rFonts w:ascii="Arial" w:cs="Arial" w:eastAsia="Arial" w:hAnsi="Arial"/>
                <w:sz w:val="18"/>
                <w:szCs w:val="18"/>
                <w:color w:val="auto"/>
              </w:rPr>
              <w:t>/s/ Timothy R. Millage</w:t>
            </w:r>
          </w:p>
        </w:tc>
        <w:tc>
          <w:tcPr>
            <w:tcW w:w="4240" w:type="dxa"/>
            <w:vAlign w:val="bottom"/>
          </w:tcPr>
          <w:p>
            <w:pPr>
              <w:ind w:left="3240"/>
              <w:spacing w:after="0"/>
              <w:rPr>
                <w:sz w:val="20"/>
                <w:szCs w:val="20"/>
                <w:color w:val="auto"/>
              </w:rPr>
            </w:pPr>
            <w:r>
              <w:rPr>
                <w:rFonts w:ascii="Arial" w:cs="Arial" w:eastAsia="Arial" w:hAnsi="Arial"/>
                <w:sz w:val="18"/>
                <w:szCs w:val="18"/>
                <w:color w:val="auto"/>
                <w:w w:val="98"/>
              </w:rPr>
              <w:t>May 6,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-7620</wp:posOffset>
            </wp:positionV>
            <wp:extent cx="32232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280"/>
        <w:spacing w:after="0" w:line="234" w:lineRule="auto"/>
        <w:rPr>
          <w:sz w:val="20"/>
          <w:szCs w:val="20"/>
          <w:color w:val="auto"/>
        </w:rPr>
      </w:pPr>
      <w:r>
        <w:rPr>
          <w:rFonts w:ascii="Arial" w:cs="Arial" w:eastAsia="Arial" w:hAnsi="Arial"/>
          <w:sz w:val="18"/>
          <w:szCs w:val="18"/>
          <w:color w:val="auto"/>
        </w:rPr>
        <w:t>Timothy R. Millage</w:t>
      </w:r>
    </w:p>
    <w:p>
      <w:pPr>
        <w:ind w:left="280"/>
        <w:spacing w:after="0" w:line="235" w:lineRule="auto"/>
        <w:rPr>
          <w:sz w:val="20"/>
          <w:szCs w:val="20"/>
          <w:color w:val="auto"/>
        </w:rPr>
      </w:pPr>
      <w:r>
        <w:rPr>
          <w:rFonts w:ascii="Arial" w:cs="Arial" w:eastAsia="Arial" w:hAnsi="Arial"/>
          <w:sz w:val="18"/>
          <w:szCs w:val="18"/>
          <w:color w:val="auto"/>
        </w:rPr>
        <w:t>Vice President, Chief Financial Officer and Treasurer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Financial and Accounting Officer)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98"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line="25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5" w:lineRule="exact"/>
        <w:rPr>
          <w:sz w:val="20"/>
          <w:szCs w:val="20"/>
          <w:color w:val="auto"/>
        </w:rPr>
      </w:pPr>
    </w:p>
    <w:p>
      <w:pPr>
        <w:ind w:left="680" w:right="140" w:hanging="672"/>
        <w:spacing w:after="0" w:line="253"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5" w:lineRule="exact"/>
        <w:rPr>
          <w:sz w:val="20"/>
          <w:szCs w:val="20"/>
          <w:color w:val="auto"/>
        </w:rPr>
      </w:pPr>
    </w:p>
    <w:p>
      <w:pPr>
        <w:ind w:left="680" w:right="40" w:hanging="672"/>
        <w:spacing w:after="0" w:line="253"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ind w:left="1700" w:right="160" w:hanging="558"/>
        <w:spacing w:after="0" w:line="247" w:lineRule="auto"/>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8"/>
          <w:szCs w:val="18"/>
          <w:color w:val="auto"/>
        </w:rPr>
      </w:pPr>
    </w:p>
    <w:p>
      <w:pPr>
        <w:ind w:left="1700" w:right="140" w:hanging="558"/>
        <w:spacing w:after="0" w:line="275" w:lineRule="auto"/>
        <w:tabs>
          <w:tab w:leader="none" w:pos="17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1700" w:right="320" w:hanging="558"/>
        <w:spacing w:after="0" w:line="253" w:lineRule="auto"/>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5" w:lineRule="exact"/>
        <w:rPr>
          <w:rFonts w:ascii="Arial" w:cs="Arial" w:eastAsia="Arial" w:hAnsi="Arial"/>
          <w:sz w:val="18"/>
          <w:szCs w:val="18"/>
          <w:color w:val="auto"/>
        </w:rPr>
      </w:pPr>
    </w:p>
    <w:p>
      <w:pPr>
        <w:ind w:left="1700" w:right="180" w:hanging="558"/>
        <w:spacing w:after="0" w:line="247" w:lineRule="auto"/>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sz w:val="20"/>
          <w:szCs w:val="20"/>
          <w:color w:val="auto"/>
        </w:rPr>
      </w:pPr>
    </w:p>
    <w:p>
      <w:pPr>
        <w:ind w:left="680" w:right="240" w:hanging="672"/>
        <w:spacing w:after="0" w:line="25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rFonts w:ascii="Arial" w:cs="Arial" w:eastAsia="Arial" w:hAnsi="Arial"/>
          <w:sz w:val="18"/>
          <w:szCs w:val="18"/>
          <w:color w:val="auto"/>
        </w:rPr>
      </w:pPr>
    </w:p>
    <w:p>
      <w:pPr>
        <w:jc w:val="both"/>
        <w:ind w:left="1700" w:right="40" w:hanging="558"/>
        <w:spacing w:after="0" w:line="253" w:lineRule="auto"/>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700" w:right="400" w:hanging="558"/>
        <w:spacing w:after="0" w:line="271" w:lineRule="auto"/>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4063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Kevin D. Mowbray</w:t>
      </w:r>
    </w:p>
    <w:p>
      <w:pPr>
        <w:ind w:left="4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98"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line="253"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5" w:lineRule="exact"/>
        <w:rPr>
          <w:sz w:val="20"/>
          <w:szCs w:val="20"/>
          <w:color w:val="auto"/>
        </w:rPr>
      </w:pPr>
    </w:p>
    <w:p>
      <w:pPr>
        <w:ind w:left="680" w:right="140" w:hanging="672"/>
        <w:spacing w:after="0" w:line="253"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5" w:lineRule="exact"/>
        <w:rPr>
          <w:sz w:val="20"/>
          <w:szCs w:val="20"/>
          <w:color w:val="auto"/>
        </w:rPr>
      </w:pPr>
    </w:p>
    <w:p>
      <w:pPr>
        <w:ind w:left="680" w:right="40" w:hanging="672"/>
        <w:spacing w:after="0" w:line="253"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ind w:left="1700" w:right="160" w:hanging="558"/>
        <w:spacing w:after="0" w:line="247"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8"/>
          <w:szCs w:val="18"/>
          <w:color w:val="auto"/>
        </w:rPr>
      </w:pPr>
    </w:p>
    <w:p>
      <w:pPr>
        <w:ind w:left="1700" w:right="140" w:hanging="558"/>
        <w:spacing w:after="0" w:line="275" w:lineRule="auto"/>
        <w:tabs>
          <w:tab w:leader="none" w:pos="17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1700" w:right="320" w:hanging="558"/>
        <w:spacing w:after="0" w:line="253"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5" w:lineRule="exact"/>
        <w:rPr>
          <w:rFonts w:ascii="Arial" w:cs="Arial" w:eastAsia="Arial" w:hAnsi="Arial"/>
          <w:sz w:val="18"/>
          <w:szCs w:val="18"/>
          <w:color w:val="auto"/>
        </w:rPr>
      </w:pPr>
    </w:p>
    <w:p>
      <w:pPr>
        <w:ind w:left="1700" w:right="180" w:hanging="558"/>
        <w:spacing w:after="0" w:line="247"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sz w:val="20"/>
          <w:szCs w:val="20"/>
          <w:color w:val="auto"/>
        </w:rPr>
      </w:pPr>
    </w:p>
    <w:p>
      <w:pPr>
        <w:ind w:left="680" w:right="240" w:hanging="672"/>
        <w:spacing w:after="0" w:line="253"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rFonts w:ascii="Arial" w:cs="Arial" w:eastAsia="Arial" w:hAnsi="Arial"/>
          <w:sz w:val="18"/>
          <w:szCs w:val="18"/>
          <w:color w:val="auto"/>
        </w:rPr>
      </w:pPr>
    </w:p>
    <w:p>
      <w:pPr>
        <w:jc w:val="both"/>
        <w:ind w:left="1700" w:right="40" w:hanging="558"/>
        <w:spacing w:after="0" w:line="253"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700" w:right="400" w:hanging="558"/>
        <w:spacing w:after="0" w:line="271"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Date:May 6, 2022</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4063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Timothy R. Millage</w:t>
      </w:r>
    </w:p>
    <w:p>
      <w:pPr>
        <w:ind w:left="48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21" w:right="339" w:bottom="1440" w:gutter="0" w:footer="0" w:header="0"/>
        </w:sectPr>
      </w:pPr>
    </w:p>
    <w:bookmarkStart w:id="24" w:name="page25"/>
    <w:bookmarkEnd w:id="24"/>
    <w:p>
      <w:pPr>
        <w:ind w:left="10240"/>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rPr>
          <w:sz w:val="20"/>
          <w:szCs w:val="20"/>
          <w:color w:val="auto"/>
        </w:rPr>
      </w:pPr>
      <w:r>
        <w:rPr>
          <w:rFonts w:ascii="Arial" w:cs="Arial" w:eastAsia="Arial" w:hAnsi="Arial"/>
          <w:sz w:val="18"/>
          <w:szCs w:val="18"/>
          <w:color w:val="auto"/>
        </w:rPr>
        <w:t>Washington, DC 20549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40" w:lineRule="exact"/>
        <w:rPr>
          <w:sz w:val="20"/>
          <w:szCs w:val="20"/>
          <w:color w:val="auto"/>
        </w:rPr>
      </w:pPr>
    </w:p>
    <w:p>
      <w:pPr>
        <w:ind w:left="920" w:right="20" w:hanging="912"/>
        <w:spacing w:after="0" w:line="27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27, 2022 ("Quarterly Report"), fully complies with the requirements of section 13(a) or 15(d) of the Securities Exchange Act of 1934 (15 U.S.C. 78m or 78o(d)); and</w:t>
      </w:r>
    </w:p>
    <w:p>
      <w:pPr>
        <w:spacing w:after="0" w:line="140" w:lineRule="exact"/>
        <w:rPr>
          <w:rFonts w:ascii="Arial" w:cs="Arial" w:eastAsia="Arial" w:hAnsi="Arial"/>
          <w:sz w:val="18"/>
          <w:szCs w:val="18"/>
          <w:color w:val="auto"/>
        </w:rPr>
      </w:pPr>
    </w:p>
    <w:p>
      <w:pPr>
        <w:ind w:left="920" w:right="380" w:hanging="912"/>
        <w:spacing w:after="0" w:line="27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137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Kevin D. Mowbray</w:t>
      </w:r>
    </w:p>
    <w:p>
      <w:pPr>
        <w:spacing w:after="0"/>
        <w:rPr>
          <w:sz w:val="20"/>
          <w:szCs w:val="20"/>
          <w:color w:val="auto"/>
        </w:rPr>
      </w:pPr>
      <w:r>
        <w:rPr>
          <w:rFonts w:ascii="Arial" w:cs="Arial" w:eastAsia="Arial" w:hAnsi="Arial"/>
          <w:sz w:val="18"/>
          <w:szCs w:val="18"/>
          <w:color w:val="auto"/>
        </w:rPr>
        <w:t>President and Chief Executive Officer</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21" w:right="339" w:bottom="1440" w:gutter="0" w:footer="0" w:header="0"/>
        </w:sectPr>
      </w:pPr>
    </w:p>
    <w:bookmarkStart w:id="25" w:name="page26"/>
    <w:bookmarkEnd w:id="25"/>
    <w:p>
      <w:pPr>
        <w:ind w:left="10240"/>
        <w:spacing w:after="0"/>
        <w:rPr>
          <w:sz w:val="20"/>
          <w:szCs w:val="20"/>
          <w:color w:val="auto"/>
        </w:rPr>
      </w:pPr>
      <w:r>
        <w:rPr>
          <w:rFonts w:ascii="Arial" w:cs="Arial" w:eastAsia="Arial" w:hAnsi="Arial"/>
          <w:sz w:val="17"/>
          <w:szCs w:val="17"/>
          <w:b w:val="1"/>
          <w:bCs w:val="1"/>
          <w:color w:val="auto"/>
        </w:rPr>
        <w:t>Exhibit 32.2</w:t>
      </w:r>
    </w:p>
    <w:p>
      <w:pPr>
        <w:spacing w:after="0" w:line="209"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rPr>
          <w:sz w:val="20"/>
          <w:szCs w:val="20"/>
          <w:color w:val="auto"/>
        </w:rPr>
      </w:pPr>
      <w:r>
        <w:rPr>
          <w:rFonts w:ascii="Arial" w:cs="Arial" w:eastAsia="Arial" w:hAnsi="Arial"/>
          <w:sz w:val="18"/>
          <w:szCs w:val="18"/>
          <w:color w:val="auto"/>
        </w:rPr>
        <w:t>Washington, DC 20549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40" w:lineRule="exact"/>
        <w:rPr>
          <w:sz w:val="20"/>
          <w:szCs w:val="20"/>
          <w:color w:val="auto"/>
        </w:rPr>
      </w:pPr>
    </w:p>
    <w:p>
      <w:pPr>
        <w:ind w:left="580" w:right="160" w:hanging="572"/>
        <w:spacing w:after="0" w:line="271"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27, 2022 ("Quarterly Report"), fully complies with the requirements of section 13(a) or 15(d) of the Securities Exchange Act of 1934 (15 U.S.C. 78m or 78o(d)); and</w:t>
      </w:r>
    </w:p>
    <w:p>
      <w:pPr>
        <w:spacing w:after="0" w:line="140" w:lineRule="exact"/>
        <w:rPr>
          <w:rFonts w:ascii="Arial" w:cs="Arial" w:eastAsia="Arial" w:hAnsi="Arial"/>
          <w:sz w:val="18"/>
          <w:szCs w:val="18"/>
          <w:color w:val="auto"/>
        </w:rPr>
      </w:pPr>
    </w:p>
    <w:p>
      <w:pPr>
        <w:ind w:left="580" w:right="720" w:hanging="572"/>
        <w:spacing w:after="0" w:line="271"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137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Timothy R. Millage</w:t>
      </w: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2"/>
      <w:numFmt w:val="bullet"/>
      <w:start w:val="1"/>
    </w:lvl>
  </w:abstractNum>
  <w:abstractNum w:abstractNumId="5">
    <w:nsid w:val="41A7C4C9"/>
    <w:multiLevelType w:val="hybridMultilevel"/>
    <w:lvl w:ilvl="0">
      <w:lvlJc w:val="left"/>
      <w:lvlText w:val="3"/>
      <w:numFmt w:val="bullet"/>
      <w:start w:val="1"/>
    </w:lvl>
  </w:abstractNum>
  <w:abstractNum w:abstractNumId="6">
    <w:nsid w:val="6B68079A"/>
    <w:multiLevelType w:val="hybridMultilevel"/>
    <w:lvl w:ilvl="0">
      <w:lvlJc w:val="left"/>
      <w:lvlText w:val="5"/>
      <w:numFmt w:val="bullet"/>
      <w:start w:val="1"/>
    </w:lvl>
  </w:abstractNum>
  <w:abstractNum w:abstractNumId="7">
    <w:nsid w:val="4E6AFB66"/>
    <w:multiLevelType w:val="hybridMultilevel"/>
    <w:lvl w:ilvl="0">
      <w:lvlJc w:val="left"/>
      <w:lvlText w:val="6"/>
      <w:numFmt w:val="bullet"/>
      <w:start w:val="1"/>
    </w:lvl>
  </w:abstractNum>
  <w:abstractNum w:abstractNumId="8">
    <w:nsid w:val="25E45D32"/>
    <w:multiLevelType w:val="hybridMultilevel"/>
    <w:lvl w:ilvl="0">
      <w:lvlJc w:val="left"/>
      <w:lvlText w:val="7"/>
      <w:numFmt w:val="bullet"/>
      <w:start w:val="1"/>
    </w:lvl>
  </w:abstractNum>
  <w:abstractNum w:abstractNumId="9">
    <w:nsid w:val="519B500D"/>
    <w:multiLevelType w:val="hybridMultilevel"/>
    <w:lvl w:ilvl="0">
      <w:lvlJc w:val="left"/>
      <w:lvlText w:val="8"/>
      <w:numFmt w:val="bullet"/>
      <w:start w:val="1"/>
    </w:lvl>
  </w:abstractNum>
  <w:abstractNum w:abstractNumId="10">
    <w:nsid w:val="431BD7B7"/>
    <w:multiLevelType w:val="hybridMultilevel"/>
    <w:lvl w:ilvl="0">
      <w:lvlJc w:val="left"/>
      <w:lvlText w:val="9"/>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lvl w:ilvl="1">
      <w:lvlJc w:val="left"/>
      <w:lvlText w:val="%2)"/>
      <w:numFmt w:val="lowerLetter"/>
      <w:start w:val="1"/>
    </w:lvl>
  </w:abstractNum>
  <w:abstractNum w:abstractNumId="17">
    <w:nsid w:val="333AB105"/>
    <w:multiLevelType w:val="hybridMultilevel"/>
    <w:lvl w:ilvl="0">
      <w:lvlJc w:val="left"/>
      <w:lvlText w:val="5"/>
      <w:numFmt w:val="bullet"/>
      <w:start w:val="1"/>
    </w:lvl>
    <w:lvl w:ilvl="1">
      <w:lvlJc w:val="left"/>
      <w:lvlText w:val="%2)"/>
      <w:numFmt w:val="lowerLetter"/>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2"/>
      <w:numFmt w:val="bullet"/>
      <w:start w:val="1"/>
    </w:lvl>
  </w:abstractNum>
  <w:abstractNum w:abstractNumId="20">
    <w:nsid w:val="2D1D5AE9"/>
    <w:multiLevelType w:val="hybridMultilevel"/>
    <w:lvl w:ilvl="0">
      <w:lvlJc w:val="left"/>
      <w:lvlText w:val="3"/>
      <w:numFmt w:val="bullet"/>
      <w:start w:val="1"/>
    </w:lvl>
  </w:abstractNum>
  <w:abstractNum w:abstractNumId="21">
    <w:nsid w:val="6763845E"/>
    <w:multiLevelType w:val="hybridMultilevel"/>
    <w:lvl w:ilvl="0">
      <w:lvlJc w:val="left"/>
      <w:lvlText w:val="4"/>
      <w:numFmt w:val="bullet"/>
      <w:start w:val="1"/>
    </w:lvl>
    <w:lvl w:ilvl="1">
      <w:lvlJc w:val="left"/>
      <w:lvlText w:val="%2)"/>
      <w:numFmt w:val="lowerLetter"/>
      <w:start w:val="1"/>
    </w:lvl>
  </w:abstractNum>
  <w:abstractNum w:abstractNumId="22">
    <w:nsid w:val="75A2A8D4"/>
    <w:multiLevelType w:val="hybridMultilevel"/>
    <w:lvl w:ilvl="0">
      <w:lvlJc w:val="left"/>
      <w:lvlText w:val="5"/>
      <w:numFmt w:val="bullet"/>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2022-05-06T13:13:49Z</dcterms:created>
  <dcterms:modified xsi:type="dcterms:W3CDTF">2022-05-06T13:13:49Z</dcterms:modified>
</cp:coreProperties>
</file>