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9" w:lineRule="exact"/>
        <w:rPr>
          <w:sz w:val="24"/>
          <w:szCs w:val="24"/>
          <w:color w:val="auto"/>
        </w:rPr>
      </w:pPr>
    </w:p>
    <w:p>
      <w:pPr>
        <w:jc w:val="center"/>
        <w:ind w:right="-19"/>
        <w:spacing w:after="0"/>
        <w:rPr>
          <w:sz w:val="20"/>
          <w:szCs w:val="20"/>
          <w:color w:val="auto"/>
        </w:rPr>
      </w:pPr>
      <w:r>
        <w:rPr>
          <w:rFonts w:ascii="Wingdings" w:cs="Wingdings" w:eastAsia="Wingdings" w:hAnsi="Wingdings"/>
          <w:sz w:val="17"/>
          <w:szCs w:val="17"/>
          <w:b w:val="1"/>
          <w:bCs w:val="1"/>
          <w:color w:val="auto"/>
        </w:rPr>
        <w:t xml:space="preserve">x </w:t>
      </w:r>
      <w:r>
        <w:rPr>
          <w:rFonts w:ascii="Arial" w:cs="Arial" w:eastAsia="Arial" w:hAnsi="Arial"/>
          <w:sz w:val="17"/>
          <w:szCs w:val="17"/>
          <w:color w:val="auto"/>
        </w:rPr>
        <w:t>QUARTERLY REPORT PURSUANT TO SECTION 13 OR 15(d) OF THE</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Quarterly Period Ended March 30, 2025</w:t>
      </w:r>
    </w:p>
    <w:p>
      <w:pPr>
        <w:spacing w:after="0" w:line="117"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ind w:left="2600"/>
        <w:spacing w:after="0"/>
        <w:rPr>
          <w:sz w:val="20"/>
          <w:szCs w:val="20"/>
          <w:color w:val="auto"/>
        </w:rPr>
      </w:pPr>
      <w:r>
        <w:rPr>
          <w:rFonts w:ascii="Wingdings" w:cs="Wingdings" w:eastAsia="Wingdings" w:hAnsi="Wingdings"/>
          <w:sz w:val="17"/>
          <w:szCs w:val="17"/>
          <w:b w:val="1"/>
          <w:bCs w:val="1"/>
          <w:color w:val="auto"/>
        </w:rPr>
        <w:t xml:space="preserve">o </w:t>
      </w:r>
      <w:r>
        <w:rPr>
          <w:rFonts w:ascii="Arial" w:cs="Arial" w:eastAsia="Arial" w:hAnsi="Arial"/>
          <w:sz w:val="17"/>
          <w:szCs w:val="17"/>
          <w:color w:val="auto"/>
        </w:rPr>
        <w:t>TRANSITION REPORT PURSUANT TO SECTION 13 OR 15(d) OF THE</w:t>
      </w:r>
    </w:p>
    <w:p>
      <w:pPr>
        <w:spacing w:after="0" w:line="3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Commission File Number 1-6227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LEE ENTERPRISES, INCORPORATED</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158"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Delaware</w:t>
      </w:r>
    </w:p>
    <w:p>
      <w:pPr>
        <w:spacing w:after="0" w:line="32" w:lineRule="exact"/>
        <w:rPr>
          <w:sz w:val="24"/>
          <w:szCs w:val="24"/>
          <w:color w:val="auto"/>
        </w:rPr>
      </w:pPr>
    </w:p>
    <w:p>
      <w:pPr>
        <w:jc w:val="center"/>
        <w:ind w:right="2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42-0823980</w:t>
      </w:r>
    </w:p>
    <w:p>
      <w:pPr>
        <w:spacing w:after="0" w:line="32"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60" w:space="720"/>
            <w:col w:w="3760"/>
          </w:cols>
          <w:pgMar w:left="320" w:top="2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4600 E. 53rd Street, Davenport, Iowa 52807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Trading Symbol(s)</w:t>
            </w:r>
          </w:p>
        </w:tc>
        <w:tc>
          <w:tcPr>
            <w:tcW w:w="4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18"/>
        </w:trPr>
        <w:tc>
          <w:tcPr>
            <w:tcW w:w="4320" w:type="dxa"/>
            <w:vAlign w:val="bottom"/>
          </w:tcPr>
          <w:p>
            <w:pPr>
              <w:jc w:val="center"/>
              <w:spacing w:after="0"/>
              <w:rPr>
                <w:sz w:val="20"/>
                <w:szCs w:val="20"/>
                <w:color w:val="auto"/>
              </w:rPr>
            </w:pPr>
            <w:r>
              <w:rPr>
                <w:rFonts w:ascii="Arial" w:cs="Arial" w:eastAsia="Arial" w:hAnsi="Arial"/>
                <w:sz w:val="18"/>
                <w:szCs w:val="18"/>
                <w:color w:val="auto"/>
                <w:w w:val="99"/>
              </w:rPr>
              <w:t>Common Stock, par value $.01 per share</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9"/>
              </w:rPr>
              <w:t>LEE</w:t>
            </w:r>
          </w:p>
        </w:tc>
        <w:tc>
          <w:tcPr>
            <w:tcW w:w="4440" w:type="dxa"/>
            <w:vAlign w:val="bottom"/>
          </w:tcPr>
          <w:p>
            <w:pPr>
              <w:jc w:val="center"/>
              <w:ind w:left="50"/>
              <w:spacing w:after="0"/>
              <w:rPr>
                <w:sz w:val="20"/>
                <w:szCs w:val="20"/>
                <w:color w:val="auto"/>
              </w:rPr>
            </w:pPr>
            <w:r>
              <w:rPr>
                <w:rFonts w:ascii="Arial" w:cs="Arial" w:eastAsia="Arial" w:hAnsi="Arial"/>
                <w:sz w:val="18"/>
                <w:szCs w:val="18"/>
                <w:color w:val="auto"/>
                <w:w w:val="99"/>
              </w:rPr>
              <w:t>The Nasdaq Global Select Market</w:t>
            </w:r>
          </w:p>
        </w:tc>
      </w:tr>
      <w:tr>
        <w:trPr>
          <w:trHeight w:val="239"/>
        </w:trPr>
        <w:tc>
          <w:tcPr>
            <w:tcW w:w="4320" w:type="dxa"/>
            <w:vAlign w:val="bottom"/>
          </w:tcPr>
          <w:p>
            <w:pPr>
              <w:jc w:val="center"/>
              <w:spacing w:after="0"/>
              <w:rPr>
                <w:sz w:val="20"/>
                <w:szCs w:val="20"/>
                <w:color w:val="auto"/>
              </w:rPr>
            </w:pPr>
            <w:r>
              <w:rPr>
                <w:rFonts w:ascii="Arial" w:cs="Arial" w:eastAsia="Arial" w:hAnsi="Arial"/>
                <w:sz w:val="18"/>
                <w:szCs w:val="18"/>
                <w:color w:val="auto"/>
                <w:w w:val="99"/>
              </w:rPr>
              <w:t>Preferred Share Purchase Rights</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9"/>
              </w:rPr>
              <w:t>LEE</w:t>
            </w:r>
          </w:p>
        </w:tc>
        <w:tc>
          <w:tcPr>
            <w:tcW w:w="4440" w:type="dxa"/>
            <w:vAlign w:val="bottom"/>
          </w:tcPr>
          <w:p>
            <w:pPr>
              <w:jc w:val="center"/>
              <w:ind w:left="50"/>
              <w:spacing w:after="0"/>
              <w:rPr>
                <w:sz w:val="20"/>
                <w:szCs w:val="20"/>
                <w:color w:val="auto"/>
              </w:rPr>
            </w:pPr>
            <w:r>
              <w:rPr>
                <w:rFonts w:ascii="Arial" w:cs="Arial" w:eastAsia="Arial" w:hAnsi="Arial"/>
                <w:sz w:val="18"/>
                <w:szCs w:val="18"/>
                <w:color w:val="auto"/>
                <w:w w:val="99"/>
              </w:rPr>
              <w:t>The Nasdaq Global Select Market</w:t>
            </w:r>
          </w:p>
        </w:tc>
      </w:tr>
    </w:tbl>
    <w:p>
      <w:pPr>
        <w:spacing w:after="0" w:line="166"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type w:val="continuous"/>
        </w:sectPr>
      </w:pPr>
    </w:p>
    <w:p>
      <w:pPr>
        <w:spacing w:after="0" w:line="103" w:lineRule="exact"/>
        <w:rPr>
          <w:sz w:val="24"/>
          <w:szCs w:val="24"/>
          <w:color w:val="auto"/>
        </w:rPr>
      </w:pPr>
    </w:p>
    <w:p>
      <w:pPr>
        <w:ind w:left="36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3"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1" w:lineRule="exact"/>
        <w:rPr>
          <w:sz w:val="24"/>
          <w:szCs w:val="24"/>
          <w:color w:val="auto"/>
        </w:rPr>
      </w:pPr>
    </w:p>
    <w:p>
      <w:pPr>
        <w:ind w:left="370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26" w:lineRule="exact"/>
        <w:rPr>
          <w:sz w:val="24"/>
          <w:szCs w:val="24"/>
          <w:color w:val="auto"/>
        </w:rPr>
      </w:pPr>
    </w:p>
    <w:p>
      <w:pPr>
        <w:sectPr>
          <w:pgSz w:w="11900" w:h="16838" w:orient="portrait"/>
          <w:cols w:equalWidth="0" w:num="2">
            <w:col w:w="8600" w:space="720"/>
            <w:col w:w="192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jc w:val="center"/>
        <w:ind w:right="3460"/>
        <w:spacing w:after="0"/>
        <w:rPr>
          <w:sz w:val="20"/>
          <w:szCs w:val="20"/>
          <w:color w:val="auto"/>
        </w:rPr>
      </w:pPr>
      <w:r>
        <w:rPr>
          <w:rFonts w:ascii="Arial" w:cs="Arial" w:eastAsia="Arial" w:hAnsi="Arial"/>
          <w:sz w:val="18"/>
          <w:szCs w:val="18"/>
          <w:color w:val="auto"/>
        </w:rPr>
        <w:t>Smaller reporting company</w:t>
      </w:r>
    </w:p>
    <w:p>
      <w:pPr>
        <w:spacing w:after="0" w:line="13"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1" w:lineRule="exact"/>
        <w:rPr>
          <w:sz w:val="24"/>
          <w:szCs w:val="24"/>
          <w:color w:val="auto"/>
        </w:rPr>
      </w:pPr>
    </w:p>
    <w:p>
      <w:pPr>
        <w:ind w:left="370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4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o</w:t>
      </w:r>
    </w:p>
    <w:p>
      <w:pPr>
        <w:spacing w:after="0" w:line="200" w:lineRule="exact"/>
        <w:rPr>
          <w:sz w:val="24"/>
          <w:szCs w:val="24"/>
          <w:color w:val="auto"/>
        </w:rPr>
      </w:pPr>
    </w:p>
    <w:p>
      <w:pPr>
        <w:sectPr>
          <w:pgSz w:w="11900" w:h="16838" w:orient="portrait"/>
          <w:cols w:equalWidth="0" w:num="3">
            <w:col w:w="4900" w:space="720"/>
            <w:col w:w="2980" w:space="720"/>
            <w:col w:w="1920"/>
          </w:cols>
          <w:pgMar w:left="320" w:top="229" w:right="339" w:bottom="1440" w:gutter="0" w:footer="0" w:header="0"/>
          <w:type w:val="continuous"/>
        </w:sectPr>
      </w:pPr>
    </w:p>
    <w:p>
      <w:pPr>
        <w:spacing w:after="0" w:line="2"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45" w:lineRule="exact"/>
        <w:rPr>
          <w:sz w:val="24"/>
          <w:szCs w:val="24"/>
          <w:color w:val="auto"/>
        </w:rPr>
      </w:pPr>
    </w:p>
    <w:p>
      <w:pPr>
        <w:spacing w:after="0"/>
        <w:tabs>
          <w:tab w:leader="none" w:pos="92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Wingdings" w:cs="Wingdings" w:eastAsia="Wingdings" w:hAnsi="Wingdings"/>
          <w:sz w:val="18"/>
          <w:szCs w:val="18"/>
          <w:b w:val="1"/>
          <w:bCs w:val="1"/>
          <w:color w:val="auto"/>
        </w:rPr>
        <w:t>o</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x</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2025, 6,220,064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Table Of Contents</w:t>
            </w: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color w:val="auto"/>
              </w:rPr>
              <w:t>PAGE</w:t>
            </w:r>
          </w:p>
        </w:tc>
      </w:tr>
      <w:tr>
        <w:trPr>
          <w:trHeight w:val="331"/>
        </w:trPr>
        <w:tc>
          <w:tcPr>
            <w:tcW w:w="20" w:type="dxa"/>
            <w:vAlign w:val="bottom"/>
          </w:tcPr>
          <w:p>
            <w:pPr>
              <w:spacing w:after="0"/>
              <w:rPr>
                <w:sz w:val="24"/>
                <w:szCs w:val="24"/>
                <w:color w:val="auto"/>
              </w:rPr>
            </w:pPr>
          </w:p>
        </w:tc>
        <w:tc>
          <w:tcPr>
            <w:tcW w:w="10020" w:type="dxa"/>
            <w:vAlign w:val="bottom"/>
            <w:gridSpan w:val="18"/>
          </w:tcPr>
          <w:p>
            <w:pPr>
              <w:spacing w:after="0"/>
              <w:rPr>
                <w:sz w:val="20"/>
                <w:szCs w:val="20"/>
                <w:color w:val="auto"/>
              </w:rPr>
            </w:pPr>
            <w:r>
              <w:rPr>
                <w:rFonts w:ascii="Arial" w:cs="Arial" w:eastAsia="Arial" w:hAnsi="Arial"/>
                <w:sz w:val="18"/>
                <w:szCs w:val="18"/>
                <w:color w:val="0000FF"/>
              </w:rPr>
              <w:t>FORWARD LOOKING STATEMENTS</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1</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40" w:type="dxa"/>
            <w:vAlign w:val="bottom"/>
            <w:gridSpan w:val="5"/>
          </w:tcPr>
          <w:p>
            <w:pPr>
              <w:spacing w:after="0"/>
              <w:rPr>
                <w:sz w:val="20"/>
                <w:szCs w:val="20"/>
                <w:color w:val="auto"/>
              </w:rPr>
            </w:pPr>
            <w:r>
              <w:rPr>
                <w:rFonts w:ascii="Arial" w:cs="Arial" w:eastAsia="Arial" w:hAnsi="Arial"/>
                <w:sz w:val="18"/>
                <w:szCs w:val="18"/>
                <w:color w:val="0000FF"/>
                <w:w w:val="98"/>
              </w:rPr>
              <w:t>FINANCIAL INFORMATION</w:t>
            </w:r>
          </w:p>
        </w:tc>
        <w:tc>
          <w:tcPr>
            <w:tcW w:w="6500" w:type="dxa"/>
            <w:vAlign w:val="bottom"/>
            <w:gridSpan w:val="11"/>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680" w:type="dxa"/>
            <w:vAlign w:val="bottom"/>
            <w:gridSpan w:val="9"/>
          </w:tcPr>
          <w:p>
            <w:pPr>
              <w:spacing w:after="0"/>
              <w:rPr>
                <w:sz w:val="20"/>
                <w:szCs w:val="20"/>
                <w:color w:val="auto"/>
              </w:rPr>
            </w:pPr>
            <w:r>
              <w:rPr>
                <w:rFonts w:ascii="Arial" w:cs="Arial" w:eastAsia="Arial" w:hAnsi="Arial"/>
                <w:sz w:val="18"/>
                <w:szCs w:val="18"/>
                <w:color w:val="0000FF"/>
                <w:w w:val="99"/>
              </w:rPr>
              <w:t>Financial Statements (Unaudited)</w:t>
            </w:r>
          </w:p>
        </w:tc>
        <w:tc>
          <w:tcPr>
            <w:tcW w:w="4920" w:type="dxa"/>
            <w:vAlign w:val="bottom"/>
            <w:gridSpan w:val="6"/>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80" w:type="dxa"/>
            <w:vAlign w:val="bottom"/>
            <w:gridSpan w:val="9"/>
          </w:tcPr>
          <w:p>
            <w:pPr>
              <w:spacing w:after="0"/>
              <w:rPr>
                <w:sz w:val="20"/>
                <w:szCs w:val="20"/>
                <w:color w:val="auto"/>
              </w:rPr>
            </w:pPr>
            <w:r>
              <w:rPr>
                <w:rFonts w:ascii="Arial" w:cs="Arial" w:eastAsia="Arial" w:hAnsi="Arial"/>
                <w:sz w:val="18"/>
                <w:szCs w:val="18"/>
                <w:color w:val="0000FF"/>
              </w:rPr>
              <w:t>Consolidated Balance Sheets</w:t>
            </w:r>
          </w:p>
        </w:tc>
        <w:tc>
          <w:tcPr>
            <w:tcW w:w="4920" w:type="dxa"/>
            <w:vAlign w:val="bottom"/>
            <w:gridSpan w:val="6"/>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40" w:type="dxa"/>
            <w:vAlign w:val="bottom"/>
            <w:gridSpan w:val="13"/>
          </w:tcPr>
          <w:p>
            <w:pPr>
              <w:spacing w:after="0"/>
              <w:rPr>
                <w:sz w:val="20"/>
                <w:szCs w:val="20"/>
                <w:color w:val="auto"/>
              </w:rPr>
            </w:pPr>
            <w:r>
              <w:rPr>
                <w:rFonts w:ascii="Arial" w:cs="Arial" w:eastAsia="Arial" w:hAnsi="Arial"/>
                <w:sz w:val="18"/>
                <w:szCs w:val="18"/>
                <w:color w:val="0000FF"/>
                <w:w w:val="99"/>
              </w:rPr>
              <w:t>Consolidated Statements of Loss and Comprehensive Loss</w:t>
            </w:r>
          </w:p>
        </w:tc>
        <w:tc>
          <w:tcPr>
            <w:tcW w:w="2860" w:type="dxa"/>
            <w:vAlign w:val="bottom"/>
            <w:gridSpan w:val="2"/>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4</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60" w:type="dxa"/>
            <w:vAlign w:val="bottom"/>
            <w:gridSpan w:val="12"/>
          </w:tcPr>
          <w:p>
            <w:pPr>
              <w:spacing w:after="0"/>
              <w:rPr>
                <w:sz w:val="20"/>
                <w:szCs w:val="20"/>
                <w:color w:val="auto"/>
              </w:rPr>
            </w:pPr>
            <w:r>
              <w:rPr>
                <w:rFonts w:ascii="Arial" w:cs="Arial" w:eastAsia="Arial" w:hAnsi="Arial"/>
                <w:sz w:val="18"/>
                <w:szCs w:val="18"/>
                <w:color w:val="0000FF"/>
                <w:w w:val="99"/>
              </w:rPr>
              <w:t>Consolidated Statements of Stockholders' Equity (Deficit)</w:t>
            </w:r>
          </w:p>
        </w:tc>
        <w:tc>
          <w:tcPr>
            <w:tcW w:w="180" w:type="dxa"/>
            <w:vAlign w:val="bottom"/>
          </w:tcPr>
          <w:p>
            <w:pPr>
              <w:spacing w:after="0"/>
              <w:rPr>
                <w:sz w:val="24"/>
                <w:szCs w:val="24"/>
                <w:color w:val="auto"/>
              </w:rPr>
            </w:pPr>
          </w:p>
        </w:tc>
        <w:tc>
          <w:tcPr>
            <w:tcW w:w="2860" w:type="dxa"/>
            <w:vAlign w:val="bottom"/>
            <w:gridSpan w:val="2"/>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5</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60" w:type="dxa"/>
            <w:vAlign w:val="bottom"/>
            <w:gridSpan w:val="12"/>
          </w:tcPr>
          <w:p>
            <w:pPr>
              <w:spacing w:after="0"/>
              <w:rPr>
                <w:sz w:val="20"/>
                <w:szCs w:val="20"/>
                <w:color w:val="auto"/>
              </w:rPr>
            </w:pPr>
            <w:r>
              <w:rPr>
                <w:rFonts w:ascii="Arial" w:cs="Arial" w:eastAsia="Arial" w:hAnsi="Arial"/>
                <w:sz w:val="18"/>
                <w:szCs w:val="18"/>
                <w:color w:val="0000FF"/>
              </w:rPr>
              <w:t>Consolidated Statements of Cash Flows</w:t>
            </w:r>
          </w:p>
        </w:tc>
        <w:tc>
          <w:tcPr>
            <w:tcW w:w="3040" w:type="dxa"/>
            <w:vAlign w:val="bottom"/>
            <w:gridSpan w:val="3"/>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7</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0" w:type="dxa"/>
            <w:vAlign w:val="bottom"/>
            <w:gridSpan w:val="15"/>
          </w:tcPr>
          <w:p>
            <w:pPr>
              <w:spacing w:after="0"/>
              <w:rPr>
                <w:sz w:val="20"/>
                <w:szCs w:val="20"/>
                <w:color w:val="auto"/>
              </w:rPr>
            </w:pPr>
            <w:r>
              <w:rPr>
                <w:rFonts w:ascii="Arial" w:cs="Arial" w:eastAsia="Arial" w:hAnsi="Arial"/>
                <w:sz w:val="18"/>
                <w:szCs w:val="18"/>
                <w:color w:val="0000FF"/>
              </w:rPr>
              <w:t>Notes to Consolidated Financial Statements</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8</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15</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2000" w:type="dxa"/>
            <w:vAlign w:val="bottom"/>
            <w:gridSpan w:val="7"/>
          </w:tcPr>
          <w:p>
            <w:pPr>
              <w:spacing w:after="0"/>
              <w:rPr>
                <w:sz w:val="20"/>
                <w:szCs w:val="20"/>
                <w:color w:val="auto"/>
              </w:rPr>
            </w:pPr>
            <w:r>
              <w:rPr>
                <w:rFonts w:ascii="Arial" w:cs="Arial" w:eastAsia="Arial" w:hAnsi="Arial"/>
                <w:sz w:val="18"/>
                <w:szCs w:val="18"/>
                <w:color w:val="0000FF"/>
                <w:w w:val="99"/>
              </w:rPr>
              <w:t>Controls and Procedures</w:t>
            </w:r>
          </w:p>
        </w:tc>
        <w:tc>
          <w:tcPr>
            <w:tcW w:w="508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24</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874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0000FF"/>
                <w:w w:val="99"/>
              </w:rPr>
              <w:t>24</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sz w:val="20"/>
                <w:szCs w:val="20"/>
                <w:color w:val="auto"/>
              </w:rPr>
            </w:pPr>
            <w:r>
              <w:rPr>
                <w:rFonts w:ascii="Arial" w:cs="Arial" w:eastAsia="Arial" w:hAnsi="Arial"/>
                <w:sz w:val="18"/>
                <w:szCs w:val="18"/>
                <w:color w:val="0000FF"/>
                <w:w w:val="99"/>
              </w:rPr>
              <w:t>Legal Proceedings</w:t>
            </w:r>
          </w:p>
        </w:tc>
        <w:tc>
          <w:tcPr>
            <w:tcW w:w="610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24</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610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24</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7600" w:type="dxa"/>
            <w:vAlign w:val="bottom"/>
            <w:gridSpan w:val="15"/>
          </w:tcPr>
          <w:p>
            <w:pPr>
              <w:spacing w:after="0"/>
              <w:rPr>
                <w:sz w:val="20"/>
                <w:szCs w:val="20"/>
                <w:color w:val="auto"/>
              </w:rPr>
            </w:pPr>
            <w:r>
              <w:rPr>
                <w:rFonts w:ascii="Arial" w:cs="Arial" w:eastAsia="Arial" w:hAnsi="Arial"/>
                <w:sz w:val="18"/>
                <w:szCs w:val="18"/>
                <w:color w:val="0000FF"/>
              </w:rPr>
              <w:t>Other Information</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0000FF"/>
                <w:w w:val="99"/>
              </w:rPr>
              <w:t>24</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620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0000FF"/>
                <w:w w:val="88"/>
              </w:rPr>
              <w:t>Exhibits</w:t>
            </w:r>
          </w:p>
        </w:tc>
        <w:tc>
          <w:tcPr>
            <w:tcW w:w="800" w:type="dxa"/>
            <w:vAlign w:val="bottom"/>
            <w:gridSpan w:val="4"/>
          </w:tcPr>
          <w:p>
            <w:pPr>
              <w:spacing w:after="0"/>
              <w:rPr>
                <w:sz w:val="24"/>
                <w:szCs w:val="24"/>
                <w:color w:val="auto"/>
              </w:rPr>
            </w:pPr>
          </w:p>
        </w:tc>
        <w:tc>
          <w:tcPr>
            <w:tcW w:w="6200" w:type="dxa"/>
            <w:vAlign w:val="bottom"/>
            <w:gridSpan w:val="10"/>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26</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27</w:t>
            </w:r>
          </w:p>
        </w:tc>
      </w:tr>
      <w:tr>
        <w:trPr>
          <w:trHeight w:val="10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“2025”, “2024" and the like refer to the fiscal years ended the last Sunday in September.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203" w:lineRule="exact"/>
        <w:rPr>
          <w:sz w:val="20"/>
          <w:szCs w:val="20"/>
          <w:color w:val="auto"/>
        </w:rPr>
      </w:pPr>
    </w:p>
    <w:p>
      <w:pPr>
        <w:ind w:left="660" w:right="20" w:hanging="328"/>
        <w:spacing w:after="0" w:line="26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or Buffalo News for unknown legal and other matters that may arise;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8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Borders>
              <w:top w:val="single" w:sz="8" w:color="auto"/>
              <w:bottom w:val="single" w:sz="8" w:color="auto"/>
            </w:tcBorders>
          </w:tcPr>
          <w:p>
            <w:pPr>
              <w:spacing w:after="0"/>
              <w:rPr>
                <w:sz w:val="21"/>
                <w:szCs w:val="21"/>
                <w:color w:val="auto"/>
              </w:rPr>
            </w:pPr>
          </w:p>
        </w:tc>
        <w:tc>
          <w:tcPr>
            <w:tcW w:w="45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r>
      <w:tr>
        <w:trPr>
          <w:trHeight w:val="218"/>
        </w:trPr>
        <w:tc>
          <w:tcPr>
            <w:tcW w:w="5220" w:type="dxa"/>
            <w:vAlign w:val="bottom"/>
          </w:tcPr>
          <w:p>
            <w:pPr>
              <w:spacing w:after="0"/>
              <w:rPr>
                <w:sz w:val="18"/>
                <w:szCs w:val="18"/>
                <w:color w:val="auto"/>
              </w:rPr>
            </w:pPr>
          </w:p>
        </w:tc>
        <w:tc>
          <w:tcPr>
            <w:tcW w:w="4560" w:type="dxa"/>
            <w:vAlign w:val="bottom"/>
          </w:tcPr>
          <w:p>
            <w:pPr>
              <w:jc w:val="right"/>
              <w:ind w:right="170"/>
              <w:spacing w:after="0"/>
              <w:rPr>
                <w:sz w:val="20"/>
                <w:szCs w:val="20"/>
                <w:color w:val="auto"/>
              </w:rPr>
            </w:pPr>
            <w:r>
              <w:rPr>
                <w:rFonts w:ascii="Arial" w:cs="Arial" w:eastAsia="Arial" w:hAnsi="Arial"/>
                <w:sz w:val="18"/>
                <w:szCs w:val="18"/>
                <w:color w:val="auto"/>
              </w:rPr>
              <w:t>March 30,</w:t>
            </w:r>
          </w:p>
        </w:tc>
        <w:tc>
          <w:tcPr>
            <w:tcW w:w="1460" w:type="dxa"/>
            <w:vAlign w:val="bottom"/>
          </w:tcPr>
          <w:p>
            <w:pPr>
              <w:jc w:val="right"/>
              <w:spacing w:after="0"/>
              <w:rPr>
                <w:sz w:val="20"/>
                <w:szCs w:val="20"/>
                <w:color w:val="auto"/>
              </w:rPr>
            </w:pPr>
            <w:r>
              <w:rPr>
                <w:rFonts w:ascii="Arial" w:cs="Arial" w:eastAsia="Arial" w:hAnsi="Arial"/>
                <w:sz w:val="18"/>
                <w:szCs w:val="18"/>
                <w:color w:val="auto"/>
              </w:rPr>
              <w:t>September 29,</w:t>
            </w:r>
          </w:p>
        </w:tc>
      </w:tr>
      <w:tr>
        <w:trPr>
          <w:trHeight w:val="262"/>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58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4,664</w:t>
            </w:r>
          </w:p>
        </w:tc>
        <w:tc>
          <w:tcPr>
            <w:tcW w:w="1260" w:type="dxa"/>
            <w:vAlign w:val="bottom"/>
          </w:tcPr>
          <w:p>
            <w:pPr>
              <w:jc w:val="right"/>
              <w:spacing w:after="0"/>
              <w:rPr>
                <w:sz w:val="20"/>
                <w:szCs w:val="20"/>
                <w:color w:val="auto"/>
              </w:rPr>
            </w:pPr>
            <w:r>
              <w:rPr>
                <w:rFonts w:ascii="Arial" w:cs="Arial" w:eastAsia="Arial" w:hAnsi="Arial"/>
                <w:sz w:val="18"/>
                <w:szCs w:val="18"/>
                <w:color w:val="auto"/>
              </w:rPr>
              <w:t>9,598</w:t>
            </w: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62,340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60,648</w:t>
            </w: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5,618</w:t>
            </w:r>
          </w:p>
        </w:tc>
        <w:tc>
          <w:tcPr>
            <w:tcW w:w="1260" w:type="dxa"/>
            <w:vAlign w:val="bottom"/>
          </w:tcPr>
          <w:p>
            <w:pPr>
              <w:jc w:val="right"/>
              <w:spacing w:after="0"/>
              <w:rPr>
                <w:sz w:val="20"/>
                <w:szCs w:val="20"/>
                <w:color w:val="auto"/>
              </w:rPr>
            </w:pPr>
            <w:r>
              <w:rPr>
                <w:rFonts w:ascii="Arial" w:cs="Arial" w:eastAsia="Arial" w:hAnsi="Arial"/>
                <w:sz w:val="18"/>
                <w:szCs w:val="18"/>
                <w:color w:val="auto"/>
              </w:rPr>
              <w:t>5,643</w:t>
            </w:r>
          </w:p>
        </w:tc>
      </w:tr>
      <w:tr>
        <w:trPr>
          <w:trHeight w:val="229"/>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20,220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21,884</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assets</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92,842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97,773</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Associated companies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27,694</w:t>
            </w:r>
          </w:p>
        </w:tc>
        <w:tc>
          <w:tcPr>
            <w:tcW w:w="1260" w:type="dxa"/>
            <w:vAlign w:val="bottom"/>
          </w:tcPr>
          <w:p>
            <w:pPr>
              <w:jc w:val="right"/>
              <w:spacing w:after="0"/>
              <w:rPr>
                <w:sz w:val="20"/>
                <w:szCs w:val="20"/>
                <w:color w:val="auto"/>
              </w:rPr>
            </w:pPr>
            <w:r>
              <w:rPr>
                <w:rFonts w:ascii="Arial" w:cs="Arial" w:eastAsia="Arial" w:hAnsi="Arial"/>
                <w:sz w:val="18"/>
                <w:szCs w:val="18"/>
                <w:color w:val="auto"/>
              </w:rPr>
              <w:t>27,941</w:t>
            </w:r>
          </w:p>
        </w:tc>
      </w:tr>
      <w:tr>
        <w:trPr>
          <w:trHeight w:val="229"/>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5,963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33,657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33,983</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Land and improvements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6,157</w:t>
            </w:r>
          </w:p>
        </w:tc>
        <w:tc>
          <w:tcPr>
            <w:tcW w:w="1260" w:type="dxa"/>
            <w:vAlign w:val="bottom"/>
          </w:tcPr>
          <w:p>
            <w:pPr>
              <w:jc w:val="right"/>
              <w:spacing w:after="0"/>
              <w:rPr>
                <w:sz w:val="20"/>
                <w:szCs w:val="20"/>
                <w:color w:val="auto"/>
              </w:rPr>
            </w:pPr>
            <w:r>
              <w:rPr>
                <w:rFonts w:ascii="Arial" w:cs="Arial" w:eastAsia="Arial" w:hAnsi="Arial"/>
                <w:sz w:val="18"/>
                <w:szCs w:val="18"/>
                <w:color w:val="auto"/>
              </w:rPr>
              <w:t>6,420</w:t>
            </w: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Buildings and improvements</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68,627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70,152</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191,850</w:t>
            </w:r>
          </w:p>
        </w:tc>
        <w:tc>
          <w:tcPr>
            <w:tcW w:w="1260" w:type="dxa"/>
            <w:vAlign w:val="bottom"/>
          </w:tcPr>
          <w:p>
            <w:pPr>
              <w:jc w:val="right"/>
              <w:spacing w:after="0"/>
              <w:rPr>
                <w:sz w:val="20"/>
                <w:szCs w:val="20"/>
                <w:color w:val="auto"/>
              </w:rPr>
            </w:pPr>
            <w:r>
              <w:rPr>
                <w:rFonts w:ascii="Arial" w:cs="Arial" w:eastAsia="Arial" w:hAnsi="Arial"/>
                <w:sz w:val="18"/>
                <w:szCs w:val="18"/>
                <w:color w:val="auto"/>
              </w:rPr>
              <w:t>196,312</w:t>
            </w:r>
          </w:p>
        </w:tc>
      </w:tr>
      <w:tr>
        <w:trPr>
          <w:trHeight w:val="230"/>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8,535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r>
      <w:tr>
        <w:trPr>
          <w:trHeight w:val="223"/>
        </w:trPr>
        <w:tc>
          <w:tcPr>
            <w:tcW w:w="5820" w:type="dxa"/>
            <w:vAlign w:val="bottom"/>
          </w:tcPr>
          <w:p>
            <w:pPr>
              <w:spacing w:after="0"/>
              <w:rPr>
                <w:sz w:val="19"/>
                <w:szCs w:val="19"/>
                <w:color w:val="auto"/>
              </w:rPr>
            </w:pP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275,169</w:t>
            </w:r>
          </w:p>
        </w:tc>
        <w:tc>
          <w:tcPr>
            <w:tcW w:w="1260" w:type="dxa"/>
            <w:vAlign w:val="bottom"/>
          </w:tcPr>
          <w:p>
            <w:pPr>
              <w:jc w:val="right"/>
              <w:spacing w:after="0"/>
              <w:rPr>
                <w:sz w:val="20"/>
                <w:szCs w:val="20"/>
                <w:color w:val="auto"/>
              </w:rPr>
            </w:pPr>
            <w:r>
              <w:rPr>
                <w:rFonts w:ascii="Arial" w:cs="Arial" w:eastAsia="Arial" w:hAnsi="Arial"/>
                <w:sz w:val="18"/>
                <w:szCs w:val="18"/>
                <w:color w:val="auto"/>
              </w:rPr>
              <w:t>278,509</w:t>
            </w:r>
          </w:p>
        </w:tc>
      </w:tr>
      <w:tr>
        <w:trPr>
          <w:trHeight w:val="230"/>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233,498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234,137</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Property and equipment, net</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41,671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44,372</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29,604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34,882</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323,858</w:t>
            </w:r>
          </w:p>
        </w:tc>
        <w:tc>
          <w:tcPr>
            <w:tcW w:w="1260" w:type="dxa"/>
            <w:vAlign w:val="bottom"/>
          </w:tcPr>
          <w:p>
            <w:pPr>
              <w:jc w:val="right"/>
              <w:spacing w:after="0"/>
              <w:rPr>
                <w:sz w:val="20"/>
                <w:szCs w:val="20"/>
                <w:color w:val="auto"/>
              </w:rPr>
            </w:pPr>
            <w:r>
              <w:rPr>
                <w:rFonts w:ascii="Arial" w:cs="Arial" w:eastAsia="Arial" w:hAnsi="Arial"/>
                <w:sz w:val="18"/>
                <w:szCs w:val="18"/>
                <w:color w:val="auto"/>
              </w:rPr>
              <w:t>328,040</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63,131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70,075</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Pension plan assets, net</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5,246</w:t>
            </w:r>
          </w:p>
        </w:tc>
        <w:tc>
          <w:tcPr>
            <w:tcW w:w="1260" w:type="dxa"/>
            <w:vAlign w:val="bottom"/>
          </w:tcPr>
          <w:p>
            <w:pPr>
              <w:jc w:val="right"/>
              <w:spacing w:after="0"/>
              <w:rPr>
                <w:sz w:val="20"/>
                <w:szCs w:val="20"/>
                <w:color w:val="auto"/>
              </w:rPr>
            </w:pPr>
            <w:r>
              <w:rPr>
                <w:rFonts w:ascii="Arial" w:cs="Arial" w:eastAsia="Arial" w:hAnsi="Arial"/>
                <w:sz w:val="18"/>
                <w:szCs w:val="18"/>
                <w:color w:val="auto"/>
              </w:rPr>
              <w:t>4,663</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plan assets,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24,465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w:t>
            </w: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9,457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12,083</w:t>
            </w:r>
          </w:p>
        </w:tc>
      </w:tr>
      <w:tr>
        <w:trPr>
          <w:trHeight w:val="248"/>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623,931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649,171</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4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60" w:type="dxa"/>
            <w:vAlign w:val="bottom"/>
            <w:tcBorders>
              <w:top w:val="single" w:sz="8" w:color="auto"/>
              <w:bottom w:val="single" w:sz="8" w:color="auto"/>
            </w:tcBorders>
          </w:tcPr>
          <w:p>
            <w:pPr>
              <w:spacing w:after="0"/>
              <w:rPr>
                <w:sz w:val="21"/>
                <w:szCs w:val="21"/>
                <w:color w:val="auto"/>
              </w:rPr>
            </w:pPr>
          </w:p>
        </w:tc>
        <w:tc>
          <w:tcPr>
            <w:tcW w:w="31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3120" w:type="dxa"/>
            <w:vAlign w:val="bottom"/>
          </w:tcPr>
          <w:p>
            <w:pPr>
              <w:jc w:val="right"/>
              <w:ind w:right="170"/>
              <w:spacing w:after="0" w:line="177" w:lineRule="exact"/>
              <w:rPr>
                <w:sz w:val="20"/>
                <w:szCs w:val="20"/>
                <w:color w:val="auto"/>
              </w:rPr>
            </w:pPr>
            <w:r>
              <w:rPr>
                <w:rFonts w:ascii="Arial" w:cs="Arial" w:eastAsia="Arial" w:hAnsi="Arial"/>
                <w:sz w:val="18"/>
                <w:szCs w:val="18"/>
                <w:color w:val="auto"/>
              </w:rPr>
              <w:t>March 30,</w:t>
            </w:r>
          </w:p>
        </w:tc>
        <w:tc>
          <w:tcPr>
            <w:tcW w:w="1460" w:type="dxa"/>
            <w:vAlign w:val="bottom"/>
          </w:tcPr>
          <w:p>
            <w:pPr>
              <w:jc w:val="right"/>
              <w:spacing w:after="0" w:line="177"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35"/>
        </w:trPr>
        <w:tc>
          <w:tcPr>
            <w:tcW w:w="6660" w:type="dxa"/>
            <w:vAlign w:val="bottom"/>
            <w:tcBorders>
              <w:bottom w:val="single" w:sz="8" w:color="auto"/>
            </w:tcBorders>
            <w:vMerge w:val="continue"/>
          </w:tcPr>
          <w:p>
            <w:pPr>
              <w:spacing w:after="0"/>
              <w:rPr>
                <w:sz w:val="20"/>
                <w:szCs w:val="20"/>
                <w:color w:val="auto"/>
              </w:rPr>
            </w:pPr>
          </w:p>
        </w:tc>
        <w:tc>
          <w:tcPr>
            <w:tcW w:w="3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78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Current portion of lease liabilities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7,668</w:t>
            </w:r>
          </w:p>
        </w:tc>
        <w:tc>
          <w:tcPr>
            <w:tcW w:w="1260" w:type="dxa"/>
            <w:vAlign w:val="bottom"/>
          </w:tcPr>
          <w:p>
            <w:pPr>
              <w:jc w:val="right"/>
              <w:spacing w:after="0"/>
              <w:rPr>
                <w:sz w:val="20"/>
                <w:szCs w:val="20"/>
                <w:color w:val="auto"/>
              </w:rPr>
            </w:pPr>
            <w:r>
              <w:rPr>
                <w:rFonts w:ascii="Arial" w:cs="Arial" w:eastAsia="Arial" w:hAnsi="Arial"/>
                <w:sz w:val="18"/>
                <w:szCs w:val="18"/>
                <w:color w:val="auto"/>
              </w:rPr>
              <w:t>8,139</w:t>
            </w: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44,313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36,290</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Compensation and other accrued liabilities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35,669</w:t>
            </w:r>
          </w:p>
        </w:tc>
        <w:tc>
          <w:tcPr>
            <w:tcW w:w="1260" w:type="dxa"/>
            <w:vAlign w:val="bottom"/>
          </w:tcPr>
          <w:p>
            <w:pPr>
              <w:jc w:val="right"/>
              <w:spacing w:after="0"/>
              <w:rPr>
                <w:sz w:val="20"/>
                <w:szCs w:val="20"/>
                <w:color w:val="auto"/>
              </w:rPr>
            </w:pPr>
            <w:r>
              <w:rPr>
                <w:rFonts w:ascii="Arial" w:cs="Arial" w:eastAsia="Arial" w:hAnsi="Arial"/>
                <w:sz w:val="18"/>
                <w:szCs w:val="18"/>
                <w:color w:val="auto"/>
              </w:rPr>
              <w:t>39,170</w:t>
            </w:r>
          </w:p>
        </w:tc>
      </w:tr>
      <w:tr>
        <w:trPr>
          <w:trHeight w:val="229"/>
        </w:trPr>
        <w:tc>
          <w:tcPr>
            <w:tcW w:w="7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Unearned revenue</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28,675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31,755</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liabilities</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116,325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115,354</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453,451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445,943</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24,683</w:t>
            </w:r>
          </w:p>
        </w:tc>
        <w:tc>
          <w:tcPr>
            <w:tcW w:w="1260" w:type="dxa"/>
            <w:vAlign w:val="bottom"/>
          </w:tcPr>
          <w:p>
            <w:pPr>
              <w:jc w:val="right"/>
              <w:spacing w:after="0"/>
              <w:rPr>
                <w:sz w:val="20"/>
                <w:szCs w:val="20"/>
                <w:color w:val="auto"/>
              </w:rPr>
            </w:pPr>
            <w:r>
              <w:rPr>
                <w:rFonts w:ascii="Arial" w:cs="Arial" w:eastAsia="Arial" w:hAnsi="Arial"/>
                <w:sz w:val="18"/>
                <w:szCs w:val="18"/>
                <w:color w:val="auto"/>
              </w:rPr>
              <w:t>29,769</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obligations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544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Postretirement and postemployment benefit obligations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7,552</w:t>
            </w:r>
          </w:p>
        </w:tc>
        <w:tc>
          <w:tcPr>
            <w:tcW w:w="1260" w:type="dxa"/>
            <w:vAlign w:val="bottom"/>
          </w:tcPr>
          <w:p>
            <w:pPr>
              <w:jc w:val="right"/>
              <w:spacing w:after="0"/>
              <w:rPr>
                <w:sz w:val="20"/>
                <w:szCs w:val="20"/>
                <w:color w:val="auto"/>
              </w:rPr>
            </w:pPr>
            <w:r>
              <w:rPr>
                <w:rFonts w:ascii="Arial" w:cs="Arial" w:eastAsia="Arial" w:hAnsi="Arial"/>
                <w:sz w:val="18"/>
                <w:szCs w:val="18"/>
                <w:color w:val="auto"/>
              </w:rPr>
              <w:t>7,520</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28,040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28,403</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4,281</w:t>
            </w:r>
          </w:p>
        </w:tc>
        <w:tc>
          <w:tcPr>
            <w:tcW w:w="1260" w:type="dxa"/>
            <w:vAlign w:val="bottom"/>
          </w:tcPr>
          <w:p>
            <w:pPr>
              <w:jc w:val="right"/>
              <w:spacing w:after="0"/>
              <w:rPr>
                <w:sz w:val="20"/>
                <w:szCs w:val="20"/>
                <w:color w:val="auto"/>
              </w:rPr>
            </w:pPr>
            <w:r>
              <w:rPr>
                <w:rFonts w:ascii="Arial" w:cs="Arial" w:eastAsia="Arial" w:hAnsi="Arial"/>
                <w:sz w:val="18"/>
                <w:szCs w:val="18"/>
                <w:color w:val="auto"/>
              </w:rPr>
              <w:t>3,456</w:t>
            </w:r>
          </w:p>
        </w:tc>
      </w:tr>
      <w:tr>
        <w:trPr>
          <w:trHeight w:val="229"/>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Withdrawal liabilities and other</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25,153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25,499</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660,029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656,505</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Stockholders' equity (deficit):</w:t>
            </w:r>
          </w:p>
        </w:tc>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Serial convertible preferred stock, no par value; authorized 500 shares; none issued</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Common Stock, $0.01 par value; authorized 12,000 shares; issued and outstanding:</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62</w:t>
            </w: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30, 2025; 6,220 shares; $0.01 par value</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September 29, 2024; 6,190 shares; $0.01 par value</w:t>
            </w:r>
          </w:p>
        </w:tc>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 $2 par value; authorized 3,000 shares; none issued</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262,927</w:t>
            </w:r>
          </w:p>
        </w:tc>
        <w:tc>
          <w:tcPr>
            <w:tcW w:w="1260" w:type="dxa"/>
            <w:vAlign w:val="bottom"/>
          </w:tcPr>
          <w:p>
            <w:pPr>
              <w:jc w:val="right"/>
              <w:spacing w:after="0"/>
              <w:rPr>
                <w:sz w:val="20"/>
                <w:szCs w:val="20"/>
                <w:color w:val="auto"/>
              </w:rPr>
            </w:pPr>
            <w:r>
              <w:rPr>
                <w:rFonts w:ascii="Arial" w:cs="Arial" w:eastAsia="Arial" w:hAnsi="Arial"/>
                <w:sz w:val="18"/>
                <w:szCs w:val="18"/>
                <w:color w:val="auto"/>
              </w:rPr>
              <w:t>262,470</w:t>
            </w: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1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(321,600)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(292,341)</w:t>
            </w:r>
          </w:p>
        </w:tc>
      </w:tr>
      <w:tr>
        <w:trPr>
          <w:trHeight w:val="230"/>
        </w:trPr>
        <w:tc>
          <w:tcPr>
            <w:tcW w:w="7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19,690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19,920</w:t>
            </w:r>
          </w:p>
        </w:tc>
      </w:tr>
      <w:tr>
        <w:trPr>
          <w:trHeight w:val="223"/>
        </w:trPr>
        <w:tc>
          <w:tcPr>
            <w:tcW w:w="7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Lee Enterprises, Inc. Stockholders' deficit</w:t>
            </w:r>
          </w:p>
        </w:tc>
        <w:tc>
          <w:tcPr>
            <w:tcW w:w="21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(38,921)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w:t>
            </w:r>
          </w:p>
        </w:tc>
      </w:tr>
      <w:tr>
        <w:trPr>
          <w:trHeight w:val="223"/>
        </w:trPr>
        <w:tc>
          <w:tcPr>
            <w:tcW w:w="7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Non-controlling interests</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2,823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r>
      <w:tr>
        <w:trPr>
          <w:trHeight w:val="223"/>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deficit</w:t>
            </w:r>
          </w:p>
        </w:tc>
        <w:tc>
          <w:tcPr>
            <w:tcW w:w="21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(36,098)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deficit</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623,931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649,171</w:t>
            </w:r>
          </w:p>
        </w:tc>
      </w:tr>
      <w:tr>
        <w:trPr>
          <w:trHeight w:val="20"/>
        </w:trPr>
        <w:tc>
          <w:tcPr>
            <w:tcW w:w="78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line="278" w:lineRule="auto"/>
        <w:rPr>
          <w:sz w:val="20"/>
          <w:szCs w:val="20"/>
          <w:color w:val="auto"/>
        </w:rPr>
      </w:pPr>
      <w:r>
        <w:rPr>
          <w:rFonts w:ascii="Arial" w:cs="Arial" w:eastAsia="Arial" w:hAnsi="Arial"/>
          <w:sz w:val="18"/>
          <w:szCs w:val="18"/>
          <w:b w:val="1"/>
          <w:bCs w:val="1"/>
          <w:color w:val="auto"/>
        </w:rPr>
        <w:t xml:space="preserve">LEE ENTERPRISES, INCORPORATED CONSOLIDATED STATEMENTS OF LOSS AND COMPREHENSIVE LOSS </w:t>
      </w:r>
      <w:r>
        <w:rPr>
          <w:rFonts w:ascii="Arial" w:cs="Arial" w:eastAsia="Arial" w:hAnsi="Arial"/>
          <w:sz w:val="18"/>
          <w:szCs w:val="18"/>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60" w:type="dxa"/>
            <w:vAlign w:val="bottom"/>
            <w:tcBorders>
              <w:top w:val="single" w:sz="8" w:color="auto"/>
              <w:bottom w:val="single" w:sz="8" w:color="auto"/>
            </w:tcBorders>
          </w:tcPr>
          <w:p>
            <w:pPr>
              <w:spacing w:after="0"/>
              <w:rPr>
                <w:sz w:val="21"/>
                <w:szCs w:val="21"/>
                <w:color w:val="auto"/>
              </w:rPr>
            </w:pPr>
          </w:p>
        </w:tc>
        <w:tc>
          <w:tcPr>
            <w:tcW w:w="3020" w:type="dxa"/>
            <w:vAlign w:val="bottom"/>
            <w:tcBorders>
              <w:top w:val="single" w:sz="8" w:color="auto"/>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Three months ended</w:t>
            </w:r>
          </w:p>
        </w:tc>
        <w:tc>
          <w:tcPr>
            <w:tcW w:w="2460" w:type="dxa"/>
            <w:vAlign w:val="bottom"/>
            <w:tcBorders>
              <w:top w:val="single" w:sz="8" w:color="auto"/>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69"/>
        </w:trPr>
        <w:tc>
          <w:tcPr>
            <w:tcW w:w="5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1660" w:type="dxa"/>
            <w:vAlign w:val="bottom"/>
          </w:tcPr>
          <w:p>
            <w:pPr>
              <w:jc w:val="right"/>
              <w:ind w:right="190"/>
              <w:spacing w:after="0" w:line="169" w:lineRule="exact"/>
              <w:rPr>
                <w:sz w:val="20"/>
                <w:szCs w:val="20"/>
                <w:color w:val="auto"/>
              </w:rPr>
            </w:pPr>
            <w:r>
              <w:rPr>
                <w:rFonts w:ascii="Arial" w:cs="Arial" w:eastAsia="Arial" w:hAnsi="Arial"/>
                <w:sz w:val="18"/>
                <w:szCs w:val="18"/>
                <w:color w:val="auto"/>
              </w:rPr>
              <w:t>March 30,</w:t>
            </w:r>
          </w:p>
        </w:tc>
        <w:tc>
          <w:tcPr>
            <w:tcW w:w="1360" w:type="dxa"/>
            <w:vAlign w:val="bottom"/>
          </w:tcPr>
          <w:p>
            <w:pPr>
              <w:jc w:val="right"/>
              <w:ind w:right="190"/>
              <w:spacing w:after="0" w:line="169" w:lineRule="exact"/>
              <w:rPr>
                <w:sz w:val="20"/>
                <w:szCs w:val="20"/>
                <w:color w:val="auto"/>
              </w:rPr>
            </w:pPr>
            <w:r>
              <w:rPr>
                <w:rFonts w:ascii="Arial" w:cs="Arial" w:eastAsia="Arial" w:hAnsi="Arial"/>
                <w:sz w:val="18"/>
                <w:szCs w:val="18"/>
                <w:color w:val="auto"/>
              </w:rPr>
              <w:t>March 24,</w:t>
            </w:r>
          </w:p>
        </w:tc>
        <w:tc>
          <w:tcPr>
            <w:tcW w:w="1360" w:type="dxa"/>
            <w:vAlign w:val="bottom"/>
          </w:tcPr>
          <w:p>
            <w:pPr>
              <w:jc w:val="right"/>
              <w:ind w:right="190"/>
              <w:spacing w:after="0" w:line="169" w:lineRule="exact"/>
              <w:rPr>
                <w:sz w:val="20"/>
                <w:szCs w:val="20"/>
                <w:color w:val="auto"/>
              </w:rPr>
            </w:pPr>
            <w:r>
              <w:rPr>
                <w:rFonts w:ascii="Arial" w:cs="Arial" w:eastAsia="Arial" w:hAnsi="Arial"/>
                <w:sz w:val="18"/>
                <w:szCs w:val="18"/>
                <w:color w:val="auto"/>
              </w:rPr>
              <w:t>March 30,</w:t>
            </w:r>
          </w:p>
        </w:tc>
        <w:tc>
          <w:tcPr>
            <w:tcW w:w="1100" w:type="dxa"/>
            <w:vAlign w:val="bottom"/>
          </w:tcPr>
          <w:p>
            <w:pPr>
              <w:jc w:val="right"/>
              <w:spacing w:after="0" w:line="169" w:lineRule="exact"/>
              <w:rPr>
                <w:sz w:val="20"/>
                <w:szCs w:val="20"/>
                <w:color w:val="auto"/>
              </w:rPr>
            </w:pPr>
            <w:r>
              <w:rPr>
                <w:rFonts w:ascii="Arial" w:cs="Arial" w:eastAsia="Arial" w:hAnsi="Arial"/>
                <w:sz w:val="18"/>
                <w:szCs w:val="18"/>
                <w:color w:val="auto"/>
              </w:rPr>
              <w:t>March 24,</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auto"/>
            </w:tcBorders>
            <w:vMerge w:val="continue"/>
          </w:tcPr>
          <w:p>
            <w:pPr>
              <w:spacing w:after="0"/>
              <w:rPr>
                <w:sz w:val="21"/>
                <w:szCs w:val="21"/>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2024</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180"/>
              <w:spacing w:after="0"/>
              <w:rPr>
                <w:sz w:val="20"/>
                <w:szCs w:val="20"/>
                <w:color w:val="auto"/>
              </w:rPr>
            </w:pPr>
            <w:r>
              <w:rPr>
                <w:rFonts w:ascii="Arial" w:cs="Arial" w:eastAsia="Arial" w:hAnsi="Arial"/>
                <w:sz w:val="18"/>
                <w:szCs w:val="18"/>
                <w:color w:val="auto"/>
              </w:rPr>
              <w:t>Advertising and marketing services</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60,473</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64,134</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127,063</w:t>
            </w:r>
          </w:p>
        </w:tc>
        <w:tc>
          <w:tcPr>
            <w:tcW w:w="1100" w:type="dxa"/>
            <w:vAlign w:val="bottom"/>
          </w:tcPr>
          <w:p>
            <w:pPr>
              <w:jc w:val="right"/>
              <w:spacing w:after="0"/>
              <w:rPr>
                <w:sz w:val="20"/>
                <w:szCs w:val="20"/>
                <w:color w:val="auto"/>
              </w:rPr>
            </w:pPr>
            <w:r>
              <w:rPr>
                <w:rFonts w:ascii="Arial" w:cs="Arial" w:eastAsia="Arial" w:hAnsi="Arial"/>
                <w:sz w:val="18"/>
                <w:szCs w:val="18"/>
                <w:color w:val="auto"/>
              </w:rPr>
              <w:t>135,021</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64,868</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69,227</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129,865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140,566</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12,039</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13,189</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25,014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26,641</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16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137,380</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146,550</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281,942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302,228</w:t>
            </w: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56,659</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56,803</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116,913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116,479</w:t>
            </w:r>
          </w:p>
        </w:tc>
        <w:tc>
          <w:tcPr>
            <w:tcW w:w="0" w:type="dxa"/>
            <w:vAlign w:val="bottom"/>
          </w:tcPr>
          <w:p>
            <w:pPr>
              <w:spacing w:after="0"/>
              <w:rPr>
                <w:sz w:val="1"/>
                <w:szCs w:val="1"/>
                <w:color w:val="auto"/>
              </w:rPr>
            </w:pPr>
          </w:p>
        </w:tc>
      </w:tr>
      <w:tr>
        <w:trPr>
          <w:trHeight w:val="229"/>
        </w:trPr>
        <w:tc>
          <w:tcPr>
            <w:tcW w:w="5760" w:type="dxa"/>
            <w:vAlign w:val="bottom"/>
          </w:tcPr>
          <w:p>
            <w:pPr>
              <w:ind w:left="180"/>
              <w:spacing w:after="0"/>
              <w:rPr>
                <w:sz w:val="20"/>
                <w:szCs w:val="20"/>
                <w:color w:val="auto"/>
              </w:rPr>
            </w:pPr>
            <w:r>
              <w:rPr>
                <w:rFonts w:ascii="Arial" w:cs="Arial" w:eastAsia="Arial" w:hAnsi="Arial"/>
                <w:sz w:val="18"/>
                <w:szCs w:val="18"/>
                <w:color w:val="auto"/>
              </w:rPr>
              <w:t>Newsprint and ink</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3,111</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4,162</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6,727</w:t>
            </w:r>
          </w:p>
        </w:tc>
        <w:tc>
          <w:tcPr>
            <w:tcW w:w="1100" w:type="dxa"/>
            <w:vAlign w:val="bottom"/>
          </w:tcPr>
          <w:p>
            <w:pPr>
              <w:jc w:val="right"/>
              <w:spacing w:after="0"/>
              <w:rPr>
                <w:sz w:val="20"/>
                <w:szCs w:val="20"/>
                <w:color w:val="auto"/>
              </w:rPr>
            </w:pPr>
            <w:r>
              <w:rPr>
                <w:rFonts w:ascii="Arial" w:cs="Arial" w:eastAsia="Arial" w:hAnsi="Arial"/>
                <w:sz w:val="18"/>
                <w:szCs w:val="18"/>
                <w:color w:val="auto"/>
              </w:rPr>
              <w:t>9,005</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71,455</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72,294</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146,135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147,070</w:t>
            </w:r>
          </w:p>
        </w:tc>
        <w:tc>
          <w:tcPr>
            <w:tcW w:w="0" w:type="dxa"/>
            <w:vAlign w:val="bottom"/>
          </w:tcPr>
          <w:p>
            <w:pPr>
              <w:spacing w:after="0"/>
              <w:rPr>
                <w:sz w:val="1"/>
                <w:szCs w:val="1"/>
                <w:color w:val="auto"/>
              </w:rPr>
            </w:pP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5,171</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7,293</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11,436</w:t>
            </w:r>
          </w:p>
        </w:tc>
        <w:tc>
          <w:tcPr>
            <w:tcW w:w="1100" w:type="dxa"/>
            <w:vAlign w:val="bottom"/>
          </w:tcPr>
          <w:p>
            <w:pPr>
              <w:jc w:val="right"/>
              <w:spacing w:after="0"/>
              <w:rPr>
                <w:sz w:val="20"/>
                <w:szCs w:val="20"/>
                <w:color w:val="auto"/>
              </w:rPr>
            </w:pPr>
            <w:r>
              <w:rPr>
                <w:rFonts w:ascii="Arial" w:cs="Arial" w:eastAsia="Arial" w:hAnsi="Arial"/>
                <w:sz w:val="18"/>
                <w:szCs w:val="18"/>
                <w:color w:val="auto"/>
              </w:rPr>
              <w:t>14,588</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loss (gain) on sales, impairments and other, net</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126</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7,617</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(803)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Restructuring costs and other</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6,516</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4,139</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11,666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8,404</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143,038</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152,308</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292,074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301,694</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1,155</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1,206</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2,277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1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(4,503)</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(4,552)</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(7,855)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(9,950)</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(10,214)</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(20,232)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(20,345)</w:t>
            </w:r>
          </w:p>
        </w:tc>
        <w:tc>
          <w:tcPr>
            <w:tcW w:w="0" w:type="dxa"/>
            <w:vAlign w:val="bottom"/>
          </w:tcPr>
          <w:p>
            <w:pPr>
              <w:spacing w:after="0"/>
              <w:rPr>
                <w:sz w:val="1"/>
                <w:szCs w:val="1"/>
                <w:color w:val="auto"/>
              </w:rPr>
            </w:pP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Pension and OPEB related benefit and other, net</w:t>
            </w:r>
          </w:p>
        </w:tc>
        <w:tc>
          <w:tcPr>
            <w:tcW w:w="1660" w:type="dxa"/>
            <w:vAlign w:val="bottom"/>
          </w:tcPr>
          <w:p>
            <w:pPr>
              <w:jc w:val="right"/>
              <w:ind w:right="250"/>
              <w:spacing w:after="0"/>
              <w:rPr>
                <w:sz w:val="20"/>
                <w:szCs w:val="20"/>
                <w:color w:val="auto"/>
              </w:rPr>
            </w:pPr>
            <w:r>
              <w:rPr>
                <w:rFonts w:ascii="Arial" w:cs="Arial" w:eastAsia="Arial" w:hAnsi="Arial"/>
                <w:sz w:val="18"/>
                <w:szCs w:val="18"/>
                <w:color w:val="auto"/>
              </w:rPr>
              <w:t>658</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293</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1,311</w:t>
            </w:r>
          </w:p>
        </w:tc>
        <w:tc>
          <w:tcPr>
            <w:tcW w:w="1100" w:type="dxa"/>
            <w:vAlign w:val="bottom"/>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Curtailment/Settlement gains</w:t>
            </w:r>
          </w:p>
        </w:tc>
        <w:tc>
          <w:tcPr>
            <w:tcW w:w="16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(9,292)</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(9,921)</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(18,921)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(16,273)</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(13,795)</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(14,473)</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(26,776)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(12,992)</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 expense</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(1,780)</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(2,837)</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1,463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(12,015)</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(11,636)</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(28,239)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(496)</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(543)</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Lee Enterprises, Incorporated</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(12,511)</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(12,179)</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(29,259)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 net of income taxes</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(115)</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(148)</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(230)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48"/>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Lee Enterprises, Incorporated</w:t>
            </w:r>
          </w:p>
        </w:tc>
        <w:tc>
          <w:tcPr>
            <w:tcW w:w="1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(12,626)</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(12,327)</w:t>
            </w: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(29,489)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(13,953)</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tcPr>
          <w:p>
            <w:pPr>
              <w:ind w:left="20"/>
              <w:spacing w:after="0" w:line="203" w:lineRule="exact"/>
              <w:rPr>
                <w:sz w:val="20"/>
                <w:szCs w:val="20"/>
                <w:color w:val="auto"/>
              </w:rPr>
            </w:pPr>
            <w:r>
              <w:rPr>
                <w:rFonts w:ascii="Arial" w:cs="Arial" w:eastAsia="Arial" w:hAnsi="Arial"/>
                <w:sz w:val="18"/>
                <w:szCs w:val="18"/>
                <w:color w:val="auto"/>
              </w:rPr>
              <w:t>Loss per common share:</w:t>
            </w: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(2.07)</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(2.06)</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(4.87)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(2.07)</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(2.06)</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(4.87)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Accumulated</w:t>
            </w:r>
          </w:p>
        </w:tc>
        <w:tc>
          <w:tcPr>
            <w:tcW w:w="16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560" w:type="dxa"/>
            <w:vAlign w:val="bottom"/>
            <w:vMerge w:val="restart"/>
          </w:tcPr>
          <w:p>
            <w:pPr>
              <w:jc w:val="right"/>
              <w:ind w:right="210"/>
              <w:spacing w:after="0"/>
              <w:rPr>
                <w:sz w:val="20"/>
                <w:szCs w:val="20"/>
                <w:color w:val="auto"/>
              </w:rPr>
            </w:pPr>
            <w:r>
              <w:rPr>
                <w:rFonts w:ascii="Arial" w:cs="Arial" w:eastAsia="Arial" w:hAnsi="Arial"/>
                <w:sz w:val="18"/>
                <w:szCs w:val="18"/>
                <w:color w:val="auto"/>
              </w:rPr>
              <w:t>Accumulated</w:t>
            </w: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Common</w:t>
            </w:r>
          </w:p>
        </w:tc>
        <w:tc>
          <w:tcPr>
            <w:tcW w:w="1700" w:type="dxa"/>
            <w:vAlign w:val="bottom"/>
            <w:vMerge w:val="restart"/>
          </w:tcPr>
          <w:p>
            <w:pPr>
              <w:jc w:val="right"/>
              <w:ind w:right="250"/>
              <w:spacing w:after="0"/>
              <w:rPr>
                <w:sz w:val="20"/>
                <w:szCs w:val="20"/>
                <w:color w:val="auto"/>
              </w:rPr>
            </w:pPr>
            <w:r>
              <w:rPr>
                <w:rFonts w:ascii="Arial" w:cs="Arial" w:eastAsia="Arial" w:hAnsi="Arial"/>
                <w:sz w:val="18"/>
                <w:szCs w:val="18"/>
                <w:color w:val="auto"/>
              </w:rPr>
              <w:t>Additional</w:t>
            </w:r>
          </w:p>
        </w:tc>
        <w:tc>
          <w:tcPr>
            <w:tcW w:w="17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Other</w:t>
            </w:r>
          </w:p>
        </w:tc>
        <w:tc>
          <w:tcPr>
            <w:tcW w:w="1600" w:type="dxa"/>
            <w:vAlign w:val="bottom"/>
            <w:vMerge w:val="restart"/>
          </w:tcPr>
          <w:p>
            <w:pPr>
              <w:jc w:val="right"/>
              <w:ind w:right="130"/>
              <w:spacing w:after="0"/>
              <w:rPr>
                <w:sz w:val="20"/>
                <w:szCs w:val="20"/>
                <w:color w:val="auto"/>
              </w:rPr>
            </w:pPr>
            <w:r>
              <w:rPr>
                <w:rFonts w:ascii="Arial" w:cs="Arial" w:eastAsia="Arial" w:hAnsi="Arial"/>
                <w:sz w:val="18"/>
                <w:szCs w:val="18"/>
                <w:color w:val="auto"/>
              </w:rPr>
              <w:t>Non-Controlling</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5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7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Comprehensive</w:t>
            </w:r>
          </w:p>
        </w:tc>
        <w:tc>
          <w:tcPr>
            <w:tcW w:w="1600" w:type="dxa"/>
            <w:vAlign w:val="bottom"/>
            <w:vMerge w:val="continue"/>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vMerge w:val="continue"/>
          </w:tcPr>
          <w:p>
            <w:pPr>
              <w:spacing w:after="0"/>
              <w:rPr>
                <w:sz w:val="21"/>
                <w:szCs w:val="21"/>
                <w:color w:val="auto"/>
              </w:rPr>
            </w:pPr>
          </w:p>
        </w:tc>
        <w:tc>
          <w:tcPr>
            <w:tcW w:w="1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Deficit</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Stock</w:t>
            </w:r>
          </w:p>
        </w:tc>
        <w:tc>
          <w:tcPr>
            <w:tcW w:w="1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paid-in capital</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Income</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Interests:</w:t>
            </w: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2024</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(292,341)</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62</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262,470</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19,920</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2,555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Shares redeemed</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(331)</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attributable to Lee</w:t>
            </w:r>
          </w:p>
        </w:tc>
        <w:tc>
          <w:tcPr>
            <w:tcW w:w="15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(16,748)</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524</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(16,224)</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56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1720" w:type="dxa"/>
            <w:vAlign w:val="bottom"/>
            <w:vMerge w:val="continue"/>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430</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Distributions to minority</w:t>
            </w:r>
          </w:p>
        </w:tc>
        <w:tc>
          <w:tcPr>
            <w:tcW w:w="15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(603)</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owners</w:t>
            </w:r>
          </w:p>
        </w:tc>
        <w:tc>
          <w:tcPr>
            <w:tcW w:w="156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1700" w:type="dxa"/>
            <w:vAlign w:val="bottom"/>
            <w:tcBorders>
              <w:bottom w:val="single" w:sz="8" w:color="auto"/>
            </w:tcBorders>
            <w:vMerge w:val="continue"/>
            <w:shd w:val="clear" w:color="auto" w:fill="CCEEFF"/>
          </w:tcPr>
          <w:p>
            <w:pPr>
              <w:spacing w:after="0"/>
              <w:rPr>
                <w:sz w:val="21"/>
                <w:szCs w:val="21"/>
                <w:color w:val="auto"/>
              </w:rPr>
            </w:pPr>
          </w:p>
        </w:tc>
        <w:tc>
          <w:tcPr>
            <w:tcW w:w="1720" w:type="dxa"/>
            <w:vAlign w:val="bottom"/>
            <w:tcBorders>
              <w:bottom w:val="single" w:sz="8" w:color="auto"/>
            </w:tcBorders>
            <w:vMerge w:val="continue"/>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29, 2024</w:t>
            </w: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(309,089)</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62</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262,569</w:t>
            </w: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19,805</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2,476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(24,177)</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attributable to Lee</w:t>
            </w:r>
          </w:p>
        </w:tc>
        <w:tc>
          <w:tcPr>
            <w:tcW w:w="15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(12,511)</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496</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56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1720" w:type="dxa"/>
            <w:vAlign w:val="bottom"/>
            <w:vMerge w:val="continue"/>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358</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Distributions to minority</w:t>
            </w:r>
          </w:p>
        </w:tc>
        <w:tc>
          <w:tcPr>
            <w:tcW w:w="15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(149)</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owners</w:t>
            </w:r>
          </w:p>
        </w:tc>
        <w:tc>
          <w:tcPr>
            <w:tcW w:w="156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1700" w:type="dxa"/>
            <w:vAlign w:val="bottom"/>
            <w:tcBorders>
              <w:bottom w:val="single" w:sz="8" w:color="auto"/>
            </w:tcBorders>
            <w:vMerge w:val="continue"/>
            <w:shd w:val="clear" w:color="auto" w:fill="CCEEFF"/>
          </w:tcPr>
          <w:p>
            <w:pPr>
              <w:spacing w:after="0"/>
              <w:rPr>
                <w:sz w:val="21"/>
                <w:szCs w:val="21"/>
                <w:color w:val="auto"/>
              </w:rPr>
            </w:pPr>
          </w:p>
        </w:tc>
        <w:tc>
          <w:tcPr>
            <w:tcW w:w="1720" w:type="dxa"/>
            <w:vAlign w:val="bottom"/>
            <w:tcBorders>
              <w:bottom w:val="single" w:sz="8" w:color="auto"/>
            </w:tcBorders>
            <w:vMerge w:val="continue"/>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30, 2025</w:t>
            </w: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(321,600)</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62</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262,927</w:t>
            </w: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19,690</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2,823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(36,098)</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9"/>
        </w:trPr>
        <w:tc>
          <w:tcPr>
            <w:tcW w:w="2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00" w:type="dxa"/>
            <w:vAlign w:val="bottom"/>
          </w:tcPr>
          <w:p>
            <w:pPr>
              <w:jc w:val="right"/>
              <w:ind w:right="1210"/>
              <w:spacing w:after="0"/>
              <w:rPr>
                <w:sz w:val="20"/>
                <w:szCs w:val="20"/>
                <w:color w:val="auto"/>
              </w:rPr>
            </w:pPr>
            <w:r>
              <w:rPr>
                <w:rFonts w:ascii="Arial" w:cs="Arial" w:eastAsia="Arial" w:hAnsi="Arial"/>
                <w:sz w:val="18"/>
                <w:szCs w:val="18"/>
                <w:color w:val="auto"/>
              </w:rPr>
              <w:t>5</w:t>
            </w: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4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30"/>
              <w:spacing w:after="0" w:line="197" w:lineRule="exact"/>
              <w:rPr>
                <w:sz w:val="20"/>
                <w:szCs w:val="20"/>
                <w:color w:val="auto"/>
              </w:rPr>
            </w:pPr>
            <w:r>
              <w:rPr>
                <w:rFonts w:ascii="Arial" w:cs="Arial" w:eastAsia="Arial" w:hAnsi="Arial"/>
                <w:sz w:val="18"/>
                <w:szCs w:val="18"/>
                <w:color w:val="auto"/>
              </w:rPr>
              <w:t>Accumulated</w:t>
            </w:r>
          </w:p>
        </w:tc>
        <w:tc>
          <w:tcPr>
            <w:tcW w:w="16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420" w:type="dxa"/>
            <w:vAlign w:val="bottom"/>
          </w:tcPr>
          <w:p>
            <w:pPr>
              <w:spacing w:after="0"/>
              <w:rPr>
                <w:sz w:val="15"/>
                <w:szCs w:val="15"/>
                <w:color w:val="auto"/>
              </w:rPr>
            </w:pPr>
          </w:p>
        </w:tc>
        <w:tc>
          <w:tcPr>
            <w:tcW w:w="1560" w:type="dxa"/>
            <w:vAlign w:val="bottom"/>
            <w:vMerge w:val="restart"/>
          </w:tcPr>
          <w:p>
            <w:pPr>
              <w:jc w:val="right"/>
              <w:ind w:right="210"/>
              <w:spacing w:after="0"/>
              <w:rPr>
                <w:sz w:val="20"/>
                <w:szCs w:val="20"/>
                <w:color w:val="auto"/>
              </w:rPr>
            </w:pPr>
            <w:r>
              <w:rPr>
                <w:rFonts w:ascii="Arial" w:cs="Arial" w:eastAsia="Arial" w:hAnsi="Arial"/>
                <w:sz w:val="18"/>
                <w:szCs w:val="18"/>
                <w:color w:val="auto"/>
              </w:rPr>
              <w:t>Accumulated</w:t>
            </w: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Common</w:t>
            </w:r>
          </w:p>
        </w:tc>
        <w:tc>
          <w:tcPr>
            <w:tcW w:w="1720" w:type="dxa"/>
            <w:vAlign w:val="bottom"/>
            <w:vMerge w:val="restart"/>
          </w:tcPr>
          <w:p>
            <w:pPr>
              <w:jc w:val="right"/>
              <w:ind w:right="270"/>
              <w:spacing w:after="0"/>
              <w:rPr>
                <w:sz w:val="20"/>
                <w:szCs w:val="20"/>
                <w:color w:val="auto"/>
              </w:rPr>
            </w:pPr>
            <w:r>
              <w:rPr>
                <w:rFonts w:ascii="Arial" w:cs="Arial" w:eastAsia="Arial" w:hAnsi="Arial"/>
                <w:sz w:val="18"/>
                <w:szCs w:val="18"/>
                <w:color w:val="auto"/>
              </w:rPr>
              <w:t>Additional</w:t>
            </w:r>
          </w:p>
        </w:tc>
        <w:tc>
          <w:tcPr>
            <w:tcW w:w="1720" w:type="dxa"/>
            <w:vAlign w:val="bottom"/>
          </w:tcPr>
          <w:p>
            <w:pPr>
              <w:jc w:val="right"/>
              <w:ind w:right="30"/>
              <w:spacing w:after="0" w:line="181" w:lineRule="exact"/>
              <w:rPr>
                <w:sz w:val="20"/>
                <w:szCs w:val="20"/>
                <w:color w:val="auto"/>
              </w:rPr>
            </w:pPr>
            <w:r>
              <w:rPr>
                <w:rFonts w:ascii="Arial" w:cs="Arial" w:eastAsia="Arial" w:hAnsi="Arial"/>
                <w:sz w:val="18"/>
                <w:szCs w:val="18"/>
                <w:color w:val="auto"/>
              </w:rPr>
              <w:t>Other</w:t>
            </w:r>
          </w:p>
        </w:tc>
        <w:tc>
          <w:tcPr>
            <w:tcW w:w="1600" w:type="dxa"/>
            <w:vAlign w:val="bottom"/>
            <w:vMerge w:val="restart"/>
          </w:tcPr>
          <w:p>
            <w:pPr>
              <w:jc w:val="right"/>
              <w:ind w:right="150"/>
              <w:spacing w:after="0"/>
              <w:rPr>
                <w:sz w:val="20"/>
                <w:szCs w:val="20"/>
                <w:color w:val="auto"/>
              </w:rPr>
            </w:pPr>
            <w:r>
              <w:rPr>
                <w:rFonts w:ascii="Arial" w:cs="Arial" w:eastAsia="Arial" w:hAnsi="Arial"/>
                <w:sz w:val="18"/>
                <w:szCs w:val="18"/>
                <w:color w:val="auto"/>
              </w:rPr>
              <w:t>Non-Controlling</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5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7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Comprehensive</w:t>
            </w:r>
          </w:p>
        </w:tc>
        <w:tc>
          <w:tcPr>
            <w:tcW w:w="1600" w:type="dxa"/>
            <w:vAlign w:val="bottom"/>
            <w:vMerge w:val="continue"/>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42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Deficit</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Stock</w:t>
            </w:r>
          </w:p>
        </w:tc>
        <w:tc>
          <w:tcPr>
            <w:tcW w:w="1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paid-in capital</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Income</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Interests:</w:t>
            </w: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25, 2023</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(266,496)</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61</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260,832</w:t>
            </w: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26,843</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2,466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23,706</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Shares redeemed</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(96)</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Income attributable to Lee</w:t>
            </w:r>
          </w:p>
        </w:tc>
        <w:tc>
          <w:tcPr>
            <w:tcW w:w="15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688</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545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35"/>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56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720" w:type="dxa"/>
            <w:vAlign w:val="bottom"/>
            <w:vMerge w:val="continue"/>
            <w:shd w:val="clear" w:color="auto" w:fill="CCEEFF"/>
          </w:tcPr>
          <w:p>
            <w:pPr>
              <w:spacing w:after="0"/>
              <w:rPr>
                <w:sz w:val="20"/>
                <w:szCs w:val="20"/>
                <w:color w:val="auto"/>
              </w:rPr>
            </w:pPr>
          </w:p>
        </w:tc>
        <w:tc>
          <w:tcPr>
            <w:tcW w:w="1720" w:type="dxa"/>
            <w:vAlign w:val="bottom"/>
            <w:vMerge w:val="continue"/>
            <w:shd w:val="clear" w:color="auto" w:fill="CCEEFF"/>
          </w:tcPr>
          <w:p>
            <w:pPr>
              <w:spacing w:after="0"/>
              <w:rPr>
                <w:sz w:val="20"/>
                <w:szCs w:val="20"/>
                <w:color w:val="auto"/>
              </w:rPr>
            </w:pPr>
          </w:p>
        </w:tc>
        <w:tc>
          <w:tcPr>
            <w:tcW w:w="16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214</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(2,286)</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Distributions to minority</w:t>
            </w:r>
          </w:p>
        </w:tc>
        <w:tc>
          <w:tcPr>
            <w:tcW w:w="15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(553)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5"/>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owners</w:t>
            </w: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24, 2023</w:t>
            </w: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(265,808)</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61</w:t>
            </w:r>
          </w:p>
        </w:tc>
        <w:tc>
          <w:tcPr>
            <w:tcW w:w="1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260,950</w:t>
            </w:r>
          </w:p>
        </w:tc>
        <w:tc>
          <w:tcPr>
            <w:tcW w:w="1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24,529</w:t>
            </w: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2,458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22,190</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Loss attributable to Lee</w:t>
            </w:r>
          </w:p>
        </w:tc>
        <w:tc>
          <w:tcPr>
            <w:tcW w:w="15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(12,179)</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543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(11,636)</w:t>
            </w:r>
          </w:p>
        </w:tc>
        <w:tc>
          <w:tcPr>
            <w:tcW w:w="0" w:type="dxa"/>
            <w:vAlign w:val="bottom"/>
          </w:tcPr>
          <w:p>
            <w:pPr>
              <w:spacing w:after="0"/>
              <w:rPr>
                <w:sz w:val="1"/>
                <w:szCs w:val="1"/>
                <w:color w:val="auto"/>
              </w:rPr>
            </w:pPr>
          </w:p>
        </w:tc>
      </w:tr>
      <w:tr>
        <w:trPr>
          <w:trHeight w:val="235"/>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56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720" w:type="dxa"/>
            <w:vAlign w:val="bottom"/>
            <w:vMerge w:val="continue"/>
            <w:shd w:val="clear" w:color="auto" w:fill="CCEEFF"/>
          </w:tcPr>
          <w:p>
            <w:pPr>
              <w:spacing w:after="0"/>
              <w:rPr>
                <w:sz w:val="20"/>
                <w:szCs w:val="20"/>
                <w:color w:val="auto"/>
              </w:rPr>
            </w:pPr>
          </w:p>
        </w:tc>
        <w:tc>
          <w:tcPr>
            <w:tcW w:w="1720" w:type="dxa"/>
            <w:vAlign w:val="bottom"/>
            <w:vMerge w:val="continue"/>
            <w:shd w:val="clear" w:color="auto" w:fill="CCEEFF"/>
          </w:tcPr>
          <w:p>
            <w:pPr>
              <w:spacing w:after="0"/>
              <w:rPr>
                <w:sz w:val="20"/>
                <w:szCs w:val="20"/>
                <w:color w:val="auto"/>
              </w:rPr>
            </w:pPr>
          </w:p>
        </w:tc>
        <w:tc>
          <w:tcPr>
            <w:tcW w:w="16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30"/>
              <w:spacing w:after="0"/>
              <w:rPr>
                <w:sz w:val="20"/>
                <w:szCs w:val="20"/>
                <w:color w:val="auto"/>
              </w:rPr>
            </w:pPr>
            <w:r>
              <w:rPr>
                <w:rFonts w:ascii="Arial" w:cs="Arial" w:eastAsia="Arial" w:hAnsi="Arial"/>
                <w:sz w:val="18"/>
                <w:szCs w:val="18"/>
                <w:color w:val="auto"/>
              </w:rPr>
              <w:t>501</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184"/>
        </w:trPr>
        <w:tc>
          <w:tcPr>
            <w:tcW w:w="2420" w:type="dxa"/>
            <w:vAlign w:val="bottom"/>
          </w:tcPr>
          <w:p>
            <w:pPr>
              <w:ind w:left="20"/>
              <w:spacing w:after="0" w:line="183" w:lineRule="exact"/>
              <w:rPr>
                <w:sz w:val="20"/>
                <w:szCs w:val="20"/>
                <w:color w:val="auto"/>
              </w:rPr>
            </w:pPr>
            <w:r>
              <w:rPr>
                <w:rFonts w:ascii="Arial" w:cs="Arial" w:eastAsia="Arial" w:hAnsi="Arial"/>
                <w:sz w:val="18"/>
                <w:szCs w:val="18"/>
                <w:color w:val="auto"/>
              </w:rPr>
              <w:t>Deferred income taxes,</w:t>
            </w:r>
          </w:p>
        </w:tc>
        <w:tc>
          <w:tcPr>
            <w:tcW w:w="15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vMerge w:val="restart"/>
          </w:tcPr>
          <w:p>
            <w:pPr>
              <w:jc w:val="right"/>
              <w:ind w:right="90"/>
              <w:spacing w:after="0"/>
              <w:rPr>
                <w:sz w:val="20"/>
                <w:szCs w:val="20"/>
                <w:color w:val="auto"/>
              </w:rPr>
            </w:pPr>
            <w:r>
              <w:rPr>
                <w:rFonts w:ascii="Arial" w:cs="Arial" w:eastAsia="Arial" w:hAnsi="Arial"/>
                <w:sz w:val="18"/>
                <w:szCs w:val="18"/>
                <w:color w:val="auto"/>
              </w:rPr>
              <w:t>44</w:t>
            </w:r>
          </w:p>
        </w:tc>
        <w:tc>
          <w:tcPr>
            <w:tcW w:w="16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5"/>
        </w:trPr>
        <w:tc>
          <w:tcPr>
            <w:tcW w:w="2420" w:type="dxa"/>
            <w:vAlign w:val="bottom"/>
          </w:tcPr>
          <w:p>
            <w:pPr>
              <w:ind w:left="20"/>
              <w:spacing w:after="0"/>
              <w:rPr>
                <w:sz w:val="20"/>
                <w:szCs w:val="20"/>
                <w:color w:val="auto"/>
              </w:rPr>
            </w:pPr>
            <w:r>
              <w:rPr>
                <w:rFonts w:ascii="Arial" w:cs="Arial" w:eastAsia="Arial" w:hAnsi="Arial"/>
                <w:sz w:val="18"/>
                <w:szCs w:val="18"/>
                <w:color w:val="auto"/>
              </w:rPr>
              <w:t>net</w:t>
            </w:r>
          </w:p>
        </w:tc>
        <w:tc>
          <w:tcPr>
            <w:tcW w:w="156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720" w:type="dxa"/>
            <w:vAlign w:val="bottom"/>
            <w:vMerge w:val="continue"/>
          </w:tcPr>
          <w:p>
            <w:pPr>
              <w:spacing w:after="0"/>
              <w:rPr>
                <w:sz w:val="20"/>
                <w:szCs w:val="20"/>
                <w:color w:val="auto"/>
              </w:rPr>
            </w:pPr>
          </w:p>
        </w:tc>
        <w:tc>
          <w:tcPr>
            <w:tcW w:w="172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Distributions to minority</w:t>
            </w:r>
          </w:p>
        </w:tc>
        <w:tc>
          <w:tcPr>
            <w:tcW w:w="156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(486)</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5"/>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owners</w:t>
            </w: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24, 2024</w:t>
            </w: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(277,987)</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61</w:t>
            </w:r>
          </w:p>
        </w:tc>
        <w:tc>
          <w:tcPr>
            <w:tcW w:w="1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261,451</w:t>
            </w:r>
          </w:p>
        </w:tc>
        <w:tc>
          <w:tcPr>
            <w:tcW w:w="1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24,381</w:t>
            </w: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2,515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10,421</w:t>
            </w:r>
          </w:p>
        </w:tc>
        <w:tc>
          <w:tcPr>
            <w:tcW w:w="0" w:type="dxa"/>
            <w:vAlign w:val="bottom"/>
          </w:tcPr>
          <w:p>
            <w:pPr>
              <w:spacing w:after="0"/>
              <w:rPr>
                <w:sz w:val="1"/>
                <w:szCs w:val="1"/>
                <w:color w:val="auto"/>
              </w:rPr>
            </w:pPr>
          </w:p>
        </w:tc>
      </w:tr>
      <w:tr>
        <w:trPr>
          <w:trHeight w:val="21"/>
        </w:trPr>
        <w:tc>
          <w:tcPr>
            <w:tcW w:w="2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Six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4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tcPr>
          <w:p>
            <w:pPr>
              <w:jc w:val="right"/>
              <w:ind w:right="370"/>
              <w:spacing w:after="0" w:line="169" w:lineRule="exact"/>
              <w:rPr>
                <w:sz w:val="20"/>
                <w:szCs w:val="20"/>
                <w:color w:val="auto"/>
              </w:rPr>
            </w:pPr>
            <w:r>
              <w:rPr>
                <w:rFonts w:ascii="Arial" w:cs="Arial" w:eastAsia="Arial" w:hAnsi="Arial"/>
                <w:sz w:val="18"/>
                <w:szCs w:val="18"/>
                <w:color w:val="auto"/>
              </w:rPr>
              <w:t>March 30,</w:t>
            </w:r>
          </w:p>
        </w:tc>
        <w:tc>
          <w:tcPr>
            <w:tcW w:w="12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March 24,</w:t>
            </w:r>
          </w:p>
        </w:tc>
      </w:tr>
      <w:tr>
        <w:trPr>
          <w:trHeight w:val="242"/>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r>
      <w:tr>
        <w:trPr>
          <w:trHeight w:val="251"/>
        </w:trPr>
        <w:tc>
          <w:tcPr>
            <w:tcW w:w="78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(required for) provided by operating activities:</w:t>
            </w:r>
          </w:p>
        </w:tc>
        <w:tc>
          <w:tcPr>
            <w:tcW w:w="2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140" w:type="dxa"/>
            <w:vAlign w:val="bottom"/>
          </w:tcPr>
          <w:p>
            <w:pPr>
              <w:jc w:val="right"/>
              <w:ind w:right="370"/>
              <w:spacing w:after="0"/>
              <w:rPr>
                <w:sz w:val="20"/>
                <w:szCs w:val="20"/>
                <w:color w:val="auto"/>
              </w:rPr>
            </w:pPr>
            <w:r>
              <w:rPr>
                <w:rFonts w:ascii="Arial" w:cs="Arial" w:eastAsia="Arial" w:hAnsi="Arial"/>
                <w:sz w:val="18"/>
                <w:szCs w:val="18"/>
                <w:color w:val="auto"/>
              </w:rPr>
              <w:t>(28,239)</w:t>
            </w:r>
          </w:p>
        </w:tc>
        <w:tc>
          <w:tcPr>
            <w:tcW w:w="1260" w:type="dxa"/>
            <w:vAlign w:val="bottom"/>
          </w:tcPr>
          <w:p>
            <w:pPr>
              <w:jc w:val="right"/>
              <w:spacing w:after="0"/>
              <w:rPr>
                <w:sz w:val="20"/>
                <w:szCs w:val="20"/>
                <w:color w:val="auto"/>
              </w:rPr>
            </w:pPr>
            <w:r>
              <w:rPr>
                <w:rFonts w:ascii="Arial" w:cs="Arial" w:eastAsia="Arial" w:hAnsi="Arial"/>
                <w:sz w:val="18"/>
                <w:szCs w:val="18"/>
                <w:color w:val="auto"/>
              </w:rPr>
              <w:t>(10,403)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(required for) provided by operating activities:</w:t>
            </w:r>
          </w:p>
        </w:tc>
        <w:tc>
          <w:tcPr>
            <w:tcW w:w="2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11,436</w:t>
            </w:r>
          </w:p>
        </w:tc>
        <w:tc>
          <w:tcPr>
            <w:tcW w:w="1260" w:type="dxa"/>
            <w:vAlign w:val="bottom"/>
          </w:tcPr>
          <w:p>
            <w:pPr>
              <w:jc w:val="right"/>
              <w:spacing w:after="0"/>
              <w:rPr>
                <w:sz w:val="20"/>
                <w:szCs w:val="20"/>
                <w:color w:val="auto"/>
              </w:rPr>
            </w:pPr>
            <w:r>
              <w:rPr>
                <w:rFonts w:ascii="Arial" w:cs="Arial" w:eastAsia="Arial" w:hAnsi="Arial"/>
                <w:sz w:val="18"/>
                <w:szCs w:val="18"/>
                <w:color w:val="auto"/>
              </w:rPr>
              <w:t>14,588</w:t>
            </w:r>
          </w:p>
        </w:tc>
      </w:tr>
      <w:tr>
        <w:trPr>
          <w:trHeight w:val="23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21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6,590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w:t>
            </w:r>
          </w:p>
        </w:tc>
      </w:tr>
      <w:tr>
        <w:trPr>
          <w:trHeight w:val="229"/>
        </w:trPr>
        <w:tc>
          <w:tcPr>
            <w:tcW w:w="7840" w:type="dxa"/>
            <w:vAlign w:val="bottom"/>
          </w:tcPr>
          <w:p>
            <w:pPr>
              <w:ind w:left="180"/>
              <w:spacing w:after="0"/>
              <w:rPr>
                <w:sz w:val="20"/>
                <w:szCs w:val="20"/>
                <w:color w:val="auto"/>
              </w:rPr>
            </w:pPr>
            <w:r>
              <w:rPr>
                <w:rFonts w:ascii="Arial" w:cs="Arial" w:eastAsia="Arial" w:hAnsi="Arial"/>
                <w:sz w:val="18"/>
                <w:szCs w:val="18"/>
                <w:color w:val="auto"/>
              </w:rPr>
              <w:t>Curtailment/Settlement gain</w:t>
            </w: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(3,593)</w:t>
            </w:r>
          </w:p>
        </w:tc>
      </w:tr>
      <w:tr>
        <w:trPr>
          <w:trHeight w:val="229"/>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1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788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30"/>
        </w:trPr>
        <w:tc>
          <w:tcPr>
            <w:tcW w:w="7840" w:type="dxa"/>
            <w:vAlign w:val="bottom"/>
          </w:tcPr>
          <w:p>
            <w:pPr>
              <w:ind w:left="180"/>
              <w:spacing w:after="0"/>
              <w:rPr>
                <w:sz w:val="20"/>
                <w:szCs w:val="20"/>
                <w:color w:val="auto"/>
              </w:rPr>
            </w:pPr>
            <w:r>
              <w:rPr>
                <w:rFonts w:ascii="Arial" w:cs="Arial" w:eastAsia="Arial" w:hAnsi="Arial"/>
                <w:sz w:val="18"/>
                <w:szCs w:val="18"/>
                <w:color w:val="auto"/>
              </w:rPr>
              <w:t>Assets (loss) gain on sales, impairments and other, net</w:t>
            </w:r>
          </w:p>
        </w:tc>
        <w:tc>
          <w:tcPr>
            <w:tcW w:w="2140" w:type="dxa"/>
            <w:vAlign w:val="bottom"/>
          </w:tcPr>
          <w:p>
            <w:pPr>
              <w:jc w:val="right"/>
              <w:ind w:right="370"/>
              <w:spacing w:after="0"/>
              <w:rPr>
                <w:sz w:val="20"/>
                <w:szCs w:val="20"/>
                <w:color w:val="auto"/>
              </w:rPr>
            </w:pPr>
            <w:r>
              <w:rPr>
                <w:rFonts w:ascii="Arial" w:cs="Arial" w:eastAsia="Arial" w:hAnsi="Arial"/>
                <w:sz w:val="18"/>
                <w:szCs w:val="18"/>
                <w:color w:val="auto"/>
              </w:rPr>
              <w:t>(803)</w:t>
            </w:r>
          </w:p>
        </w:tc>
        <w:tc>
          <w:tcPr>
            <w:tcW w:w="1260" w:type="dxa"/>
            <w:vAlign w:val="bottom"/>
          </w:tcPr>
          <w:p>
            <w:pPr>
              <w:jc w:val="right"/>
              <w:spacing w:after="0"/>
              <w:rPr>
                <w:sz w:val="20"/>
                <w:szCs w:val="20"/>
                <w:color w:val="auto"/>
              </w:rPr>
            </w:pPr>
            <w:r>
              <w:rPr>
                <w:rFonts w:ascii="Arial" w:cs="Arial" w:eastAsia="Arial" w:hAnsi="Arial"/>
                <w:sz w:val="18"/>
                <w:szCs w:val="18"/>
                <w:color w:val="auto"/>
              </w:rPr>
              <w:t>6,148</w:t>
            </w:r>
          </w:p>
        </w:tc>
      </w:tr>
      <w:tr>
        <w:trPr>
          <w:trHeight w:val="229"/>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net of distributions, deemed returns on investment of TNI and MNI</w:t>
            </w:r>
          </w:p>
        </w:tc>
        <w:tc>
          <w:tcPr>
            <w:tcW w:w="21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247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840" w:type="dxa"/>
            <w:vAlign w:val="bottom"/>
          </w:tcPr>
          <w:p>
            <w:pPr>
              <w:ind w:left="180"/>
              <w:spacing w:after="0"/>
              <w:rPr>
                <w:sz w:val="20"/>
                <w:szCs w:val="20"/>
                <w:color w:val="auto"/>
              </w:rPr>
            </w:pPr>
            <w:r>
              <w:rPr>
                <w:rFonts w:ascii="Arial" w:cs="Arial" w:eastAsia="Arial" w:hAnsi="Arial"/>
                <w:sz w:val="18"/>
                <w:szCs w:val="18"/>
                <w:color w:val="auto"/>
              </w:rPr>
              <w:t>Non-cash interest</w:t>
            </w: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6,808</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(290)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29"/>
        </w:trPr>
        <w:tc>
          <w:tcPr>
            <w:tcW w:w="78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140" w:type="dxa"/>
            <w:vAlign w:val="bottom"/>
          </w:tcPr>
          <w:p>
            <w:pPr>
              <w:jc w:val="right"/>
              <w:ind w:right="370"/>
              <w:spacing w:after="0"/>
              <w:rPr>
                <w:sz w:val="20"/>
                <w:szCs w:val="20"/>
                <w:color w:val="auto"/>
              </w:rPr>
            </w:pPr>
            <w:r>
              <w:rPr>
                <w:rFonts w:ascii="Arial" w:cs="Arial" w:eastAsia="Arial" w:hAnsi="Arial"/>
                <w:sz w:val="18"/>
                <w:szCs w:val="18"/>
                <w:color w:val="auto"/>
              </w:rPr>
              <w:t>(752)</w:t>
            </w:r>
          </w:p>
        </w:tc>
        <w:tc>
          <w:tcPr>
            <w:tcW w:w="126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3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40" w:type="dxa"/>
            <w:vAlign w:val="bottom"/>
          </w:tcPr>
          <w:p>
            <w:pPr>
              <w:ind w:left="360"/>
              <w:spacing w:after="0"/>
              <w:rPr>
                <w:sz w:val="20"/>
                <w:szCs w:val="20"/>
                <w:color w:val="auto"/>
              </w:rPr>
            </w:pPr>
            <w:r>
              <w:rPr>
                <w:rFonts w:ascii="Arial" w:cs="Arial" w:eastAsia="Arial" w:hAnsi="Arial"/>
                <w:sz w:val="18"/>
                <w:szCs w:val="18"/>
                <w:color w:val="auto"/>
              </w:rPr>
              <w:t>(Increase) decrease in receivables</w:t>
            </w:r>
          </w:p>
        </w:tc>
        <w:tc>
          <w:tcPr>
            <w:tcW w:w="2140" w:type="dxa"/>
            <w:vAlign w:val="bottom"/>
          </w:tcPr>
          <w:p>
            <w:pPr>
              <w:jc w:val="right"/>
              <w:ind w:right="370"/>
              <w:spacing w:after="0"/>
              <w:rPr>
                <w:sz w:val="20"/>
                <w:szCs w:val="20"/>
                <w:color w:val="auto"/>
              </w:rPr>
            </w:pPr>
            <w:r>
              <w:rPr>
                <w:rFonts w:ascii="Arial" w:cs="Arial" w:eastAsia="Arial" w:hAnsi="Arial"/>
                <w:sz w:val="18"/>
                <w:szCs w:val="18"/>
                <w:color w:val="auto"/>
              </w:rPr>
              <w:t>(8,599)</w:t>
            </w:r>
          </w:p>
        </w:tc>
        <w:tc>
          <w:tcPr>
            <w:tcW w:w="1260" w:type="dxa"/>
            <w:vAlign w:val="bottom"/>
          </w:tcPr>
          <w:p>
            <w:pPr>
              <w:jc w:val="right"/>
              <w:spacing w:after="0"/>
              <w:rPr>
                <w:sz w:val="20"/>
                <w:szCs w:val="20"/>
                <w:color w:val="auto"/>
              </w:rPr>
            </w:pPr>
            <w:r>
              <w:rPr>
                <w:rFonts w:ascii="Arial" w:cs="Arial" w:eastAsia="Arial" w:hAnsi="Arial"/>
                <w:sz w:val="18"/>
                <w:szCs w:val="18"/>
                <w:color w:val="auto"/>
              </w:rPr>
              <w:t>3,022</w:t>
            </w:r>
          </w:p>
        </w:tc>
      </w:tr>
      <w:tr>
        <w:trPr>
          <w:trHeight w:val="229"/>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decrease in inventories and other</w:t>
            </w:r>
          </w:p>
        </w:tc>
        <w:tc>
          <w:tcPr>
            <w:tcW w:w="21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7840" w:type="dxa"/>
            <w:vAlign w:val="bottom"/>
          </w:tcPr>
          <w:p>
            <w:pPr>
              <w:ind w:left="360"/>
              <w:spacing w:after="0"/>
              <w:rPr>
                <w:sz w:val="20"/>
                <w:szCs w:val="20"/>
                <w:color w:val="auto"/>
              </w:rPr>
            </w:pPr>
            <w:r>
              <w:rPr>
                <w:rFonts w:ascii="Arial" w:cs="Arial" w:eastAsia="Arial" w:hAnsi="Arial"/>
                <w:sz w:val="18"/>
                <w:szCs w:val="18"/>
                <w:color w:val="auto"/>
              </w:rPr>
              <w:t>Increase (decrease) in accounts payable and other accrued liabilities</w:t>
            </w: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6,299</w:t>
            </w:r>
          </w:p>
        </w:tc>
        <w:tc>
          <w:tcPr>
            <w:tcW w:w="126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29"/>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2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(2,035)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30"/>
        </w:trPr>
        <w:tc>
          <w:tcPr>
            <w:tcW w:w="7840" w:type="dxa"/>
            <w:vAlign w:val="bottom"/>
          </w:tcPr>
          <w:p>
            <w:pPr>
              <w:ind w:left="360"/>
              <w:spacing w:after="0"/>
              <w:rPr>
                <w:sz w:val="20"/>
                <w:szCs w:val="20"/>
                <w:color w:val="auto"/>
              </w:rPr>
            </w:pPr>
            <w:r>
              <w:rPr>
                <w:rFonts w:ascii="Arial" w:cs="Arial" w:eastAsia="Arial" w:hAnsi="Arial"/>
                <w:sz w:val="18"/>
                <w:szCs w:val="18"/>
                <w:color w:val="auto"/>
              </w:rPr>
              <w:t>Change in income taxes payable</w:t>
            </w: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824</w:t>
            </w:r>
          </w:p>
        </w:tc>
        <w:tc>
          <w:tcPr>
            <w:tcW w:w="1260" w:type="dxa"/>
            <w:vAlign w:val="bottom"/>
          </w:tcPr>
          <w:p>
            <w:pPr>
              <w:jc w:val="right"/>
              <w:spacing w:after="0"/>
              <w:rPr>
                <w:sz w:val="20"/>
                <w:szCs w:val="20"/>
                <w:color w:val="auto"/>
              </w:rPr>
            </w:pPr>
            <w:r>
              <w:rPr>
                <w:rFonts w:ascii="Arial" w:cs="Arial" w:eastAsia="Arial" w:hAnsi="Arial"/>
                <w:sz w:val="18"/>
                <w:szCs w:val="18"/>
                <w:color w:val="auto"/>
              </w:rPr>
              <w:t>(8,944)</w:t>
            </w:r>
          </w:p>
        </w:tc>
      </w:tr>
      <w:tr>
        <w:trPr>
          <w:trHeight w:val="230"/>
        </w:trPr>
        <w:tc>
          <w:tcPr>
            <w:tcW w:w="78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(427)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r>
      <w:tr>
        <w:trPr>
          <w:trHeight w:val="22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(required for) provided by operating activities</w:t>
            </w:r>
          </w:p>
        </w:tc>
        <w:tc>
          <w:tcPr>
            <w:tcW w:w="2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(8,127)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investing activities:</w:t>
            </w:r>
          </w:p>
        </w:tc>
        <w:tc>
          <w:tcPr>
            <w:tcW w:w="2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140" w:type="dxa"/>
            <w:vAlign w:val="bottom"/>
          </w:tcPr>
          <w:p>
            <w:pPr>
              <w:jc w:val="right"/>
              <w:ind w:right="370"/>
              <w:spacing w:after="0"/>
              <w:rPr>
                <w:sz w:val="20"/>
                <w:szCs w:val="20"/>
                <w:color w:val="auto"/>
              </w:rPr>
            </w:pPr>
            <w:r>
              <w:rPr>
                <w:rFonts w:ascii="Arial" w:cs="Arial" w:eastAsia="Arial" w:hAnsi="Arial"/>
                <w:sz w:val="18"/>
                <w:szCs w:val="18"/>
                <w:color w:val="auto"/>
              </w:rPr>
              <w:t>(2,923)</w:t>
            </w:r>
          </w:p>
        </w:tc>
        <w:tc>
          <w:tcPr>
            <w:tcW w:w="1260" w:type="dxa"/>
            <w:vAlign w:val="bottom"/>
          </w:tcPr>
          <w:p>
            <w:pPr>
              <w:jc w:val="right"/>
              <w:spacing w:after="0"/>
              <w:rPr>
                <w:sz w:val="20"/>
                <w:szCs w:val="20"/>
                <w:color w:val="auto"/>
              </w:rPr>
            </w:pPr>
            <w:r>
              <w:rPr>
                <w:rFonts w:ascii="Arial" w:cs="Arial" w:eastAsia="Arial" w:hAnsi="Arial"/>
                <w:sz w:val="18"/>
                <w:szCs w:val="18"/>
                <w:color w:val="auto"/>
              </w:rPr>
              <w:t>(2,978)</w:t>
            </w:r>
          </w:p>
        </w:tc>
      </w:tr>
      <w:tr>
        <w:trPr>
          <w:trHeight w:val="23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assets</w:t>
            </w:r>
          </w:p>
        </w:tc>
        <w:tc>
          <w:tcPr>
            <w:tcW w:w="21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6,116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r>
      <w:tr>
        <w:trPr>
          <w:trHeight w:val="229"/>
        </w:trPr>
        <w:tc>
          <w:tcPr>
            <w:tcW w:w="78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net</w:t>
            </w:r>
          </w:p>
        </w:tc>
        <w:tc>
          <w:tcPr>
            <w:tcW w:w="2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1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3,193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Cash provided by (required for) financing activities:</w:t>
            </w:r>
          </w:p>
        </w:tc>
        <w:tc>
          <w:tcPr>
            <w:tcW w:w="2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long-term debt</w:t>
            </w:r>
          </w:p>
        </w:tc>
        <w:tc>
          <w:tcPr>
            <w:tcW w:w="21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r>
      <w:tr>
        <w:trPr>
          <w:trHeight w:val="230"/>
        </w:trPr>
        <w:tc>
          <w:tcPr>
            <w:tcW w:w="78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Common stock transactions, net</w:t>
            </w:r>
          </w:p>
        </w:tc>
        <w:tc>
          <w:tcPr>
            <w:tcW w:w="2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r>
      <w:tr>
        <w:trPr>
          <w:trHeight w:val="223"/>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(required for) financing activities</w:t>
            </w:r>
          </w:p>
        </w:tc>
        <w:tc>
          <w:tcPr>
            <w:tcW w:w="21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2140" w:type="dxa"/>
            <w:vAlign w:val="bottom"/>
          </w:tcPr>
          <w:p>
            <w:pPr>
              <w:jc w:val="right"/>
              <w:ind w:right="370"/>
              <w:spacing w:after="0"/>
              <w:rPr>
                <w:sz w:val="20"/>
                <w:szCs w:val="20"/>
                <w:color w:val="auto"/>
              </w:rPr>
            </w:pPr>
            <w:r>
              <w:rPr>
                <w:rFonts w:ascii="Arial" w:cs="Arial" w:eastAsia="Arial" w:hAnsi="Arial"/>
                <w:sz w:val="18"/>
                <w:szCs w:val="18"/>
                <w:color w:val="auto"/>
              </w:rPr>
              <w:t>(4,934)</w:t>
            </w:r>
          </w:p>
        </w:tc>
        <w:tc>
          <w:tcPr>
            <w:tcW w:w="1260" w:type="dxa"/>
            <w:vAlign w:val="bottom"/>
          </w:tcPr>
          <w:p>
            <w:pPr>
              <w:jc w:val="right"/>
              <w:spacing w:after="0"/>
              <w:rPr>
                <w:sz w:val="20"/>
                <w:szCs w:val="20"/>
                <w:color w:val="auto"/>
              </w:rPr>
            </w:pPr>
            <w:r>
              <w:rPr>
                <w:rFonts w:ascii="Arial" w:cs="Arial" w:eastAsia="Arial" w:hAnsi="Arial"/>
                <w:sz w:val="18"/>
                <w:szCs w:val="18"/>
                <w:color w:val="auto"/>
              </w:rPr>
              <w:t>1,559</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21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9,598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14,548</w:t>
            </w:r>
          </w:p>
        </w:tc>
      </w:tr>
      <w:tr>
        <w:trPr>
          <w:trHeight w:val="223"/>
        </w:trPr>
        <w:tc>
          <w:tcPr>
            <w:tcW w:w="78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End of period</w:t>
            </w:r>
          </w:p>
        </w:tc>
        <w:tc>
          <w:tcPr>
            <w:tcW w:w="2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4,664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16,107</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8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March 30, 2025, and our results of operations and cash flows for the periods presented. The Consolidated Financial Statements should be read in conjunction with the Consolidated Financial Statements and Notes thereto included in the Company's 2024 Annual Report on Form 10-K.</w:t>
      </w:r>
    </w:p>
    <w:p>
      <w:pPr>
        <w:spacing w:after="0" w:line="14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Company's fiscal year ends on the last Sunday in September. Fiscal year 2025 ends September 28, 2025, and fiscal year 2024 ended September 29, 2024. Fiscal year 2025 includes 52 weeks of operations and 2024 included 53 weeks of operations. Because of seasonal and other factors, the results of operations for the three and six months ended March 30, 2025, are not necessarily indicative of the results to be expected for the full year.</w:t>
      </w:r>
    </w:p>
    <w:p>
      <w:pPr>
        <w:spacing w:after="0" w:line="149"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Consolidated Financial Statements include our accounts and those of our wholly owned subsidiaries, as well as our 82.5% interest in INN Partners, L.C. (“BLOX Digital" formerly "TownNews”).</w:t>
      </w:r>
    </w:p>
    <w:p>
      <w:pPr>
        <w:spacing w:after="0" w:line="11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Our 50% interest in TNI Partners ("TNI") and our 50% interest in Madison Newspapers, Inc. ("MNI") are accounted for using the equity method and are reported at cost, plus our share of undistributed earnings since acquisition less, for TNI, amortization of intangible assets.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Cybersecurity Incident</w:t>
      </w:r>
    </w:p>
    <w:p>
      <w:pPr>
        <w:spacing w:after="0" w:line="19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On February 3, 2025, the Company experienced a systems outage caused by a cybersecurity attack by threat actors who unlawfully accessed the Company's network, encrypted critical applications, and exfiltrated certain files (the "Cyber Incident"). Upon discovery, the Company promptly activated its incident response plan, engaging both internal teams and third-party cybersecurity experts. In coordination with legal counsel, the Company notified the relevant law enforcement about the matter, and will notify relevant federal and state regulatory bodies, and applicable consumer protection agencies, as necessary.</w:t>
      </w:r>
    </w:p>
    <w:p>
      <w:pPr>
        <w:spacing w:after="0" w:line="13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During the three months ended March 30, 2025, the Company incurred $1,900,000 of expenses related to the Cyber Incident. These expenses are recognized in "Restructuring and Other" in the Consolidated Statements of Loss and Comprehensive Loss. The Cyber Incident remains under legal and forensic investigation, including evaluation of the extent and potential risk related to unauthorized access to sensitive data.</w:t>
      </w:r>
    </w:p>
    <w:p>
      <w:pPr>
        <w:spacing w:after="0" w:line="13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maintains cyber insurance coverage to limit its exposure to losses such as those related to the Cyber Incident, subject to a $500,000 deductible. Coverage includes, among other things, the cost of recovery and restoration as well as business interruption. The Company has submitted claims to its insurers for reimbursement of certain costs, expenses, and losses stemming from the Cyber Incident. To date, no reimbursements have been received, however the claims processing is ongoing as of the date of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source:</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3480" w:type="dxa"/>
            <w:vAlign w:val="bottom"/>
            <w:tcBorders>
              <w:top w:val="single" w:sz="8" w:color="auto"/>
              <w:bottom w:val="single" w:sz="8" w:color="auto"/>
            </w:tcBorders>
          </w:tcPr>
          <w:p>
            <w:pPr>
              <w:spacing w:after="0"/>
              <w:rPr>
                <w:sz w:val="21"/>
                <w:szCs w:val="21"/>
                <w:color w:val="auto"/>
              </w:rPr>
            </w:pPr>
          </w:p>
        </w:tc>
        <w:tc>
          <w:tcPr>
            <w:tcW w:w="3480" w:type="dxa"/>
            <w:vAlign w:val="bottom"/>
            <w:tcBorders>
              <w:top w:val="single" w:sz="8" w:color="auto"/>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Three months Ended</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Six months Ended</w:t>
            </w:r>
          </w:p>
        </w:tc>
        <w:tc>
          <w:tcPr>
            <w:tcW w:w="8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4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880" w:type="dxa"/>
            <w:vAlign w:val="bottom"/>
          </w:tcPr>
          <w:p>
            <w:pPr>
              <w:jc w:val="right"/>
              <w:ind w:right="310"/>
              <w:spacing w:after="0" w:line="169" w:lineRule="exact"/>
              <w:rPr>
                <w:sz w:val="20"/>
                <w:szCs w:val="20"/>
                <w:color w:val="auto"/>
              </w:rPr>
            </w:pPr>
            <w:r>
              <w:rPr>
                <w:rFonts w:ascii="Arial" w:cs="Arial" w:eastAsia="Arial" w:hAnsi="Arial"/>
                <w:sz w:val="18"/>
                <w:szCs w:val="18"/>
                <w:color w:val="auto"/>
              </w:rPr>
              <w:t>March 30,</w:t>
            </w:r>
          </w:p>
        </w:tc>
        <w:tc>
          <w:tcPr>
            <w:tcW w:w="1600" w:type="dxa"/>
            <w:vAlign w:val="bottom"/>
          </w:tcPr>
          <w:p>
            <w:pPr>
              <w:jc w:val="right"/>
              <w:ind w:right="310"/>
              <w:spacing w:after="0" w:line="169" w:lineRule="exact"/>
              <w:rPr>
                <w:sz w:val="20"/>
                <w:szCs w:val="20"/>
                <w:color w:val="auto"/>
              </w:rPr>
            </w:pPr>
            <w:r>
              <w:rPr>
                <w:rFonts w:ascii="Arial" w:cs="Arial" w:eastAsia="Arial" w:hAnsi="Arial"/>
                <w:sz w:val="18"/>
                <w:szCs w:val="18"/>
                <w:color w:val="auto"/>
              </w:rPr>
              <w:t>March 24,</w:t>
            </w:r>
          </w:p>
        </w:tc>
        <w:tc>
          <w:tcPr>
            <w:tcW w:w="1980" w:type="dxa"/>
            <w:vAlign w:val="bottom"/>
          </w:tcPr>
          <w:p>
            <w:pPr>
              <w:jc w:val="right"/>
              <w:ind w:right="670"/>
              <w:spacing w:after="0" w:line="169" w:lineRule="exact"/>
              <w:rPr>
                <w:sz w:val="20"/>
                <w:szCs w:val="20"/>
                <w:color w:val="auto"/>
              </w:rPr>
            </w:pPr>
            <w:r>
              <w:rPr>
                <w:rFonts w:ascii="Arial" w:cs="Arial" w:eastAsia="Arial" w:hAnsi="Arial"/>
                <w:sz w:val="18"/>
                <w:szCs w:val="18"/>
                <w:color w:val="auto"/>
              </w:rPr>
              <w:t>March 30,</w:t>
            </w:r>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March 24,</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vMerge w:val="continue"/>
          </w:tcPr>
          <w:p>
            <w:pPr>
              <w:spacing w:after="0"/>
              <w:rPr>
                <w:sz w:val="21"/>
                <w:szCs w:val="21"/>
                <w:color w:val="auto"/>
              </w:rPr>
            </w:pPr>
          </w:p>
        </w:tc>
        <w:tc>
          <w:tcPr>
            <w:tcW w:w="1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2025</w:t>
            </w:r>
          </w:p>
        </w:tc>
        <w:tc>
          <w:tcPr>
            <w:tcW w:w="1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19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80"/>
              <w:spacing w:after="0"/>
              <w:rPr>
                <w:sz w:val="20"/>
                <w:szCs w:val="20"/>
                <w:color w:val="auto"/>
              </w:rPr>
            </w:pPr>
            <w:r>
              <w:rPr>
                <w:rFonts w:ascii="Arial" w:cs="Arial" w:eastAsia="Arial" w:hAnsi="Arial"/>
                <w:sz w:val="18"/>
                <w:szCs w:val="18"/>
                <w:color w:val="auto"/>
              </w:rPr>
              <w:t>Print advertising revenue</w:t>
            </w:r>
          </w:p>
        </w:tc>
        <w:tc>
          <w:tcPr>
            <w:tcW w:w="1880" w:type="dxa"/>
            <w:vAlign w:val="bottom"/>
          </w:tcPr>
          <w:p>
            <w:pPr>
              <w:jc w:val="right"/>
              <w:ind w:right="370"/>
              <w:spacing w:after="0"/>
              <w:rPr>
                <w:sz w:val="20"/>
                <w:szCs w:val="20"/>
                <w:color w:val="auto"/>
              </w:rPr>
            </w:pPr>
            <w:r>
              <w:rPr>
                <w:rFonts w:ascii="Arial" w:cs="Arial" w:eastAsia="Arial" w:hAnsi="Arial"/>
                <w:sz w:val="18"/>
                <w:szCs w:val="18"/>
                <w:color w:val="auto"/>
              </w:rPr>
              <w:t>16,532</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18,742</w:t>
            </w:r>
          </w:p>
        </w:tc>
        <w:tc>
          <w:tcPr>
            <w:tcW w:w="1980" w:type="dxa"/>
            <w:vAlign w:val="bottom"/>
          </w:tcPr>
          <w:p>
            <w:pPr>
              <w:jc w:val="right"/>
              <w:ind w:right="730"/>
              <w:spacing w:after="0"/>
              <w:rPr>
                <w:sz w:val="20"/>
                <w:szCs w:val="20"/>
                <w:color w:val="auto"/>
              </w:rPr>
            </w:pPr>
            <w:r>
              <w:rPr>
                <w:rFonts w:ascii="Arial" w:cs="Arial" w:eastAsia="Arial" w:hAnsi="Arial"/>
                <w:sz w:val="18"/>
                <w:szCs w:val="18"/>
                <w:color w:val="auto"/>
              </w:rPr>
              <w:t>36,393</w:t>
            </w:r>
          </w:p>
        </w:tc>
        <w:tc>
          <w:tcPr>
            <w:tcW w:w="860" w:type="dxa"/>
            <w:vAlign w:val="bottom"/>
          </w:tcPr>
          <w:p>
            <w:pPr>
              <w:jc w:val="right"/>
              <w:spacing w:after="0"/>
              <w:rPr>
                <w:sz w:val="20"/>
                <w:szCs w:val="20"/>
                <w:color w:val="auto"/>
              </w:rPr>
            </w:pPr>
            <w:r>
              <w:rPr>
                <w:rFonts w:ascii="Arial" w:cs="Arial" w:eastAsia="Arial" w:hAnsi="Arial"/>
                <w:sz w:val="18"/>
                <w:szCs w:val="18"/>
                <w:color w:val="auto"/>
              </w:rPr>
              <w:t>43,177</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advertising revenue</w:t>
            </w:r>
          </w:p>
        </w:tc>
        <w:tc>
          <w:tcPr>
            <w:tcW w:w="18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43,941</w:t>
            </w:r>
          </w:p>
        </w:tc>
        <w:tc>
          <w:tcPr>
            <w:tcW w:w="1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45,392</w:t>
            </w:r>
          </w:p>
        </w:tc>
        <w:tc>
          <w:tcPr>
            <w:tcW w:w="19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90,670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91,844</w:t>
            </w:r>
          </w:p>
        </w:tc>
        <w:tc>
          <w:tcPr>
            <w:tcW w:w="0" w:type="dxa"/>
            <w:vAlign w:val="bottom"/>
          </w:tcPr>
          <w:p>
            <w:pPr>
              <w:spacing w:after="0"/>
              <w:rPr>
                <w:sz w:val="1"/>
                <w:szCs w:val="1"/>
                <w:color w:val="auto"/>
              </w:rPr>
            </w:pPr>
          </w:p>
        </w:tc>
      </w:tr>
      <w:tr>
        <w:trPr>
          <w:trHeight w:val="169"/>
        </w:trPr>
        <w:tc>
          <w:tcPr>
            <w:tcW w:w="3480" w:type="dxa"/>
            <w:vAlign w:val="bottom"/>
          </w:tcPr>
          <w:p>
            <w:pPr>
              <w:ind w:left="20"/>
              <w:spacing w:after="0" w:line="169" w:lineRule="exact"/>
              <w:rPr>
                <w:sz w:val="20"/>
                <w:szCs w:val="20"/>
                <w:color w:val="auto"/>
              </w:rPr>
            </w:pPr>
            <w:r>
              <w:rPr>
                <w:rFonts w:ascii="Arial" w:cs="Arial" w:eastAsia="Arial" w:hAnsi="Arial"/>
                <w:sz w:val="18"/>
                <w:szCs w:val="18"/>
                <w:color w:val="auto"/>
              </w:rPr>
              <w:t>Advertising and marketing services</w:t>
            </w:r>
          </w:p>
        </w:tc>
        <w:tc>
          <w:tcPr>
            <w:tcW w:w="1880" w:type="dxa"/>
            <w:vAlign w:val="bottom"/>
            <w:vMerge w:val="restart"/>
          </w:tcPr>
          <w:p>
            <w:pPr>
              <w:jc w:val="right"/>
              <w:ind w:right="370"/>
              <w:spacing w:after="0"/>
              <w:rPr>
                <w:sz w:val="20"/>
                <w:szCs w:val="20"/>
                <w:color w:val="auto"/>
              </w:rPr>
            </w:pPr>
            <w:r>
              <w:rPr>
                <w:rFonts w:ascii="Arial" w:cs="Arial" w:eastAsia="Arial" w:hAnsi="Arial"/>
                <w:sz w:val="18"/>
                <w:szCs w:val="18"/>
                <w:color w:val="auto"/>
              </w:rPr>
              <w:t>60,473</w:t>
            </w:r>
          </w:p>
        </w:tc>
        <w:tc>
          <w:tcPr>
            <w:tcW w:w="1600" w:type="dxa"/>
            <w:vAlign w:val="bottom"/>
            <w:vMerge w:val="restart"/>
          </w:tcPr>
          <w:p>
            <w:pPr>
              <w:jc w:val="right"/>
              <w:ind w:right="370"/>
              <w:spacing w:after="0"/>
              <w:rPr>
                <w:sz w:val="20"/>
                <w:szCs w:val="20"/>
                <w:color w:val="auto"/>
              </w:rPr>
            </w:pPr>
            <w:r>
              <w:rPr>
                <w:rFonts w:ascii="Arial" w:cs="Arial" w:eastAsia="Arial" w:hAnsi="Arial"/>
                <w:sz w:val="18"/>
                <w:szCs w:val="18"/>
                <w:color w:val="auto"/>
              </w:rPr>
              <w:t>64,134</w:t>
            </w:r>
          </w:p>
        </w:tc>
        <w:tc>
          <w:tcPr>
            <w:tcW w:w="1980" w:type="dxa"/>
            <w:vAlign w:val="bottom"/>
            <w:vMerge w:val="restart"/>
          </w:tcPr>
          <w:p>
            <w:pPr>
              <w:jc w:val="right"/>
              <w:ind w:right="730"/>
              <w:spacing w:after="0"/>
              <w:rPr>
                <w:sz w:val="20"/>
                <w:szCs w:val="20"/>
                <w:color w:val="auto"/>
              </w:rPr>
            </w:pPr>
            <w:r>
              <w:rPr>
                <w:rFonts w:ascii="Arial" w:cs="Arial" w:eastAsia="Arial" w:hAnsi="Arial"/>
                <w:sz w:val="18"/>
                <w:szCs w:val="18"/>
                <w:color w:val="auto"/>
              </w:rPr>
              <w:t>127,063</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135,021</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1880" w:type="dxa"/>
            <w:vAlign w:val="bottom"/>
            <w:tcBorders>
              <w:bottom w:val="single" w:sz="8" w:color="auto"/>
            </w:tcBorders>
            <w:vMerge w:val="continue"/>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198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Print subscription revenue</w:t>
            </w:r>
          </w:p>
        </w:tc>
        <w:tc>
          <w:tcPr>
            <w:tcW w:w="18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41,079</w:t>
            </w:r>
          </w:p>
        </w:tc>
        <w:tc>
          <w:tcPr>
            <w:tcW w:w="1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48,966</w:t>
            </w:r>
          </w:p>
        </w:tc>
        <w:tc>
          <w:tcPr>
            <w:tcW w:w="19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84,511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100,838</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Digital subscription revenue</w:t>
            </w:r>
          </w:p>
        </w:tc>
        <w:tc>
          <w:tcPr>
            <w:tcW w:w="1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23,789</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20,261</w:t>
            </w:r>
          </w:p>
        </w:tc>
        <w:tc>
          <w:tcPr>
            <w:tcW w:w="19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45,354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39,728</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18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64,868</w:t>
            </w:r>
          </w:p>
        </w:tc>
        <w:tc>
          <w:tcPr>
            <w:tcW w:w="1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69,227</w:t>
            </w:r>
          </w:p>
        </w:tc>
        <w:tc>
          <w:tcPr>
            <w:tcW w:w="19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129,865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140,566</w:t>
            </w:r>
          </w:p>
        </w:tc>
        <w:tc>
          <w:tcPr>
            <w:tcW w:w="0" w:type="dxa"/>
            <w:vAlign w:val="bottom"/>
          </w:tcPr>
          <w:p>
            <w:pPr>
              <w:spacing w:after="0"/>
              <w:rPr>
                <w:sz w:val="1"/>
                <w:szCs w:val="1"/>
                <w:color w:val="auto"/>
              </w:rPr>
            </w:pPr>
          </w:p>
        </w:tc>
      </w:tr>
      <w:tr>
        <w:trPr>
          <w:trHeight w:val="223"/>
        </w:trPr>
        <w:tc>
          <w:tcPr>
            <w:tcW w:w="3480" w:type="dxa"/>
            <w:vAlign w:val="bottom"/>
          </w:tcPr>
          <w:p>
            <w:pPr>
              <w:ind w:left="180"/>
              <w:spacing w:after="0"/>
              <w:rPr>
                <w:sz w:val="20"/>
                <w:szCs w:val="20"/>
                <w:color w:val="auto"/>
              </w:rPr>
            </w:pPr>
            <w:r>
              <w:rPr>
                <w:rFonts w:ascii="Arial" w:cs="Arial" w:eastAsia="Arial" w:hAnsi="Arial"/>
                <w:sz w:val="18"/>
                <w:szCs w:val="18"/>
                <w:color w:val="auto"/>
              </w:rPr>
              <w:t>Print other revenue</w:t>
            </w:r>
          </w:p>
        </w:tc>
        <w:tc>
          <w:tcPr>
            <w:tcW w:w="1880" w:type="dxa"/>
            <w:vAlign w:val="bottom"/>
          </w:tcPr>
          <w:p>
            <w:pPr>
              <w:jc w:val="right"/>
              <w:ind w:right="370"/>
              <w:spacing w:after="0"/>
              <w:rPr>
                <w:sz w:val="20"/>
                <w:szCs w:val="20"/>
                <w:color w:val="auto"/>
              </w:rPr>
            </w:pPr>
            <w:r>
              <w:rPr>
                <w:rFonts w:ascii="Arial" w:cs="Arial" w:eastAsia="Arial" w:hAnsi="Arial"/>
                <w:sz w:val="18"/>
                <w:szCs w:val="18"/>
                <w:color w:val="auto"/>
              </w:rPr>
              <w:t>7,213</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8,069</w:t>
            </w:r>
          </w:p>
        </w:tc>
        <w:tc>
          <w:tcPr>
            <w:tcW w:w="1980" w:type="dxa"/>
            <w:vAlign w:val="bottom"/>
          </w:tcPr>
          <w:p>
            <w:pPr>
              <w:jc w:val="right"/>
              <w:ind w:right="730"/>
              <w:spacing w:after="0"/>
              <w:rPr>
                <w:sz w:val="20"/>
                <w:szCs w:val="20"/>
                <w:color w:val="auto"/>
              </w:rPr>
            </w:pPr>
            <w:r>
              <w:rPr>
                <w:rFonts w:ascii="Arial" w:cs="Arial" w:eastAsia="Arial" w:hAnsi="Arial"/>
                <w:sz w:val="18"/>
                <w:szCs w:val="18"/>
                <w:color w:val="auto"/>
              </w:rPr>
              <w:t>15,101</w:t>
            </w:r>
          </w:p>
        </w:tc>
        <w:tc>
          <w:tcPr>
            <w:tcW w:w="860" w:type="dxa"/>
            <w:vAlign w:val="bottom"/>
          </w:tcPr>
          <w:p>
            <w:pPr>
              <w:jc w:val="right"/>
              <w:spacing w:after="0"/>
              <w:rPr>
                <w:sz w:val="20"/>
                <w:szCs w:val="20"/>
                <w:color w:val="auto"/>
              </w:rPr>
            </w:pPr>
            <w:r>
              <w:rPr>
                <w:rFonts w:ascii="Arial" w:cs="Arial" w:eastAsia="Arial" w:hAnsi="Arial"/>
                <w:sz w:val="18"/>
                <w:szCs w:val="18"/>
                <w:color w:val="auto"/>
              </w:rPr>
              <w:t>16,561</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other revenue</w:t>
            </w:r>
          </w:p>
        </w:tc>
        <w:tc>
          <w:tcPr>
            <w:tcW w:w="18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4,826</w:t>
            </w:r>
          </w:p>
        </w:tc>
        <w:tc>
          <w:tcPr>
            <w:tcW w:w="1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5,120</w:t>
            </w:r>
          </w:p>
        </w:tc>
        <w:tc>
          <w:tcPr>
            <w:tcW w:w="19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9,913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1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12,039</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13,189</w:t>
            </w:r>
          </w:p>
        </w:tc>
        <w:tc>
          <w:tcPr>
            <w:tcW w:w="19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25,014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26,641</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18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137,380</w:t>
            </w:r>
          </w:p>
        </w:tc>
        <w:tc>
          <w:tcPr>
            <w:tcW w:w="1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146,550</w:t>
            </w:r>
          </w:p>
        </w:tc>
        <w:tc>
          <w:tcPr>
            <w:tcW w:w="198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281,942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302,228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30"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The Company’s primary source of contract liabilities is unearned revenue from subscriptions paid in advance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service provided. The Company expects to recognize the revenue related to unsatisfied performance obligations over the next twelve months in accordance with the terms of the subscriptions and other contracts with customers. Revenue recognized in the six months ended March 30, 2025, that was included in the contract liability as of September 29, 2024, was $24.8 million.</w:t>
      </w:r>
    </w:p>
    <w:p>
      <w:pPr>
        <w:spacing w:after="0" w:line="149"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Accounts receivable, excluding allowance for credit losses was $68.2 million and $67.2 million as of March 30, 2025, and September 29, 2024</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Allowance for credit losses was $5.9 million and $6.5 million as of March 30, 2025, and September 29, 2024</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Valuation and qualifying account information related to the allowance for credit losses related to continuing operations is as follows:</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44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500" w:type="dxa"/>
            <w:vAlign w:val="bottom"/>
            <w:tcBorders>
              <w:top w:val="single" w:sz="8" w:color="auto"/>
            </w:tcBorders>
          </w:tcPr>
          <w:p>
            <w:pPr>
              <w:jc w:val="right"/>
              <w:ind w:right="510"/>
              <w:spacing w:after="0" w:line="197" w:lineRule="exact"/>
              <w:rPr>
                <w:sz w:val="20"/>
                <w:szCs w:val="20"/>
                <w:color w:val="auto"/>
              </w:rPr>
            </w:pPr>
            <w:r>
              <w:rPr>
                <w:rFonts w:ascii="Arial" w:cs="Arial" w:eastAsia="Arial" w:hAnsi="Arial"/>
                <w:sz w:val="18"/>
                <w:szCs w:val="18"/>
                <w:color w:val="auto"/>
              </w:rPr>
              <w:t>March 30,</w:t>
            </w:r>
          </w:p>
        </w:tc>
        <w:tc>
          <w:tcPr>
            <w:tcW w:w="182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35"/>
        </w:trPr>
        <w:tc>
          <w:tcPr>
            <w:tcW w:w="4480" w:type="dxa"/>
            <w:vAlign w:val="bottom"/>
            <w:tcBorders>
              <w:bottom w:val="single" w:sz="8" w:color="auto"/>
            </w:tcBorders>
            <w:vMerge w:val="continue"/>
          </w:tcPr>
          <w:p>
            <w:pPr>
              <w:spacing w:after="0"/>
              <w:rPr>
                <w:sz w:val="20"/>
                <w:szCs w:val="20"/>
                <w:color w:val="auto"/>
              </w:rPr>
            </w:pPr>
          </w:p>
        </w:tc>
        <w:tc>
          <w:tcPr>
            <w:tcW w:w="3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2025</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500" w:type="dxa"/>
            <w:vAlign w:val="bottom"/>
            <w:shd w:val="clear" w:color="auto" w:fill="CCEEFF"/>
          </w:tcPr>
          <w:p>
            <w:pPr>
              <w:jc w:val="center"/>
              <w:ind w:left="1630"/>
              <w:spacing w:after="0"/>
              <w:rPr>
                <w:sz w:val="20"/>
                <w:szCs w:val="20"/>
                <w:color w:val="auto"/>
              </w:rPr>
            </w:pPr>
            <w:r>
              <w:rPr>
                <w:rFonts w:ascii="Arial" w:cs="Arial" w:eastAsia="Arial" w:hAnsi="Arial"/>
                <w:sz w:val="18"/>
                <w:szCs w:val="18"/>
                <w:color w:val="auto"/>
              </w:rPr>
              <w:t>6,514</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52"/>
        </w:trPr>
        <w:tc>
          <w:tcPr>
            <w:tcW w:w="448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3500" w:type="dxa"/>
            <w:vAlign w:val="bottom"/>
          </w:tcPr>
          <w:p>
            <w:pPr>
              <w:jc w:val="center"/>
              <w:ind w:left="1630"/>
              <w:spacing w:after="0"/>
              <w:rPr>
                <w:sz w:val="20"/>
                <w:szCs w:val="20"/>
                <w:color w:val="auto"/>
              </w:rPr>
            </w:pPr>
            <w:r>
              <w:rPr>
                <w:rFonts w:ascii="Arial" w:cs="Arial" w:eastAsia="Arial" w:hAnsi="Arial"/>
                <w:sz w:val="18"/>
                <w:szCs w:val="18"/>
                <w:color w:val="auto"/>
              </w:rPr>
              <w:t>6,590</w:t>
            </w:r>
          </w:p>
        </w:tc>
        <w:tc>
          <w:tcPr>
            <w:tcW w:w="1820" w:type="dxa"/>
            <w:vAlign w:val="bottom"/>
          </w:tcPr>
          <w:p>
            <w:pPr>
              <w:jc w:val="right"/>
              <w:spacing w:after="0"/>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257"/>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Deductions from reserves</w:t>
            </w:r>
          </w:p>
        </w:tc>
        <w:tc>
          <w:tcPr>
            <w:tcW w:w="3500" w:type="dxa"/>
            <w:vAlign w:val="bottom"/>
            <w:tcBorders>
              <w:bottom w:val="single" w:sz="8" w:color="auto"/>
            </w:tcBorders>
            <w:shd w:val="clear" w:color="auto" w:fill="CCEEFF"/>
          </w:tcPr>
          <w:p>
            <w:pPr>
              <w:jc w:val="center"/>
              <w:ind w:left="1610"/>
              <w:spacing w:after="0"/>
              <w:rPr>
                <w:sz w:val="20"/>
                <w:szCs w:val="20"/>
                <w:color w:val="auto"/>
              </w:rPr>
            </w:pPr>
            <w:r>
              <w:rPr>
                <w:rFonts w:ascii="Arial" w:cs="Arial" w:eastAsia="Arial" w:hAnsi="Arial"/>
                <w:sz w:val="18"/>
                <w:szCs w:val="18"/>
                <w:color w:val="auto"/>
                <w:w w:val="98"/>
              </w:rPr>
              <w:t>(7,241)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period</w:t>
            </w:r>
          </w:p>
        </w:tc>
        <w:tc>
          <w:tcPr>
            <w:tcW w:w="3500" w:type="dxa"/>
            <w:vAlign w:val="bottom"/>
            <w:tcBorders>
              <w:bottom w:val="single" w:sz="8" w:color="auto"/>
            </w:tcBorders>
          </w:tcPr>
          <w:p>
            <w:pPr>
              <w:jc w:val="center"/>
              <w:ind w:left="1630"/>
              <w:spacing w:after="0"/>
              <w:rPr>
                <w:sz w:val="20"/>
                <w:szCs w:val="20"/>
                <w:color w:val="auto"/>
              </w:rPr>
            </w:pPr>
            <w:r>
              <w:rPr>
                <w:rFonts w:ascii="Arial" w:cs="Arial" w:eastAsia="Arial" w:hAnsi="Arial"/>
                <w:sz w:val="18"/>
                <w:szCs w:val="18"/>
                <w:color w:val="auto"/>
              </w:rPr>
              <w:t>5,863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5"/>
        </w:trPr>
        <w:tc>
          <w:tcPr>
            <w:tcW w:w="44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Sales commissions are expensed as incurred as the associated contractual periods are one year or less. These costs are recorded within "Compensation" on the Consolidated Statements of Loss and Comprehensive Loss. Most of our contracts have original expected lengths of one year or less and revenue is earned at a rate and amount that corresponds directly with the value to the customer.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TNI Partners</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Gannett Co., Inc.'s subsidiary Citizen Publishing Company (“Citizen”), is responsible for printing, delivery, advertising, and subscription activities of the </w:t>
      </w:r>
      <w:r>
        <w:rPr>
          <w:rFonts w:ascii="Arial" w:cs="Arial" w:eastAsia="Arial" w:hAnsi="Arial"/>
          <w:sz w:val="18"/>
          <w:szCs w:val="18"/>
          <w:i w:val="1"/>
          <w:iCs w:val="1"/>
          <w:color w:val="auto"/>
        </w:rPr>
        <w:t xml:space="preserve">Arizona Daily Star </w:t>
      </w:r>
      <w:r>
        <w:rPr>
          <w:rFonts w:ascii="Arial" w:cs="Arial" w:eastAsia="Arial" w:hAnsi="Arial"/>
          <w:sz w:val="18"/>
          <w:szCs w:val="18"/>
          <w:color w:val="auto"/>
        </w:rPr>
        <w:t>as well as the related digital platforms and specialty publications. TNI collects all receipts and income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operating expenses incident to the partnership's operations and publication of the newspaper and other media.</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or loss of TNI (before income taxes) is allocated equally to Star Publishing and Citizen.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TNI are as follows:</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3220" w:type="dxa"/>
            <w:vAlign w:val="bottom"/>
            <w:tcBorders>
              <w:top w:val="single" w:sz="8" w:color="auto"/>
              <w:bottom w:val="single" w:sz="8" w:color="auto"/>
            </w:tcBorders>
          </w:tcPr>
          <w:p>
            <w:pPr>
              <w:spacing w:after="0"/>
              <w:rPr>
                <w:sz w:val="21"/>
                <w:szCs w:val="21"/>
                <w:color w:val="auto"/>
              </w:rPr>
            </w:pPr>
          </w:p>
        </w:tc>
        <w:tc>
          <w:tcPr>
            <w:tcW w:w="3920" w:type="dxa"/>
            <w:vAlign w:val="bottom"/>
            <w:tcBorders>
              <w:top w:val="single" w:sz="8" w:color="auto"/>
              <w:bottom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Three months ended</w:t>
            </w:r>
          </w:p>
        </w:tc>
        <w:tc>
          <w:tcPr>
            <w:tcW w:w="2660" w:type="dxa"/>
            <w:vAlign w:val="bottom"/>
            <w:tcBorders>
              <w:top w:val="single" w:sz="8" w:color="auto"/>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69"/>
        </w:trPr>
        <w:tc>
          <w:tcPr>
            <w:tcW w:w="3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42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March 30,</w:t>
            </w:r>
          </w:p>
        </w:tc>
        <w:tc>
          <w:tcPr>
            <w:tcW w:w="150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March 24,</w:t>
            </w:r>
          </w:p>
        </w:tc>
        <w:tc>
          <w:tcPr>
            <w:tcW w:w="150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March 30,</w:t>
            </w: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March 24,</w:t>
            </w: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vMerge w:val="continue"/>
          </w:tcPr>
          <w:p>
            <w:pPr>
              <w:spacing w:after="0"/>
              <w:rPr>
                <w:sz w:val="21"/>
                <w:szCs w:val="21"/>
                <w:color w:val="auto"/>
              </w:rPr>
            </w:pPr>
          </w:p>
        </w:tc>
        <w:tc>
          <w:tcPr>
            <w:tcW w:w="2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2025</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5,756</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7,360</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12,289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14,351</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expenses</w:t>
            </w:r>
          </w:p>
        </w:tc>
        <w:tc>
          <w:tcPr>
            <w:tcW w:w="2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4,080</w:t>
            </w: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5,450</w:t>
            </w: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9,286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1,676</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1,910</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3,003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24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1,817</w:t>
            </w:r>
          </w:p>
        </w:tc>
        <w:tc>
          <w:tcPr>
            <w:tcW w:w="15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1,910</w:t>
            </w:r>
          </w:p>
        </w:tc>
        <w:tc>
          <w:tcPr>
            <w:tcW w:w="15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3,067</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TNI</w:t>
            </w:r>
          </w:p>
        </w:tc>
        <w:tc>
          <w:tcPr>
            <w:tcW w:w="24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909</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955</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1,534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TNI makes periodic distributions of its earnings and for the three months ended March 30, 2025, and March 24, 2024, we received $1.2 million and $0.9 million in distributions, respectively. In the six months ended March 30, 2025 and March 24, 2024, we received $1.7 million and $2.1 million in distributions, respectively.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19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000" w:type="dxa"/>
            <w:vAlign w:val="bottom"/>
            <w:tcBorders>
              <w:top w:val="single" w:sz="8" w:color="auto"/>
              <w:bottom w:val="single" w:sz="8" w:color="auto"/>
            </w:tcBorders>
          </w:tcPr>
          <w:p>
            <w:pPr>
              <w:spacing w:after="0"/>
              <w:rPr>
                <w:sz w:val="21"/>
                <w:szCs w:val="21"/>
                <w:color w:val="auto"/>
              </w:rPr>
            </w:pPr>
          </w:p>
        </w:tc>
        <w:tc>
          <w:tcPr>
            <w:tcW w:w="3140" w:type="dxa"/>
            <w:vAlign w:val="bottom"/>
            <w:tcBorders>
              <w:top w:val="single" w:sz="8" w:color="auto"/>
              <w:bottom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Three months ended</w:t>
            </w:r>
          </w:p>
        </w:tc>
        <w:tc>
          <w:tcPr>
            <w:tcW w:w="2660" w:type="dxa"/>
            <w:vAlign w:val="bottom"/>
            <w:tcBorders>
              <w:top w:val="single" w:sz="8" w:color="auto"/>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77"/>
        </w:trPr>
        <w:tc>
          <w:tcPr>
            <w:tcW w:w="4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4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March 30,</w:t>
            </w:r>
          </w:p>
        </w:tc>
        <w:tc>
          <w:tcPr>
            <w:tcW w:w="150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March 24,</w:t>
            </w:r>
          </w:p>
        </w:tc>
        <w:tc>
          <w:tcPr>
            <w:tcW w:w="150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March 30,</w:t>
            </w:r>
          </w:p>
        </w:tc>
        <w:tc>
          <w:tcPr>
            <w:tcW w:w="1160" w:type="dxa"/>
            <w:vAlign w:val="bottom"/>
          </w:tcPr>
          <w:p>
            <w:pPr>
              <w:jc w:val="right"/>
              <w:spacing w:after="0" w:line="177" w:lineRule="exact"/>
              <w:rPr>
                <w:sz w:val="20"/>
                <w:szCs w:val="20"/>
                <w:color w:val="auto"/>
              </w:rPr>
            </w:pPr>
            <w:r>
              <w:rPr>
                <w:rFonts w:ascii="Arial" w:cs="Arial" w:eastAsia="Arial" w:hAnsi="Arial"/>
                <w:sz w:val="18"/>
                <w:szCs w:val="18"/>
                <w:color w:val="auto"/>
              </w:rPr>
              <w:t>March 24,</w:t>
            </w:r>
          </w:p>
        </w:tc>
        <w:tc>
          <w:tcPr>
            <w:tcW w:w="0" w:type="dxa"/>
            <w:vAlign w:val="bottom"/>
          </w:tcPr>
          <w:p>
            <w:pPr>
              <w:spacing w:after="0"/>
              <w:rPr>
                <w:sz w:val="1"/>
                <w:szCs w:val="1"/>
                <w:color w:val="auto"/>
              </w:rPr>
            </w:pPr>
          </w:p>
        </w:tc>
      </w:tr>
      <w:tr>
        <w:trPr>
          <w:trHeight w:val="235"/>
        </w:trPr>
        <w:tc>
          <w:tcPr>
            <w:tcW w:w="400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2025</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9,079</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9,822</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18,838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20,424</w:t>
            </w:r>
          </w:p>
        </w:tc>
        <w:tc>
          <w:tcPr>
            <w:tcW w:w="0" w:type="dxa"/>
            <w:vAlign w:val="bottom"/>
          </w:tcPr>
          <w:p>
            <w:pPr>
              <w:spacing w:after="0"/>
              <w:rPr>
                <w:sz w:val="1"/>
                <w:szCs w:val="1"/>
                <w:color w:val="auto"/>
              </w:rPr>
            </w:pPr>
          </w:p>
        </w:tc>
      </w:tr>
      <w:tr>
        <w:trPr>
          <w:trHeight w:val="184"/>
        </w:trPr>
        <w:tc>
          <w:tcPr>
            <w:tcW w:w="4000" w:type="dxa"/>
            <w:vAlign w:val="bottom"/>
          </w:tcPr>
          <w:p>
            <w:pPr>
              <w:ind w:left="20"/>
              <w:spacing w:after="0" w:line="183" w:lineRule="exact"/>
              <w:rPr>
                <w:sz w:val="20"/>
                <w:szCs w:val="20"/>
                <w:color w:val="auto"/>
              </w:rPr>
            </w:pPr>
            <w:r>
              <w:rPr>
                <w:rFonts w:ascii="Arial" w:cs="Arial" w:eastAsia="Arial" w:hAnsi="Arial"/>
                <w:sz w:val="18"/>
                <w:szCs w:val="18"/>
                <w:color w:val="auto"/>
              </w:rPr>
              <w:t>Operating expenses, excluding restructuring</w:t>
            </w:r>
          </w:p>
        </w:tc>
        <w:tc>
          <w:tcPr>
            <w:tcW w:w="1640" w:type="dxa"/>
            <w:vAlign w:val="bottom"/>
            <w:vMerge w:val="restart"/>
          </w:tcPr>
          <w:p>
            <w:pPr>
              <w:jc w:val="right"/>
              <w:ind w:right="330"/>
              <w:spacing w:after="0"/>
              <w:rPr>
                <w:sz w:val="20"/>
                <w:szCs w:val="20"/>
                <w:color w:val="auto"/>
              </w:rPr>
            </w:pPr>
            <w:r>
              <w:rPr>
                <w:rFonts w:ascii="Arial" w:cs="Arial" w:eastAsia="Arial" w:hAnsi="Arial"/>
                <w:sz w:val="18"/>
                <w:szCs w:val="18"/>
                <w:color w:val="auto"/>
              </w:rPr>
              <w:t>7,013</w:t>
            </w:r>
          </w:p>
        </w:tc>
        <w:tc>
          <w:tcPr>
            <w:tcW w:w="1500" w:type="dxa"/>
            <w:vAlign w:val="bottom"/>
            <w:vMerge w:val="restart"/>
          </w:tcPr>
          <w:p>
            <w:pPr>
              <w:jc w:val="right"/>
              <w:ind w:right="330"/>
              <w:spacing w:after="0"/>
              <w:rPr>
                <w:sz w:val="20"/>
                <w:szCs w:val="20"/>
                <w:color w:val="auto"/>
              </w:rPr>
            </w:pPr>
            <w:r>
              <w:rPr>
                <w:rFonts w:ascii="Arial" w:cs="Arial" w:eastAsia="Arial" w:hAnsi="Arial"/>
                <w:sz w:val="18"/>
                <w:szCs w:val="18"/>
                <w:color w:val="auto"/>
              </w:rPr>
              <w:t>7,636</w:t>
            </w:r>
          </w:p>
        </w:tc>
        <w:tc>
          <w:tcPr>
            <w:tcW w:w="1500" w:type="dxa"/>
            <w:vAlign w:val="bottom"/>
            <w:vMerge w:val="restart"/>
          </w:tcPr>
          <w:p>
            <w:pPr>
              <w:jc w:val="right"/>
              <w:ind w:right="330"/>
              <w:spacing w:after="0"/>
              <w:rPr>
                <w:sz w:val="20"/>
                <w:szCs w:val="20"/>
                <w:color w:val="auto"/>
              </w:rPr>
            </w:pPr>
            <w:r>
              <w:rPr>
                <w:rFonts w:ascii="Arial" w:cs="Arial" w:eastAsia="Arial" w:hAnsi="Arial"/>
                <w:sz w:val="18"/>
                <w:szCs w:val="18"/>
                <w:color w:val="auto"/>
              </w:rPr>
              <w:t>14,468</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15,446</w:t>
            </w:r>
          </w:p>
        </w:tc>
        <w:tc>
          <w:tcPr>
            <w:tcW w:w="0" w:type="dxa"/>
            <w:vAlign w:val="bottom"/>
          </w:tcPr>
          <w:p>
            <w:pPr>
              <w:spacing w:after="0"/>
              <w:rPr>
                <w:sz w:val="1"/>
                <w:szCs w:val="1"/>
                <w:color w:val="auto"/>
              </w:rPr>
            </w:pPr>
          </w:p>
        </w:tc>
      </w:tr>
      <w:tr>
        <w:trPr>
          <w:trHeight w:val="235"/>
        </w:trPr>
        <w:tc>
          <w:tcPr>
            <w:tcW w:w="4000" w:type="dxa"/>
            <w:vAlign w:val="bottom"/>
          </w:tcPr>
          <w:p>
            <w:pPr>
              <w:ind w:left="20"/>
              <w:spacing w:after="0"/>
              <w:rPr>
                <w:sz w:val="20"/>
                <w:szCs w:val="20"/>
                <w:color w:val="auto"/>
              </w:rPr>
            </w:pPr>
            <w:r>
              <w:rPr>
                <w:rFonts w:ascii="Arial" w:cs="Arial" w:eastAsia="Arial" w:hAnsi="Arial"/>
                <w:sz w:val="18"/>
                <w:szCs w:val="18"/>
                <w:color w:val="auto"/>
              </w:rPr>
              <w:t>costs, depreciation and amortization</w:t>
            </w:r>
          </w:p>
        </w:tc>
        <w:tc>
          <w:tcPr>
            <w:tcW w:w="1640" w:type="dxa"/>
            <w:vAlign w:val="bottom"/>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48</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90</w:t>
            </w: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120</w:t>
            </w: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180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1,953</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2,018</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4,167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16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493</w:t>
            </w:r>
          </w:p>
        </w:tc>
        <w:tc>
          <w:tcPr>
            <w:tcW w:w="15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502</w:t>
            </w:r>
          </w:p>
        </w:tc>
        <w:tc>
          <w:tcPr>
            <w:tcW w:w="15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1,487</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MNI</w:t>
            </w:r>
          </w:p>
        </w:tc>
        <w:tc>
          <w:tcPr>
            <w:tcW w:w="16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247</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251</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744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MNI makes periodic distributions of its earnings and in the three months ended March 30, 2025 and March 24, 2024, we received $0.0 million and $0.2 million in distributions, respectively. In the six</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months ended March 30, 2025 and March 24, 2024, we received distributions of $0.9 million and $0.6 million, respectively.</w:t>
      </w:r>
    </w:p>
    <w:p>
      <w:pPr>
        <w:spacing w:after="0" w:line="198"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GOODWILL AND OTHER INTANGIBLE ASSETS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and identified intangible assets consist of the following:</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54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960" w:type="dxa"/>
            <w:vAlign w:val="bottom"/>
            <w:tcBorders>
              <w:top w:val="single" w:sz="8" w:color="auto"/>
            </w:tcBorders>
          </w:tcPr>
          <w:p>
            <w:pPr>
              <w:jc w:val="right"/>
              <w:ind w:right="110"/>
              <w:spacing w:after="0" w:line="197" w:lineRule="exact"/>
              <w:rPr>
                <w:sz w:val="20"/>
                <w:szCs w:val="20"/>
                <w:color w:val="auto"/>
              </w:rPr>
            </w:pPr>
            <w:r>
              <w:rPr>
                <w:rFonts w:ascii="Arial" w:cs="Arial" w:eastAsia="Arial" w:hAnsi="Arial"/>
                <w:sz w:val="18"/>
                <w:szCs w:val="18"/>
                <w:color w:val="auto"/>
              </w:rPr>
              <w:t>March 30,</w:t>
            </w:r>
          </w:p>
        </w:tc>
        <w:tc>
          <w:tcPr>
            <w:tcW w:w="142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vMerge w:val="continue"/>
          </w:tcPr>
          <w:p>
            <w:pPr>
              <w:spacing w:after="0"/>
              <w:rPr>
                <w:sz w:val="20"/>
                <w:szCs w:val="20"/>
                <w:color w:val="auto"/>
              </w:rPr>
            </w:pPr>
          </w:p>
        </w:tc>
        <w:tc>
          <w:tcPr>
            <w:tcW w:w="2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54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period</w:t>
            </w:r>
          </w:p>
        </w:tc>
        <w:tc>
          <w:tcPr>
            <w:tcW w:w="2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328,040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329,504</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Allocated to sold operations</w:t>
            </w:r>
          </w:p>
        </w:tc>
        <w:tc>
          <w:tcPr>
            <w:tcW w:w="2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(4,182)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end of period</w:t>
            </w:r>
          </w:p>
        </w:tc>
        <w:tc>
          <w:tcPr>
            <w:tcW w:w="2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323,858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328,040</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Non-amortized intangible assets:</w:t>
            </w:r>
          </w:p>
        </w:tc>
        <w:tc>
          <w:tcPr>
            <w:tcW w:w="2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Mastheads</w:t>
            </w:r>
          </w:p>
        </w:tc>
        <w:tc>
          <w:tcPr>
            <w:tcW w:w="2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10,917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2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and newspaper subscriber lists</w:t>
            </w:r>
          </w:p>
        </w:tc>
        <w:tc>
          <w:tcPr>
            <w:tcW w:w="2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262,146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262,242</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Less accumulated amortization</w:t>
            </w:r>
          </w:p>
        </w:tc>
        <w:tc>
          <w:tcPr>
            <w:tcW w:w="2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(209,932)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(203,084)</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52,214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59,158</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intangibles, net</w:t>
            </w:r>
          </w:p>
        </w:tc>
        <w:tc>
          <w:tcPr>
            <w:tcW w:w="2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386,989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398,115</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for amortizable assets is approximately ten years.</w:t>
      </w:r>
    </w:p>
    <w:p>
      <w:pPr>
        <w:spacing w:after="0" w:line="198"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During the six months ended March 30, 2025, the Company sold non-core operations. Goodwill was allocated to these operations, which totaled $4.2 million.</w:t>
      </w:r>
    </w:p>
    <w:p>
      <w:pPr>
        <w:spacing w:after="0" w:line="200" w:lineRule="exact"/>
        <w:rPr>
          <w:sz w:val="20"/>
          <w:szCs w:val="20"/>
          <w:color w:val="auto"/>
        </w:rPr>
      </w:pPr>
    </w:p>
    <w:p>
      <w:pPr>
        <w:spacing w:after="0" w:line="331"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has debt consisting of a single 25-year term loan with BH Finance LLC, with an aggregate principal balance of $453.5 million at a 9% annual fixed rate and maturing on March 16, 2045 (referred to herein as “Credit Agreement” and “Term Loan”). On March 30, 2025, the fair value was $372.4 million, representing a Level 2 fair value measurement, which are fair values estimated using significant other observable inputs.</w:t>
      </w:r>
    </w:p>
    <w:p>
      <w:pPr>
        <w:spacing w:after="0" w:line="13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During the six months ended March 30, 2025, net cash proceeds from asset sales totaled $6.1 million. The Company made zero principal debt payments as a result of non-core asset sales, and the proceeds remain payable to BH Finance. Future payments are contingent on the Company's ability to generate future excess cash flow, as defined in the Credit Agreement. As of March 30, 2025, there was no excess cash flow payment due.</w:t>
      </w:r>
    </w:p>
    <w:p>
      <w:pPr>
        <w:spacing w:after="0" w:line="13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an effort to provide short-term liquidity to fund the Cyber Incident's remediation efforts and other operations, in February 2025, BH Finance LLC waived the current payment of the interest and BH Media Group, Inc. waived the lease payment due March 1, 2025. A similar waiver was provided for payments made in April and May 2025. As of March 30, 2025, the waivers increased the outstanding balance by $7.5 million and is treated as non-cash activity within the statement of cash flows. These waivers were treated as a modification to the existing credit agreement.</w:t>
      </w:r>
    </w:p>
    <w:p>
      <w:pPr>
        <w:spacing w:after="0" w:line="152"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one defined benefit pension plan that covers certain employees, including plans established under collective bargaining agreements. Additionally, we provide retiree medical and life insurance benefits under postretirement plans at several of our operating locations. Through March 30, 2025, our liability and related expense for benefits under the plans are recorded over the service period of employees based upon annual actuarial calculations.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pension and postretirement cost (benefit) components for our plans are as follows: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PENSION PLANS</w:t>
            </w:r>
          </w:p>
        </w:tc>
        <w:tc>
          <w:tcPr>
            <w:tcW w:w="2920" w:type="dxa"/>
            <w:vAlign w:val="bottom"/>
            <w:tcBorders>
              <w:top w:val="single" w:sz="8" w:color="auto"/>
              <w:bottom w:val="single" w:sz="8" w:color="auto"/>
            </w:tcBorders>
            <w:gridSpan w:val="2"/>
          </w:tcPr>
          <w:p>
            <w:pPr>
              <w:jc w:val="right"/>
              <w:ind w:right="590"/>
              <w:spacing w:after="0"/>
              <w:rPr>
                <w:sz w:val="20"/>
                <w:szCs w:val="20"/>
                <w:color w:val="auto"/>
              </w:rPr>
            </w:pPr>
            <w:r>
              <w:rPr>
                <w:rFonts w:ascii="Arial" w:cs="Arial" w:eastAsia="Arial" w:hAnsi="Arial"/>
                <w:sz w:val="18"/>
                <w:szCs w:val="18"/>
                <w:color w:val="auto"/>
              </w:rPr>
              <w:t>Three months ended</w:t>
            </w:r>
          </w:p>
        </w:tc>
        <w:tc>
          <w:tcPr>
            <w:tcW w:w="2340" w:type="dxa"/>
            <w:vAlign w:val="bottom"/>
            <w:tcBorders>
              <w:top w:val="single" w:sz="8" w:color="auto"/>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69"/>
        </w:trPr>
        <w:tc>
          <w:tcPr>
            <w:tcW w:w="4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4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March 30,</w:t>
            </w:r>
          </w:p>
        </w:tc>
        <w:tc>
          <w:tcPr>
            <w:tcW w:w="128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March 24,</w:t>
            </w:r>
          </w:p>
        </w:tc>
        <w:tc>
          <w:tcPr>
            <w:tcW w:w="128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March 30,</w:t>
            </w:r>
          </w:p>
        </w:tc>
        <w:tc>
          <w:tcPr>
            <w:tcW w:w="1060" w:type="dxa"/>
            <w:vAlign w:val="bottom"/>
          </w:tcPr>
          <w:p>
            <w:pPr>
              <w:jc w:val="right"/>
              <w:spacing w:after="0" w:line="169" w:lineRule="exact"/>
              <w:rPr>
                <w:sz w:val="20"/>
                <w:szCs w:val="20"/>
                <w:color w:val="auto"/>
              </w:rPr>
            </w:pPr>
            <w:r>
              <w:rPr>
                <w:rFonts w:ascii="Arial" w:cs="Arial" w:eastAsia="Arial" w:hAnsi="Arial"/>
                <w:sz w:val="18"/>
                <w:szCs w:val="18"/>
                <w:color w:val="auto"/>
              </w:rPr>
              <w:t>March 24,</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auto"/>
            </w:tcBorders>
            <w:vMerge w:val="continue"/>
          </w:tcPr>
          <w:p>
            <w:pPr>
              <w:spacing w:after="0"/>
              <w:rPr>
                <w:sz w:val="21"/>
                <w:szCs w:val="21"/>
                <w:color w:val="auto"/>
              </w:rPr>
            </w:pP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2025</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2024</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2,034</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2,253</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4,068</w:t>
            </w:r>
          </w:p>
        </w:tc>
        <w:tc>
          <w:tcPr>
            <w:tcW w:w="1060" w:type="dxa"/>
            <w:vAlign w:val="bottom"/>
          </w:tcPr>
          <w:p>
            <w:pPr>
              <w:jc w:val="right"/>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6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(2,319)</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(2,310)</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(4,637)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Amortization of net (gain) loss</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212</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212</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424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Settlement gain</w:t>
            </w: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(benefit) cost</w:t>
            </w:r>
          </w:p>
        </w:tc>
        <w:tc>
          <w:tcPr>
            <w:tcW w:w="16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(72)</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155</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Borders>
              <w:top w:val="single" w:sz="8" w:color="CCEEFF"/>
              <w:bottom w:val="single" w:sz="8" w:color="auto"/>
            </w:tcBorders>
            <w:gridSpan w:val="2"/>
          </w:tcPr>
          <w:p>
            <w:pPr>
              <w:spacing w:after="0" w:line="20" w:lineRule="exact"/>
              <w:rPr>
                <w:sz w:val="1"/>
                <w:szCs w:val="1"/>
                <w:color w:val="auto"/>
              </w:rPr>
            </w:pPr>
          </w:p>
        </w:tc>
        <w:tc>
          <w:tcPr>
            <w:tcW w:w="23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54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2"/>
          </w:tcPr>
          <w:p>
            <w:pPr>
              <w:spacing w:after="0"/>
              <w:rPr>
                <w:sz w:val="23"/>
                <w:szCs w:val="23"/>
                <w:color w:val="auto"/>
              </w:rPr>
            </w:pPr>
          </w:p>
        </w:tc>
        <w:tc>
          <w:tcPr>
            <w:tcW w:w="2340" w:type="dxa"/>
            <w:vAlign w:val="bottom"/>
            <w:tcBorders>
              <w:bottom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POSTRETIREMENT MEDICAL PLANS</w:t>
            </w:r>
          </w:p>
        </w:tc>
        <w:tc>
          <w:tcPr>
            <w:tcW w:w="292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color w:val="auto"/>
              </w:rPr>
              <w:t>Three months ended</w:t>
            </w:r>
          </w:p>
        </w:tc>
        <w:tc>
          <w:tcPr>
            <w:tcW w:w="234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69"/>
        </w:trPr>
        <w:tc>
          <w:tcPr>
            <w:tcW w:w="4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4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March 30,</w:t>
            </w:r>
          </w:p>
        </w:tc>
        <w:tc>
          <w:tcPr>
            <w:tcW w:w="128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March 24,</w:t>
            </w:r>
          </w:p>
        </w:tc>
        <w:tc>
          <w:tcPr>
            <w:tcW w:w="128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March 30,</w:t>
            </w:r>
          </w:p>
        </w:tc>
        <w:tc>
          <w:tcPr>
            <w:tcW w:w="1060" w:type="dxa"/>
            <w:vAlign w:val="bottom"/>
          </w:tcPr>
          <w:p>
            <w:pPr>
              <w:jc w:val="right"/>
              <w:spacing w:after="0" w:line="169" w:lineRule="exact"/>
              <w:rPr>
                <w:sz w:val="20"/>
                <w:szCs w:val="20"/>
                <w:color w:val="auto"/>
              </w:rPr>
            </w:pPr>
            <w:r>
              <w:rPr>
                <w:rFonts w:ascii="Arial" w:cs="Arial" w:eastAsia="Arial" w:hAnsi="Arial"/>
                <w:sz w:val="18"/>
                <w:szCs w:val="18"/>
                <w:color w:val="auto"/>
              </w:rPr>
              <w:t>March 24,</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auto"/>
            </w:tcBorders>
            <w:vMerge w:val="continue"/>
          </w:tcPr>
          <w:p>
            <w:pPr>
              <w:spacing w:after="0"/>
              <w:rPr>
                <w:sz w:val="21"/>
                <w:szCs w:val="21"/>
                <w:color w:val="auto"/>
              </w:rPr>
            </w:pP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2025</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2024</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108</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149</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217</w:t>
            </w:r>
          </w:p>
        </w:tc>
        <w:tc>
          <w:tcPr>
            <w:tcW w:w="106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6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(410)</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(320)</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Amortization of net gain</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(292)</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(308)</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(584)</w:t>
            </w:r>
          </w:p>
        </w:tc>
        <w:tc>
          <w:tcPr>
            <w:tcW w:w="106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16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(71)</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(94)</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Curtailment gain</w:t>
            </w: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postretirement benefit</w:t>
            </w:r>
          </w:p>
        </w:tc>
        <w:tc>
          <w:tcPr>
            <w:tcW w:w="16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(664)</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(560)</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(1,328)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In the six months ended March 30, 2025 and March 24, 2024, we made no contributions to our pension plans. We have no required contributions to our pension plans for 2025.</w:t>
      </w:r>
    </w:p>
    <w:p>
      <w:pPr>
        <w:spacing w:after="0" w:line="11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During the six months ended March 24, 2024, the Company offered a voluntary lump sum payment of future benefits to terminated vested participants in the defined benefit pension plan. The offer was accepted by 522 participants, representing a $ 22.6 million settlement of related pension plan liability. The Company recognized a non-cash settlement gain of $2.4 million, which is reflected within "Curtailment/Settlement gains" on the Consolidated Statements of Loss and Comprehensive Loss. Pension plan assets and liabilities were reduced by $22.6 million.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Multiemployer Pension Plans</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In prior periods, the Company effectuated withdrawals from several multiemployer plans. As of March 30, 2025 and September 29, 2024, we had $23.1 million and $23.6 million of accrued withdrawal liabilities. The liabilities reflect the estimated value of payments to the fund, payable over 20-years.</w:t>
      </w:r>
    </w:p>
    <w:p>
      <w:pPr>
        <w:spacing w:after="0" w:line="130"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We recorded an income tax benefit of $1.8 million related to loss before taxes of $13.8 million for the three months ended March 30, 2025, and an income tax expense of $1.5 million related to loss before income taxes of $26.8 million for the six months ended March 30, 2025. We recorded an income tax benefit of $2.8 million related to loss before taxes of $14.5 million for the three months ended March 24, 2024, and an income tax benefit of $2.6 million related to a loss before income taxes of $ 13.0 million for the six months ended March 24, 2024. The effective income tax rate for the three and six months ended March 30, 2025, was 12.9% and (5.5)%, respectively. The effective income tax rate for the three and six months ended March 24, 2024, were 19.6% and 19.9%, respectively.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primary differences between these rates and the U.S. federal statutory rate of 21% are because of state taxes, non-deductible expenses, increase in valuation allowance, and adjustments to reserves for uncertain tax positions, including any related interest.</w:t>
      </w:r>
    </w:p>
    <w:p>
      <w:pPr>
        <w:spacing w:after="0" w:line="12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or material state income tax examinations in progress. Our income tax returns have generally been audited or closed to audit through 2016.</w:t>
      </w:r>
    </w:p>
    <w:p>
      <w:pPr>
        <w:spacing w:after="0" w:line="130"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COMMON SHARE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10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Three months ended</w:t>
            </w:r>
          </w:p>
        </w:tc>
        <w:tc>
          <w:tcPr>
            <w:tcW w:w="2660" w:type="dxa"/>
            <w:vAlign w:val="bottom"/>
            <w:tcBorders>
              <w:top w:val="single" w:sz="8" w:color="auto"/>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69"/>
        </w:trPr>
        <w:tc>
          <w:tcPr>
            <w:tcW w:w="4100" w:type="dxa"/>
            <w:vAlign w:val="bottom"/>
          </w:tcPr>
          <w:p>
            <w:pPr>
              <w:ind w:left="20"/>
              <w:spacing w:after="0" w:line="169" w:lineRule="exact"/>
              <w:rPr>
                <w:sz w:val="20"/>
                <w:szCs w:val="20"/>
                <w:color w:val="auto"/>
              </w:rPr>
            </w:pPr>
            <w:r>
              <w:rPr>
                <w:rFonts w:ascii="Arial" w:cs="Arial" w:eastAsia="Arial" w:hAnsi="Arial"/>
                <w:sz w:val="18"/>
                <w:szCs w:val="18"/>
                <w:color w:val="auto"/>
              </w:rPr>
              <w:t>(Thousands of Dollars and Shares, Except Per</w:t>
            </w:r>
          </w:p>
        </w:tc>
        <w:tc>
          <w:tcPr>
            <w:tcW w:w="154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March 30,</w:t>
            </w:r>
          </w:p>
        </w:tc>
        <w:tc>
          <w:tcPr>
            <w:tcW w:w="150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March 24,</w:t>
            </w:r>
          </w:p>
        </w:tc>
        <w:tc>
          <w:tcPr>
            <w:tcW w:w="150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March 30,</w:t>
            </w: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March 24,</w:t>
            </w:r>
          </w:p>
        </w:tc>
        <w:tc>
          <w:tcPr>
            <w:tcW w:w="0" w:type="dxa"/>
            <w:vAlign w:val="bottom"/>
          </w:tcPr>
          <w:p>
            <w:pPr>
              <w:spacing w:after="0"/>
              <w:rPr>
                <w:sz w:val="1"/>
                <w:szCs w:val="1"/>
                <w:color w:val="auto"/>
              </w:rPr>
            </w:pPr>
          </w:p>
        </w:tc>
      </w:tr>
      <w:tr>
        <w:trPr>
          <w:trHeight w:val="241"/>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 Data)</w:t>
            </w: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2025</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2"/>
        </w:trPr>
        <w:tc>
          <w:tcPr>
            <w:tcW w:w="4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attributable to Lee Enterprises,</w:t>
            </w:r>
          </w:p>
        </w:tc>
        <w:tc>
          <w:tcPr>
            <w:tcW w:w="154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(12,511)</w:t>
            </w:r>
          </w:p>
        </w:tc>
        <w:tc>
          <w:tcPr>
            <w:tcW w:w="15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(12,179)</w:t>
            </w:r>
          </w:p>
        </w:tc>
        <w:tc>
          <w:tcPr>
            <w:tcW w:w="15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(29,259)</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(11,491)</w:t>
            </w:r>
          </w:p>
        </w:tc>
        <w:tc>
          <w:tcPr>
            <w:tcW w:w="0" w:type="dxa"/>
            <w:vAlign w:val="bottom"/>
          </w:tcPr>
          <w:p>
            <w:pPr>
              <w:spacing w:after="0"/>
              <w:rPr>
                <w:sz w:val="1"/>
                <w:szCs w:val="1"/>
                <w:color w:val="auto"/>
              </w:rPr>
            </w:pPr>
          </w:p>
        </w:tc>
      </w:tr>
      <w:tr>
        <w:trPr>
          <w:trHeight w:val="263"/>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Incorporated:</w:t>
            </w:r>
          </w:p>
        </w:tc>
        <w:tc>
          <w:tcPr>
            <w:tcW w:w="1540" w:type="dxa"/>
            <w:vAlign w:val="bottom"/>
            <w:tcBorders>
              <w:bottom w:val="single" w:sz="8" w:color="auto"/>
            </w:tcBorders>
            <w:vMerge w:val="continue"/>
            <w:shd w:val="clear" w:color="auto" w:fill="CCEEFF"/>
          </w:tcPr>
          <w:p>
            <w:pPr>
              <w:spacing w:after="0"/>
              <w:rPr>
                <w:sz w:val="22"/>
                <w:szCs w:val="22"/>
                <w:color w:val="auto"/>
              </w:rPr>
            </w:pPr>
          </w:p>
        </w:tc>
        <w:tc>
          <w:tcPr>
            <w:tcW w:w="1500" w:type="dxa"/>
            <w:vAlign w:val="bottom"/>
            <w:tcBorders>
              <w:bottom w:val="single" w:sz="8" w:color="auto"/>
            </w:tcBorders>
            <w:vMerge w:val="continue"/>
            <w:shd w:val="clear" w:color="auto" w:fill="CCEEFF"/>
          </w:tcPr>
          <w:p>
            <w:pPr>
              <w:spacing w:after="0"/>
              <w:rPr>
                <w:sz w:val="22"/>
                <w:szCs w:val="22"/>
                <w:color w:val="auto"/>
              </w:rPr>
            </w:pPr>
          </w:p>
        </w:tc>
        <w:tc>
          <w:tcPr>
            <w:tcW w:w="1500" w:type="dxa"/>
            <w:vAlign w:val="bottom"/>
            <w:tcBorders>
              <w:bottom w:val="single" w:sz="8" w:color="auto"/>
            </w:tcBorders>
            <w:vMerge w:val="continue"/>
            <w:shd w:val="clear" w:color="auto" w:fill="CCEEFF"/>
          </w:tcPr>
          <w:p>
            <w:pPr>
              <w:spacing w:after="0"/>
              <w:rPr>
                <w:sz w:val="22"/>
                <w:szCs w:val="22"/>
                <w:color w:val="auto"/>
              </w:rPr>
            </w:pPr>
          </w:p>
        </w:tc>
        <w:tc>
          <w:tcPr>
            <w:tcW w:w="11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0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common shares</w:t>
            </w:r>
          </w:p>
        </w:tc>
        <w:tc>
          <w:tcPr>
            <w:tcW w:w="154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6,217</w:t>
            </w:r>
          </w:p>
        </w:tc>
        <w:tc>
          <w:tcPr>
            <w:tcW w:w="150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6,080</w:t>
            </w:r>
          </w:p>
        </w:tc>
        <w:tc>
          <w:tcPr>
            <w:tcW w:w="1500" w:type="dxa"/>
            <w:vAlign w:val="bottom"/>
          </w:tcPr>
          <w:p>
            <w:pPr>
              <w:jc w:val="right"/>
              <w:ind w:right="330"/>
              <w:spacing w:after="0" w:line="203" w:lineRule="exact"/>
              <w:rPr>
                <w:sz w:val="20"/>
                <w:szCs w:val="20"/>
                <w:color w:val="auto"/>
              </w:rPr>
            </w:pPr>
            <w:r>
              <w:rPr>
                <w:rFonts w:ascii="Arial" w:cs="Arial" w:eastAsia="Arial" w:hAnsi="Arial"/>
                <w:sz w:val="18"/>
                <w:szCs w:val="18"/>
                <w:color w:val="auto"/>
              </w:rPr>
              <w:t>6,207</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175"/>
        </w:trPr>
        <w:tc>
          <w:tcPr>
            <w:tcW w:w="4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weighted average restricted Common</w:t>
            </w:r>
          </w:p>
        </w:tc>
        <w:tc>
          <w:tcPr>
            <w:tcW w:w="154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(185)</w:t>
            </w:r>
          </w:p>
        </w:tc>
        <w:tc>
          <w:tcPr>
            <w:tcW w:w="15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(170)</w:t>
            </w:r>
          </w:p>
        </w:tc>
        <w:tc>
          <w:tcPr>
            <w:tcW w:w="15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(198)</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540" w:type="dxa"/>
            <w:vAlign w:val="bottom"/>
            <w:tcBorders>
              <w:bottom w:val="single" w:sz="8" w:color="auto"/>
            </w:tcBorders>
            <w:vMerge w:val="continue"/>
            <w:shd w:val="clear" w:color="auto" w:fill="CCEEFF"/>
          </w:tcPr>
          <w:p>
            <w:pPr>
              <w:spacing w:after="0"/>
              <w:rPr>
                <w:sz w:val="21"/>
                <w:szCs w:val="21"/>
                <w:color w:val="auto"/>
              </w:rPr>
            </w:pPr>
          </w:p>
        </w:tc>
        <w:tc>
          <w:tcPr>
            <w:tcW w:w="1500" w:type="dxa"/>
            <w:vAlign w:val="bottom"/>
            <w:tcBorders>
              <w:bottom w:val="single" w:sz="8" w:color="auto"/>
            </w:tcBorders>
            <w:vMerge w:val="continue"/>
            <w:shd w:val="clear" w:color="auto" w:fill="CCEEFF"/>
          </w:tcPr>
          <w:p>
            <w:pPr>
              <w:spacing w:after="0"/>
              <w:rPr>
                <w:sz w:val="21"/>
                <w:szCs w:val="21"/>
                <w:color w:val="auto"/>
              </w:rPr>
            </w:pPr>
          </w:p>
        </w:tc>
        <w:tc>
          <w:tcPr>
            <w:tcW w:w="150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Basic average common shares</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6,032</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5,910</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6,009</w:t>
            </w:r>
          </w:p>
        </w:tc>
        <w:tc>
          <w:tcPr>
            <w:tcW w:w="1160" w:type="dxa"/>
            <w:vAlign w:val="bottom"/>
          </w:tcPr>
          <w:p>
            <w:pPr>
              <w:jc w:val="right"/>
              <w:spacing w:after="0"/>
              <w:rPr>
                <w:sz w:val="20"/>
                <w:szCs w:val="20"/>
                <w:color w:val="auto"/>
              </w:rPr>
            </w:pPr>
            <w:r>
              <w:rPr>
                <w:rFonts w:ascii="Arial" w:cs="Arial" w:eastAsia="Arial" w:hAnsi="Arial"/>
                <w:sz w:val="18"/>
                <w:szCs w:val="18"/>
                <w:color w:val="auto"/>
              </w:rPr>
              <w:t>5,910</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Dilutive restricted Common Stock</w:t>
            </w:r>
          </w:p>
        </w:tc>
        <w:tc>
          <w:tcPr>
            <w:tcW w:w="1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average common shares</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6,032</w:t>
            </w: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5,910</w:t>
            </w: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6,009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5,910</w:t>
            </w:r>
          </w:p>
        </w:tc>
        <w:tc>
          <w:tcPr>
            <w:tcW w:w="0" w:type="dxa"/>
            <w:vAlign w:val="bottom"/>
          </w:tcPr>
          <w:p>
            <w:pPr>
              <w:spacing w:after="0"/>
              <w:rPr>
                <w:sz w:val="1"/>
                <w:szCs w:val="1"/>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common share:</w:t>
            </w:r>
          </w:p>
        </w:tc>
        <w:tc>
          <w:tcPr>
            <w:tcW w:w="15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180"/>
              <w:spacing w:after="0"/>
              <w:rPr>
                <w:sz w:val="20"/>
                <w:szCs w:val="20"/>
                <w:color w:val="auto"/>
              </w:rPr>
            </w:pPr>
            <w:r>
              <w:rPr>
                <w:rFonts w:ascii="Arial" w:cs="Arial" w:eastAsia="Arial" w:hAnsi="Arial"/>
                <w:sz w:val="18"/>
                <w:szCs w:val="18"/>
                <w:color w:val="auto"/>
              </w:rPr>
              <w:t>Basic</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(2.07)</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(2.06)</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(4.87)</w:t>
            </w:r>
          </w:p>
        </w:tc>
        <w:tc>
          <w:tcPr>
            <w:tcW w:w="116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55"/>
        </w:trPr>
        <w:tc>
          <w:tcPr>
            <w:tcW w:w="41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(2.07)</w:t>
            </w:r>
          </w:p>
        </w:tc>
        <w:tc>
          <w:tcPr>
            <w:tcW w:w="1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(2.06)</w:t>
            </w:r>
          </w:p>
        </w:tc>
        <w:tc>
          <w:tcPr>
            <w:tcW w:w="1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(4.87)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three months ended March 30, 2025 and March 24, 2024, zero and 66,249 shares, respectively, were not considered in the computation of diluted earnings per common share because their inclusion would result in an anti-dilutive effect on per share amounts. For the six months ended March 30, 2025 and March 24, 2024, zero and 66,249 shares, respectively, were not considered in the computation of diluted earnings per common share because their inclusion would result in an anti-dilutive effect on per share amounts.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Rights Agreement</w:t>
      </w:r>
    </w:p>
    <w:p>
      <w:pPr>
        <w:spacing w:after="0" w:line="252" w:lineRule="exact"/>
        <w:rPr>
          <w:sz w:val="20"/>
          <w:szCs w:val="20"/>
          <w:color w:val="auto"/>
        </w:rPr>
      </w:pPr>
    </w:p>
    <w:p>
      <w:pPr>
        <w:jc w:val="both"/>
        <w:ind w:left="660"/>
        <w:spacing w:after="0" w:line="248" w:lineRule="auto"/>
        <w:rPr>
          <w:sz w:val="20"/>
          <w:szCs w:val="20"/>
          <w:color w:val="auto"/>
        </w:rPr>
      </w:pPr>
      <w:r>
        <w:rPr>
          <w:rFonts w:ascii="Arial" w:cs="Arial" w:eastAsia="Arial" w:hAnsi="Arial"/>
          <w:sz w:val="18"/>
          <w:szCs w:val="18"/>
          <w:color w:val="auto"/>
        </w:rPr>
        <w:t>On March 28, 2024, our Board of Directors adopted a stockholder rights plan (the “Rights Agreement”). Pursuant to the Rights Agreement, on March 28, 2024, our Board of Directors declared a dividend of one preferred share purchase right (a “Right”), payable on April 8, 2024, for each share of our Common Stock outstanding to the stockholders of record on that date. Each Right entitles the registered holder to purchase from the Company one one-thousandth of a share of Series C Participating Convertible Preferred Stock, without par value (the “Preferred Shares”), of the Company at a price of $90.00 per one one-thousandth of a Preferred Share represented by a Right, subject to adjustment.</w:t>
      </w:r>
    </w:p>
    <w:p>
      <w:pPr>
        <w:spacing w:after="0" w:line="202"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color w:val="auto"/>
        </w:rPr>
        <w:t>The Rights will initially trade with our Common Stock and will generally become exercisable only if any person or group, other than certain exempt persons, acquires beneficial ownership of 15%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was to continue in effect until March 27, 2025, or unless earlier redeemed or terminated by the Company, as provided in the Rights Agreement. On March 27, 2025, the Board of Directors extended the termination date of the Rights Agreement to March 27, 2026. The Rights have no voting or dividend privileges, and, unless and until they become exercisable, have no dilutive effect on the earnings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Rights Agreement applies equally to all current and future stockholders and is not intended to deter offers or preclude our Board of Directors from considering acquisition proposals that are fair and otherwise in the best interest of our stockholders. However, the overall effect of the Rights Agreement may render it more difficult or discourage a merger, tender offer, or other business combination involving us that is not supported by our Board of Directors.</w:t>
      </w:r>
    </w:p>
    <w:p>
      <w:pPr>
        <w:spacing w:after="0" w:line="143"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Proceedings</w:t>
      </w:r>
    </w:p>
    <w:p>
      <w:pPr>
        <w:spacing w:after="0" w:line="1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 xml:space="preserve">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have a material adverse effect on our Consolidated Financial Statements, taken as a whole.</w:t>
      </w:r>
    </w:p>
    <w:p>
      <w:pPr>
        <w:spacing w:after="0" w:line="144"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was named as a defendant by a group of Plaintiffs acting on behalf of a proposed class of digital subscribers in a lawsuit in 2022. The lawsuit alleged that the Company violated the Video Privacy Protection Act (“VPPA”) by using pixels to track subscribers’ video viewing activity on Company websites and sharing it with Meta without consent.</w:t>
      </w:r>
    </w:p>
    <w:p>
      <w:pPr>
        <w:spacing w:after="0" w:line="198"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Company has agreed to a preliminary settlement with the Plaintiffs for $9.5 million, subject to required court approval. The entire settlement amount will be paid by the Company’s insurance carriers.</w:t>
      </w:r>
    </w:p>
    <w:p>
      <w:pPr>
        <w:spacing w:after="0" w:line="181"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The settlement liability and insurance receivable are recorded within “Compensation and other accrued liabilities” and “Prepaids and other” on the Consolidated Balance Sheets as of March 30, 2025 and September 29, 2024, respectively.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three months ended March 30, 2025. This discussion should be read in conjunction with the Consolidated Financial Statements and related Notes thereto, included herein, and our 2024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Lee Enterprises, Incorporated, together with its subsidiaries, is a digital-first subscription business providing local markets with valuable, high quality, trusted, intensely local news, information, advertising and marketing services. We inform consumers in 72 mid-sized local communities in 25 states with a rapidly growing digital subscription platform including 728,000 digital subscribers. Our core strategy aims to grow audiences and engagement through creating, collecting, and distributing trusted local news and information, continuous improvements to subscriber experience, and offering a full suite of omni-channel advertising and marketing to more than 25,000 local advertisers.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product portfolio includes digital subscription platforms, daily, weekly and monthly newspapers and niche products, all delivering original local news and information as well as national and international news. Our products offer digital and print editions, and our content and advertising is available in real time through our websites and mobile apps. We operate in predominately mid-sized communities with products ranging from large daily newspapers and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Buffalo News</w:t>
      </w:r>
      <w:r>
        <w:rPr>
          <w:rFonts w:ascii="Arial" w:cs="Arial" w:eastAsia="Arial" w:hAnsi="Arial"/>
          <w:sz w:val="18"/>
          <w:szCs w:val="18"/>
          <w:color w:val="auto"/>
        </w:rPr>
        <w:t>, to non-daily newspapers with news websites and digital platforms serving smaller communities.</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made investments in talent and technology to improve user experience, content, data visualization and marketing to align with the shift in spending habits by both consumers and advertisers toward digital products.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aim to grow our business through three main categories: subscriptions to our product offerings, advertising and marketing solutions to local advertisers, and digital services to a diverse set of customers. Execution of this strategy is expected to transform Lee into a growing and sustainable local media organization.</w:t>
      </w:r>
    </w:p>
    <w:p>
      <w:pPr>
        <w:spacing w:after="0" w:line="14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digital subscription platforms are the fastest growing digital subscription platforms in local media.</w:t>
      </w:r>
    </w:p>
    <w:p>
      <w:pPr>
        <w:spacing w:after="0" w:line="182" w:lineRule="exact"/>
        <w:rPr>
          <w:rFonts w:ascii="Arial" w:cs="Arial" w:eastAsia="Arial" w:hAnsi="Arial"/>
          <w:sz w:val="18"/>
          <w:szCs w:val="18"/>
          <w:color w:val="auto"/>
        </w:rPr>
      </w:pPr>
    </w:p>
    <w:p>
      <w:pPr>
        <w:ind w:left="660" w:right="180" w:hanging="328"/>
        <w:spacing w:after="0" w:line="22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Amplified Digital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Agency("Amplified"), our digital marketing services agency, offers a full suite of digital marketing solutions to local advertisers.</w:t>
      </w:r>
    </w:p>
    <w:p>
      <w:pPr>
        <w:spacing w:after="0" w:line="15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BLOX Digital (formerly known as TownNews), our software as a service (SaaS) content platform, is one of the largest web-hosting and content management SaaS providers in North America. BLOX Digital represents a powerful opportunity to drive additional digital revenue by providing state-of-the-art web hosting and content management services to more than 2,000 customers who rely on BLOX Digital for their web, over-the-top display, mobile, video and social media products.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generate revenue primarily through advertising and marketing services, subscriptions to our digital and print products, and digital services, primarily through our majority-owned subsidiary, BLOX Digital.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major subscription and advertising platform, a trusted local news provider and innovative, digitally-focused marketing solutions company. Our focus is on the local market - including local news and information, local advertising and marketing services to top local accounts, and digital services to local content curators. To align with the core strength of our Company, our operating strategy is locally focused around three pillars:</w:t>
      </w:r>
    </w:p>
    <w:p>
      <w:pPr>
        <w:spacing w:after="0" w:line="13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 digital audiences by transforming the way we present local news and information.</w:t>
      </w:r>
    </w:p>
    <w:p>
      <w:pPr>
        <w:spacing w:after="0" w:line="1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digital subscription base and revenue through audience growth and continued conversion of our massive digital audiences.</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Diversify and expand offerings for advertisers through our vast array of rapidly growing digital products, our large digitally adept sales force, and Amplified, our full-service digital agency.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30, 2025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March 30, 2025</w:t>
            </w:r>
          </w:p>
        </w:tc>
        <w:tc>
          <w:tcPr>
            <w:tcW w:w="206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March 24, 2024</w:t>
            </w:r>
          </w:p>
        </w:tc>
        <w:tc>
          <w:tcPr>
            <w:tcW w:w="128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35"/>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2600" w:type="dxa"/>
            <w:vAlign w:val="bottom"/>
            <w:tcBorders>
              <w:bottom w:val="single" w:sz="8" w:color="auto"/>
            </w:tcBorders>
            <w:vMerge w:val="continue"/>
          </w:tcPr>
          <w:p>
            <w:pPr>
              <w:spacing w:after="0"/>
              <w:rPr>
                <w:sz w:val="20"/>
                <w:szCs w:val="20"/>
                <w:color w:val="auto"/>
              </w:rPr>
            </w:pPr>
          </w:p>
        </w:tc>
        <w:tc>
          <w:tcPr>
            <w:tcW w:w="206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16,532</w:t>
            </w:r>
          </w:p>
        </w:tc>
        <w:tc>
          <w:tcPr>
            <w:tcW w:w="2060" w:type="dxa"/>
            <w:vAlign w:val="bottom"/>
          </w:tcPr>
          <w:p>
            <w:pPr>
              <w:jc w:val="right"/>
              <w:ind w:right="550"/>
              <w:spacing w:after="0"/>
              <w:rPr>
                <w:sz w:val="20"/>
                <w:szCs w:val="20"/>
                <w:color w:val="auto"/>
              </w:rPr>
            </w:pPr>
            <w:r>
              <w:rPr>
                <w:rFonts w:ascii="Arial" w:cs="Arial" w:eastAsia="Arial" w:hAnsi="Arial"/>
                <w:sz w:val="18"/>
                <w:szCs w:val="18"/>
                <w:color w:val="auto"/>
              </w:rPr>
              <w:t>18,742</w:t>
            </w: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43,941</w:t>
            </w:r>
          </w:p>
        </w:tc>
        <w:tc>
          <w:tcPr>
            <w:tcW w:w="20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45,392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60,473</w:t>
            </w:r>
          </w:p>
        </w:tc>
        <w:tc>
          <w:tcPr>
            <w:tcW w:w="2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64,134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41,079</w:t>
            </w:r>
          </w:p>
        </w:tc>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48,966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23,789</w:t>
            </w:r>
          </w:p>
        </w:tc>
        <w:tc>
          <w:tcPr>
            <w:tcW w:w="2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20,261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64,868</w:t>
            </w:r>
          </w:p>
        </w:tc>
        <w:tc>
          <w:tcPr>
            <w:tcW w:w="20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69,227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7,213</w:t>
            </w:r>
          </w:p>
        </w:tc>
        <w:tc>
          <w:tcPr>
            <w:tcW w:w="2060" w:type="dxa"/>
            <w:vAlign w:val="bottom"/>
          </w:tcPr>
          <w:p>
            <w:pPr>
              <w:jc w:val="right"/>
              <w:ind w:right="550"/>
              <w:spacing w:after="0"/>
              <w:rPr>
                <w:sz w:val="20"/>
                <w:szCs w:val="20"/>
                <w:color w:val="auto"/>
              </w:rPr>
            </w:pPr>
            <w:r>
              <w:rPr>
                <w:rFonts w:ascii="Arial" w:cs="Arial" w:eastAsia="Arial" w:hAnsi="Arial"/>
                <w:sz w:val="18"/>
                <w:szCs w:val="18"/>
                <w:color w:val="auto"/>
              </w:rPr>
              <w:t>8,069</w:t>
            </w: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4,826</w:t>
            </w:r>
          </w:p>
        </w:tc>
        <w:tc>
          <w:tcPr>
            <w:tcW w:w="20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5,120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12,039</w:t>
            </w:r>
          </w:p>
        </w:tc>
        <w:tc>
          <w:tcPr>
            <w:tcW w:w="2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13,189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137,380</w:t>
            </w:r>
          </w:p>
        </w:tc>
        <w:tc>
          <w:tcPr>
            <w:tcW w:w="20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146,550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56,659</w:t>
            </w:r>
          </w:p>
        </w:tc>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56,803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3,111</w:t>
            </w:r>
          </w:p>
        </w:tc>
        <w:tc>
          <w:tcPr>
            <w:tcW w:w="2060" w:type="dxa"/>
            <w:vAlign w:val="bottom"/>
          </w:tcPr>
          <w:p>
            <w:pPr>
              <w:jc w:val="right"/>
              <w:ind w:right="550"/>
              <w:spacing w:after="0"/>
              <w:rPr>
                <w:sz w:val="20"/>
                <w:szCs w:val="20"/>
                <w:color w:val="auto"/>
              </w:rPr>
            </w:pPr>
            <w:r>
              <w:rPr>
                <w:rFonts w:ascii="Arial" w:cs="Arial" w:eastAsia="Arial" w:hAnsi="Arial"/>
                <w:sz w:val="18"/>
                <w:szCs w:val="18"/>
                <w:color w:val="auto"/>
              </w:rPr>
              <w:t>4,162</w:t>
            </w:r>
          </w:p>
        </w:tc>
        <w:tc>
          <w:tcPr>
            <w:tcW w:w="128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71,455</w:t>
            </w:r>
          </w:p>
        </w:tc>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72,294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5,171</w:t>
            </w:r>
          </w:p>
        </w:tc>
        <w:tc>
          <w:tcPr>
            <w:tcW w:w="2060" w:type="dxa"/>
            <w:vAlign w:val="bottom"/>
          </w:tcPr>
          <w:p>
            <w:pPr>
              <w:jc w:val="right"/>
              <w:ind w:right="550"/>
              <w:spacing w:after="0"/>
              <w:rPr>
                <w:sz w:val="20"/>
                <w:szCs w:val="20"/>
                <w:color w:val="auto"/>
              </w:rPr>
            </w:pPr>
            <w:r>
              <w:rPr>
                <w:rFonts w:ascii="Arial" w:cs="Arial" w:eastAsia="Arial" w:hAnsi="Arial"/>
                <w:sz w:val="18"/>
                <w:szCs w:val="18"/>
                <w:color w:val="auto"/>
              </w:rPr>
              <w:t>7,293</w:t>
            </w:r>
          </w:p>
        </w:tc>
        <w:tc>
          <w:tcPr>
            <w:tcW w:w="128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loss (gain) on sales, impairments and other</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126</w:t>
            </w:r>
          </w:p>
        </w:tc>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7,617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6,516</w:t>
            </w:r>
          </w:p>
        </w:tc>
        <w:tc>
          <w:tcPr>
            <w:tcW w:w="2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4,139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57.4 %</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143,038</w:t>
            </w:r>
          </w:p>
        </w:tc>
        <w:tc>
          <w:tcPr>
            <w:tcW w:w="20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152,308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1,155</w:t>
            </w:r>
          </w:p>
        </w:tc>
        <w:tc>
          <w:tcPr>
            <w:tcW w:w="2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1,206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(4,503)</w:t>
            </w:r>
          </w:p>
        </w:tc>
        <w:tc>
          <w:tcPr>
            <w:tcW w:w="20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(4,552)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6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(9,950)</w:t>
            </w:r>
          </w:p>
        </w:tc>
        <w:tc>
          <w:tcPr>
            <w:tcW w:w="20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(10,214)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Pension and OPEB related benefit and other, net</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658</w:t>
            </w:r>
          </w:p>
        </w:tc>
        <w:tc>
          <w:tcPr>
            <w:tcW w:w="2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293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non-operating expense, net</w:t>
            </w:r>
          </w:p>
        </w:tc>
        <w:tc>
          <w:tcPr>
            <w:tcW w:w="2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(9,292)</w:t>
            </w:r>
          </w:p>
        </w:tc>
        <w:tc>
          <w:tcPr>
            <w:tcW w:w="20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(9,921)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600" w:type="dxa"/>
            <w:vAlign w:val="bottom"/>
          </w:tcPr>
          <w:p>
            <w:pPr>
              <w:jc w:val="right"/>
              <w:ind w:right="130"/>
              <w:spacing w:after="0"/>
              <w:rPr>
                <w:sz w:val="20"/>
                <w:szCs w:val="20"/>
                <w:color w:val="auto"/>
              </w:rPr>
            </w:pPr>
            <w:r>
              <w:rPr>
                <w:rFonts w:ascii="Arial" w:cs="Arial" w:eastAsia="Arial" w:hAnsi="Arial"/>
                <w:sz w:val="18"/>
                <w:szCs w:val="18"/>
                <w:color w:val="auto"/>
              </w:rPr>
              <w:t>(13,795)</w:t>
            </w: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(14,473)</w:t>
            </w:r>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(1,780)</w:t>
            </w:r>
          </w:p>
        </w:tc>
        <w:tc>
          <w:tcPr>
            <w:tcW w:w="20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(2,837)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w:t>
            </w:r>
          </w:p>
        </w:tc>
        <w:tc>
          <w:tcPr>
            <w:tcW w:w="2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(12,015)</w:t>
            </w:r>
          </w:p>
        </w:tc>
        <w:tc>
          <w:tcPr>
            <w:tcW w:w="2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(11,636)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Loss per common share:</w:t>
            </w:r>
          </w:p>
        </w:tc>
        <w:tc>
          <w:tcPr>
            <w:tcW w:w="26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(2.07)</w:t>
            </w:r>
          </w:p>
        </w:tc>
        <w:tc>
          <w:tcPr>
            <w:tcW w:w="20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2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(2.07)</w:t>
            </w:r>
          </w:p>
        </w:tc>
        <w:tc>
          <w:tcPr>
            <w:tcW w:w="2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the “2025 Quarter” refer to the three months ended March 30, 2025. Similarly, references to the “2024 Quarter” refer to the three months ended March 24, 2024.</w:t>
      </w:r>
    </w:p>
    <w:p>
      <w:pPr>
        <w:spacing w:after="0" w:line="12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$137.4 million in the 2025 Quarter, down $9.2 million, or 6.3%, compared to the 2024 Quarter.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and marketing services revenue totaled $60.5 million in the 2025 Quarter, down 5.7% compared to the 2024 Quarter. Print advertising revenues were $16.5 million in the 2025 Quarter, down 11.8% compared to the 2024 Quarter due to continued secular declines in demand for print advertising and impacts from the Cyber Incident, which limited capacity for print advertising for certain publications for a short period of time. Digital advertising and marketing services totaled $43.9 million in the 2025 Quarter, down 3.2% compared to the 2024 Quarter. Digital advertising and marketing services represented 72.7% of the 2025 Quarter total advertising and marketing services revenue, compared to 70.8% in the same period last year.</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Subscription revenue totaled $64.9 million in the 2025 Quarter, down 6.3% compared to the 2024 Quarter. Decline in full access volume, consistent with historical and industry trends were partially offset by selective increases on our full access subscriptions, growth in digital-only subscribers and price increases on digital subscriptions. Digital-only subscribers now total 728,000. Digital-only subscription revenue grew 17.4% compared to the 2024 Quarter.</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revenue, which primarily consists of commercial printing revenue and digital services from BLOX Digital, decreased $1.2 million, or 8.7%, in the 2025 Quarter compared to the 2024 Quarter. Digital services revenue totaled $ 4.8 million in the 2025 Quarter, a 5.7% decrease compared to the 2024 Quarter. Commercial printing revenue totaled $3.8 million in the 2025 Quarter, a 8.5% decrease compared to the 2024 Quarter, primarily driven by reduction in print volumes from our partners.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$72.6 million in the 2025 Quarter, an increase of 2.5% over the 2024 Quarter, and represented 52.8% of our total operating revenue in the 2025 Quarter.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$0.1 million in the 2025 Quarter.</w:t>
      </w:r>
    </w:p>
    <w:p>
      <w:pPr>
        <w:spacing w:after="0" w:line="18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operating expenses were $143.0 million in the 2025 Quarter, a 6.1% decrease compared to the 2024 Quarter. Cash Costs, a non-GAAP financial measure used to summarize certain operating expense (see reconciliation of Non-GAAP financial measures below), were down 1.5% in the 2025 Quarter.</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Compensation expense decreased $0.1 million in the 2025 Quarter, or 0.3%, compared to the 2024 Quarter from reductions in full time employees ("FTEs") due to continued business transformation efforts, partially offset by investments in digital talent and higher expenses related to the Company's self-insured medical plan.</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Newsprint and ink costs decreased $1.1 million in the 2025 Quarter, or 25.3%, compared to the 2024 Quarter. The decrease is attributable to declines in newsprint volumes.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operating expenses decreased $0.8 million in the 2025 Quarter, or 1.2%, compared to the 2024 Quarter. Other operating expenses include all operating costs not considered to be compensation, newsprint, depreciation and amortization, or restructuring costs and assets loss on sales, impairments, and other, net. The largest components are costs associated with printing and distribution of our printed products, digital cost of goods sold and facility expenses. The decrease is attributable to lower delivery and other print-related costs due to lower volumes of our print edition, partially offset by investments to fund our digital growth strategy.</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Restructuring costs and other increased $2.4 million, or 57.4%, compared to the 2024 Quarter. The increase is primarily driven from costs associated with recovering from the Cyber Incident, closing down outsourced production facilities, ongoing business transformation efforts, and severance. Restructuring costs and other include severance costs, litigation expenses, restructuring expenses, cyber restoration costs, and advisor expenses.</w:t>
      </w:r>
    </w:p>
    <w:p>
      <w:pPr>
        <w:spacing w:after="0" w:line="1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Depreciation and amortization expense decreased $2.1 million, or 29.1%, in the 2025 Quarter. The decrease in both is attributable to assets becoming fully depreciated or amortized.</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Assets loss (gain) on sales, impairments and other, was a net loss of $0.1 million in the 2025 Quarter compared to a net gain of $7.6 million in the 2024 Quarter. Assets loss (gain) on sales, impairments and other in the 2024 Quarter were primarily due to non-cash charges of $7.6 million that were recorded to reduce the carrying value of mastheads, which are non-amortized intangible assets.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an operating loss of $4.5 million in the 2025 Quarter compared to $4.6 million in the 2024 Quarter.</w:t>
      </w:r>
    </w:p>
    <w:p>
      <w:pPr>
        <w:spacing w:after="0" w:line="19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Non-operating Income and Expense</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Non-operating income and expense decreased by $0.6 million</w:t>
      </w:r>
      <w:r>
        <w:rPr>
          <w:rFonts w:ascii="Arial" w:cs="Arial" w:eastAsia="Arial" w:hAnsi="Arial"/>
          <w:sz w:val="21"/>
          <w:szCs w:val="21"/>
          <w:color w:val="auto"/>
        </w:rPr>
        <w:t>, or</w:t>
      </w:r>
      <w:r>
        <w:rPr>
          <w:rFonts w:ascii="Arial" w:cs="Arial" w:eastAsia="Arial" w:hAnsi="Arial"/>
          <w:sz w:val="18"/>
          <w:szCs w:val="18"/>
          <w:color w:val="auto"/>
        </w:rPr>
        <w:t xml:space="preserve"> 6.3%. The decrease is primarily driven by a decrease in Interest expense of $0.3 million, or 2.6%, to $10.0 million in the 2025 Quarter, compared to the same Quarter last year. The decrease was due to a lower average outstanding balance on our Term Loan. Our weighted average cost of debt was 9% at the end of the 2025 Quarter and 2024 Quarter.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Benefit</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recorded an income tax benefit of $1.8 million, or 12.9% of pretax loss in the 2025 Quarter. In the 2024 Quarter, we recognized an income tax benefit of $2.8 million, or 19.6% of pretax loss.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loss and Loss Per Share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loss was $12.0 million and diluted loss per share were $2.07 for the 2025 Quarter compared to net loss of $11.6 million and diluted losses per share of $2.06 for the 2024 Quarter. The change reflects the various items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March 30,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26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March 30, 2025</w:t>
            </w:r>
          </w:p>
        </w:tc>
        <w:tc>
          <w:tcPr>
            <w:tcW w:w="1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March 24, 2024</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Percent Change</w:t>
            </w:r>
          </w:p>
        </w:tc>
      </w:tr>
      <w:tr>
        <w:trPr>
          <w:trHeight w:val="250"/>
        </w:trPr>
        <w:tc>
          <w:tcPr>
            <w:tcW w:w="53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36,393</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43,177</w:t>
            </w:r>
          </w:p>
        </w:tc>
        <w:tc>
          <w:tcPr>
            <w:tcW w:w="16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5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90,670</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91,844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127,063</w:t>
            </w: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135,021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84,511</w:t>
            </w:r>
          </w:p>
        </w:tc>
        <w:tc>
          <w:tcPr>
            <w:tcW w:w="1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100,838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45,354</w:t>
            </w: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39,728</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14.2 %</w:t>
            </w: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129,865</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140,566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15,101</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16,561</w:t>
            </w:r>
          </w:p>
        </w:tc>
        <w:tc>
          <w:tcPr>
            <w:tcW w:w="16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5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9,913</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10,080</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25,014</w:t>
            </w: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26,641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281,942</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302,228</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116,913</w:t>
            </w:r>
          </w:p>
        </w:tc>
        <w:tc>
          <w:tcPr>
            <w:tcW w:w="1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116,479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6,727</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9,005</w:t>
            </w:r>
          </w:p>
        </w:tc>
        <w:tc>
          <w:tcPr>
            <w:tcW w:w="16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146,135</w:t>
            </w:r>
          </w:p>
        </w:tc>
        <w:tc>
          <w:tcPr>
            <w:tcW w:w="1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147,070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11,436</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14,588</w:t>
            </w:r>
          </w:p>
        </w:tc>
        <w:tc>
          <w:tcPr>
            <w:tcW w:w="16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loss (gain) on sales, impairments and other</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(803)</w:t>
            </w:r>
          </w:p>
        </w:tc>
        <w:tc>
          <w:tcPr>
            <w:tcW w:w="1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6,148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11,666</w:t>
            </w: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8,404</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292,074</w:t>
            </w:r>
          </w:p>
        </w:tc>
        <w:tc>
          <w:tcPr>
            <w:tcW w:w="1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301,694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2,277</w:t>
            </w:r>
          </w:p>
        </w:tc>
        <w:tc>
          <w:tcPr>
            <w:tcW w:w="1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2,747</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(7,855)</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3,281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(20,232)</w:t>
            </w:r>
          </w:p>
        </w:tc>
        <w:tc>
          <w:tcPr>
            <w:tcW w:w="1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(20,345)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Pension and OPEB related benefit and other, net</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1,311</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479</w:t>
            </w:r>
          </w:p>
        </w:tc>
        <w:tc>
          <w:tcPr>
            <w:tcW w:w="16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Curtailment/Settlement gains</w:t>
            </w:r>
          </w:p>
        </w:tc>
        <w:tc>
          <w:tcPr>
            <w:tcW w:w="2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3,593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2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(18,921)</w:t>
            </w:r>
          </w:p>
        </w:tc>
        <w:tc>
          <w:tcPr>
            <w:tcW w:w="1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(16,273)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16.3 %</w:t>
            </w: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(26,776)</w:t>
            </w:r>
          </w:p>
        </w:tc>
        <w:tc>
          <w:tcPr>
            <w:tcW w:w="1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(12,992)</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1,463</w:t>
            </w:r>
          </w:p>
        </w:tc>
        <w:tc>
          <w:tcPr>
            <w:tcW w:w="1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(2,589)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(28,239)</w:t>
            </w:r>
          </w:p>
        </w:tc>
        <w:tc>
          <w:tcPr>
            <w:tcW w:w="1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(10,403)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70"/>
        </w:trPr>
        <w:tc>
          <w:tcPr>
            <w:tcW w:w="530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common share:</w:t>
            </w:r>
          </w:p>
        </w:tc>
        <w:tc>
          <w:tcPr>
            <w:tcW w:w="26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Basic</w:t>
            </w:r>
          </w:p>
        </w:tc>
        <w:tc>
          <w:tcPr>
            <w:tcW w:w="2600" w:type="dxa"/>
            <w:vAlign w:val="bottom"/>
          </w:tcPr>
          <w:p>
            <w:pPr>
              <w:jc w:val="right"/>
              <w:ind w:right="130"/>
              <w:spacing w:after="0"/>
              <w:rPr>
                <w:sz w:val="20"/>
                <w:szCs w:val="20"/>
                <w:color w:val="auto"/>
              </w:rPr>
            </w:pPr>
            <w:r>
              <w:rPr>
                <w:rFonts w:ascii="Arial" w:cs="Arial" w:eastAsia="Arial" w:hAnsi="Arial"/>
                <w:sz w:val="18"/>
                <w:szCs w:val="18"/>
                <w:color w:val="auto"/>
              </w:rPr>
              <w:t>(4.87)</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(1.94)</w:t>
            </w:r>
          </w:p>
        </w:tc>
        <w:tc>
          <w:tcPr>
            <w:tcW w:w="1600" w:type="dxa"/>
            <w:vAlign w:val="bottom"/>
          </w:tcPr>
          <w:p>
            <w:pPr>
              <w:jc w:val="right"/>
              <w:spacing w:after="0"/>
              <w:rPr>
                <w:sz w:val="20"/>
                <w:szCs w:val="20"/>
                <w:color w:val="auto"/>
              </w:rPr>
            </w:pPr>
            <w:r>
              <w:rPr>
                <w:rFonts w:ascii="Arial" w:cs="Arial" w:eastAsia="Arial" w:hAnsi="Arial"/>
                <w:sz w:val="18"/>
                <w:szCs w:val="18"/>
                <w:color w:val="auto"/>
              </w:rPr>
              <w:t>150.4 %</w:t>
            </w:r>
          </w:p>
        </w:tc>
      </w:tr>
      <w:tr>
        <w:trPr>
          <w:trHeight w:val="230"/>
        </w:trPr>
        <w:tc>
          <w:tcPr>
            <w:tcW w:w="5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(4.87)</w:t>
            </w:r>
          </w:p>
        </w:tc>
        <w:tc>
          <w:tcPr>
            <w:tcW w:w="17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(1.94)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150.4 %</w:t>
            </w:r>
          </w:p>
        </w:tc>
      </w:tr>
    </w:tbl>
    <w:p>
      <w:pPr>
        <w:spacing w:after="0" w:line="25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References to the “2025 Period” refer to the six months ended March 30, 2025. Similarly, references to the “2024 Period” refer to the six months ended March 24, 2024.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$281.9 million in the 2025 Period, down $20.3 million, or 6.7%, compared to the 2024 Period.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and marketing services revenue totaled $127.1 million in the 2025 Period, down 5.9% compared to the 2024 Period. Print advertising revenues were $36.4 million in the 2025 Period, down 15.7% compared to the 2024 Period due to continued secular declines in demand for print advertising and impacts from the Cyber Incident, which limited capacity for print advertising for certain publications for a short period of time. Digital advertising and marketing services totaled $ 90.7 million in the 2025 Period, down 1.3% compared to the 2024 Period. Digital advertising and marketing services represented 71.4% of the 2025 Period total advertising and marketing services revenue, compared to 68.0% during the 2024 Period.</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Subscription revenue totaled $129.9 million in the 2025 Period, down 7.6% compared to the 2024 Period. Decline in full access volume, consistent with historical and industry trends were partially offset by selective increases on our full access subscriptions, growth in digital-only subscribers and price increases on digital subscriptions. Digital-only subscribers now total 728,000. Digital-only subscription revenue grew 14.2% compared to the 2024 Period.</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revenue, which primarily consists of commercial printing revenue and digital services from BLOX Digital, decreased $1.6 million, or 6.1%, in the 2025 Period compared to the 2024 Period. Digital services revenue totaled $9.9 million in the 2025 Period, a 1.7% decrease compared to the 2024 Period. Commercial printing revenue totaled $7.9 million in the 2025 Period, a 9.2% decrease compared to the 2024 Period, primarily driven by reductions in print volumes from our partners.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$ 145.9 million in the 2025 Period, an increase of 3.0% over the 2024 Period, and represented 51.8% of our total operating revenue in the 2025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increased $0.5 million in the 2025 Period.</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Total operating expenses were $292.1 million in the 2025 Period, a 3.2% decrease compared to the 2024 Period. Cash Costs, a non-GAAP financial measure used to summarize certain operating expense (see reconciliation of Non-GAAP financial measures below), were down 1.0% in the 2025 Period.</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Compensation expense increased $0.4 million in the 2025 Period, or 0.4%, compared to the 2024 Period due to higher expenses related to the Company's self-insured medical plan, investments in digital talent, partially offset by reductions in full time employees ("FTEs") due to continued business transformation efforts.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Newsprint and ink costs decreased $2.3 million in the 2025 Period, or 25.3%, compared to the 2024 Period. The decrease is attributable to declines in newsprint volumes.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operating expenses decreased $0.9 million in the 2025 Period, or 0.6%, compared to the 2024 Period. Other operating expenses include all operating costs not considered to be compensation, newsprint, depreciation and amortization, or restructuring costs and assets loss (gain) on sales, impairments, and other, net. The largest components are costs associated with printing and distribution of our printed products, digital cost of goods sold and facility expenses. The decrease is attributable to lower delivery and other print-related costs due to lower volumes of our print edition, partially increases in investments to fund our digital growth strategy partially offset by investments to fund our digital growth strategy.</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Restructuring costs and other increased $3.3 million in the 2025 Period, compared to the 2024 Period. The increase is primarily driven from costs associated with recovering from the Cyber Incident, closing down outsourced production facilities, ongoing business transformation efforts, and severance. Restructuring costs and other include severance costs, litigation expenses, restructuring expenses, cyber restoration costs, and advisor expenses.</w:t>
      </w:r>
    </w:p>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Depreciation and amortization expense decreased $3.2 million in the 2025 Period, or 21.6%, compared to the 2024 Period. The decrease in both is attributable to assets becoming fully depreciated or amortized.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Assets loss (gain) on sales, impairments and other, was a net gain of $0.8 million in the 2025 Period compared to a net loss of $6.1 million in the 2024 Period. Assets loss (gain) on sales, impairments and other in the 2024 Period were primarily due to non-cash charges of $7.6 million that were recorded to reduce the carrying value of mastheads, which are non-amortized intangible assets. Assets gain on sales, impairments and other in the 2025 Period were the result of the disposition of non-core assets, including real estate.</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factors noted above resulted in an operating loss of $7.9 million in the 2025 Period compared to operating income of $3.3 million in the 2024 Period.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decreased $0.1 million, or 0.6%, to $20.2 million in the 2025 Period, compared to the same period last year. The decrease was due to a lower average outstanding balance on our Term Loan. Our weighted average cost of debt was 9.0% at the end of the 2025 Period and 2024 Period.</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We recorded $1.5 million of periodic pension and other postretirement benefits in the 2025 Period compared to $4.3 million in the 2024 Period. The decrease was attributable due to the Company recognizing a non-cash curtailment gain of $1.2 million in the 2024 Period as a result of outsourcing certain postemployment defined benefit plan functions. Additionally, during the 2024 Period, the Company completed a voluntary lump sum payment of future benefits to terminated vested participants. The offer was accepted by 522 participants, representing a $ 22.6 million pension plan liability. As a result of the offer, a non-cash settlement gain of $2.4 million was recorded in Curtailment/Settlement gain on the Consolidated Statements of Loss and Comprehensive Loss. Both assets and liabilities of the plan were reduced by $22.6 million.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Benefit</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an income tax expense of $1.5 million, or 5.5% of pretax loss in the 2025 Period. In the 2024 Period, we recognized an income tax benefit of $2.6 million, or 19.9% of pretax loss.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loss and Loss Per Share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loss was $28.2 million and diluted loss per share were $4.87 for the 2025 Period compared to net loss of $10.4 million and diluted losses per share of $1.94 for the 2024 Period. The change reflects the various items discussed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one-time transactions. Adjusted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Adjusted EBITDA and Cash Costs are reconciled to net income (loss) and operating expenses, below, the closest comparable numbers under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4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2"/>
          </w:tcPr>
          <w:p>
            <w:pPr>
              <w:jc w:val="right"/>
              <w:ind w:right="810"/>
              <w:spacing w:after="0"/>
              <w:rPr>
                <w:sz w:val="20"/>
                <w:szCs w:val="20"/>
                <w:color w:val="auto"/>
              </w:rPr>
            </w:pPr>
            <w:r>
              <w:rPr>
                <w:rFonts w:ascii="Arial" w:cs="Arial" w:eastAsia="Arial" w:hAnsi="Arial"/>
                <w:sz w:val="18"/>
                <w:szCs w:val="18"/>
                <w:color w:val="auto"/>
              </w:rPr>
              <w:t>Three months ended</w:t>
            </w:r>
          </w:p>
        </w:tc>
        <w:tc>
          <w:tcPr>
            <w:tcW w:w="3040" w:type="dxa"/>
            <w:vAlign w:val="bottom"/>
            <w:tcBorders>
              <w:top w:val="single" w:sz="8" w:color="auto"/>
              <w:bottom w:val="single" w:sz="8" w:color="auto"/>
            </w:tcBorders>
            <w:gridSpan w:val="2"/>
          </w:tcPr>
          <w:p>
            <w:pPr>
              <w:jc w:val="right"/>
              <w:ind w:right="790"/>
              <w:spacing w:after="0"/>
              <w:rPr>
                <w:sz w:val="20"/>
                <w:szCs w:val="20"/>
                <w:color w:val="auto"/>
              </w:rPr>
            </w:pPr>
            <w:r>
              <w:rPr>
                <w:rFonts w:ascii="Arial" w:cs="Arial" w:eastAsia="Arial" w:hAnsi="Arial"/>
                <w:sz w:val="18"/>
                <w:szCs w:val="18"/>
                <w:color w:val="auto"/>
              </w:rPr>
              <w:t>Six months ended</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March 30, 2025</w:t>
            </w: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March 24, 2024</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March 30, 2025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24, 2024</w:t>
            </w:r>
          </w:p>
        </w:tc>
      </w:tr>
      <w:tr>
        <w:trPr>
          <w:trHeight w:val="250"/>
        </w:trPr>
        <w:tc>
          <w:tcPr>
            <w:tcW w:w="48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(12,015)</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(11,636)</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(28,239)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Adjusted to exclude</w:t>
            </w:r>
          </w:p>
        </w:tc>
        <w:tc>
          <w:tcPr>
            <w:tcW w:w="17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 expense</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(1,780)</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(2,837)</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1,463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Non-operating expenses, net</w:t>
            </w:r>
          </w:p>
        </w:tc>
        <w:tc>
          <w:tcPr>
            <w:tcW w:w="1780" w:type="dxa"/>
            <w:vAlign w:val="bottom"/>
          </w:tcPr>
          <w:p>
            <w:pPr>
              <w:jc w:val="right"/>
              <w:ind w:right="150"/>
              <w:spacing w:after="0"/>
              <w:rPr>
                <w:sz w:val="20"/>
                <w:szCs w:val="20"/>
                <w:color w:val="auto"/>
              </w:rPr>
            </w:pPr>
            <w:r>
              <w:rPr>
                <w:rFonts w:ascii="Arial" w:cs="Arial" w:eastAsia="Arial" w:hAnsi="Arial"/>
                <w:sz w:val="18"/>
                <w:szCs w:val="18"/>
                <w:color w:val="auto"/>
              </w:rPr>
              <w:t>9,292</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9,921</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18,921</w:t>
            </w:r>
          </w:p>
        </w:tc>
        <w:tc>
          <w:tcPr>
            <w:tcW w:w="1440" w:type="dxa"/>
            <w:vAlign w:val="bottom"/>
          </w:tcPr>
          <w:p>
            <w:pPr>
              <w:jc w:val="right"/>
              <w:spacing w:after="0"/>
              <w:rPr>
                <w:sz w:val="20"/>
                <w:szCs w:val="20"/>
                <w:color w:val="auto"/>
              </w:rPr>
            </w:pPr>
            <w:r>
              <w:rPr>
                <w:rFonts w:ascii="Arial" w:cs="Arial" w:eastAsia="Arial" w:hAnsi="Arial"/>
                <w:sz w:val="18"/>
                <w:szCs w:val="18"/>
                <w:color w:val="auto"/>
              </w:rPr>
              <w:t>16,273</w:t>
            </w: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TNI and MNI</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(1,155)</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(1,206)</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(2,277)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780" w:type="dxa"/>
            <w:vAlign w:val="bottom"/>
          </w:tcPr>
          <w:p>
            <w:pPr>
              <w:jc w:val="right"/>
              <w:ind w:right="150"/>
              <w:spacing w:after="0"/>
              <w:rPr>
                <w:sz w:val="20"/>
                <w:szCs w:val="20"/>
                <w:color w:val="auto"/>
              </w:rPr>
            </w:pPr>
            <w:r>
              <w:rPr>
                <w:rFonts w:ascii="Arial" w:cs="Arial" w:eastAsia="Arial" w:hAnsi="Arial"/>
                <w:sz w:val="18"/>
                <w:szCs w:val="18"/>
                <w:color w:val="auto"/>
              </w:rPr>
              <w:t>5,171</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7,293</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11,436</w:t>
            </w:r>
          </w:p>
        </w:tc>
        <w:tc>
          <w:tcPr>
            <w:tcW w:w="1440" w:type="dxa"/>
            <w:vAlign w:val="bottom"/>
          </w:tcPr>
          <w:p>
            <w:pPr>
              <w:jc w:val="right"/>
              <w:spacing w:after="0"/>
              <w:rPr>
                <w:sz w:val="20"/>
                <w:szCs w:val="20"/>
                <w:color w:val="auto"/>
              </w:rPr>
            </w:pPr>
            <w:r>
              <w:rPr>
                <w:rFonts w:ascii="Arial" w:cs="Arial" w:eastAsia="Arial" w:hAnsi="Arial"/>
                <w:sz w:val="18"/>
                <w:szCs w:val="18"/>
                <w:color w:val="auto"/>
              </w:rPr>
              <w:t>14,588</w:t>
            </w: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1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6,516</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4,139</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11,666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w:t>
            </w: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Assets loss (gain) on sales, impairments and other, net</w:t>
            </w:r>
          </w:p>
        </w:tc>
        <w:tc>
          <w:tcPr>
            <w:tcW w:w="1780" w:type="dxa"/>
            <w:vAlign w:val="bottom"/>
          </w:tcPr>
          <w:p>
            <w:pPr>
              <w:jc w:val="right"/>
              <w:ind w:right="150"/>
              <w:spacing w:after="0"/>
              <w:rPr>
                <w:sz w:val="20"/>
                <w:szCs w:val="20"/>
                <w:color w:val="auto"/>
              </w:rPr>
            </w:pPr>
            <w:r>
              <w:rPr>
                <w:rFonts w:ascii="Arial" w:cs="Arial" w:eastAsia="Arial" w:hAnsi="Arial"/>
                <w:sz w:val="18"/>
                <w:szCs w:val="18"/>
                <w:color w:val="auto"/>
              </w:rPr>
              <w:t>126</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7,617</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(803)</w:t>
            </w:r>
          </w:p>
        </w:tc>
        <w:tc>
          <w:tcPr>
            <w:tcW w:w="1440" w:type="dxa"/>
            <w:vAlign w:val="bottom"/>
          </w:tcPr>
          <w:p>
            <w:pPr>
              <w:jc w:val="right"/>
              <w:spacing w:after="0"/>
              <w:rPr>
                <w:sz w:val="20"/>
                <w:szCs w:val="20"/>
                <w:color w:val="auto"/>
              </w:rPr>
            </w:pPr>
            <w:r>
              <w:rPr>
                <w:rFonts w:ascii="Arial" w:cs="Arial" w:eastAsia="Arial" w:hAnsi="Arial"/>
                <w:sz w:val="18"/>
                <w:szCs w:val="18"/>
                <w:color w:val="auto"/>
              </w:rPr>
              <w:t>6,148</w:t>
            </w: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1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358</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501</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Add:</w:t>
            </w:r>
          </w:p>
        </w:tc>
        <w:tc>
          <w:tcPr>
            <w:tcW w:w="17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Ownership share of TNI and MNI EBITDA (50%)</w:t>
            </w:r>
          </w:p>
        </w:tc>
        <w:tc>
          <w:tcPr>
            <w:tcW w:w="1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1,255</w:t>
            </w: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1,269</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w:t>
            </w:r>
          </w:p>
        </w:tc>
        <w:tc>
          <w:tcPr>
            <w:tcW w:w="1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7,768</w:t>
            </w: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15,061</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15,377</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33,710</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902"/>
        </w:trPr>
        <w:tc>
          <w:tcPr>
            <w:tcW w:w="4840" w:type="dxa"/>
            <w:vAlign w:val="bottom"/>
          </w:tcPr>
          <w:p>
            <w:pPr>
              <w:spacing w:after="0"/>
              <w:rPr>
                <w:sz w:val="24"/>
                <w:szCs w:val="24"/>
                <w:color w:val="auto"/>
              </w:rPr>
            </w:pPr>
          </w:p>
        </w:tc>
        <w:tc>
          <w:tcPr>
            <w:tcW w:w="1780" w:type="dxa"/>
            <w:vAlign w:val="bottom"/>
          </w:tcPr>
          <w:p>
            <w:pPr>
              <w:jc w:val="right"/>
              <w:ind w:right="810"/>
              <w:spacing w:after="0"/>
              <w:rPr>
                <w:sz w:val="20"/>
                <w:szCs w:val="20"/>
                <w:color w:val="auto"/>
              </w:rPr>
            </w:pPr>
            <w:r>
              <w:rPr>
                <w:rFonts w:ascii="Arial" w:cs="Arial" w:eastAsia="Arial" w:hAnsi="Arial"/>
                <w:sz w:val="18"/>
                <w:szCs w:val="18"/>
                <w:color w:val="auto"/>
              </w:rPr>
              <w:t>22</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1"/>
        </w:trPr>
        <w:tc>
          <w:tcPr>
            <w:tcW w:w="48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reconciles the non-GAAP financial performance measure of Cash Costs to Operating expenses, the most directly comparable GAAP measure: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4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2"/>
          </w:tcPr>
          <w:p>
            <w:pPr>
              <w:jc w:val="right"/>
              <w:ind w:right="810"/>
              <w:spacing w:after="0"/>
              <w:rPr>
                <w:sz w:val="20"/>
                <w:szCs w:val="20"/>
                <w:color w:val="auto"/>
              </w:rPr>
            </w:pPr>
            <w:r>
              <w:rPr>
                <w:rFonts w:ascii="Arial" w:cs="Arial" w:eastAsia="Arial" w:hAnsi="Arial"/>
                <w:sz w:val="18"/>
                <w:szCs w:val="18"/>
                <w:color w:val="auto"/>
              </w:rPr>
              <w:t>Three months ended</w:t>
            </w:r>
          </w:p>
        </w:tc>
        <w:tc>
          <w:tcPr>
            <w:tcW w:w="3040" w:type="dxa"/>
            <w:vAlign w:val="bottom"/>
            <w:tcBorders>
              <w:top w:val="single" w:sz="8" w:color="auto"/>
              <w:bottom w:val="single" w:sz="8" w:color="auto"/>
            </w:tcBorders>
            <w:gridSpan w:val="2"/>
          </w:tcPr>
          <w:p>
            <w:pPr>
              <w:jc w:val="right"/>
              <w:ind w:right="790"/>
              <w:spacing w:after="0"/>
              <w:rPr>
                <w:sz w:val="20"/>
                <w:szCs w:val="20"/>
                <w:color w:val="auto"/>
              </w:rPr>
            </w:pPr>
            <w:r>
              <w:rPr>
                <w:rFonts w:ascii="Arial" w:cs="Arial" w:eastAsia="Arial" w:hAnsi="Arial"/>
                <w:sz w:val="18"/>
                <w:szCs w:val="18"/>
                <w:color w:val="auto"/>
              </w:rPr>
              <w:t>Six months ended</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March 30, 2025</w:t>
            </w: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March 24, 2024</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March 30, 2025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24, 2024</w:t>
            </w:r>
          </w:p>
        </w:tc>
      </w:tr>
      <w:tr>
        <w:trPr>
          <w:trHeight w:val="250"/>
        </w:trPr>
        <w:tc>
          <w:tcPr>
            <w:tcW w:w="48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143,038</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152,308</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292,074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301,694</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7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5,171</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7,293</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11,436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14,588</w:t>
            </w: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Assets loss (gain) on sales, impairments and other, net</w:t>
            </w:r>
          </w:p>
        </w:tc>
        <w:tc>
          <w:tcPr>
            <w:tcW w:w="1780" w:type="dxa"/>
            <w:vAlign w:val="bottom"/>
          </w:tcPr>
          <w:p>
            <w:pPr>
              <w:jc w:val="right"/>
              <w:ind w:right="150"/>
              <w:spacing w:after="0"/>
              <w:rPr>
                <w:sz w:val="20"/>
                <w:szCs w:val="20"/>
                <w:color w:val="auto"/>
              </w:rPr>
            </w:pPr>
            <w:r>
              <w:rPr>
                <w:rFonts w:ascii="Arial" w:cs="Arial" w:eastAsia="Arial" w:hAnsi="Arial"/>
                <w:sz w:val="18"/>
                <w:szCs w:val="18"/>
                <w:color w:val="auto"/>
              </w:rPr>
              <w:t>126</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7,617</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(803)</w:t>
            </w:r>
          </w:p>
        </w:tc>
        <w:tc>
          <w:tcPr>
            <w:tcW w:w="1440" w:type="dxa"/>
            <w:vAlign w:val="bottom"/>
          </w:tcPr>
          <w:p>
            <w:pPr>
              <w:jc w:val="right"/>
              <w:spacing w:after="0"/>
              <w:rPr>
                <w:sz w:val="20"/>
                <w:szCs w:val="20"/>
                <w:color w:val="auto"/>
              </w:rPr>
            </w:pPr>
            <w:r>
              <w:rPr>
                <w:rFonts w:ascii="Arial" w:cs="Arial" w:eastAsia="Arial" w:hAnsi="Arial"/>
                <w:sz w:val="18"/>
                <w:szCs w:val="18"/>
                <w:color w:val="auto"/>
              </w:rPr>
              <w:t>6,148</w:t>
            </w:r>
          </w:p>
        </w:tc>
      </w:tr>
      <w:tr>
        <w:trPr>
          <w:trHeight w:val="229"/>
        </w:trPr>
        <w:tc>
          <w:tcPr>
            <w:tcW w:w="4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17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6,516</w:t>
            </w: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4,139</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11,666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8,404</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Costs</w:t>
            </w:r>
          </w:p>
        </w:tc>
        <w:tc>
          <w:tcPr>
            <w:tcW w:w="1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131,225</w:t>
            </w: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133,259</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269,775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272,554</w:t>
            </w:r>
          </w:p>
        </w:tc>
      </w:tr>
      <w:tr>
        <w:trPr>
          <w:trHeight w:val="21"/>
        </w:trPr>
        <w:tc>
          <w:tcPr>
            <w:tcW w:w="48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cash flows is included in the narrative below.</w:t>
      </w:r>
    </w:p>
    <w:p>
      <w:pPr>
        <w:spacing w:after="0" w:line="18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Operating Activities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required for operating activities totaled $8.1 million in the 2025 Period compared to cash provided by operating activities of $3.3 million in 2024 Period, a decrease of $11.4 million. The decrease was primarily driven by a decrease in operating results of $23.4 million (defined as net loss adjusted for non-working capital items), partially offset by non-cash interest expense of $6.8 million and an increase in working capital of $5.2 million. The increase in working capital is primarily related to the cyber incident, which increased both accounts payable and accounts receivable.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provided by investing activities totaled $3.2 million in the 2025 Period compared to cash provided by investing activities of $ 0.2 million in the 2024 Period. 2025 Period and 2024 Period included $6.1 million and $3.2 million, respectively, in proceeds from the sale of assets as the Company divested non-core real estate.</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anticipate that funds necessary for capital expenditures, which are expected to total up to $7.0 million in 2025, and other requirements, will be available from internally generated funds.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provided by or required for financing activities totaled zero in the 2025 Period compared to $1.9 million required in the 2024 Period. The Debt reduction accounted for nearly all the usage of funds in the 2024 Period.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on Liquidity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liquidity, consisting of cash on the balance sheet, totaled $4.7 million on March 30, 2025. This liquidity amount excludes any future cash flows from operations. For the six months ending March 30, 2025, cash required for operating activities totaled $8.1 million. The current operating environment, business transformation spending, and impacts from the Cyber Incident have reduced net cash flows and put pressure on the Company's liquidity. In response to the current challenges, the Company has implemented specific plans to maintain sufficient liquidity for the foreseeable future.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plan includes reducing operating and capital spending and reducing outstanding accounts receivable. Reductions in operating expenses and capital spending largely impact the Company's print businesses and future products that are not generating revenue today. The Company's working capital was impacted by the Cyber Incident, as statements to customers were delayed and collection efforts were challenged. The Company expects improved collections as we recover from the Cyber Incident. In addition to these tactics, the Company was granted waivers of interest and rent for three months, two of which are already reflected in the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Notwithstanding the aforementioned waivers of interest and rent, and considering the plans outlined above, we expect all interest and principal payments due in the next twelve months will be satisfied by existing cash and our cash flows, which will allow us to maintain an adequate level of liquidity.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are paid more than the current United States or state minimum wage rates. However, until changes to such rates are enacted, the impact of the changes cannot be determined.</w:t>
      </w:r>
    </w:p>
    <w:p>
      <w:pPr>
        <w:spacing w:after="0" w:line="13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13 weeks ended March 30, 2025 that have materially affected, or are reasonably likely to materially affect, our internal control over financial reporting.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0" w:lineRule="exact"/>
        <w:rPr>
          <w:sz w:val="20"/>
          <w:szCs w:val="20"/>
          <w:color w:val="auto"/>
        </w:rPr>
      </w:pPr>
    </w:p>
    <w:p>
      <w:pPr>
        <w:spacing w:after="0" w:line="39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2024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Incident</w:t>
      </w:r>
    </w:p>
    <w:p>
      <w:pPr>
        <w:spacing w:after="0" w:line="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February 3, 2025, the Company experienced a systems outage caused by a cybersecurity attack by threat actors who unlawfully accessed the Company's network, encrypted critical applications, and exfiltrated certain files (the "Cyber Incident"). Upon discovery, the Company promptly activated its incident response plan, engaging both internal teams and third-party cybersecurity experts. In coordination with legal counsel, the Company notified the relevant law enforcement about the matter, and will notify relevant federal and state regulatory bodies, and applicable consumer protection agencies, as necessary.</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three months ended March 30, 2025, the Company incurred $1,900,000 of expenses related to the Cyber Incident. These expenses are recognized in "Restructuring and Other" in the Consolidated Statements of Loss and Comprehensive Loss. The Cyber Incident remains under legal and forensic investigation, including evaluation of the extent and potential risk related to unauthorized access to sensitive data.</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maintains cyber insurance coverage to limit its exposure to losses such as those related to the Cyber Incident, subject to a $500,000 deductible. Coverage includes, among other things, the cost of recovery and restoration as well as business interruption. The Company has submitted claims to its insurers for reimbursement of certain costs, expenses, and losses stemming from the Cyber Incident. To date, no reimbursements have been received, however the claims processing is ongoing as of the date of this filing.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Agreement</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28, 2024, our Board of Directors adopted a stockholder rights plan (the “Rights Agreement”). Pursuant to the Rights Agreement, on March 28, 2024, our Board of Directors declared a dividend of one preferred share purchase right (a “Right”), payable on April 8, 2024, for each share of our Common Stock outstanding to the stockholders of record on that date. Each Right entitles the registered holder to purchase from the Company one one-thousandth of a share of Series C Participating Convertible Preferred Stock, without par value (the “Preferred Shares”), of the Company at a price of $90.00 per one one-thousandth of a Preferred Share represented by a Right, subject to adjustment.</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Rights will initially trade with our Common Stock and will generally become exercisable only if any person or group, other than certain exempt persons, acquires beneficial ownership of 15%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was to continue in effect until March 27, 2025, or unless earlier redeemed or terminated by the Company, as provided in the Rights Agreement. On March 27, 2025, the Board of Directors extended the termination date of the Rights Agreement to March 27, 2026 The Rights have no voting or dividend privileges, and, unless and until they become exercisable, have no dilutive effect on the earnings of the Company.</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Rights Agreement applies equally to all current and future stockholders and is not intended to deter offers or preclude our Board of Directors from considering acquisition proposals that are fair and otherwise in the best interest of our stockholders. However, the overall effect of the Rights Agreement may render it more difficult or discourage a merger, tender offer, or other business combination involving us that is not supported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8780" w:type="dxa"/>
            <w:vAlign w:val="bottom"/>
            <w:tcBorders>
              <w:top w:val="single" w:sz="8" w:color="auto"/>
              <w:bottom w:val="single" w:sz="8" w:color="auto"/>
            </w:tcBorders>
            <w:gridSpan w:val="11"/>
          </w:tcPr>
          <w:p>
            <w:pPr>
              <w:ind w:left="3780"/>
              <w:spacing w:after="0"/>
              <w:rPr>
                <w:sz w:val="20"/>
                <w:szCs w:val="20"/>
                <w:color w:val="auto"/>
              </w:rPr>
            </w:pPr>
            <w:r>
              <w:rPr>
                <w:rFonts w:ascii="Arial" w:cs="Arial" w:eastAsia="Arial" w:hAnsi="Arial"/>
                <w:sz w:val="18"/>
                <w:szCs w:val="18"/>
                <w:color w:val="auto"/>
              </w:rPr>
              <w:t>Description</w:t>
            </w:r>
          </w:p>
        </w:tc>
        <w:tc>
          <w:tcPr>
            <w:tcW w:w="1080" w:type="dxa"/>
            <w:vAlign w:val="bottom"/>
            <w:tcBorders>
              <w:top w:val="single" w:sz="8" w:color="auto"/>
              <w:bottom w:val="single" w:sz="8" w:color="auto"/>
            </w:tcBorders>
          </w:tcPr>
          <w:p>
            <w:pPr>
              <w:spacing w:after="0"/>
              <w:rPr>
                <w:sz w:val="21"/>
                <w:szCs w:val="21"/>
                <w:color w:val="auto"/>
              </w:rPr>
            </w:pPr>
          </w:p>
        </w:tc>
      </w:tr>
      <w:tr>
        <w:trPr>
          <w:trHeight w:val="439"/>
        </w:trPr>
        <w:tc>
          <w:tcPr>
            <w:tcW w:w="1380" w:type="dxa"/>
            <w:vAlign w:val="bottom"/>
          </w:tcPr>
          <w:p>
            <w:pPr>
              <w:ind w:left="20"/>
              <w:spacing w:after="0"/>
              <w:rPr>
                <w:sz w:val="20"/>
                <w:szCs w:val="20"/>
                <w:color w:val="auto"/>
              </w:rPr>
            </w:pPr>
            <w:r>
              <w:rPr>
                <w:rFonts w:ascii="Arial" w:cs="Arial" w:eastAsia="Arial" w:hAnsi="Arial"/>
                <w:sz w:val="18"/>
                <w:szCs w:val="18"/>
                <w:color w:val="auto"/>
              </w:rPr>
              <w:t>4.2*</w:t>
            </w:r>
          </w:p>
        </w:tc>
        <w:tc>
          <w:tcPr>
            <w:tcW w:w="8780" w:type="dxa"/>
            <w:vAlign w:val="bottom"/>
            <w:gridSpan w:val="11"/>
          </w:tcPr>
          <w:p>
            <w:pPr>
              <w:spacing w:after="0"/>
              <w:rPr>
                <w:rFonts w:ascii="Arial" w:cs="Arial" w:eastAsia="Arial" w:hAnsi="Arial"/>
                <w:sz w:val="18"/>
                <w:szCs w:val="18"/>
                <w:color w:val="0000EE"/>
              </w:rPr>
            </w:pPr>
            <w:hyperlink r:id="rId39">
              <w:r>
                <w:rPr>
                  <w:rFonts w:ascii="Arial" w:cs="Arial" w:eastAsia="Arial" w:hAnsi="Arial"/>
                  <w:sz w:val="18"/>
                  <w:szCs w:val="18"/>
                  <w:color w:val="0000EE"/>
                </w:rPr>
                <w:t>Amendment No. 1 to Rights Agreement, dated as of March 26, 2025, between Lee Enterprises,</w:t>
              </w:r>
            </w:hyperlink>
          </w:p>
        </w:tc>
        <w:tc>
          <w:tcPr>
            <w:tcW w:w="108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3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56"/>
        </w:trPr>
        <w:tc>
          <w:tcPr>
            <w:tcW w:w="1380" w:type="dxa"/>
            <w:vAlign w:val="bottom"/>
          </w:tcPr>
          <w:p>
            <w:pPr>
              <w:spacing w:after="0"/>
              <w:rPr>
                <w:sz w:val="13"/>
                <w:szCs w:val="13"/>
                <w:color w:val="auto"/>
              </w:rPr>
            </w:pPr>
          </w:p>
        </w:tc>
        <w:tc>
          <w:tcPr>
            <w:tcW w:w="8780" w:type="dxa"/>
            <w:vAlign w:val="bottom"/>
            <w:gridSpan w:val="11"/>
          </w:tcPr>
          <w:p>
            <w:pPr>
              <w:spacing w:after="0" w:line="156" w:lineRule="exact"/>
              <w:rPr>
                <w:rFonts w:ascii="Arial" w:cs="Arial" w:eastAsia="Arial" w:hAnsi="Arial"/>
                <w:sz w:val="18"/>
                <w:szCs w:val="18"/>
                <w:color w:val="0000EE"/>
              </w:rPr>
            </w:pPr>
            <w:hyperlink r:id="rId39">
              <w:r>
                <w:rPr>
                  <w:rFonts w:ascii="Arial" w:cs="Arial" w:eastAsia="Arial" w:hAnsi="Arial"/>
                  <w:sz w:val="18"/>
                  <w:szCs w:val="18"/>
                  <w:color w:val="0000EE"/>
                </w:rPr>
                <w:t>Incorporated and Equiniti Trust Company, LLC, as rights agent (incorporated by reference to Exhibit 4.2 to</w:t>
              </w:r>
            </w:hyperlink>
          </w:p>
        </w:tc>
        <w:tc>
          <w:tcPr>
            <w:tcW w:w="108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5480" w:type="dxa"/>
            <w:vAlign w:val="bottom"/>
            <w:tcBorders>
              <w:top w:val="single" w:sz="8" w:color="0000EE"/>
              <w:bottom w:val="single" w:sz="8" w:color="0000EE"/>
            </w:tcBorders>
            <w:gridSpan w:val="6"/>
          </w:tcPr>
          <w:p>
            <w:pPr>
              <w:spacing w:after="0" w:line="169" w:lineRule="exact"/>
              <w:rPr>
                <w:rFonts w:ascii="Arial" w:cs="Arial" w:eastAsia="Arial" w:hAnsi="Arial"/>
                <w:sz w:val="18"/>
                <w:szCs w:val="18"/>
                <w:color w:val="0000EE"/>
                <w:w w:val="99"/>
              </w:rPr>
            </w:pPr>
            <w:hyperlink r:id="rId39">
              <w:r>
                <w:rPr>
                  <w:rFonts w:ascii="Arial" w:cs="Arial" w:eastAsia="Arial" w:hAnsi="Arial"/>
                  <w:sz w:val="18"/>
                  <w:szCs w:val="18"/>
                  <w:color w:val="0000EE"/>
                  <w:w w:val="99"/>
                </w:rPr>
                <w:t>the Company’s Current Report on Form 8-K filed on March 26, 2025)</w:t>
              </w:r>
            </w:hyperlink>
          </w:p>
        </w:tc>
        <w:tc>
          <w:tcPr>
            <w:tcW w:w="2940" w:type="dxa"/>
            <w:vAlign w:val="bottom"/>
            <w:tcBorders>
              <w:top w:val="single" w:sz="8" w:color="0000EE"/>
            </w:tcBorders>
            <w:gridSpan w:val="3"/>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10.1*</w:t>
            </w:r>
          </w:p>
        </w:tc>
        <w:tc>
          <w:tcPr>
            <w:tcW w:w="8780" w:type="dxa"/>
            <w:vAlign w:val="bottom"/>
            <w:gridSpan w:val="11"/>
          </w:tcPr>
          <w:p>
            <w:pPr>
              <w:spacing w:after="0"/>
              <w:rPr>
                <w:rFonts w:ascii="Arial" w:cs="Arial" w:eastAsia="Arial" w:hAnsi="Arial"/>
                <w:sz w:val="18"/>
                <w:szCs w:val="18"/>
                <w:color w:val="0000FF"/>
              </w:rPr>
            </w:pPr>
            <w:hyperlink r:id="rId40">
              <w:r>
                <w:rPr>
                  <w:rFonts w:ascii="Arial" w:cs="Arial" w:eastAsia="Arial" w:hAnsi="Arial"/>
                  <w:sz w:val="18"/>
                  <w:szCs w:val="18"/>
                  <w:color w:val="0000FF"/>
                </w:rPr>
                <w:t>Waiver and Amendment to Credit Agreement among Lee Enterprises, Incorporated, BH Finance LLC, and</w:t>
              </w:r>
            </w:hyperlink>
          </w:p>
        </w:tc>
        <w:tc>
          <w:tcPr>
            <w:tcW w:w="1080" w:type="dxa"/>
            <w:vAlign w:val="bottom"/>
          </w:tcPr>
          <w:p>
            <w:pPr>
              <w:spacing w:after="0"/>
              <w:rPr>
                <w:sz w:val="18"/>
                <w:szCs w:val="18"/>
                <w:color w:val="auto"/>
              </w:rPr>
            </w:pPr>
          </w:p>
        </w:tc>
      </w:tr>
      <w:tr>
        <w:trPr>
          <w:trHeight w:val="156"/>
        </w:trPr>
        <w:tc>
          <w:tcPr>
            <w:tcW w:w="1380" w:type="dxa"/>
            <w:vAlign w:val="bottom"/>
          </w:tcPr>
          <w:p>
            <w:pPr>
              <w:spacing w:after="0"/>
              <w:rPr>
                <w:sz w:val="13"/>
                <w:szCs w:val="13"/>
                <w:color w:val="auto"/>
              </w:rPr>
            </w:pPr>
          </w:p>
        </w:tc>
        <w:tc>
          <w:tcPr>
            <w:tcW w:w="84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40">
              <w:r>
                <w:rPr>
                  <w:rFonts w:ascii="Arial" w:cs="Arial" w:eastAsia="Arial" w:hAnsi="Arial"/>
                  <w:sz w:val="18"/>
                  <w:szCs w:val="18"/>
                  <w:color w:val="0000FF"/>
                </w:rPr>
                <w:t>BH Media Group, Inc. dated May 1, 2025 (incorporated by reference to Exhibit 10.1 of the company's</w:t>
              </w:r>
            </w:hyperlink>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802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r:id="rId40">
              <w:r>
                <w:rPr>
                  <w:rFonts w:ascii="Arial" w:cs="Arial" w:eastAsia="Arial" w:hAnsi="Arial"/>
                  <w:sz w:val="18"/>
                  <w:szCs w:val="18"/>
                  <w:color w:val="0000FF"/>
                </w:rPr>
                <w:t>Current Report on Form 8-K filed on May 5, 2025)</w:t>
              </w:r>
            </w:hyperlink>
          </w:p>
        </w:tc>
        <w:tc>
          <w:tcPr>
            <w:tcW w:w="760" w:type="dxa"/>
            <w:vAlign w:val="bottom"/>
            <w:gridSpan w:val="3"/>
          </w:tcPr>
          <w:p>
            <w:pPr>
              <w:spacing w:after="0"/>
              <w:rPr>
                <w:sz w:val="14"/>
                <w:szCs w:val="14"/>
                <w:color w:val="auto"/>
              </w:rPr>
            </w:pPr>
          </w:p>
        </w:tc>
        <w:tc>
          <w:tcPr>
            <w:tcW w:w="108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31.1</w:t>
            </w:r>
          </w:p>
        </w:tc>
        <w:tc>
          <w:tcPr>
            <w:tcW w:w="42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Rule 13a-14(a) Certification of Chief Executive Officer</w:t>
            </w:r>
          </w:p>
        </w:tc>
        <w:tc>
          <w:tcPr>
            <w:tcW w:w="4500" w:type="dxa"/>
            <w:vAlign w:val="bottom"/>
            <w:gridSpan w:val="6"/>
          </w:tcPr>
          <w:p>
            <w:pPr>
              <w:spacing w:after="0"/>
              <w:rPr>
                <w:sz w:val="18"/>
                <w:szCs w:val="18"/>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31.2</w:t>
            </w:r>
          </w:p>
        </w:tc>
        <w:tc>
          <w:tcPr>
            <w:tcW w:w="42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Rule 13a-14(a) Certification of Chief Financial Officer</w:t>
            </w:r>
          </w:p>
        </w:tc>
        <w:tc>
          <w:tcPr>
            <w:tcW w:w="4560" w:type="dxa"/>
            <w:vAlign w:val="bottom"/>
            <w:gridSpan w:val="7"/>
          </w:tcPr>
          <w:p>
            <w:pPr>
              <w:spacing w:after="0"/>
              <w:rPr>
                <w:sz w:val="18"/>
                <w:szCs w:val="18"/>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32.1</w:t>
            </w:r>
          </w:p>
        </w:tc>
        <w:tc>
          <w:tcPr>
            <w:tcW w:w="8780" w:type="dxa"/>
            <w:vAlign w:val="bottom"/>
            <w:gridSpan w:val="11"/>
          </w:tcPr>
          <w:p>
            <w:pPr>
              <w:spacing w:after="0"/>
              <w:rPr>
                <w:sz w:val="20"/>
                <w:szCs w:val="20"/>
                <w:color w:val="auto"/>
              </w:rPr>
            </w:pPr>
            <w:r>
              <w:rPr>
                <w:rFonts w:ascii="Arial" w:cs="Arial" w:eastAsia="Arial" w:hAnsi="Arial"/>
                <w:sz w:val="18"/>
                <w:szCs w:val="18"/>
                <w:color w:val="0000FF"/>
              </w:rPr>
              <w:t>Section 1350 Certification of Chief Executive Officer</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32.2</w:t>
            </w:r>
          </w:p>
        </w:tc>
        <w:tc>
          <w:tcPr>
            <w:tcW w:w="41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Section 1350 Certification of Chief Financial Officer</w:t>
            </w:r>
          </w:p>
        </w:tc>
        <w:tc>
          <w:tcPr>
            <w:tcW w:w="4660" w:type="dxa"/>
            <w:vAlign w:val="bottom"/>
            <w:gridSpan w:val="8"/>
          </w:tcPr>
          <w:p>
            <w:pPr>
              <w:spacing w:after="0"/>
              <w:rPr>
                <w:sz w:val="18"/>
                <w:szCs w:val="18"/>
                <w:color w:val="auto"/>
              </w:rPr>
            </w:pP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0"/>
        </w:trPr>
        <w:tc>
          <w:tcPr>
            <w:tcW w:w="1380" w:type="dxa"/>
            <w:vAlign w:val="bottom"/>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472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Arial" w:cs="Arial" w:eastAsia="Arial" w:hAnsi="Arial"/>
                <w:sz w:val="18"/>
                <w:szCs w:val="18"/>
                <w:color w:val="auto"/>
              </w:rPr>
              <w:t>101.INS</w:t>
            </w:r>
          </w:p>
        </w:tc>
        <w:tc>
          <w:tcPr>
            <w:tcW w:w="8780" w:type="dxa"/>
            <w:vAlign w:val="bottom"/>
            <w:gridSpan w:val="11"/>
          </w:tcPr>
          <w:p>
            <w:pPr>
              <w:spacing w:after="0" w:line="196" w:lineRule="exact"/>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1080" w:type="dxa"/>
            <w:vAlign w:val="bottom"/>
          </w:tcPr>
          <w:p>
            <w:pPr>
              <w:ind w:left="360"/>
              <w:spacing w:after="0" w:line="196" w:lineRule="exact"/>
              <w:rPr>
                <w:sz w:val="20"/>
                <w:szCs w:val="20"/>
                <w:color w:val="auto"/>
              </w:rPr>
            </w:pPr>
            <w:r>
              <w:rPr>
                <w:rFonts w:ascii="Arial" w:cs="Arial" w:eastAsia="Arial" w:hAnsi="Arial"/>
                <w:sz w:val="18"/>
                <w:szCs w:val="18"/>
                <w:color w:val="auto"/>
                <w:w w:val="98"/>
              </w:rPr>
              <w:t>Attached</w:t>
            </w:r>
          </w:p>
        </w:tc>
      </w:tr>
      <w:tr>
        <w:trPr>
          <w:trHeight w:val="238"/>
        </w:trPr>
        <w:tc>
          <w:tcPr>
            <w:tcW w:w="1380" w:type="dxa"/>
            <w:vAlign w:val="bottom"/>
          </w:tcPr>
          <w:p>
            <w:pPr>
              <w:spacing w:after="0"/>
              <w:rPr>
                <w:sz w:val="20"/>
                <w:szCs w:val="20"/>
                <w:color w:val="auto"/>
              </w:rPr>
            </w:pPr>
          </w:p>
        </w:tc>
        <w:tc>
          <w:tcPr>
            <w:tcW w:w="8780" w:type="dxa"/>
            <w:vAlign w:val="bottom"/>
            <w:gridSpan w:val="11"/>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1080" w:type="dxa"/>
            <w:vAlign w:val="bottom"/>
          </w:tcPr>
          <w:p>
            <w:pPr>
              <w:spacing w:after="0"/>
              <w:rPr>
                <w:sz w:val="20"/>
                <w:szCs w:val="20"/>
                <w:color w:val="auto"/>
              </w:rPr>
            </w:pP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101.SCH</w:t>
            </w:r>
          </w:p>
        </w:tc>
        <w:tc>
          <w:tcPr>
            <w:tcW w:w="878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101.CAL</w:t>
            </w:r>
          </w:p>
        </w:tc>
        <w:tc>
          <w:tcPr>
            <w:tcW w:w="878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101.DEF</w:t>
            </w:r>
          </w:p>
        </w:tc>
        <w:tc>
          <w:tcPr>
            <w:tcW w:w="878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101.LAB</w:t>
            </w:r>
          </w:p>
        </w:tc>
        <w:tc>
          <w:tcPr>
            <w:tcW w:w="878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101.PRE</w:t>
            </w:r>
          </w:p>
        </w:tc>
        <w:tc>
          <w:tcPr>
            <w:tcW w:w="878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080" w:type="dxa"/>
            <w:vAlign w:val="bottom"/>
          </w:tcPr>
          <w:p>
            <w:pPr>
              <w:ind w:left="360"/>
              <w:spacing w:after="0"/>
              <w:rPr>
                <w:sz w:val="20"/>
                <w:szCs w:val="20"/>
                <w:color w:val="auto"/>
              </w:rPr>
            </w:pPr>
            <w:r>
              <w:rPr>
                <w:rFonts w:ascii="Arial" w:cs="Arial" w:eastAsia="Arial" w:hAnsi="Arial"/>
                <w:sz w:val="18"/>
                <w:szCs w:val="18"/>
                <w:color w:val="auto"/>
                <w:w w:val="98"/>
              </w:rPr>
              <w:t>Attached</w:t>
            </w:r>
          </w:p>
        </w:tc>
      </w:tr>
      <w:tr>
        <w:trPr>
          <w:trHeight w:val="181"/>
        </w:trPr>
        <w:tc>
          <w:tcPr>
            <w:tcW w:w="1380" w:type="dxa"/>
            <w:vAlign w:val="bottom"/>
          </w:tcPr>
          <w:p>
            <w:pPr>
              <w:ind w:left="20"/>
              <w:spacing w:after="0" w:line="181" w:lineRule="exact"/>
              <w:rPr>
                <w:sz w:val="20"/>
                <w:szCs w:val="20"/>
                <w:color w:val="auto"/>
              </w:rPr>
            </w:pPr>
            <w:r>
              <w:rPr>
                <w:rFonts w:ascii="Arial" w:cs="Arial" w:eastAsia="Arial" w:hAnsi="Arial"/>
                <w:sz w:val="18"/>
                <w:szCs w:val="18"/>
                <w:color w:val="auto"/>
              </w:rPr>
              <w:t>104</w:t>
            </w:r>
          </w:p>
        </w:tc>
        <w:tc>
          <w:tcPr>
            <w:tcW w:w="8780" w:type="dxa"/>
            <w:vAlign w:val="bottom"/>
            <w:gridSpan w:val="11"/>
          </w:tcPr>
          <w:p>
            <w:pPr>
              <w:spacing w:after="0" w:line="181" w:lineRule="exact"/>
              <w:rPr>
                <w:sz w:val="20"/>
                <w:szCs w:val="20"/>
                <w:color w:val="auto"/>
              </w:rPr>
            </w:pPr>
            <w:r>
              <w:rPr>
                <w:rFonts w:ascii="Arial" w:cs="Arial" w:eastAsia="Arial" w:hAnsi="Arial"/>
                <w:sz w:val="18"/>
                <w:szCs w:val="18"/>
                <w:color w:val="auto"/>
              </w:rPr>
              <w:t>Cover Page Interactive Data File (formatted as Inline XBRL and embedded within the Inline XBRL</w:t>
            </w:r>
          </w:p>
        </w:tc>
        <w:tc>
          <w:tcPr>
            <w:tcW w:w="1080" w:type="dxa"/>
            <w:vAlign w:val="bottom"/>
          </w:tcPr>
          <w:p>
            <w:pPr>
              <w:ind w:left="360"/>
              <w:spacing w:after="0" w:line="181" w:lineRule="exact"/>
              <w:rPr>
                <w:sz w:val="20"/>
                <w:szCs w:val="20"/>
                <w:color w:val="auto"/>
              </w:rPr>
            </w:pPr>
            <w:r>
              <w:rPr>
                <w:rFonts w:ascii="Arial" w:cs="Arial" w:eastAsia="Arial" w:hAnsi="Arial"/>
                <w:sz w:val="18"/>
                <w:szCs w:val="18"/>
                <w:color w:val="auto"/>
                <w:w w:val="98"/>
              </w:rPr>
              <w:t>Attached</w:t>
            </w:r>
          </w:p>
        </w:tc>
      </w:tr>
      <w:tr>
        <w:trPr>
          <w:trHeight w:val="241"/>
        </w:trPr>
        <w:tc>
          <w:tcPr>
            <w:tcW w:w="1380" w:type="dxa"/>
            <w:vAlign w:val="bottom"/>
            <w:tcBorders>
              <w:bottom w:val="single" w:sz="8" w:color="auto"/>
            </w:tcBorders>
          </w:tcPr>
          <w:p>
            <w:pPr>
              <w:spacing w:after="0"/>
              <w:rPr>
                <w:sz w:val="20"/>
                <w:szCs w:val="20"/>
                <w:color w:val="auto"/>
              </w:rPr>
            </w:pPr>
          </w:p>
        </w:tc>
        <w:tc>
          <w:tcPr>
            <w:tcW w:w="878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rPr>
              <w:t>document)</w:t>
            </w:r>
          </w:p>
        </w:tc>
        <w:tc>
          <w:tcPr>
            <w:tcW w:w="1080" w:type="dxa"/>
            <w:vAlign w:val="bottom"/>
            <w:tcBorders>
              <w:bottom w:val="single" w:sz="8" w:color="auto"/>
            </w:tcBorders>
          </w:tcPr>
          <w:p>
            <w:pPr>
              <w:spacing w:after="0"/>
              <w:rPr>
                <w:sz w:val="20"/>
                <w:szCs w:val="20"/>
                <w:color w:val="auto"/>
              </w:rPr>
            </w:pPr>
          </w:p>
        </w:tc>
      </w:tr>
      <w:tr>
        <w:trPr>
          <w:trHeight w:val="904"/>
        </w:trPr>
        <w:tc>
          <w:tcPr>
            <w:tcW w:w="1380" w:type="dxa"/>
            <w:vAlign w:val="bottom"/>
          </w:tcPr>
          <w:p>
            <w:pPr>
              <w:spacing w:after="0"/>
              <w:rPr>
                <w:sz w:val="24"/>
                <w:szCs w:val="24"/>
                <w:color w:val="auto"/>
              </w:rPr>
            </w:pPr>
          </w:p>
        </w:tc>
        <w:tc>
          <w:tcPr>
            <w:tcW w:w="5480" w:type="dxa"/>
            <w:vAlign w:val="bottom"/>
            <w:gridSpan w:val="6"/>
          </w:tcPr>
          <w:p>
            <w:pPr>
              <w:ind w:left="4140"/>
              <w:spacing w:after="0"/>
              <w:rPr>
                <w:sz w:val="20"/>
                <w:szCs w:val="20"/>
                <w:color w:val="auto"/>
              </w:rPr>
            </w:pPr>
            <w:r>
              <w:rPr>
                <w:rFonts w:ascii="Arial" w:cs="Arial" w:eastAsia="Arial" w:hAnsi="Arial"/>
                <w:sz w:val="18"/>
                <w:szCs w:val="18"/>
                <w:color w:val="auto"/>
              </w:rPr>
              <w:t>26</w:t>
            </w:r>
          </w:p>
        </w:tc>
        <w:tc>
          <w:tcPr>
            <w:tcW w:w="2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1"/>
        </w:trPr>
        <w:tc>
          <w:tcPr>
            <w:tcW w:w="1380" w:type="dxa"/>
            <w:vAlign w:val="bottom"/>
            <w:tcBorders>
              <w:bottom w:val="single" w:sz="8" w:color="9A9A9A"/>
            </w:tcBorders>
          </w:tcPr>
          <w:p>
            <w:pPr>
              <w:spacing w:after="0"/>
              <w:rPr>
                <w:sz w:val="9"/>
                <w:szCs w:val="9"/>
                <w:color w:val="auto"/>
              </w:rPr>
            </w:pPr>
          </w:p>
        </w:tc>
        <w:tc>
          <w:tcPr>
            <w:tcW w:w="3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6460" w:type="dxa"/>
            <w:vAlign w:val="bottom"/>
          </w:tcPr>
          <w:p>
            <w:pPr>
              <w:spacing w:after="0"/>
              <w:rPr>
                <w:sz w:val="20"/>
                <w:szCs w:val="20"/>
                <w:color w:val="auto"/>
              </w:rPr>
            </w:pPr>
            <w:r>
              <w:rPr>
                <w:rFonts w:ascii="Arial" w:cs="Arial" w:eastAsia="Arial" w:hAnsi="Arial"/>
                <w:sz w:val="18"/>
                <w:szCs w:val="18"/>
                <w:color w:val="auto"/>
              </w:rPr>
              <w:t>LEE ENTERPRISES, INCORPORATED</w:t>
            </w:r>
          </w:p>
        </w:tc>
        <w:tc>
          <w:tcPr>
            <w:tcW w:w="4260" w:type="dxa"/>
            <w:vAlign w:val="bottom"/>
          </w:tcPr>
          <w:p>
            <w:pPr>
              <w:spacing w:after="0"/>
              <w:rPr>
                <w:sz w:val="20"/>
                <w:szCs w:val="20"/>
                <w:color w:val="auto"/>
              </w:rPr>
            </w:pPr>
          </w:p>
        </w:tc>
      </w:tr>
      <w:tr>
        <w:trPr>
          <w:trHeight w:val="500"/>
        </w:trPr>
        <w:tc>
          <w:tcPr>
            <w:tcW w:w="6460" w:type="dxa"/>
            <w:vAlign w:val="bottom"/>
          </w:tcPr>
          <w:p>
            <w:pPr>
              <w:spacing w:after="0"/>
              <w:rPr>
                <w:sz w:val="20"/>
                <w:szCs w:val="20"/>
                <w:color w:val="auto"/>
              </w:rPr>
            </w:pPr>
            <w:r>
              <w:rPr>
                <w:rFonts w:ascii="Arial" w:cs="Arial" w:eastAsia="Arial" w:hAnsi="Arial"/>
                <w:sz w:val="18"/>
                <w:szCs w:val="18"/>
                <w:color w:val="auto"/>
              </w:rPr>
              <w:t>/s/ Timothy R. Millage</w:t>
            </w:r>
          </w:p>
        </w:tc>
        <w:tc>
          <w:tcPr>
            <w:tcW w:w="4260" w:type="dxa"/>
            <w:vAlign w:val="bottom"/>
          </w:tcPr>
          <w:p>
            <w:pPr>
              <w:ind w:left="3260"/>
              <w:spacing w:after="0"/>
              <w:rPr>
                <w:sz w:val="20"/>
                <w:szCs w:val="20"/>
                <w:color w:val="auto"/>
              </w:rPr>
            </w:pPr>
            <w:r>
              <w:rPr>
                <w:rFonts w:ascii="Arial" w:cs="Arial" w:eastAsia="Arial" w:hAnsi="Arial"/>
                <w:sz w:val="18"/>
                <w:szCs w:val="18"/>
                <w:color w:val="auto"/>
                <w:w w:val="98"/>
              </w:rPr>
              <w:t>May 9,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-1905</wp:posOffset>
            </wp:positionV>
            <wp:extent cx="40805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Timothy R. Millage</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Vice President, Chief Financial Officer and Treasurer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58"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May 9, 2025</w:t>
      </w:r>
    </w:p>
    <w:p>
      <w:pPr>
        <w:spacing w:after="0" w:line="19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33172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Kevin D. Mowbray</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079"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58"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May 9, 2025</w:t>
      </w:r>
    </w:p>
    <w:p>
      <w:pPr>
        <w:spacing w:after="0" w:line="19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17780</wp:posOffset>
            </wp:positionV>
            <wp:extent cx="38144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Timothy R. Millage</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079" w:right="339" w:bottom="1440" w:gutter="0" w:footer="0" w:header="0"/>
        </w:sectPr>
      </w:pPr>
    </w:p>
    <w:bookmarkStart w:id="31" w:name="page32"/>
    <w:bookmarkEnd w:id="31"/>
    <w:p>
      <w:pPr>
        <w:ind w:left="10240"/>
        <w:spacing w:after="0"/>
        <w:rPr>
          <w:sz w:val="20"/>
          <w:szCs w:val="20"/>
          <w:color w:val="auto"/>
        </w:rPr>
      </w:pPr>
      <w:r>
        <w:rPr>
          <w:rFonts w:ascii="Arial" w:cs="Arial" w:eastAsia="Arial" w:hAnsi="Arial"/>
          <w:sz w:val="17"/>
          <w:szCs w:val="17"/>
          <w:b w:val="1"/>
          <w:bCs w:val="1"/>
          <w:color w:val="auto"/>
        </w:rPr>
        <w:t>Exhibit 32.1</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240" w:hanging="492"/>
        <w:spacing w:after="0" w:line="287" w:lineRule="auto"/>
        <w:tabs>
          <w:tab w:leader="none" w:pos="4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March 30, 2025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May 9, 2025</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8144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D. Mowbray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06" w:right="339" w:bottom="1440" w:gutter="0" w:footer="0" w:header="0"/>
        </w:sectPr>
      </w:pPr>
    </w:p>
    <w:bookmarkStart w:id="32" w:name="page33"/>
    <w:bookmarkEnd w:id="32"/>
    <w:p>
      <w:pPr>
        <w:ind w:left="10240"/>
        <w:spacing w:after="0"/>
        <w:rPr>
          <w:sz w:val="20"/>
          <w:szCs w:val="20"/>
          <w:color w:val="auto"/>
        </w:rPr>
      </w:pPr>
      <w:r>
        <w:rPr>
          <w:rFonts w:ascii="Arial" w:cs="Arial" w:eastAsia="Arial" w:hAnsi="Arial"/>
          <w:sz w:val="17"/>
          <w:szCs w:val="17"/>
          <w:b w:val="1"/>
          <w:bCs w:val="1"/>
          <w:color w:val="auto"/>
        </w:rPr>
        <w:t>Exhibit 32.2</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240" w:hanging="492"/>
        <w:spacing w:after="0" w:line="287" w:lineRule="auto"/>
        <w:tabs>
          <w:tab w:leader="none" w:pos="4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March 30, 2025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May 9, 2025</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8144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and Treasurer</w:t>
      </w:r>
    </w:p>
    <w:p>
      <w:pPr>
        <w:spacing w:after="0" w:line="29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bullet"/>
      <w:start w:val="1"/>
    </w:lvl>
  </w:abstractNum>
  <w:abstractNum w:abstractNumId="2">
    <w:nsid w:val="3352255A"/>
    <w:multiLevelType w:val="hybridMultilevel"/>
    <w:lvl w:ilvl="0">
      <w:lvlJc w:val="left"/>
      <w:lvlText w:val="2"/>
      <w:numFmt w:val="bullet"/>
      <w:start w:val="1"/>
    </w:lvl>
  </w:abstractNum>
  <w:abstractNum w:abstractNumId="3">
    <w:nsid w:val="109CF92E"/>
    <w:multiLevelType w:val="hybridMultilevel"/>
    <w:lvl w:ilvl="0">
      <w:lvlJc w:val="left"/>
      <w:lvlText w:val="3"/>
      <w:numFmt w:val="bullet"/>
      <w:start w:val="1"/>
    </w:lvl>
  </w:abstractNum>
  <w:abstractNum w:abstractNumId="4">
    <w:nsid w:val="DED7263"/>
    <w:multiLevelType w:val="hybridMultilevel"/>
    <w:lvl w:ilvl="0">
      <w:lvlJc w:val="left"/>
      <w:lvlText w:val="5"/>
      <w:numFmt w:val="bullet"/>
      <w:start w:val="1"/>
    </w:lvl>
  </w:abstractNum>
  <w:abstractNum w:abstractNumId="5">
    <w:nsid w:val="7FDCC233"/>
    <w:multiLevelType w:val="hybridMultilevel"/>
    <w:lvl w:ilvl="0">
      <w:lvlJc w:val="left"/>
      <w:lvlText w:val="6"/>
      <w:numFmt w:val="bullet"/>
      <w:start w:val="1"/>
    </w:lvl>
  </w:abstractNum>
  <w:abstractNum w:abstractNumId="6">
    <w:nsid w:val="1BEFD79F"/>
    <w:multiLevelType w:val="hybridMultilevel"/>
    <w:lvl w:ilvl="0">
      <w:lvlJc w:val="left"/>
      <w:lvlText w:val="7"/>
      <w:numFmt w:val="bullet"/>
      <w:start w:val="1"/>
    </w:lvl>
  </w:abstractNum>
  <w:abstractNum w:abstractNumId="7">
    <w:nsid w:val="41A7C4C9"/>
    <w:multiLevelType w:val="hybridMultilevel"/>
    <w:lvl w:ilvl="0">
      <w:lvlJc w:val="left"/>
      <w:lvlText w:val="8"/>
      <w:numFmt w:val="bullet"/>
      <w:start w:val="1"/>
    </w:lvl>
  </w:abstractNum>
  <w:abstractNum w:abstractNumId="8">
    <w:nsid w:val="6B68079A"/>
    <w:multiLevelType w:val="hybridMultilevel"/>
    <w:lvl w:ilvl="0">
      <w:lvlJc w:val="left"/>
      <w:lvlText w:val="9"/>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bullet"/>
      <w:start w:val="1"/>
    </w:lvl>
  </w:abstractNum>
  <w:abstractNum w:abstractNumId="12">
    <w:nsid w:val="431BD7B7"/>
    <w:multiLevelType w:val="hybridMultilevel"/>
    <w:lvl w:ilvl="0">
      <w:lvlJc w:val="left"/>
      <w:lvlText w:val="2"/>
      <w:numFmt w:val="bullet"/>
      <w:start w:val="1"/>
    </w:lvl>
  </w:abstractNum>
  <w:abstractNum w:abstractNumId="13">
    <w:nsid w:val="3F2DBA31"/>
    <w:multiLevelType w:val="hybridMultilevel"/>
    <w:lvl w:ilvl="0">
      <w:lvlJc w:val="left"/>
      <w:lvlText w:val="3"/>
      <w:numFmt w:val="bullet"/>
      <w:start w:val="1"/>
    </w:lvl>
  </w:abstractNum>
  <w:abstractNum w:abstractNumId="14">
    <w:nsid w:val="7C83E458"/>
    <w:multiLevelType w:val="hybridMultilevel"/>
    <w:lvl w:ilvl="0">
      <w:lvlJc w:val="left"/>
      <w:lvlText w:val="4"/>
      <w:numFmt w:val="bullet"/>
      <w:start w:val="1"/>
    </w:lvl>
    <w:lvl w:ilvl="1">
      <w:lvlJc w:val="left"/>
      <w:lvlText w:val="%2)"/>
      <w:numFmt w:val="lowerLetter"/>
      <w:start w:val="1"/>
    </w:lvl>
  </w:abstractNum>
  <w:abstractNum w:abstractNumId="15">
    <w:nsid w:val="257130A3"/>
    <w:multiLevelType w:val="hybridMultilevel"/>
    <w:lvl w:ilvl="0">
      <w:lvlJc w:val="left"/>
      <w:lvlText w:val="5"/>
      <w:numFmt w:val="bullet"/>
      <w:start w:val="1"/>
    </w:lvl>
    <w:lvl w:ilvl="1">
      <w:lvlJc w:val="left"/>
      <w:lvlText w:val="%2)"/>
      <w:numFmt w:val="lowerLetter"/>
      <w:start w:val="1"/>
    </w:lvl>
  </w:abstractNum>
  <w:abstractNum w:abstractNumId="16">
    <w:nsid w:val="62BBD95A"/>
    <w:multiLevelType w:val="hybridMultilevel"/>
    <w:lvl w:ilvl="0">
      <w:lvlJc w:val="left"/>
      <w:lvlText w:val="1"/>
      <w:numFmt w:val="bullet"/>
      <w:start w:val="1"/>
    </w:lvl>
  </w:abstractNum>
  <w:abstractNum w:abstractNumId="17">
    <w:nsid w:val="436C6125"/>
    <w:multiLevelType w:val="hybridMultilevel"/>
    <w:lvl w:ilvl="0">
      <w:lvlJc w:val="left"/>
      <w:lvlText w:val="2"/>
      <w:numFmt w:val="bullet"/>
      <w:start w:val="1"/>
    </w:lvl>
  </w:abstractNum>
  <w:abstractNum w:abstractNumId="18">
    <w:nsid w:val="628C895D"/>
    <w:multiLevelType w:val="hybridMultilevel"/>
    <w:lvl w:ilvl="0">
      <w:lvlJc w:val="left"/>
      <w:lvlText w:val="3"/>
      <w:numFmt w:val="bullet"/>
      <w:start w:val="1"/>
    </w:lvl>
  </w:abstractNum>
  <w:abstractNum w:abstractNumId="19">
    <w:nsid w:val="333AB105"/>
    <w:multiLevelType w:val="hybridMultilevel"/>
    <w:lvl w:ilvl="0">
      <w:lvlJc w:val="left"/>
      <w:lvlText w:val="4"/>
      <w:numFmt w:val="bullet"/>
      <w:start w:val="1"/>
    </w:lvl>
    <w:lvl w:ilvl="1">
      <w:lvlJc w:val="left"/>
      <w:lvlText w:val="%2)"/>
      <w:numFmt w:val="lowerLetter"/>
      <w:start w:val="1"/>
    </w:lvl>
  </w:abstractNum>
  <w:abstractNum w:abstractNumId="20">
    <w:nsid w:val="721DA317"/>
    <w:multiLevelType w:val="hybridMultilevel"/>
    <w:lvl w:ilvl="0">
      <w:lvlJc w:val="left"/>
      <w:lvlText w:val="5"/>
      <w:numFmt w:val="bullet"/>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39" Type="http://schemas.openxmlformats.org/officeDocument/2006/relationships/hyperlink" Target="https://www.sec.gov/Archives/edgar/data/58361/000162828025014962/a42lee-rightsagreementxame.htm" TargetMode="External"/><Relationship Id="rId40" Type="http://schemas.openxmlformats.org/officeDocument/2006/relationships/hyperlink" Target="https://www.sec.gov/Archives/edgar/data/58361/000162828025022263/lee-202505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2025-05-09T13:22:12Z</dcterms:created>
  <dcterms:modified xsi:type="dcterms:W3CDTF">2025-05-09T13:22:12Z</dcterms:modified>
</cp:coreProperties>
</file>