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x QUARTERLY REPORT PURSUANT TO SECTION 13 OR 15(d) OF THE</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95"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For The Quarterly Period Ended June 25, 2023</w:t>
      </w:r>
    </w:p>
    <w:p>
      <w:pPr>
        <w:spacing w:after="0" w:line="127" w:lineRule="exact"/>
        <w:rPr>
          <w:sz w:val="24"/>
          <w:szCs w:val="24"/>
          <w:color w:val="auto"/>
        </w:rPr>
      </w:pPr>
    </w:p>
    <w:p>
      <w:pPr>
        <w:ind w:left="5480"/>
        <w:spacing w:after="0"/>
        <w:rPr>
          <w:sz w:val="20"/>
          <w:szCs w:val="20"/>
          <w:color w:val="auto"/>
        </w:rPr>
      </w:pPr>
      <w:r>
        <w:rPr>
          <w:rFonts w:ascii="Arial" w:cs="Arial" w:eastAsia="Arial" w:hAnsi="Arial"/>
          <w:sz w:val="18"/>
          <w:szCs w:val="18"/>
          <w:color w:val="auto"/>
        </w:rPr>
        <w:t>OR</w:t>
      </w:r>
    </w:p>
    <w:p>
      <w:pPr>
        <w:spacing w:after="0" w:line="117" w:lineRule="exact"/>
        <w:rPr>
          <w:sz w:val="24"/>
          <w:szCs w:val="24"/>
          <w:color w:val="auto"/>
        </w:rPr>
      </w:pPr>
    </w:p>
    <w:p>
      <w:pPr>
        <w:ind w:left="2640"/>
        <w:spacing w:after="0"/>
        <w:rPr>
          <w:sz w:val="20"/>
          <w:szCs w:val="20"/>
          <w:color w:val="auto"/>
        </w:rPr>
      </w:pPr>
      <w:r>
        <w:rPr>
          <w:rFonts w:ascii="Arial" w:cs="Arial" w:eastAsia="Arial" w:hAnsi="Arial"/>
          <w:sz w:val="17"/>
          <w:szCs w:val="17"/>
          <w:color w:val="auto"/>
        </w:rPr>
        <w:t>o TRANSITION REPORT PURSUANT TO SECTION 13 OR 15(d) OF THE</w:t>
      </w:r>
    </w:p>
    <w:p>
      <w:pPr>
        <w:spacing w:after="0" w:line="33"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SECURITIES EXCHANGE ACT OF 1934</w:t>
      </w:r>
    </w:p>
    <w:p>
      <w:pPr>
        <w:spacing w:after="0" w:line="105"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Commission File Number 1-6227</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233" w:right="339" w:bottom="1440" w:gutter="0" w:footer="0" w:header="0"/>
        </w:sectPr>
      </w:pPr>
    </w:p>
    <w:p>
      <w:pPr>
        <w:spacing w:after="0" w:line="168"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280"/>
        <w:spacing w:after="0"/>
        <w:rPr>
          <w:sz w:val="20"/>
          <w:szCs w:val="20"/>
          <w:color w:val="auto"/>
        </w:rPr>
      </w:pPr>
      <w:r>
        <w:rPr>
          <w:rFonts w:ascii="Arial" w:cs="Arial" w:eastAsia="Arial" w:hAnsi="Arial"/>
          <w:sz w:val="17"/>
          <w:szCs w:val="17"/>
          <w:color w:val="auto"/>
        </w:rPr>
        <w:t>(State or other jurisdiction of Company or organization)</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42-0823980</w:t>
      </w:r>
    </w:p>
    <w:p>
      <w:pPr>
        <w:spacing w:after="0" w:line="23" w:lineRule="exact"/>
        <w:rPr>
          <w:sz w:val="24"/>
          <w:szCs w:val="24"/>
          <w:color w:val="auto"/>
        </w:rPr>
      </w:pPr>
    </w:p>
    <w:p>
      <w:pPr>
        <w:jc w:val="center"/>
        <w:ind w:right="10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760" w:space="720"/>
            <w:col w:w="3760"/>
          </w:cols>
          <w:pgMar w:left="320" w:top="233" w:right="339" w:bottom="1440" w:gutter="0" w:footer="0" w:header="0"/>
          <w:type w:val="continuous"/>
        </w:sectPr>
      </w:pP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4600 E. 53rd Street, Davenport, Iowa 52807</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(563) 383-2100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2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8"/>
              </w:rPr>
              <w:t>Trading Symbol(s)</w:t>
            </w:r>
          </w:p>
        </w:tc>
        <w:tc>
          <w:tcPr>
            <w:tcW w:w="44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9"/>
              </w:rPr>
              <w:t>Common Stock, par value $.01 per share</w:t>
            </w:r>
          </w:p>
        </w:tc>
        <w:tc>
          <w:tcPr>
            <w:tcW w:w="2480" w:type="dxa"/>
            <w:vAlign w:val="bottom"/>
          </w:tcPr>
          <w:p>
            <w:pPr>
              <w:jc w:val="center"/>
              <w:ind w:left="50"/>
              <w:spacing w:after="0"/>
              <w:rPr>
                <w:sz w:val="20"/>
                <w:szCs w:val="20"/>
                <w:color w:val="auto"/>
              </w:rPr>
            </w:pPr>
            <w:r>
              <w:rPr>
                <w:rFonts w:ascii="Arial" w:cs="Arial" w:eastAsia="Arial" w:hAnsi="Arial"/>
                <w:sz w:val="18"/>
                <w:szCs w:val="18"/>
                <w:color w:val="auto"/>
                <w:w w:val="99"/>
              </w:rPr>
              <w:t>LEE</w:t>
            </w:r>
          </w:p>
        </w:tc>
        <w:tc>
          <w:tcPr>
            <w:tcW w:w="4440" w:type="dxa"/>
            <w:vAlign w:val="bottom"/>
          </w:tcPr>
          <w:p>
            <w:pPr>
              <w:jc w:val="center"/>
              <w:ind w:left="50"/>
              <w:spacing w:after="0"/>
              <w:rPr>
                <w:sz w:val="20"/>
                <w:szCs w:val="20"/>
                <w:color w:val="auto"/>
              </w:rPr>
            </w:pPr>
            <w:r>
              <w:rPr>
                <w:rFonts w:ascii="Arial" w:cs="Arial" w:eastAsia="Arial" w:hAnsi="Arial"/>
                <w:sz w:val="18"/>
                <w:szCs w:val="18"/>
                <w:color w:val="auto"/>
                <w:w w:val="99"/>
              </w:rPr>
              <w:t>The Nasdaq Global Select Market</w:t>
            </w:r>
          </w:p>
        </w:tc>
      </w:tr>
    </w:tbl>
    <w:p>
      <w:pPr>
        <w:spacing w:after="0" w:line="19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type w:val="continuous"/>
        </w:sectPr>
      </w:pPr>
    </w:p>
    <w:p>
      <w:pPr>
        <w:spacing w:after="0" w:line="116" w:lineRule="exact"/>
        <w:rPr>
          <w:sz w:val="24"/>
          <w:szCs w:val="24"/>
          <w:color w:val="auto"/>
        </w:rPr>
      </w:pPr>
    </w:p>
    <w:p>
      <w:pPr>
        <w:ind w:left="36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ectPr>
          <w:pgSz w:w="11900" w:h="16838" w:orient="portrait"/>
          <w:cols w:equalWidth="0" w:num="2">
            <w:col w:w="4920" w:space="720"/>
            <w:col w:w="5600"/>
          </w:cols>
          <w:pgMar w:left="320" w:top="233" w:right="339" w:bottom="1440" w:gutter="0" w:footer="0" w:header="0"/>
          <w:type w:val="continuous"/>
        </w:sectPr>
      </w:pPr>
    </w:p>
    <w:p>
      <w:pPr>
        <w:ind w:left="372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33" w:lineRule="exact"/>
        <w:rPr>
          <w:sz w:val="24"/>
          <w:szCs w:val="24"/>
          <w:color w:val="auto"/>
        </w:rPr>
      </w:pPr>
    </w:p>
    <w:p>
      <w:pPr>
        <w:sectPr>
          <w:pgSz w:w="11900" w:h="16838" w:orient="portrait"/>
          <w:cols w:equalWidth="0" w:num="2">
            <w:col w:w="8620" w:space="720"/>
            <w:col w:w="1900"/>
          </w:cols>
          <w:pgMar w:left="320" w:top="233" w:right="33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jc w:val="center"/>
        <w:ind w:right="3440"/>
        <w:spacing w:after="0"/>
        <w:rPr>
          <w:sz w:val="20"/>
          <w:szCs w:val="20"/>
          <w:color w:val="auto"/>
        </w:rPr>
      </w:pPr>
      <w:r>
        <w:rPr>
          <w:rFonts w:ascii="Arial" w:cs="Arial" w:eastAsia="Arial" w:hAnsi="Arial"/>
          <w:sz w:val="18"/>
          <w:szCs w:val="18"/>
          <w:color w:val="auto"/>
        </w:rPr>
        <w:t>Smaller reporting company</w:t>
      </w:r>
    </w:p>
    <w:p>
      <w:pPr>
        <w:spacing w:after="0" w:line="15" w:lineRule="exact"/>
        <w:rPr>
          <w:sz w:val="24"/>
          <w:szCs w:val="24"/>
          <w:color w:val="auto"/>
        </w:rPr>
      </w:pPr>
    </w:p>
    <w:p>
      <w:pPr>
        <w:sectPr>
          <w:pgSz w:w="11900" w:h="16838" w:orient="portrait"/>
          <w:cols w:equalWidth="0" w:num="2">
            <w:col w:w="4920" w:space="720"/>
            <w:col w:w="5600"/>
          </w:cols>
          <w:pgMar w:left="320" w:top="233" w:right="339" w:bottom="1440" w:gutter="0" w:footer="0" w:header="0"/>
          <w:type w:val="continuous"/>
        </w:sectPr>
      </w:pPr>
    </w:p>
    <w:p>
      <w:pPr>
        <w:ind w:left="372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33" w:lineRule="exact"/>
        <w:rPr>
          <w:sz w:val="24"/>
          <w:szCs w:val="24"/>
          <w:color w:val="auto"/>
        </w:rPr>
      </w:pPr>
    </w:p>
    <w:p>
      <w:pPr>
        <w:sectPr>
          <w:pgSz w:w="11900" w:h="16838" w:orient="portrait"/>
          <w:cols w:equalWidth="0" w:num="2">
            <w:col w:w="8620" w:space="720"/>
            <w:col w:w="1900"/>
          </w:cols>
          <w:pgMar w:left="320" w:top="233" w:right="339" w:bottom="1440" w:gutter="0" w:footer="0" w:header="0"/>
          <w:type w:val="continuous"/>
        </w:sectPr>
      </w:pPr>
    </w:p>
    <w:p>
      <w:pPr>
        <w:ind w:left="5640"/>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2">
            <w:col w:w="8620" w:space="720"/>
            <w:col w:w="1900"/>
          </w:cols>
          <w:pgMar w:left="320" w:top="233" w:right="339" w:bottom="1440" w:gutter="0" w:footer="0" w:header="0"/>
          <w:type w:val="continuous"/>
        </w:sectPr>
      </w:pPr>
    </w:p>
    <w:p>
      <w:pPr>
        <w:spacing w:after="0" w:line="23" w:lineRule="exact"/>
        <w:rPr>
          <w:sz w:val="24"/>
          <w:szCs w:val="24"/>
          <w:color w:val="auto"/>
        </w:rPr>
      </w:pPr>
    </w:p>
    <w:p>
      <w:pPr>
        <w:spacing w:after="0" w:line="27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6" w:lineRule="exact"/>
        <w:rPr>
          <w:sz w:val="24"/>
          <w:szCs w:val="24"/>
          <w:color w:val="auto"/>
        </w:rPr>
      </w:pPr>
    </w:p>
    <w:p>
      <w:pPr>
        <w:ind w:right="1060"/>
        <w:spacing w:after="0" w:line="401"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 As of July 31, 2023, 6,072,392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Table Of Contents</w:t>
            </w: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PAGE</w:t>
            </w:r>
          </w:p>
        </w:tc>
      </w:tr>
      <w:tr>
        <w:trPr>
          <w:trHeight w:val="338"/>
        </w:trPr>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PART I</w:t>
            </w:r>
          </w:p>
        </w:tc>
        <w:tc>
          <w:tcPr>
            <w:tcW w:w="8860" w:type="dxa"/>
            <w:vAlign w:val="bottom"/>
            <w:gridSpan w:val="15"/>
          </w:tcPr>
          <w:p>
            <w:pPr>
              <w:spacing w:after="0"/>
              <w:rPr>
                <w:sz w:val="20"/>
                <w:szCs w:val="20"/>
                <w:color w:val="auto"/>
              </w:rPr>
            </w:pPr>
            <w:r>
              <w:rPr>
                <w:rFonts w:ascii="Arial" w:cs="Arial" w:eastAsia="Arial" w:hAnsi="Arial"/>
                <w:sz w:val="18"/>
                <w:szCs w:val="18"/>
                <w:color w:val="0000FF"/>
              </w:rPr>
              <w:t>FINANCIAL INFORMATION</w:t>
            </w:r>
          </w:p>
        </w:tc>
        <w:tc>
          <w:tcPr>
            <w:tcW w:w="640" w:type="dxa"/>
            <w:vAlign w:val="bottom"/>
            <w:gridSpan w:val="2"/>
          </w:tcPr>
          <w:p>
            <w:pPr>
              <w:jc w:val="center"/>
              <w:ind w:left="450"/>
              <w:spacing w:after="0"/>
              <w:rPr>
                <w:sz w:val="20"/>
                <w:szCs w:val="20"/>
                <w:color w:val="auto"/>
              </w:rPr>
            </w:pPr>
            <w:r>
              <w:rPr>
                <w:rFonts w:ascii="Arial" w:cs="Arial" w:eastAsia="Arial" w:hAnsi="Arial"/>
                <w:sz w:val="18"/>
                <w:szCs w:val="18"/>
                <w:color w:val="0000FF"/>
                <w:w w:val="99"/>
              </w:rPr>
              <w:t>1</w:t>
            </w:r>
          </w:p>
        </w:tc>
        <w:tc>
          <w:tcPr>
            <w:tcW w:w="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7700" w:type="dxa"/>
            <w:vAlign w:val="bottom"/>
            <w:gridSpan w:val="14"/>
          </w:tcPr>
          <w:p>
            <w:pPr>
              <w:spacing w:after="0"/>
              <w:rPr>
                <w:sz w:val="20"/>
                <w:szCs w:val="20"/>
                <w:color w:val="auto"/>
              </w:rPr>
            </w:pPr>
            <w:r>
              <w:rPr>
                <w:rFonts w:ascii="Arial" w:cs="Arial" w:eastAsia="Arial" w:hAnsi="Arial"/>
                <w:sz w:val="18"/>
                <w:szCs w:val="18"/>
                <w:color w:val="0000FF"/>
              </w:rPr>
              <w:t>Financial Statements (Unaudited)</w:t>
            </w:r>
          </w:p>
        </w:tc>
        <w:tc>
          <w:tcPr>
            <w:tcW w:w="640" w:type="dxa"/>
            <w:vAlign w:val="bottom"/>
            <w:gridSpan w:val="2"/>
          </w:tcPr>
          <w:p>
            <w:pPr>
              <w:jc w:val="center"/>
              <w:ind w:left="450"/>
              <w:spacing w:after="0"/>
              <w:rPr>
                <w:sz w:val="20"/>
                <w:szCs w:val="20"/>
                <w:color w:val="auto"/>
              </w:rPr>
            </w:pPr>
            <w:r>
              <w:rPr>
                <w:rFonts w:ascii="Arial" w:cs="Arial" w:eastAsia="Arial" w:hAnsi="Arial"/>
                <w:sz w:val="18"/>
                <w:szCs w:val="18"/>
                <w:color w:val="0000FF"/>
                <w:w w:val="99"/>
              </w:rPr>
              <w:t>1</w:t>
            </w:r>
          </w:p>
        </w:tc>
        <w:tc>
          <w:tcPr>
            <w:tcW w:w="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7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Consolidated Balance Sheets - June 25, 2023, and September 25, 2022</w:t>
            </w:r>
          </w:p>
        </w:tc>
        <w:tc>
          <w:tcPr>
            <w:tcW w:w="196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1</w:t>
            </w:r>
          </w:p>
        </w:tc>
        <w:tc>
          <w:tcPr>
            <w:tcW w:w="42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700" w:type="dxa"/>
            <w:vAlign w:val="bottom"/>
            <w:gridSpan w:val="14"/>
          </w:tcPr>
          <w:p>
            <w:pPr>
              <w:spacing w:after="0"/>
              <w:rPr>
                <w:sz w:val="20"/>
                <w:szCs w:val="20"/>
                <w:color w:val="auto"/>
              </w:rPr>
            </w:pPr>
            <w:r>
              <w:rPr>
                <w:rFonts w:ascii="Arial" w:cs="Arial" w:eastAsia="Arial" w:hAnsi="Arial"/>
                <w:sz w:val="18"/>
                <w:szCs w:val="18"/>
                <w:color w:val="0000FF"/>
              </w:rPr>
              <w:t>Consolidated Statements of Income (Loss) and Comprehensive Income (Loss) -Three and nine</w:t>
            </w:r>
          </w:p>
        </w:tc>
        <w:tc>
          <w:tcPr>
            <w:tcW w:w="640" w:type="dxa"/>
            <w:vAlign w:val="bottom"/>
            <w:gridSpan w:val="2"/>
          </w:tcPr>
          <w:p>
            <w:pPr>
              <w:jc w:val="center"/>
              <w:ind w:left="450"/>
              <w:spacing w:after="0"/>
              <w:rPr>
                <w:sz w:val="20"/>
                <w:szCs w:val="20"/>
                <w:color w:val="auto"/>
              </w:rPr>
            </w:pPr>
            <w:r>
              <w:rPr>
                <w:rFonts w:ascii="Arial" w:cs="Arial" w:eastAsia="Arial" w:hAnsi="Arial"/>
                <w:sz w:val="18"/>
                <w:szCs w:val="18"/>
                <w:color w:val="0000FF"/>
                <w:w w:val="99"/>
              </w:rPr>
              <w:t>3</w:t>
            </w:r>
          </w:p>
        </w:tc>
        <w:tc>
          <w:tcPr>
            <w:tcW w:w="42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560" w:type="dxa"/>
            <w:vAlign w:val="bottom"/>
            <w:tcBorders>
              <w:top w:val="single" w:sz="8" w:color="0000FF"/>
            </w:tcBorders>
            <w:gridSpan w:val="12"/>
          </w:tcPr>
          <w:p>
            <w:pPr>
              <w:spacing w:after="0" w:line="156" w:lineRule="exact"/>
              <w:rPr>
                <w:sz w:val="20"/>
                <w:szCs w:val="20"/>
                <w:color w:val="auto"/>
              </w:rPr>
            </w:pPr>
            <w:r>
              <w:rPr>
                <w:rFonts w:ascii="Arial" w:cs="Arial" w:eastAsia="Arial" w:hAnsi="Arial"/>
                <w:sz w:val="18"/>
                <w:szCs w:val="18"/>
                <w:color w:val="0000FF"/>
              </w:rPr>
              <w:t>months ended June 25, 2023 and June 26, 2022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700" w:type="dxa"/>
            <w:vAlign w:val="bottom"/>
            <w:gridSpan w:val="14"/>
          </w:tcPr>
          <w:p>
            <w:pPr>
              <w:spacing w:after="0"/>
              <w:rPr>
                <w:sz w:val="20"/>
                <w:szCs w:val="20"/>
                <w:color w:val="auto"/>
              </w:rPr>
            </w:pPr>
            <w:r>
              <w:rPr>
                <w:rFonts w:ascii="Arial" w:cs="Arial" w:eastAsia="Arial" w:hAnsi="Arial"/>
                <w:sz w:val="18"/>
                <w:szCs w:val="18"/>
                <w:color w:val="0000FF"/>
                <w:w w:val="99"/>
              </w:rPr>
              <w:t>Consolidated Statements of Stockholder's Equity - Three and nine months ended June 25, 2023,</w:t>
            </w:r>
          </w:p>
        </w:tc>
        <w:tc>
          <w:tcPr>
            <w:tcW w:w="640" w:type="dxa"/>
            <w:vAlign w:val="bottom"/>
            <w:gridSpan w:val="2"/>
          </w:tcPr>
          <w:p>
            <w:pPr>
              <w:jc w:val="center"/>
              <w:ind w:left="450"/>
              <w:spacing w:after="0"/>
              <w:rPr>
                <w:sz w:val="20"/>
                <w:szCs w:val="20"/>
                <w:color w:val="auto"/>
              </w:rPr>
            </w:pPr>
            <w:r>
              <w:rPr>
                <w:rFonts w:ascii="Arial" w:cs="Arial" w:eastAsia="Arial" w:hAnsi="Arial"/>
                <w:sz w:val="18"/>
                <w:szCs w:val="18"/>
                <w:color w:val="0000FF"/>
                <w:w w:val="99"/>
              </w:rPr>
              <w:t>4</w:t>
            </w:r>
          </w:p>
        </w:tc>
        <w:tc>
          <w:tcPr>
            <w:tcW w:w="42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80" w:type="dxa"/>
            <w:vAlign w:val="bottom"/>
            <w:tcBorders>
              <w:top w:val="single" w:sz="8" w:color="0000FF"/>
            </w:tcBorders>
            <w:gridSpan w:val="13"/>
          </w:tcPr>
          <w:p>
            <w:pPr>
              <w:spacing w:after="0" w:line="156" w:lineRule="exact"/>
              <w:rPr>
                <w:sz w:val="20"/>
                <w:szCs w:val="20"/>
                <w:color w:val="auto"/>
              </w:rPr>
            </w:pPr>
            <w:r>
              <w:rPr>
                <w:rFonts w:ascii="Arial" w:cs="Arial" w:eastAsia="Arial" w:hAnsi="Arial"/>
                <w:sz w:val="18"/>
                <w:szCs w:val="18"/>
                <w:color w:val="0000FF"/>
              </w:rPr>
              <w:t>and June 26, 2022</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7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Consolidated Statements of Cash Flows - Nine months ended June 25, 2023, and June 26, 2022</w:t>
            </w:r>
          </w:p>
        </w:tc>
        <w:tc>
          <w:tcPr>
            <w:tcW w:w="54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6</w:t>
            </w:r>
          </w:p>
        </w:tc>
        <w:tc>
          <w:tcPr>
            <w:tcW w:w="42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5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Notes to Consolidated Financial Statements</w:t>
            </w:r>
          </w:p>
        </w:tc>
        <w:tc>
          <w:tcPr>
            <w:tcW w:w="4200" w:type="dxa"/>
            <w:vAlign w:val="bottom"/>
            <w:gridSpan w:val="7"/>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7</w:t>
            </w:r>
          </w:p>
        </w:tc>
        <w:tc>
          <w:tcPr>
            <w:tcW w:w="42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7060" w:type="dxa"/>
            <w:vAlign w:val="bottom"/>
            <w:gridSpan w:val="11"/>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640" w:type="dxa"/>
            <w:vAlign w:val="bottom"/>
            <w:gridSpan w:val="3"/>
          </w:tcPr>
          <w:p>
            <w:pPr>
              <w:spacing w:after="0"/>
              <w:rPr>
                <w:sz w:val="24"/>
                <w:szCs w:val="24"/>
                <w:color w:val="auto"/>
              </w:rPr>
            </w:pPr>
          </w:p>
        </w:tc>
        <w:tc>
          <w:tcPr>
            <w:tcW w:w="640" w:type="dxa"/>
            <w:vAlign w:val="bottom"/>
            <w:gridSpan w:val="2"/>
          </w:tcPr>
          <w:p>
            <w:pPr>
              <w:jc w:val="center"/>
              <w:ind w:left="350"/>
              <w:spacing w:after="0"/>
              <w:rPr>
                <w:sz w:val="20"/>
                <w:szCs w:val="20"/>
                <w:color w:val="auto"/>
              </w:rPr>
            </w:pPr>
            <w:r>
              <w:rPr>
                <w:rFonts w:ascii="Arial" w:cs="Arial" w:eastAsia="Arial" w:hAnsi="Arial"/>
                <w:sz w:val="18"/>
                <w:szCs w:val="18"/>
                <w:color w:val="0000FF"/>
                <w:w w:val="99"/>
              </w:rPr>
              <w:t>13</w:t>
            </w:r>
          </w:p>
        </w:tc>
        <w:tc>
          <w:tcPr>
            <w:tcW w:w="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160" w:type="dxa"/>
            <w:vAlign w:val="bottom"/>
            <w:gridSpan w:val="17"/>
          </w:tcPr>
          <w:p>
            <w:pPr>
              <w:spacing w:after="0"/>
              <w:rPr>
                <w:sz w:val="20"/>
                <w:szCs w:val="20"/>
                <w:color w:val="auto"/>
              </w:rPr>
            </w:pPr>
            <w:r>
              <w:rPr>
                <w:rFonts w:ascii="Arial" w:cs="Arial" w:eastAsia="Arial" w:hAnsi="Arial"/>
                <w:sz w:val="18"/>
                <w:szCs w:val="18"/>
                <w:color w:val="0000FF"/>
              </w:rPr>
              <w:t>FORWARD LOOKING STATEMENTS</w:t>
            </w:r>
          </w:p>
        </w:tc>
        <w:tc>
          <w:tcPr>
            <w:tcW w:w="640" w:type="dxa"/>
            <w:vAlign w:val="bottom"/>
            <w:gridSpan w:val="2"/>
          </w:tcPr>
          <w:p>
            <w:pPr>
              <w:jc w:val="center"/>
              <w:ind w:left="350"/>
              <w:spacing w:after="0"/>
              <w:rPr>
                <w:sz w:val="20"/>
                <w:szCs w:val="20"/>
                <w:color w:val="auto"/>
              </w:rPr>
            </w:pPr>
            <w:r>
              <w:rPr>
                <w:rFonts w:ascii="Arial" w:cs="Arial" w:eastAsia="Arial" w:hAnsi="Arial"/>
                <w:sz w:val="18"/>
                <w:szCs w:val="18"/>
                <w:color w:val="0000FF"/>
                <w:w w:val="99"/>
              </w:rPr>
              <w:t>22</w:t>
            </w:r>
          </w:p>
        </w:tc>
        <w:tc>
          <w:tcPr>
            <w:tcW w:w="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gridSpan w:val="9"/>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3000" w:type="dxa"/>
            <w:vAlign w:val="bottom"/>
            <w:gridSpan w:val="5"/>
          </w:tcPr>
          <w:p>
            <w:pPr>
              <w:spacing w:after="0"/>
              <w:rPr>
                <w:sz w:val="24"/>
                <w:szCs w:val="24"/>
                <w:color w:val="auto"/>
              </w:rPr>
            </w:pPr>
          </w:p>
        </w:tc>
        <w:tc>
          <w:tcPr>
            <w:tcW w:w="640" w:type="dxa"/>
            <w:vAlign w:val="bottom"/>
            <w:gridSpan w:val="2"/>
          </w:tcPr>
          <w:p>
            <w:pPr>
              <w:jc w:val="center"/>
              <w:ind w:left="350"/>
              <w:spacing w:after="0"/>
              <w:rPr>
                <w:sz w:val="20"/>
                <w:szCs w:val="20"/>
                <w:color w:val="auto"/>
              </w:rPr>
            </w:pPr>
            <w:r>
              <w:rPr>
                <w:rFonts w:ascii="Arial" w:cs="Arial" w:eastAsia="Arial" w:hAnsi="Arial"/>
                <w:sz w:val="18"/>
                <w:szCs w:val="18"/>
                <w:color w:val="0000FF"/>
                <w:w w:val="99"/>
              </w:rPr>
              <w:t>22</w:t>
            </w:r>
          </w:p>
        </w:tc>
        <w:tc>
          <w:tcPr>
            <w:tcW w:w="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9"/>
          </w:tcPr>
          <w:p>
            <w:pPr>
              <w:spacing w:after="0"/>
              <w:rPr>
                <w:sz w:val="20"/>
                <w:szCs w:val="20"/>
                <w:color w:val="auto"/>
              </w:rPr>
            </w:pPr>
            <w:r>
              <w:rPr>
                <w:rFonts w:ascii="Arial" w:cs="Arial" w:eastAsia="Arial" w:hAnsi="Arial"/>
                <w:sz w:val="18"/>
                <w:szCs w:val="18"/>
                <w:color w:val="0000FF"/>
              </w:rPr>
              <w:t>Controls and Procedures</w:t>
            </w:r>
          </w:p>
        </w:tc>
        <w:tc>
          <w:tcPr>
            <w:tcW w:w="3000" w:type="dxa"/>
            <w:vAlign w:val="bottom"/>
            <w:gridSpan w:val="5"/>
          </w:tcPr>
          <w:p>
            <w:pPr>
              <w:spacing w:after="0"/>
              <w:rPr>
                <w:sz w:val="24"/>
                <w:szCs w:val="24"/>
                <w:color w:val="auto"/>
              </w:rPr>
            </w:pPr>
          </w:p>
        </w:tc>
        <w:tc>
          <w:tcPr>
            <w:tcW w:w="640" w:type="dxa"/>
            <w:vAlign w:val="bottom"/>
            <w:gridSpan w:val="2"/>
          </w:tcPr>
          <w:p>
            <w:pPr>
              <w:jc w:val="center"/>
              <w:ind w:left="350"/>
              <w:spacing w:after="0"/>
              <w:rPr>
                <w:sz w:val="20"/>
                <w:szCs w:val="20"/>
                <w:color w:val="auto"/>
              </w:rPr>
            </w:pPr>
            <w:r>
              <w:rPr>
                <w:rFonts w:ascii="Arial" w:cs="Arial" w:eastAsia="Arial" w:hAnsi="Arial"/>
                <w:sz w:val="18"/>
                <w:szCs w:val="18"/>
                <w:color w:val="0000FF"/>
                <w:w w:val="99"/>
              </w:rPr>
              <w:t>23</w:t>
            </w:r>
          </w:p>
        </w:tc>
        <w:tc>
          <w:tcPr>
            <w:tcW w:w="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720" w:type="dxa"/>
            <w:vAlign w:val="bottom"/>
            <w:gridSpan w:val="9"/>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8860" w:type="dxa"/>
            <w:vAlign w:val="bottom"/>
            <w:gridSpan w:val="15"/>
          </w:tcPr>
          <w:p>
            <w:pPr>
              <w:spacing w:after="0"/>
              <w:rPr>
                <w:sz w:val="20"/>
                <w:szCs w:val="20"/>
                <w:color w:val="auto"/>
              </w:rPr>
            </w:pPr>
            <w:r>
              <w:rPr>
                <w:rFonts w:ascii="Arial" w:cs="Arial" w:eastAsia="Arial" w:hAnsi="Arial"/>
                <w:sz w:val="18"/>
                <w:szCs w:val="18"/>
                <w:color w:val="0000FF"/>
              </w:rPr>
              <w:t>OTHER INFORMATION</w:t>
            </w:r>
          </w:p>
        </w:tc>
        <w:tc>
          <w:tcPr>
            <w:tcW w:w="640" w:type="dxa"/>
            <w:vAlign w:val="bottom"/>
            <w:gridSpan w:val="2"/>
          </w:tcPr>
          <w:p>
            <w:pPr>
              <w:jc w:val="center"/>
              <w:ind w:left="350"/>
              <w:spacing w:after="0"/>
              <w:rPr>
                <w:sz w:val="20"/>
                <w:szCs w:val="20"/>
                <w:color w:val="auto"/>
              </w:rPr>
            </w:pPr>
            <w:r>
              <w:rPr>
                <w:rFonts w:ascii="Arial" w:cs="Arial" w:eastAsia="Arial" w:hAnsi="Arial"/>
                <w:sz w:val="18"/>
                <w:szCs w:val="18"/>
                <w:color w:val="0000FF"/>
                <w:w w:val="99"/>
              </w:rPr>
              <w:t>24</w:t>
            </w:r>
          </w:p>
        </w:tc>
        <w:tc>
          <w:tcPr>
            <w:tcW w:w="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20" w:type="dxa"/>
            <w:vAlign w:val="bottom"/>
            <w:gridSpan w:val="10"/>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7700" w:type="dxa"/>
            <w:vAlign w:val="bottom"/>
            <w:gridSpan w:val="14"/>
          </w:tcPr>
          <w:p>
            <w:pPr>
              <w:spacing w:after="0"/>
              <w:rPr>
                <w:sz w:val="20"/>
                <w:szCs w:val="20"/>
                <w:color w:val="auto"/>
              </w:rPr>
            </w:pPr>
            <w:r>
              <w:rPr>
                <w:rFonts w:ascii="Arial" w:cs="Arial" w:eastAsia="Arial" w:hAnsi="Arial"/>
                <w:sz w:val="18"/>
                <w:szCs w:val="18"/>
                <w:color w:val="0000FF"/>
              </w:rPr>
              <w:t>Legal Proceedings</w:t>
            </w:r>
          </w:p>
        </w:tc>
        <w:tc>
          <w:tcPr>
            <w:tcW w:w="640" w:type="dxa"/>
            <w:vAlign w:val="bottom"/>
            <w:gridSpan w:val="2"/>
          </w:tcPr>
          <w:p>
            <w:pPr>
              <w:jc w:val="center"/>
              <w:ind w:left="350"/>
              <w:spacing w:after="0"/>
              <w:rPr>
                <w:sz w:val="20"/>
                <w:szCs w:val="20"/>
                <w:color w:val="auto"/>
              </w:rPr>
            </w:pPr>
            <w:r>
              <w:rPr>
                <w:rFonts w:ascii="Arial" w:cs="Arial" w:eastAsia="Arial" w:hAnsi="Arial"/>
                <w:sz w:val="18"/>
                <w:szCs w:val="18"/>
                <w:color w:val="0000FF"/>
                <w:w w:val="99"/>
              </w:rPr>
              <w:t>24</w:t>
            </w:r>
          </w:p>
        </w:tc>
        <w:tc>
          <w:tcPr>
            <w:tcW w:w="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sz w:val="20"/>
                <w:szCs w:val="20"/>
                <w:color w:val="auto"/>
              </w:rPr>
            </w:pPr>
            <w:r>
              <w:rPr>
                <w:rFonts w:ascii="Arial" w:cs="Arial" w:eastAsia="Arial" w:hAnsi="Arial"/>
                <w:sz w:val="18"/>
                <w:szCs w:val="18"/>
                <w:color w:val="0000FF"/>
                <w:w w:val="95"/>
              </w:rPr>
              <w:t>Risk Factors</w:t>
            </w:r>
          </w:p>
        </w:tc>
        <w:tc>
          <w:tcPr>
            <w:tcW w:w="480" w:type="dxa"/>
            <w:vAlign w:val="bottom"/>
          </w:tcPr>
          <w:p>
            <w:pPr>
              <w:spacing w:after="0"/>
              <w:rPr>
                <w:sz w:val="24"/>
                <w:szCs w:val="24"/>
                <w:color w:val="auto"/>
              </w:rPr>
            </w:pPr>
          </w:p>
        </w:tc>
        <w:tc>
          <w:tcPr>
            <w:tcW w:w="6220" w:type="dxa"/>
            <w:vAlign w:val="bottom"/>
            <w:gridSpan w:val="10"/>
          </w:tcPr>
          <w:p>
            <w:pPr>
              <w:spacing w:after="0"/>
              <w:rPr>
                <w:sz w:val="24"/>
                <w:szCs w:val="24"/>
                <w:color w:val="auto"/>
              </w:rPr>
            </w:pPr>
          </w:p>
        </w:tc>
        <w:tc>
          <w:tcPr>
            <w:tcW w:w="640" w:type="dxa"/>
            <w:vAlign w:val="bottom"/>
            <w:gridSpan w:val="2"/>
          </w:tcPr>
          <w:p>
            <w:pPr>
              <w:jc w:val="center"/>
              <w:ind w:left="350"/>
              <w:spacing w:after="0"/>
              <w:rPr>
                <w:sz w:val="20"/>
                <w:szCs w:val="20"/>
                <w:color w:val="auto"/>
              </w:rPr>
            </w:pPr>
            <w:r>
              <w:rPr>
                <w:rFonts w:ascii="Arial" w:cs="Arial" w:eastAsia="Arial" w:hAnsi="Arial"/>
                <w:sz w:val="18"/>
                <w:szCs w:val="18"/>
                <w:color w:val="0000FF"/>
                <w:w w:val="99"/>
              </w:rPr>
              <w:t>24</w:t>
            </w:r>
          </w:p>
        </w:tc>
        <w:tc>
          <w:tcPr>
            <w:tcW w:w="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700" w:type="dxa"/>
            <w:vAlign w:val="bottom"/>
            <w:gridSpan w:val="11"/>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6.</w:t>
            </w:r>
          </w:p>
        </w:tc>
        <w:tc>
          <w:tcPr>
            <w:tcW w:w="1000" w:type="dxa"/>
            <w:vAlign w:val="bottom"/>
            <w:gridSpan w:val="3"/>
          </w:tcPr>
          <w:p>
            <w:pPr>
              <w:spacing w:after="0"/>
              <w:rPr>
                <w:sz w:val="20"/>
                <w:szCs w:val="20"/>
                <w:color w:val="auto"/>
              </w:rPr>
            </w:pPr>
            <w:r>
              <w:rPr>
                <w:rFonts w:ascii="Arial" w:cs="Arial" w:eastAsia="Arial" w:hAnsi="Arial"/>
                <w:sz w:val="18"/>
                <w:szCs w:val="18"/>
                <w:color w:val="0000FF"/>
              </w:rPr>
              <w:t>Exhibits</w:t>
            </w:r>
          </w:p>
        </w:tc>
        <w:tc>
          <w:tcPr>
            <w:tcW w:w="6700" w:type="dxa"/>
            <w:vAlign w:val="bottom"/>
            <w:gridSpan w:val="11"/>
          </w:tcPr>
          <w:p>
            <w:pPr>
              <w:spacing w:after="0"/>
              <w:rPr>
                <w:sz w:val="24"/>
                <w:szCs w:val="24"/>
                <w:color w:val="auto"/>
              </w:rPr>
            </w:pPr>
          </w:p>
        </w:tc>
        <w:tc>
          <w:tcPr>
            <w:tcW w:w="640" w:type="dxa"/>
            <w:vAlign w:val="bottom"/>
            <w:gridSpan w:val="2"/>
          </w:tcPr>
          <w:p>
            <w:pPr>
              <w:jc w:val="center"/>
              <w:ind w:left="350"/>
              <w:spacing w:after="0"/>
              <w:rPr>
                <w:sz w:val="20"/>
                <w:szCs w:val="20"/>
                <w:color w:val="auto"/>
              </w:rPr>
            </w:pPr>
            <w:r>
              <w:rPr>
                <w:rFonts w:ascii="Arial" w:cs="Arial" w:eastAsia="Arial" w:hAnsi="Arial"/>
                <w:sz w:val="18"/>
                <w:szCs w:val="18"/>
                <w:color w:val="0000FF"/>
                <w:w w:val="99"/>
              </w:rPr>
              <w:t>24</w:t>
            </w:r>
          </w:p>
        </w:tc>
        <w:tc>
          <w:tcPr>
            <w:tcW w:w="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center"/>
              <w:ind w:left="350"/>
              <w:spacing w:after="0"/>
              <w:rPr>
                <w:sz w:val="20"/>
                <w:szCs w:val="20"/>
                <w:color w:val="auto"/>
              </w:rPr>
            </w:pPr>
            <w:r>
              <w:rPr>
                <w:rFonts w:ascii="Arial" w:cs="Arial" w:eastAsia="Arial" w:hAnsi="Arial"/>
                <w:sz w:val="18"/>
                <w:szCs w:val="18"/>
                <w:color w:val="0000FF"/>
                <w:w w:val="99"/>
              </w:rPr>
              <w:t>25</w:t>
            </w:r>
          </w:p>
        </w:tc>
        <w:tc>
          <w:tcPr>
            <w:tcW w:w="420" w:type="dxa"/>
            <w:vAlign w:val="bottom"/>
          </w:tcPr>
          <w:p>
            <w:pPr>
              <w:spacing w:after="0"/>
              <w:rPr>
                <w:sz w:val="24"/>
                <w:szCs w:val="24"/>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17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8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LEE ENTERPRISES, INCORPORATED</w:t>
      </w:r>
    </w:p>
    <w:p>
      <w:pPr>
        <w:spacing w:after="0" w:line="3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200" w:type="dxa"/>
            <w:vAlign w:val="bottom"/>
            <w:tcBorders>
              <w:top w:val="single" w:sz="8" w:color="auto"/>
              <w:bottom w:val="single" w:sz="8" w:color="auto"/>
            </w:tcBorders>
          </w:tcPr>
          <w:p>
            <w:pPr>
              <w:spacing w:after="0"/>
              <w:rPr>
                <w:sz w:val="21"/>
                <w:szCs w:val="21"/>
                <w:color w:val="auto"/>
              </w:rPr>
            </w:pPr>
          </w:p>
        </w:tc>
        <w:tc>
          <w:tcPr>
            <w:tcW w:w="45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(Unaudited)</w:t>
            </w:r>
          </w:p>
        </w:tc>
        <w:tc>
          <w:tcPr>
            <w:tcW w:w="1460" w:type="dxa"/>
            <w:vAlign w:val="bottom"/>
            <w:tcBorders>
              <w:top w:val="single" w:sz="8" w:color="auto"/>
              <w:bottom w:val="single" w:sz="8" w:color="auto"/>
            </w:tcBorders>
          </w:tcPr>
          <w:p>
            <w:pPr>
              <w:spacing w:after="0"/>
              <w:rPr>
                <w:sz w:val="21"/>
                <w:szCs w:val="21"/>
                <w:color w:val="auto"/>
              </w:rPr>
            </w:pPr>
          </w:p>
        </w:tc>
      </w:tr>
      <w:tr>
        <w:trPr>
          <w:trHeight w:val="230"/>
        </w:trPr>
        <w:tc>
          <w:tcPr>
            <w:tcW w:w="5200" w:type="dxa"/>
            <w:vAlign w:val="bottom"/>
          </w:tcPr>
          <w:p>
            <w:pPr>
              <w:spacing w:after="0"/>
              <w:rPr>
                <w:sz w:val="20"/>
                <w:szCs w:val="20"/>
                <w:color w:val="auto"/>
              </w:rPr>
            </w:pPr>
          </w:p>
        </w:tc>
        <w:tc>
          <w:tcPr>
            <w:tcW w:w="4580" w:type="dxa"/>
            <w:vAlign w:val="bottom"/>
          </w:tcPr>
          <w:p>
            <w:pPr>
              <w:jc w:val="right"/>
              <w:ind w:right="190"/>
              <w:spacing w:after="0"/>
              <w:rPr>
                <w:sz w:val="20"/>
                <w:szCs w:val="20"/>
                <w:color w:val="auto"/>
              </w:rPr>
            </w:pPr>
            <w:r>
              <w:rPr>
                <w:rFonts w:ascii="Arial" w:cs="Arial" w:eastAsia="Arial" w:hAnsi="Arial"/>
                <w:sz w:val="18"/>
                <w:szCs w:val="18"/>
                <w:color w:val="auto"/>
              </w:rPr>
              <w:t>June 25,</w:t>
            </w:r>
          </w:p>
        </w:tc>
        <w:tc>
          <w:tcPr>
            <w:tcW w:w="1460" w:type="dxa"/>
            <w:vAlign w:val="bottom"/>
          </w:tcPr>
          <w:p>
            <w:pPr>
              <w:jc w:val="right"/>
              <w:spacing w:after="0"/>
              <w:rPr>
                <w:sz w:val="20"/>
                <w:szCs w:val="20"/>
                <w:color w:val="auto"/>
              </w:rPr>
            </w:pPr>
            <w:r>
              <w:rPr>
                <w:rFonts w:ascii="Arial" w:cs="Arial" w:eastAsia="Arial" w:hAnsi="Arial"/>
                <w:sz w:val="18"/>
                <w:szCs w:val="18"/>
                <w:color w:val="auto"/>
              </w:rPr>
              <w:t>September 25,</w:t>
            </w:r>
          </w:p>
        </w:tc>
      </w:tr>
      <w:tr>
        <w:trPr>
          <w:trHeight w:val="24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4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4160" w:type="dxa"/>
            <w:vAlign w:val="bottom"/>
          </w:tcPr>
          <w:p>
            <w:pPr>
              <w:jc w:val="right"/>
              <w:ind w:right="450"/>
              <w:spacing w:after="0"/>
              <w:rPr>
                <w:sz w:val="20"/>
                <w:szCs w:val="20"/>
                <w:color w:val="auto"/>
              </w:rPr>
            </w:pPr>
            <w:r>
              <w:rPr>
                <w:rFonts w:ascii="Arial" w:cs="Arial" w:eastAsia="Arial" w:hAnsi="Arial"/>
                <w:sz w:val="18"/>
                <w:szCs w:val="18"/>
                <w:color w:val="auto"/>
              </w:rPr>
              <w:t>16,955</w:t>
            </w:r>
          </w:p>
        </w:tc>
        <w:tc>
          <w:tcPr>
            <w:tcW w:w="1260" w:type="dxa"/>
            <w:vAlign w:val="bottom"/>
          </w:tcPr>
          <w:p>
            <w:pPr>
              <w:jc w:val="right"/>
              <w:spacing w:after="0"/>
              <w:rPr>
                <w:sz w:val="20"/>
                <w:szCs w:val="20"/>
                <w:color w:val="auto"/>
              </w:rPr>
            </w:pPr>
            <w:r>
              <w:rPr>
                <w:rFonts w:ascii="Arial" w:cs="Arial" w:eastAsia="Arial" w:hAnsi="Arial"/>
                <w:sz w:val="18"/>
                <w:szCs w:val="18"/>
                <w:color w:val="auto"/>
              </w:rPr>
              <w:t>16,185</w:t>
            </w:r>
          </w:p>
        </w:tc>
      </w:tr>
      <w:tr>
        <w:trPr>
          <w:trHeight w:val="229"/>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41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69,182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69,522</w:t>
            </w:r>
          </w:p>
        </w:tc>
      </w:tr>
      <w:tr>
        <w:trPr>
          <w:trHeight w:val="236"/>
        </w:trPr>
        <w:tc>
          <w:tcPr>
            <w:tcW w:w="58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4160" w:type="dxa"/>
            <w:vAlign w:val="bottom"/>
          </w:tcPr>
          <w:p>
            <w:pPr>
              <w:jc w:val="right"/>
              <w:ind w:right="450"/>
              <w:spacing w:after="0"/>
              <w:rPr>
                <w:sz w:val="20"/>
                <w:szCs w:val="20"/>
                <w:color w:val="auto"/>
              </w:rPr>
            </w:pPr>
            <w:r>
              <w:rPr>
                <w:rFonts w:ascii="Arial" w:cs="Arial" w:eastAsia="Arial" w:hAnsi="Arial"/>
                <w:sz w:val="18"/>
                <w:szCs w:val="18"/>
                <w:color w:val="auto"/>
              </w:rPr>
              <w:t>7,933</w:t>
            </w:r>
          </w:p>
        </w:tc>
        <w:tc>
          <w:tcPr>
            <w:tcW w:w="1260" w:type="dxa"/>
            <w:vAlign w:val="bottom"/>
          </w:tcPr>
          <w:p>
            <w:pPr>
              <w:jc w:val="right"/>
              <w:spacing w:after="0"/>
              <w:rPr>
                <w:sz w:val="20"/>
                <w:szCs w:val="20"/>
                <w:color w:val="auto"/>
              </w:rPr>
            </w:pPr>
            <w:r>
              <w:rPr>
                <w:rFonts w:ascii="Arial" w:cs="Arial" w:eastAsia="Arial" w:hAnsi="Arial"/>
                <w:sz w:val="18"/>
                <w:szCs w:val="18"/>
                <w:color w:val="auto"/>
              </w:rPr>
              <w:t>8,265</w:t>
            </w:r>
          </w:p>
        </w:tc>
      </w:tr>
      <w:tr>
        <w:trPr>
          <w:trHeight w:val="236"/>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41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15,098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15,151</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current assets</w:t>
            </w:r>
          </w:p>
        </w:tc>
        <w:tc>
          <w:tcPr>
            <w:tcW w:w="4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109,168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109,123</w:t>
            </w:r>
          </w:p>
        </w:tc>
      </w:tr>
      <w:tr>
        <w:trPr>
          <w:trHeight w:val="237"/>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4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Associated companies</w:t>
            </w:r>
          </w:p>
        </w:tc>
        <w:tc>
          <w:tcPr>
            <w:tcW w:w="4160" w:type="dxa"/>
            <w:vAlign w:val="bottom"/>
          </w:tcPr>
          <w:p>
            <w:pPr>
              <w:jc w:val="right"/>
              <w:ind w:right="450"/>
              <w:spacing w:after="0"/>
              <w:rPr>
                <w:sz w:val="20"/>
                <w:szCs w:val="20"/>
                <w:color w:val="auto"/>
              </w:rPr>
            </w:pPr>
            <w:r>
              <w:rPr>
                <w:rFonts w:ascii="Arial" w:cs="Arial" w:eastAsia="Arial" w:hAnsi="Arial"/>
                <w:sz w:val="18"/>
                <w:szCs w:val="18"/>
                <w:color w:val="auto"/>
              </w:rPr>
              <w:t>29,654</w:t>
            </w:r>
          </w:p>
        </w:tc>
        <w:tc>
          <w:tcPr>
            <w:tcW w:w="1260" w:type="dxa"/>
            <w:vAlign w:val="bottom"/>
          </w:tcPr>
          <w:p>
            <w:pPr>
              <w:jc w:val="right"/>
              <w:spacing w:after="0"/>
              <w:rPr>
                <w:sz w:val="20"/>
                <w:szCs w:val="20"/>
                <w:color w:val="auto"/>
              </w:rPr>
            </w:pPr>
            <w:r>
              <w:rPr>
                <w:rFonts w:ascii="Arial" w:cs="Arial" w:eastAsia="Arial" w:hAnsi="Arial"/>
                <w:sz w:val="18"/>
                <w:szCs w:val="18"/>
                <w:color w:val="auto"/>
              </w:rPr>
              <w:t>27,378</w:t>
            </w:r>
          </w:p>
        </w:tc>
      </w:tr>
      <w:tr>
        <w:trPr>
          <w:trHeight w:val="229"/>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1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5,791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r>
      <w:tr>
        <w:trPr>
          <w:trHeight w:val="23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investments</w:t>
            </w:r>
          </w:p>
        </w:tc>
        <w:tc>
          <w:tcPr>
            <w:tcW w:w="4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35,445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33,349</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Land and improvements</w:t>
            </w:r>
          </w:p>
        </w:tc>
        <w:tc>
          <w:tcPr>
            <w:tcW w:w="4160" w:type="dxa"/>
            <w:vAlign w:val="bottom"/>
          </w:tcPr>
          <w:p>
            <w:pPr>
              <w:jc w:val="right"/>
              <w:ind w:right="450"/>
              <w:spacing w:after="0"/>
              <w:rPr>
                <w:sz w:val="20"/>
                <w:szCs w:val="20"/>
                <w:color w:val="auto"/>
              </w:rPr>
            </w:pPr>
            <w:r>
              <w:rPr>
                <w:rFonts w:ascii="Arial" w:cs="Arial" w:eastAsia="Arial" w:hAnsi="Arial"/>
                <w:sz w:val="18"/>
                <w:szCs w:val="18"/>
                <w:color w:val="auto"/>
              </w:rPr>
              <w:t>13,098</w:t>
            </w:r>
          </w:p>
        </w:tc>
        <w:tc>
          <w:tcPr>
            <w:tcW w:w="1260" w:type="dxa"/>
            <w:vAlign w:val="bottom"/>
          </w:tcPr>
          <w:p>
            <w:pPr>
              <w:jc w:val="right"/>
              <w:spacing w:after="0"/>
              <w:rPr>
                <w:sz w:val="20"/>
                <w:szCs w:val="20"/>
                <w:color w:val="auto"/>
              </w:rPr>
            </w:pPr>
            <w:r>
              <w:rPr>
                <w:rFonts w:ascii="Arial" w:cs="Arial" w:eastAsia="Arial" w:hAnsi="Arial"/>
                <w:sz w:val="18"/>
                <w:szCs w:val="18"/>
                <w:color w:val="auto"/>
              </w:rPr>
              <w:t>14,505</w:t>
            </w:r>
          </w:p>
        </w:tc>
      </w:tr>
      <w:tr>
        <w:trPr>
          <w:trHeight w:val="243"/>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Buildings and improvements</w:t>
            </w:r>
          </w:p>
        </w:tc>
        <w:tc>
          <w:tcPr>
            <w:tcW w:w="41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89,246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95,111</w:t>
            </w: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4160" w:type="dxa"/>
            <w:vAlign w:val="bottom"/>
          </w:tcPr>
          <w:p>
            <w:pPr>
              <w:jc w:val="right"/>
              <w:ind w:right="450"/>
              <w:spacing w:after="0"/>
              <w:rPr>
                <w:sz w:val="20"/>
                <w:szCs w:val="20"/>
                <w:color w:val="auto"/>
              </w:rPr>
            </w:pPr>
            <w:r>
              <w:rPr>
                <w:rFonts w:ascii="Arial" w:cs="Arial" w:eastAsia="Arial" w:hAnsi="Arial"/>
                <w:sz w:val="18"/>
                <w:szCs w:val="18"/>
                <w:color w:val="auto"/>
              </w:rPr>
              <w:t>216,872</w:t>
            </w:r>
          </w:p>
        </w:tc>
        <w:tc>
          <w:tcPr>
            <w:tcW w:w="1260" w:type="dxa"/>
            <w:vAlign w:val="bottom"/>
          </w:tcPr>
          <w:p>
            <w:pPr>
              <w:jc w:val="right"/>
              <w:spacing w:after="0"/>
              <w:rPr>
                <w:sz w:val="20"/>
                <w:szCs w:val="20"/>
                <w:color w:val="auto"/>
              </w:rPr>
            </w:pPr>
            <w:r>
              <w:rPr>
                <w:rFonts w:ascii="Arial" w:cs="Arial" w:eastAsia="Arial" w:hAnsi="Arial"/>
                <w:sz w:val="18"/>
                <w:szCs w:val="18"/>
                <w:color w:val="auto"/>
              </w:rPr>
              <w:t>215,731</w:t>
            </w:r>
          </w:p>
        </w:tc>
      </w:tr>
      <w:tr>
        <w:trPr>
          <w:trHeight w:val="230"/>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Construction in process</w:t>
            </w:r>
          </w:p>
        </w:tc>
        <w:tc>
          <w:tcPr>
            <w:tcW w:w="41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2,570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r>
      <w:tr>
        <w:trPr>
          <w:trHeight w:val="230"/>
        </w:trPr>
        <w:tc>
          <w:tcPr>
            <w:tcW w:w="5820" w:type="dxa"/>
            <w:vAlign w:val="bottom"/>
          </w:tcPr>
          <w:p>
            <w:pPr>
              <w:spacing w:after="0"/>
              <w:rPr>
                <w:sz w:val="19"/>
                <w:szCs w:val="19"/>
                <w:color w:val="auto"/>
              </w:rPr>
            </w:pPr>
          </w:p>
        </w:tc>
        <w:tc>
          <w:tcPr>
            <w:tcW w:w="4160" w:type="dxa"/>
            <w:vAlign w:val="bottom"/>
          </w:tcPr>
          <w:p>
            <w:pPr>
              <w:jc w:val="right"/>
              <w:ind w:right="450"/>
              <w:spacing w:after="0"/>
              <w:rPr>
                <w:sz w:val="20"/>
                <w:szCs w:val="20"/>
                <w:color w:val="auto"/>
              </w:rPr>
            </w:pPr>
            <w:r>
              <w:rPr>
                <w:rFonts w:ascii="Arial" w:cs="Arial" w:eastAsia="Arial" w:hAnsi="Arial"/>
                <w:sz w:val="18"/>
                <w:szCs w:val="18"/>
                <w:color w:val="auto"/>
              </w:rPr>
              <w:t>321,786</w:t>
            </w:r>
          </w:p>
        </w:tc>
        <w:tc>
          <w:tcPr>
            <w:tcW w:w="1260" w:type="dxa"/>
            <w:vAlign w:val="bottom"/>
          </w:tcPr>
          <w:p>
            <w:pPr>
              <w:jc w:val="right"/>
              <w:spacing w:after="0"/>
              <w:rPr>
                <w:sz w:val="20"/>
                <w:szCs w:val="20"/>
                <w:color w:val="auto"/>
              </w:rPr>
            </w:pPr>
            <w:r>
              <w:rPr>
                <w:rFonts w:ascii="Arial" w:cs="Arial" w:eastAsia="Arial" w:hAnsi="Arial"/>
                <w:sz w:val="18"/>
                <w:szCs w:val="18"/>
                <w:color w:val="auto"/>
              </w:rPr>
              <w:t>326,796</w:t>
            </w:r>
          </w:p>
        </w:tc>
      </w:tr>
      <w:tr>
        <w:trPr>
          <w:trHeight w:val="236"/>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41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255,693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253,083</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Property and equipment, net</w:t>
            </w:r>
          </w:p>
        </w:tc>
        <w:tc>
          <w:tcPr>
            <w:tcW w:w="4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66,093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73,713</w:t>
            </w:r>
          </w:p>
        </w:tc>
      </w:tr>
      <w:tr>
        <w:trPr>
          <w:trHeight w:val="23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41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43,543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47,490</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Goodwill</w:t>
            </w:r>
          </w:p>
        </w:tc>
        <w:tc>
          <w:tcPr>
            <w:tcW w:w="4160" w:type="dxa"/>
            <w:vAlign w:val="bottom"/>
          </w:tcPr>
          <w:p>
            <w:pPr>
              <w:jc w:val="right"/>
              <w:ind w:right="450"/>
              <w:spacing w:after="0"/>
              <w:rPr>
                <w:sz w:val="20"/>
                <w:szCs w:val="20"/>
                <w:color w:val="auto"/>
              </w:rPr>
            </w:pPr>
            <w:r>
              <w:rPr>
                <w:rFonts w:ascii="Arial" w:cs="Arial" w:eastAsia="Arial" w:hAnsi="Arial"/>
                <w:sz w:val="18"/>
                <w:szCs w:val="18"/>
                <w:color w:val="auto"/>
              </w:rPr>
              <w:t>329,504</w:t>
            </w:r>
          </w:p>
        </w:tc>
        <w:tc>
          <w:tcPr>
            <w:tcW w:w="1260" w:type="dxa"/>
            <w:vAlign w:val="bottom"/>
          </w:tcPr>
          <w:p>
            <w:pPr>
              <w:jc w:val="right"/>
              <w:spacing w:after="0"/>
              <w:rPr>
                <w:sz w:val="20"/>
                <w:szCs w:val="20"/>
                <w:color w:val="auto"/>
              </w:rPr>
            </w:pPr>
            <w:r>
              <w:rPr>
                <w:rFonts w:ascii="Arial" w:cs="Arial" w:eastAsia="Arial" w:hAnsi="Arial"/>
                <w:sz w:val="18"/>
                <w:szCs w:val="18"/>
                <w:color w:val="auto"/>
              </w:rPr>
              <w:t>329,504</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41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107,111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121,373</w:t>
            </w:r>
          </w:p>
        </w:tc>
      </w:tr>
      <w:tr>
        <w:trPr>
          <w:trHeight w:val="236"/>
        </w:trPr>
        <w:tc>
          <w:tcPr>
            <w:tcW w:w="5820" w:type="dxa"/>
            <w:vAlign w:val="bottom"/>
          </w:tcPr>
          <w:p>
            <w:pPr>
              <w:ind w:left="20"/>
              <w:spacing w:after="0"/>
              <w:rPr>
                <w:sz w:val="20"/>
                <w:szCs w:val="20"/>
                <w:color w:val="auto"/>
              </w:rPr>
            </w:pPr>
            <w:r>
              <w:rPr>
                <w:rFonts w:ascii="Arial" w:cs="Arial" w:eastAsia="Arial" w:hAnsi="Arial"/>
                <w:sz w:val="18"/>
                <w:szCs w:val="18"/>
                <w:color w:val="auto"/>
              </w:rPr>
              <w:t>Pension plan assets, net</w:t>
            </w:r>
          </w:p>
        </w:tc>
        <w:tc>
          <w:tcPr>
            <w:tcW w:w="4160" w:type="dxa"/>
            <w:vAlign w:val="bottom"/>
          </w:tcPr>
          <w:p>
            <w:pPr>
              <w:jc w:val="right"/>
              <w:ind w:right="450"/>
              <w:spacing w:after="0"/>
              <w:rPr>
                <w:sz w:val="20"/>
                <w:szCs w:val="20"/>
                <w:color w:val="auto"/>
              </w:rPr>
            </w:pPr>
            <w:r>
              <w:rPr>
                <w:rFonts w:ascii="Arial" w:cs="Arial" w:eastAsia="Arial" w:hAnsi="Arial"/>
                <w:sz w:val="18"/>
                <w:szCs w:val="18"/>
                <w:color w:val="auto"/>
              </w:rPr>
              <w:t>105</w:t>
            </w:r>
          </w:p>
        </w:tc>
        <w:tc>
          <w:tcPr>
            <w:tcW w:w="1260" w:type="dxa"/>
            <w:vAlign w:val="bottom"/>
          </w:tcPr>
          <w:p>
            <w:pPr>
              <w:jc w:val="right"/>
              <w:spacing w:after="0"/>
              <w:rPr>
                <w:sz w:val="20"/>
                <w:szCs w:val="20"/>
                <w:color w:val="auto"/>
              </w:rPr>
            </w:pPr>
            <w:r>
              <w:rPr>
                <w:rFonts w:ascii="Arial" w:cs="Arial" w:eastAsia="Arial" w:hAnsi="Arial"/>
                <w:sz w:val="18"/>
                <w:szCs w:val="18"/>
                <w:color w:val="auto"/>
              </w:rPr>
              <w:t>528</w:t>
            </w:r>
          </w:p>
        </w:tc>
      </w:tr>
      <w:tr>
        <w:trPr>
          <w:trHeight w:val="23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Medical plan assets, net</w:t>
            </w:r>
          </w:p>
        </w:tc>
        <w:tc>
          <w:tcPr>
            <w:tcW w:w="41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19,593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19,066</w:t>
            </w:r>
          </w:p>
        </w:tc>
      </w:tr>
      <w:tr>
        <w:trPr>
          <w:trHeight w:val="23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12,262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9,896</w:t>
            </w:r>
          </w:p>
        </w:tc>
      </w:tr>
      <w:tr>
        <w:trPr>
          <w:trHeight w:val="255"/>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1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722,824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744,042</w:t>
            </w:r>
          </w:p>
        </w:tc>
      </w:tr>
      <w:tr>
        <w:trPr>
          <w:trHeight w:val="20"/>
        </w:trPr>
        <w:tc>
          <w:tcPr>
            <w:tcW w:w="5820" w:type="dxa"/>
            <w:vAlign w:val="bottom"/>
            <w:tcBorders>
              <w:top w:val="single" w:sz="8" w:color="CCEEFF"/>
              <w:bottom w:val="single" w:sz="8" w:color="auto"/>
            </w:tcBorders>
          </w:tcPr>
          <w:p>
            <w:pPr>
              <w:spacing w:after="0" w:line="20" w:lineRule="exact"/>
              <w:rPr>
                <w:sz w:val="1"/>
                <w:szCs w:val="1"/>
                <w:color w:val="auto"/>
              </w:rPr>
            </w:pPr>
          </w:p>
        </w:tc>
        <w:tc>
          <w:tcPr>
            <w:tcW w:w="4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0"/>
        </w:trPr>
        <w:tc>
          <w:tcPr>
            <w:tcW w:w="6660" w:type="dxa"/>
            <w:vAlign w:val="bottom"/>
            <w:tcBorders>
              <w:top w:val="single" w:sz="8" w:color="auto"/>
              <w:bottom w:val="single" w:sz="8" w:color="auto"/>
            </w:tcBorders>
          </w:tcPr>
          <w:p>
            <w:pPr>
              <w:spacing w:after="0"/>
              <w:rPr>
                <w:sz w:val="21"/>
                <w:szCs w:val="21"/>
                <w:color w:val="auto"/>
              </w:rPr>
            </w:pPr>
          </w:p>
        </w:tc>
        <w:tc>
          <w:tcPr>
            <w:tcW w:w="31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(Unaudited)</w:t>
            </w:r>
          </w:p>
        </w:tc>
        <w:tc>
          <w:tcPr>
            <w:tcW w:w="14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 and Shares, Except Per Share Data)</w:t>
            </w:r>
          </w:p>
        </w:tc>
        <w:tc>
          <w:tcPr>
            <w:tcW w:w="3120" w:type="dxa"/>
            <w:vAlign w:val="bottom"/>
          </w:tcPr>
          <w:p>
            <w:pPr>
              <w:jc w:val="right"/>
              <w:ind w:right="190"/>
              <w:spacing w:after="0" w:line="176" w:lineRule="exact"/>
              <w:rPr>
                <w:sz w:val="20"/>
                <w:szCs w:val="20"/>
                <w:color w:val="auto"/>
              </w:rPr>
            </w:pPr>
            <w:r>
              <w:rPr>
                <w:rFonts w:ascii="Arial" w:cs="Arial" w:eastAsia="Arial" w:hAnsi="Arial"/>
                <w:sz w:val="18"/>
                <w:szCs w:val="18"/>
                <w:color w:val="auto"/>
              </w:rPr>
              <w:t>June 25,</w:t>
            </w:r>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rPr>
              <w:t>September 25,</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auto"/>
            </w:tcBorders>
            <w:vMerge w:val="continue"/>
          </w:tcPr>
          <w:p>
            <w:pPr>
              <w:spacing w:after="0"/>
              <w:rPr>
                <w:sz w:val="19"/>
                <w:szCs w:val="19"/>
                <w:color w:val="auto"/>
              </w:rPr>
            </w:pPr>
          </w:p>
        </w:tc>
        <w:tc>
          <w:tcPr>
            <w:tcW w:w="3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EQUITY</w:t>
            </w:r>
          </w:p>
        </w:tc>
        <w:tc>
          <w:tcPr>
            <w:tcW w:w="2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70"/>
        </w:trPr>
        <w:tc>
          <w:tcPr>
            <w:tcW w:w="78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6"/>
        </w:trPr>
        <w:tc>
          <w:tcPr>
            <w:tcW w:w="7800" w:type="dxa"/>
            <w:vAlign w:val="bottom"/>
          </w:tcPr>
          <w:p>
            <w:pPr>
              <w:ind w:left="180"/>
              <w:spacing w:after="0"/>
              <w:rPr>
                <w:sz w:val="20"/>
                <w:szCs w:val="20"/>
                <w:color w:val="auto"/>
              </w:rPr>
            </w:pPr>
            <w:r>
              <w:rPr>
                <w:rFonts w:ascii="Arial" w:cs="Arial" w:eastAsia="Arial" w:hAnsi="Arial"/>
                <w:sz w:val="18"/>
                <w:szCs w:val="18"/>
                <w:color w:val="auto"/>
              </w:rPr>
              <w:t>Current portion of lease liabilities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7,971</w:t>
            </w:r>
          </w:p>
        </w:tc>
        <w:tc>
          <w:tcPr>
            <w:tcW w:w="1280" w:type="dxa"/>
            <w:vAlign w:val="bottom"/>
          </w:tcPr>
          <w:p>
            <w:pPr>
              <w:jc w:val="right"/>
              <w:spacing w:after="0"/>
              <w:rPr>
                <w:sz w:val="20"/>
                <w:szCs w:val="20"/>
                <w:color w:val="auto"/>
              </w:rPr>
            </w:pPr>
            <w:r>
              <w:rPr>
                <w:rFonts w:ascii="Arial" w:cs="Arial" w:eastAsia="Arial" w:hAnsi="Arial"/>
                <w:sz w:val="18"/>
                <w:szCs w:val="18"/>
                <w:color w:val="auto"/>
              </w:rPr>
              <w:t>7,859</w:t>
            </w:r>
          </w:p>
        </w:tc>
      </w:tr>
      <w:tr>
        <w:trPr>
          <w:trHeight w:val="236"/>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maturities of long-term debt</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2,013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38,466</w:t>
            </w:r>
          </w:p>
        </w:tc>
        <w:tc>
          <w:tcPr>
            <w:tcW w:w="1280" w:type="dxa"/>
            <w:vAlign w:val="bottom"/>
          </w:tcPr>
          <w:p>
            <w:pPr>
              <w:jc w:val="right"/>
              <w:spacing w:after="0"/>
              <w:rPr>
                <w:sz w:val="20"/>
                <w:szCs w:val="20"/>
                <w:color w:val="auto"/>
              </w:rPr>
            </w:pPr>
            <w:r>
              <w:rPr>
                <w:rFonts w:ascii="Arial" w:cs="Arial" w:eastAsia="Arial" w:hAnsi="Arial"/>
                <w:sz w:val="18"/>
                <w:szCs w:val="18"/>
                <w:color w:val="auto"/>
              </w:rPr>
              <w:t>28,608</w:t>
            </w:r>
          </w:p>
        </w:tc>
      </w:tr>
      <w:tr>
        <w:trPr>
          <w:trHeight w:val="243"/>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and other accrued liabilities</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32,332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44,740</w:t>
            </w:r>
          </w:p>
        </w:tc>
      </w:tr>
      <w:tr>
        <w:trPr>
          <w:trHeight w:val="230"/>
        </w:trPr>
        <w:tc>
          <w:tcPr>
            <w:tcW w:w="7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Unearned revenue</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43,875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49,929</w:t>
            </w:r>
          </w:p>
        </w:tc>
      </w:tr>
      <w:tr>
        <w:trPr>
          <w:trHeight w:val="223"/>
        </w:trPr>
        <w:tc>
          <w:tcPr>
            <w:tcW w:w="7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124,657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131,136</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Long-term debt, net of current maturities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457,981</w:t>
            </w:r>
          </w:p>
        </w:tc>
        <w:tc>
          <w:tcPr>
            <w:tcW w:w="1280" w:type="dxa"/>
            <w:vAlign w:val="bottom"/>
          </w:tcPr>
          <w:p>
            <w:pPr>
              <w:jc w:val="right"/>
              <w:spacing w:after="0"/>
              <w:rPr>
                <w:sz w:val="20"/>
                <w:szCs w:val="20"/>
                <w:color w:val="auto"/>
              </w:rPr>
            </w:pPr>
            <w:r>
              <w:rPr>
                <w:rFonts w:ascii="Arial" w:cs="Arial" w:eastAsia="Arial" w:hAnsi="Arial"/>
                <w:sz w:val="18"/>
                <w:szCs w:val="18"/>
                <w:color w:val="auto"/>
              </w:rPr>
              <w:t>462,554</w:t>
            </w:r>
          </w:p>
        </w:tc>
      </w:tr>
      <w:tr>
        <w:trPr>
          <w:trHeight w:val="23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39,421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46,003</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Pension obligations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711</w:t>
            </w:r>
          </w:p>
        </w:tc>
        <w:tc>
          <w:tcPr>
            <w:tcW w:w="1280" w:type="dxa"/>
            <w:vAlign w:val="bottom"/>
          </w:tcPr>
          <w:p>
            <w:pPr>
              <w:jc w:val="right"/>
              <w:spacing w:after="0"/>
              <w:rPr>
                <w:sz w:val="20"/>
                <w:szCs w:val="20"/>
                <w:color w:val="auto"/>
              </w:rPr>
            </w:pPr>
            <w:r>
              <w:rPr>
                <w:rFonts w:ascii="Arial" w:cs="Arial" w:eastAsia="Arial" w:hAnsi="Arial"/>
                <w:sz w:val="18"/>
                <w:szCs w:val="18"/>
                <w:color w:val="auto"/>
              </w:rPr>
              <w:t>966</w:t>
            </w: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Postretirement and postemployment benefit obligations</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9,465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9,221</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42,259</w:t>
            </w:r>
          </w:p>
        </w:tc>
        <w:tc>
          <w:tcPr>
            <w:tcW w:w="1280" w:type="dxa"/>
            <w:vAlign w:val="bottom"/>
          </w:tcPr>
          <w:p>
            <w:pPr>
              <w:jc w:val="right"/>
              <w:spacing w:after="0"/>
              <w:rPr>
                <w:sz w:val="20"/>
                <w:szCs w:val="20"/>
                <w:color w:val="auto"/>
              </w:rPr>
            </w:pPr>
            <w:r>
              <w:rPr>
                <w:rFonts w:ascii="Arial" w:cs="Arial" w:eastAsia="Arial" w:hAnsi="Arial"/>
                <w:sz w:val="18"/>
                <w:szCs w:val="18"/>
                <w:color w:val="auto"/>
              </w:rPr>
              <w:t>42,719</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8,650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w:t>
            </w:r>
          </w:p>
        </w:tc>
      </w:tr>
      <w:tr>
        <w:trPr>
          <w:trHeight w:val="237"/>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Withdrawal liabilities and other</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25,081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25,914</w:t>
            </w:r>
          </w:p>
        </w:tc>
      </w:tr>
      <w:tr>
        <w:trPr>
          <w:trHeight w:val="229"/>
        </w:trPr>
        <w:tc>
          <w:tcPr>
            <w:tcW w:w="7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708,225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726,805</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Equity:</w:t>
            </w:r>
          </w:p>
        </w:tc>
        <w:tc>
          <w:tcPr>
            <w:tcW w:w="2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2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rPr>
              <w:t>Serial convertible preferred stock, no par value; authorized 500 shares; none issued</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$0.01 par value; authorized 12,000 shares; issued and outstanding:</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6"/>
        </w:trPr>
        <w:tc>
          <w:tcPr>
            <w:tcW w:w="7800" w:type="dxa"/>
            <w:vAlign w:val="bottom"/>
          </w:tcPr>
          <w:p>
            <w:pPr>
              <w:ind w:left="360"/>
              <w:spacing w:after="0"/>
              <w:rPr>
                <w:sz w:val="20"/>
                <w:szCs w:val="20"/>
                <w:color w:val="auto"/>
              </w:rPr>
            </w:pPr>
            <w:r>
              <w:rPr>
                <w:rFonts w:ascii="Arial" w:cs="Arial" w:eastAsia="Arial" w:hAnsi="Arial"/>
                <w:sz w:val="18"/>
                <w:szCs w:val="18"/>
                <w:color w:val="auto"/>
              </w:rPr>
              <w:t>June 25, 2023; 6,072 shares; $0.01 par value</w:t>
            </w:r>
          </w:p>
        </w:tc>
        <w:tc>
          <w:tcPr>
            <w:tcW w:w="2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25, 2022; 5,979 shares; $0.01 par value</w:t>
            </w:r>
          </w:p>
        </w:tc>
        <w:tc>
          <w:tcPr>
            <w:tcW w:w="2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Class B Common Stock, $2 par value; authorized 3,000 shares; none issued</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260,425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259,521</w:t>
            </w:r>
          </w:p>
        </w:tc>
      </w:tr>
      <w:tr>
        <w:trPr>
          <w:trHeight w:val="229"/>
        </w:trPr>
        <w:tc>
          <w:tcPr>
            <w:tcW w:w="78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160" w:type="dxa"/>
            <w:vAlign w:val="bottom"/>
          </w:tcPr>
          <w:p>
            <w:pPr>
              <w:jc w:val="right"/>
              <w:ind w:right="370"/>
              <w:spacing w:after="0"/>
              <w:rPr>
                <w:sz w:val="20"/>
                <w:szCs w:val="20"/>
                <w:color w:val="auto"/>
              </w:rPr>
            </w:pPr>
            <w:r>
              <w:rPr>
                <w:rFonts w:ascii="Arial" w:cs="Arial" w:eastAsia="Arial" w:hAnsi="Arial"/>
                <w:sz w:val="18"/>
                <w:szCs w:val="18"/>
                <w:color w:val="auto"/>
              </w:rPr>
              <w:t>(264,512)</w:t>
            </w:r>
          </w:p>
        </w:tc>
        <w:tc>
          <w:tcPr>
            <w:tcW w:w="1280" w:type="dxa"/>
            <w:vAlign w:val="bottom"/>
          </w:tcPr>
          <w:p>
            <w:pPr>
              <w:jc w:val="right"/>
              <w:spacing w:after="0"/>
              <w:rPr>
                <w:sz w:val="20"/>
                <w:szCs w:val="20"/>
                <w:color w:val="auto"/>
              </w:rPr>
            </w:pPr>
            <w:r>
              <w:rPr>
                <w:rFonts w:ascii="Arial" w:cs="Arial" w:eastAsia="Arial" w:hAnsi="Arial"/>
                <w:sz w:val="18"/>
                <w:szCs w:val="18"/>
                <w:color w:val="auto"/>
              </w:rPr>
              <w:t>(261,229)</w:t>
            </w:r>
          </w:p>
        </w:tc>
      </w:tr>
      <w:tr>
        <w:trPr>
          <w:trHeight w:val="230"/>
        </w:trPr>
        <w:tc>
          <w:tcPr>
            <w:tcW w:w="78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16,233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16,653</w:t>
            </w:r>
          </w:p>
        </w:tc>
      </w:tr>
      <w:tr>
        <w:trPr>
          <w:trHeight w:val="230"/>
        </w:trPr>
        <w:tc>
          <w:tcPr>
            <w:tcW w:w="78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 stockholders' equity</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12,207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15,005</w:t>
            </w:r>
          </w:p>
        </w:tc>
      </w:tr>
      <w:tr>
        <w:trPr>
          <w:trHeight w:val="230"/>
        </w:trPr>
        <w:tc>
          <w:tcPr>
            <w:tcW w:w="78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2,392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r>
      <w:tr>
        <w:trPr>
          <w:trHeight w:val="223"/>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equity</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14,599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17,237</w:t>
            </w:r>
          </w:p>
        </w:tc>
      </w:tr>
      <w:tr>
        <w:trPr>
          <w:trHeight w:val="255"/>
        </w:trPr>
        <w:tc>
          <w:tcPr>
            <w:tcW w:w="7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722,824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744,042</w:t>
            </w:r>
          </w:p>
        </w:tc>
      </w:tr>
      <w:tr>
        <w:trPr>
          <w:trHeight w:val="20"/>
        </w:trPr>
        <w:tc>
          <w:tcPr>
            <w:tcW w:w="780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00" w:type="dxa"/>
            <w:vAlign w:val="bottom"/>
            <w:tcBorders>
              <w:top w:val="single" w:sz="8" w:color="auto"/>
              <w:bottom w:val="single" w:sz="8" w:color="auto"/>
            </w:tcBorders>
          </w:tcPr>
          <w:p>
            <w:pPr>
              <w:spacing w:after="0"/>
              <w:rPr>
                <w:sz w:val="21"/>
                <w:szCs w:val="21"/>
                <w:color w:val="auto"/>
              </w:rPr>
            </w:pPr>
          </w:p>
        </w:tc>
        <w:tc>
          <w:tcPr>
            <w:tcW w:w="3180" w:type="dxa"/>
            <w:vAlign w:val="bottom"/>
            <w:tcBorders>
              <w:top w:val="single" w:sz="8" w:color="auto"/>
              <w:bottom w:val="single" w:sz="8" w:color="auto"/>
            </w:tcBorders>
            <w:gridSpan w:val="2"/>
          </w:tcPr>
          <w:p>
            <w:pPr>
              <w:jc w:val="right"/>
              <w:ind w:right="730"/>
              <w:spacing w:after="0"/>
              <w:rPr>
                <w:sz w:val="20"/>
                <w:szCs w:val="20"/>
                <w:color w:val="auto"/>
              </w:rPr>
            </w:pPr>
            <w:r>
              <w:rPr>
                <w:rFonts w:ascii="Arial" w:cs="Arial" w:eastAsia="Arial" w:hAnsi="Arial"/>
                <w:sz w:val="18"/>
                <w:szCs w:val="18"/>
                <w:color w:val="auto"/>
              </w:rPr>
              <w:t>Three months ended</w:t>
            </w:r>
          </w:p>
        </w:tc>
        <w:tc>
          <w:tcPr>
            <w:tcW w:w="2460" w:type="dxa"/>
            <w:vAlign w:val="bottom"/>
            <w:tcBorders>
              <w:top w:val="single" w:sz="8" w:color="auto"/>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70"/>
        </w:trPr>
        <w:tc>
          <w:tcPr>
            <w:tcW w:w="56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 Except Per Common Share Data)</w:t>
            </w:r>
          </w:p>
        </w:tc>
        <w:tc>
          <w:tcPr>
            <w:tcW w:w="1840" w:type="dxa"/>
            <w:vAlign w:val="bottom"/>
          </w:tcPr>
          <w:p>
            <w:pPr>
              <w:jc w:val="right"/>
              <w:ind w:right="230"/>
              <w:spacing w:after="0" w:line="170" w:lineRule="exact"/>
              <w:rPr>
                <w:sz w:val="20"/>
                <w:szCs w:val="20"/>
                <w:color w:val="auto"/>
              </w:rPr>
            </w:pPr>
            <w:r>
              <w:rPr>
                <w:rFonts w:ascii="Arial" w:cs="Arial" w:eastAsia="Arial" w:hAnsi="Arial"/>
                <w:sz w:val="18"/>
                <w:szCs w:val="18"/>
                <w:color w:val="auto"/>
              </w:rPr>
              <w:t>June 25,</w:t>
            </w:r>
          </w:p>
        </w:tc>
        <w:tc>
          <w:tcPr>
            <w:tcW w:w="1340" w:type="dxa"/>
            <w:vAlign w:val="bottom"/>
          </w:tcPr>
          <w:p>
            <w:pPr>
              <w:jc w:val="right"/>
              <w:ind w:right="210"/>
              <w:spacing w:after="0" w:line="170" w:lineRule="exact"/>
              <w:rPr>
                <w:sz w:val="20"/>
                <w:szCs w:val="20"/>
                <w:color w:val="auto"/>
              </w:rPr>
            </w:pPr>
            <w:r>
              <w:rPr>
                <w:rFonts w:ascii="Arial" w:cs="Arial" w:eastAsia="Arial" w:hAnsi="Arial"/>
                <w:sz w:val="18"/>
                <w:szCs w:val="18"/>
                <w:color w:val="auto"/>
              </w:rPr>
              <w:t>June 26,</w:t>
            </w:r>
          </w:p>
        </w:tc>
        <w:tc>
          <w:tcPr>
            <w:tcW w:w="1400" w:type="dxa"/>
            <w:vAlign w:val="bottom"/>
          </w:tcPr>
          <w:p>
            <w:pPr>
              <w:jc w:val="right"/>
              <w:ind w:right="230"/>
              <w:spacing w:after="0" w:line="170" w:lineRule="exact"/>
              <w:rPr>
                <w:sz w:val="20"/>
                <w:szCs w:val="20"/>
                <w:color w:val="auto"/>
              </w:rPr>
            </w:pPr>
            <w:r>
              <w:rPr>
                <w:rFonts w:ascii="Arial" w:cs="Arial" w:eastAsia="Arial" w:hAnsi="Arial"/>
                <w:sz w:val="18"/>
                <w:szCs w:val="18"/>
                <w:color w:val="auto"/>
              </w:rPr>
              <w:t>June 25,</w:t>
            </w:r>
          </w:p>
        </w:tc>
        <w:tc>
          <w:tcPr>
            <w:tcW w:w="1060" w:type="dxa"/>
            <w:vAlign w:val="bottom"/>
          </w:tcPr>
          <w:p>
            <w:pPr>
              <w:jc w:val="right"/>
              <w:spacing w:after="0" w:line="170" w:lineRule="exact"/>
              <w:rPr>
                <w:sz w:val="20"/>
                <w:szCs w:val="20"/>
                <w:color w:val="auto"/>
              </w:rPr>
            </w:pPr>
            <w:r>
              <w:rPr>
                <w:rFonts w:ascii="Arial" w:cs="Arial" w:eastAsia="Arial" w:hAnsi="Arial"/>
                <w:sz w:val="18"/>
                <w:szCs w:val="18"/>
                <w:color w:val="auto"/>
              </w:rPr>
              <w:t>June 26,</w:t>
            </w:r>
          </w:p>
        </w:tc>
        <w:tc>
          <w:tcPr>
            <w:tcW w:w="0" w:type="dxa"/>
            <w:vAlign w:val="bottom"/>
          </w:tcPr>
          <w:p>
            <w:pPr>
              <w:spacing w:after="0"/>
              <w:rPr>
                <w:sz w:val="1"/>
                <w:szCs w:val="1"/>
                <w:color w:val="auto"/>
              </w:rPr>
            </w:pPr>
          </w:p>
        </w:tc>
      </w:tr>
      <w:tr>
        <w:trPr>
          <w:trHeight w:val="236"/>
        </w:trPr>
        <w:tc>
          <w:tcPr>
            <w:tcW w:w="5600" w:type="dxa"/>
            <w:vAlign w:val="bottom"/>
            <w:tcBorders>
              <w:bottom w:val="single" w:sz="8" w:color="auto"/>
            </w:tcBorders>
            <w:vMerge w:val="continue"/>
          </w:tcPr>
          <w:p>
            <w:pPr>
              <w:spacing w:after="0"/>
              <w:rPr>
                <w:sz w:val="20"/>
                <w:szCs w:val="20"/>
                <w:color w:val="auto"/>
              </w:rPr>
            </w:pPr>
          </w:p>
        </w:tc>
        <w:tc>
          <w:tcPr>
            <w:tcW w:w="1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2023</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600" w:type="dxa"/>
            <w:vAlign w:val="bottom"/>
          </w:tcPr>
          <w:p>
            <w:pPr>
              <w:ind w:left="140"/>
              <w:spacing w:after="0"/>
              <w:rPr>
                <w:sz w:val="20"/>
                <w:szCs w:val="20"/>
                <w:color w:val="auto"/>
              </w:rPr>
            </w:pPr>
            <w:r>
              <w:rPr>
                <w:rFonts w:ascii="Arial" w:cs="Arial" w:eastAsia="Arial" w:hAnsi="Arial"/>
                <w:sz w:val="18"/>
                <w:szCs w:val="18"/>
                <w:color w:val="auto"/>
              </w:rPr>
              <w:t>Advertising and marketing services</w:t>
            </w:r>
          </w:p>
        </w:tc>
        <w:tc>
          <w:tcPr>
            <w:tcW w:w="1840" w:type="dxa"/>
            <w:vAlign w:val="bottom"/>
          </w:tcPr>
          <w:p>
            <w:pPr>
              <w:jc w:val="right"/>
              <w:ind w:right="290"/>
              <w:spacing w:after="0"/>
              <w:rPr>
                <w:sz w:val="20"/>
                <w:szCs w:val="20"/>
                <w:color w:val="auto"/>
              </w:rPr>
            </w:pPr>
            <w:r>
              <w:rPr>
                <w:rFonts w:ascii="Arial" w:cs="Arial" w:eastAsia="Arial" w:hAnsi="Arial"/>
                <w:sz w:val="18"/>
                <w:szCs w:val="18"/>
                <w:color w:val="auto"/>
              </w:rPr>
              <w:t>79,120</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91,001</w:t>
            </w:r>
          </w:p>
        </w:tc>
        <w:tc>
          <w:tcPr>
            <w:tcW w:w="1400" w:type="dxa"/>
            <w:vAlign w:val="bottom"/>
          </w:tcPr>
          <w:p>
            <w:pPr>
              <w:jc w:val="right"/>
              <w:ind w:right="290"/>
              <w:spacing w:after="0"/>
              <w:rPr>
                <w:sz w:val="20"/>
                <w:szCs w:val="20"/>
                <w:color w:val="auto"/>
              </w:rPr>
            </w:pPr>
            <w:r>
              <w:rPr>
                <w:rFonts w:ascii="Arial" w:cs="Arial" w:eastAsia="Arial" w:hAnsi="Arial"/>
                <w:sz w:val="18"/>
                <w:szCs w:val="18"/>
                <w:color w:val="auto"/>
              </w:rPr>
              <w:t>246,406</w:t>
            </w:r>
          </w:p>
        </w:tc>
        <w:tc>
          <w:tcPr>
            <w:tcW w:w="1060" w:type="dxa"/>
            <w:vAlign w:val="bottom"/>
          </w:tcPr>
          <w:p>
            <w:pPr>
              <w:jc w:val="right"/>
              <w:spacing w:after="0"/>
              <w:rPr>
                <w:sz w:val="20"/>
                <w:szCs w:val="20"/>
                <w:color w:val="auto"/>
              </w:rPr>
            </w:pPr>
            <w:r>
              <w:rPr>
                <w:rFonts w:ascii="Arial" w:cs="Arial" w:eastAsia="Arial" w:hAnsi="Arial"/>
                <w:sz w:val="18"/>
                <w:szCs w:val="18"/>
                <w:color w:val="auto"/>
              </w:rPr>
              <w:t>277,388</w:t>
            </w:r>
          </w:p>
        </w:tc>
        <w:tc>
          <w:tcPr>
            <w:tcW w:w="0" w:type="dxa"/>
            <w:vAlign w:val="bottom"/>
          </w:tcPr>
          <w:p>
            <w:pPr>
              <w:spacing w:after="0"/>
              <w:rPr>
                <w:sz w:val="1"/>
                <w:szCs w:val="1"/>
                <w:color w:val="auto"/>
              </w:rPr>
            </w:pPr>
          </w:p>
        </w:tc>
      </w:tr>
      <w:tr>
        <w:trPr>
          <w:trHeight w:val="236"/>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Subscription</w:t>
            </w:r>
          </w:p>
        </w:tc>
        <w:tc>
          <w:tcPr>
            <w:tcW w:w="18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77,557</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89,048</w:t>
            </w:r>
          </w:p>
        </w:tc>
        <w:tc>
          <w:tcPr>
            <w:tcW w:w="14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235,838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263,915</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14,633</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14,988</w:t>
            </w:r>
          </w:p>
        </w:tc>
        <w:tc>
          <w:tcPr>
            <w:tcW w:w="14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44,885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46,030</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18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171,310</w:t>
            </w:r>
          </w:p>
        </w:tc>
        <w:tc>
          <w:tcPr>
            <w:tcW w:w="13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195,037</w:t>
            </w:r>
          </w:p>
        </w:tc>
        <w:tc>
          <w:tcPr>
            <w:tcW w:w="14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527,129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587,333</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8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63,582</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78,126</w:t>
            </w:r>
          </w:p>
        </w:tc>
        <w:tc>
          <w:tcPr>
            <w:tcW w:w="14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207,859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246,333</w:t>
            </w:r>
          </w:p>
        </w:tc>
        <w:tc>
          <w:tcPr>
            <w:tcW w:w="0" w:type="dxa"/>
            <w:vAlign w:val="bottom"/>
          </w:tcPr>
          <w:p>
            <w:pPr>
              <w:spacing w:after="0"/>
              <w:rPr>
                <w:sz w:val="1"/>
                <w:szCs w:val="1"/>
                <w:color w:val="auto"/>
              </w:rPr>
            </w:pPr>
          </w:p>
        </w:tc>
      </w:tr>
      <w:tr>
        <w:trPr>
          <w:trHeight w:val="236"/>
        </w:trPr>
        <w:tc>
          <w:tcPr>
            <w:tcW w:w="560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1840" w:type="dxa"/>
            <w:vAlign w:val="bottom"/>
          </w:tcPr>
          <w:p>
            <w:pPr>
              <w:jc w:val="right"/>
              <w:ind w:right="290"/>
              <w:spacing w:after="0"/>
              <w:rPr>
                <w:sz w:val="20"/>
                <w:szCs w:val="20"/>
                <w:color w:val="auto"/>
              </w:rPr>
            </w:pPr>
            <w:r>
              <w:rPr>
                <w:rFonts w:ascii="Arial" w:cs="Arial" w:eastAsia="Arial" w:hAnsi="Arial"/>
                <w:sz w:val="18"/>
                <w:szCs w:val="18"/>
                <w:color w:val="auto"/>
              </w:rPr>
              <w:t>6,346</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7,542</w:t>
            </w:r>
          </w:p>
        </w:tc>
        <w:tc>
          <w:tcPr>
            <w:tcW w:w="1400" w:type="dxa"/>
            <w:vAlign w:val="bottom"/>
          </w:tcPr>
          <w:p>
            <w:pPr>
              <w:jc w:val="right"/>
              <w:ind w:right="290"/>
              <w:spacing w:after="0"/>
              <w:rPr>
                <w:sz w:val="20"/>
                <w:szCs w:val="20"/>
                <w:color w:val="auto"/>
              </w:rPr>
            </w:pPr>
            <w:r>
              <w:rPr>
                <w:rFonts w:ascii="Arial" w:cs="Arial" w:eastAsia="Arial" w:hAnsi="Arial"/>
                <w:sz w:val="18"/>
                <w:szCs w:val="18"/>
                <w:color w:val="auto"/>
              </w:rPr>
              <w:t>20,244</w:t>
            </w:r>
          </w:p>
        </w:tc>
        <w:tc>
          <w:tcPr>
            <w:tcW w:w="1060" w:type="dxa"/>
            <w:vAlign w:val="bottom"/>
          </w:tcPr>
          <w:p>
            <w:pPr>
              <w:jc w:val="right"/>
              <w:spacing w:after="0"/>
              <w:rPr>
                <w:sz w:val="20"/>
                <w:szCs w:val="20"/>
                <w:color w:val="auto"/>
              </w:rPr>
            </w:pPr>
            <w:r>
              <w:rPr>
                <w:rFonts w:ascii="Arial" w:cs="Arial" w:eastAsia="Arial" w:hAnsi="Arial"/>
                <w:sz w:val="18"/>
                <w:szCs w:val="18"/>
                <w:color w:val="auto"/>
              </w:rPr>
              <w:t>22,254</w:t>
            </w:r>
          </w:p>
        </w:tc>
        <w:tc>
          <w:tcPr>
            <w:tcW w:w="0" w:type="dxa"/>
            <w:vAlign w:val="bottom"/>
          </w:tcPr>
          <w:p>
            <w:pPr>
              <w:spacing w:after="0"/>
              <w:rPr>
                <w:sz w:val="1"/>
                <w:szCs w:val="1"/>
                <w:color w:val="auto"/>
              </w:rPr>
            </w:pPr>
          </w:p>
        </w:tc>
      </w:tr>
      <w:tr>
        <w:trPr>
          <w:trHeight w:val="236"/>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18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80,010</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88,004</w:t>
            </w:r>
          </w:p>
        </w:tc>
        <w:tc>
          <w:tcPr>
            <w:tcW w:w="14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249,353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258,665</w:t>
            </w:r>
          </w:p>
        </w:tc>
        <w:tc>
          <w:tcPr>
            <w:tcW w:w="0" w:type="dxa"/>
            <w:vAlign w:val="bottom"/>
          </w:tcPr>
          <w:p>
            <w:pPr>
              <w:spacing w:after="0"/>
              <w:rPr>
                <w:sz w:val="1"/>
                <w:szCs w:val="1"/>
                <w:color w:val="auto"/>
              </w:rPr>
            </w:pP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840" w:type="dxa"/>
            <w:vAlign w:val="bottom"/>
          </w:tcPr>
          <w:p>
            <w:pPr>
              <w:jc w:val="right"/>
              <w:ind w:right="290"/>
              <w:spacing w:after="0"/>
              <w:rPr>
                <w:sz w:val="20"/>
                <w:szCs w:val="20"/>
                <w:color w:val="auto"/>
              </w:rPr>
            </w:pPr>
            <w:r>
              <w:rPr>
                <w:rFonts w:ascii="Arial" w:cs="Arial" w:eastAsia="Arial" w:hAnsi="Arial"/>
                <w:sz w:val="18"/>
                <w:szCs w:val="18"/>
                <w:color w:val="auto"/>
              </w:rPr>
              <w:t>7,478</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8,818</w:t>
            </w:r>
          </w:p>
        </w:tc>
        <w:tc>
          <w:tcPr>
            <w:tcW w:w="1400" w:type="dxa"/>
            <w:vAlign w:val="bottom"/>
          </w:tcPr>
          <w:p>
            <w:pPr>
              <w:jc w:val="right"/>
              <w:ind w:right="290"/>
              <w:spacing w:after="0"/>
              <w:rPr>
                <w:sz w:val="20"/>
                <w:szCs w:val="20"/>
                <w:color w:val="auto"/>
              </w:rPr>
            </w:pPr>
            <w:r>
              <w:rPr>
                <w:rFonts w:ascii="Arial" w:cs="Arial" w:eastAsia="Arial" w:hAnsi="Arial"/>
                <w:sz w:val="18"/>
                <w:szCs w:val="18"/>
                <w:color w:val="auto"/>
              </w:rPr>
              <w:t>23,097</w:t>
            </w:r>
          </w:p>
        </w:tc>
        <w:tc>
          <w:tcPr>
            <w:tcW w:w="1060" w:type="dxa"/>
            <w:vAlign w:val="bottom"/>
          </w:tcPr>
          <w:p>
            <w:pPr>
              <w:jc w:val="right"/>
              <w:spacing w:after="0"/>
              <w:rPr>
                <w:sz w:val="20"/>
                <w:szCs w:val="20"/>
                <w:color w:val="auto"/>
              </w:rPr>
            </w:pPr>
            <w:r>
              <w:rPr>
                <w:rFonts w:ascii="Arial" w:cs="Arial" w:eastAsia="Arial" w:hAnsi="Arial"/>
                <w:sz w:val="18"/>
                <w:szCs w:val="18"/>
                <w:color w:val="auto"/>
              </w:rPr>
              <w:t>27,445</w:t>
            </w: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 (gain) loss on sales, impairments and other, net</w:t>
            </w:r>
          </w:p>
        </w:tc>
        <w:tc>
          <w:tcPr>
            <w:tcW w:w="1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(900)</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1,086</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(4,255)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(11,340)</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costs and other</w:t>
            </w:r>
          </w:p>
        </w:tc>
        <w:tc>
          <w:tcPr>
            <w:tcW w:w="1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3,780</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6,072</w:t>
            </w:r>
          </w:p>
        </w:tc>
        <w:tc>
          <w:tcPr>
            <w:tcW w:w="14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8,120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19,862</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8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160,296</w:t>
            </w:r>
          </w:p>
        </w:tc>
        <w:tc>
          <w:tcPr>
            <w:tcW w:w="13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189,648</w:t>
            </w:r>
          </w:p>
        </w:tc>
        <w:tc>
          <w:tcPr>
            <w:tcW w:w="14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504,418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563,219</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1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1,194</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1,050</w:t>
            </w:r>
          </w:p>
        </w:tc>
        <w:tc>
          <w:tcPr>
            <w:tcW w:w="14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3,534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12,208</w:t>
            </w:r>
          </w:p>
        </w:tc>
        <w:tc>
          <w:tcPr>
            <w:tcW w:w="13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6,439</w:t>
            </w:r>
          </w:p>
        </w:tc>
        <w:tc>
          <w:tcPr>
            <w:tcW w:w="14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26,245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28,325</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Non-operating (expense) income:</w:t>
            </w:r>
          </w:p>
        </w:tc>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(10,235)</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(10,292)</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(31,144)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(31,478)</w:t>
            </w:r>
          </w:p>
        </w:tc>
        <w:tc>
          <w:tcPr>
            <w:tcW w:w="0" w:type="dxa"/>
            <w:vAlign w:val="bottom"/>
          </w:tcPr>
          <w:p>
            <w:pPr>
              <w:spacing w:after="0"/>
              <w:rPr>
                <w:sz w:val="1"/>
                <w:szCs w:val="1"/>
                <w:color w:val="auto"/>
              </w:rPr>
            </w:pP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Curtailment gain</w:t>
            </w:r>
          </w:p>
        </w:tc>
        <w:tc>
          <w:tcPr>
            <w:tcW w:w="18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withdrawal cost</w:t>
            </w:r>
          </w:p>
        </w:tc>
        <w:tc>
          <w:tcPr>
            <w:tcW w:w="18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37"/>
        </w:trPr>
        <w:tc>
          <w:tcPr>
            <w:tcW w:w="5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Pension and OPEB related benefit and other, net</w:t>
            </w:r>
          </w:p>
        </w:tc>
        <w:tc>
          <w:tcPr>
            <w:tcW w:w="1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555</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4,205</w:t>
            </w:r>
          </w:p>
        </w:tc>
        <w:tc>
          <w:tcPr>
            <w:tcW w:w="14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2,255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13,525</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non-operating expense, net</w:t>
            </w:r>
          </w:p>
        </w:tc>
        <w:tc>
          <w:tcPr>
            <w:tcW w:w="18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(9,680)</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(6,087)</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(28,889)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(19,261)</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840" w:type="dxa"/>
            <w:vAlign w:val="bottom"/>
          </w:tcPr>
          <w:p>
            <w:pPr>
              <w:jc w:val="right"/>
              <w:ind w:right="290"/>
              <w:spacing w:after="0"/>
              <w:rPr>
                <w:sz w:val="20"/>
                <w:szCs w:val="20"/>
                <w:color w:val="auto"/>
              </w:rPr>
            </w:pPr>
            <w:r>
              <w:rPr>
                <w:rFonts w:ascii="Arial" w:cs="Arial" w:eastAsia="Arial" w:hAnsi="Arial"/>
                <w:sz w:val="18"/>
                <w:szCs w:val="18"/>
                <w:color w:val="auto"/>
              </w:rPr>
              <w:t>2,528</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352</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(2,644)</w:t>
            </w:r>
          </w:p>
        </w:tc>
        <w:tc>
          <w:tcPr>
            <w:tcW w:w="1060" w:type="dxa"/>
            <w:vAlign w:val="bottom"/>
          </w:tcPr>
          <w:p>
            <w:pPr>
              <w:jc w:val="right"/>
              <w:spacing w:after="0"/>
              <w:rPr>
                <w:sz w:val="20"/>
                <w:szCs w:val="20"/>
                <w:color w:val="auto"/>
              </w:rPr>
            </w:pPr>
            <w:r>
              <w:rPr>
                <w:rFonts w:ascii="Arial" w:cs="Arial" w:eastAsia="Arial" w:hAnsi="Arial"/>
                <w:sz w:val="18"/>
                <w:szCs w:val="18"/>
                <w:color w:val="auto"/>
              </w:rPr>
              <w:t>9,064</w:t>
            </w:r>
          </w:p>
        </w:tc>
        <w:tc>
          <w:tcPr>
            <w:tcW w:w="0" w:type="dxa"/>
            <w:vAlign w:val="bottom"/>
          </w:tcPr>
          <w:p>
            <w:pPr>
              <w:spacing w:after="0"/>
              <w:rPr>
                <w:sz w:val="1"/>
                <w:szCs w:val="1"/>
                <w:color w:val="auto"/>
              </w:rPr>
            </w:pPr>
          </w:p>
        </w:tc>
      </w:tr>
      <w:tr>
        <w:trPr>
          <w:trHeight w:val="236"/>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8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394</w:t>
            </w:r>
          </w:p>
        </w:tc>
        <w:tc>
          <w:tcPr>
            <w:tcW w:w="13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156</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(1,237)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40" w:type="dxa"/>
            <w:vAlign w:val="bottom"/>
          </w:tcPr>
          <w:p>
            <w:pPr>
              <w:jc w:val="right"/>
              <w:ind w:right="290"/>
              <w:spacing w:after="0"/>
              <w:rPr>
                <w:sz w:val="20"/>
                <w:szCs w:val="20"/>
                <w:color w:val="auto"/>
              </w:rPr>
            </w:pPr>
            <w:r>
              <w:rPr>
                <w:rFonts w:ascii="Arial" w:cs="Arial" w:eastAsia="Arial" w:hAnsi="Arial"/>
                <w:sz w:val="18"/>
                <w:szCs w:val="18"/>
                <w:color w:val="auto"/>
              </w:rPr>
              <w:t>2,134</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196</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(1,407)</w:t>
            </w:r>
          </w:p>
        </w:tc>
        <w:tc>
          <w:tcPr>
            <w:tcW w:w="1060" w:type="dxa"/>
            <w:vAlign w:val="bottom"/>
          </w:tcPr>
          <w:p>
            <w:pPr>
              <w:jc w:val="right"/>
              <w:spacing w:after="0"/>
              <w:rPr>
                <w:sz w:val="20"/>
                <w:szCs w:val="20"/>
                <w:color w:val="auto"/>
              </w:rPr>
            </w:pPr>
            <w:r>
              <w:rPr>
                <w:rFonts w:ascii="Arial" w:cs="Arial" w:eastAsia="Arial" w:hAnsi="Arial"/>
                <w:sz w:val="18"/>
                <w:szCs w:val="18"/>
                <w:color w:val="auto"/>
              </w:rPr>
              <w:t>6,701</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8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(631)</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(465)</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(1,876)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(Loss) income attributable to Lee Enterprises, Incorporated</w:t>
            </w:r>
          </w:p>
        </w:tc>
        <w:tc>
          <w:tcPr>
            <w:tcW w:w="1840" w:type="dxa"/>
            <w:vAlign w:val="bottom"/>
          </w:tcPr>
          <w:p>
            <w:pPr>
              <w:jc w:val="right"/>
              <w:ind w:right="290"/>
              <w:spacing w:after="0"/>
              <w:rPr>
                <w:sz w:val="20"/>
                <w:szCs w:val="20"/>
                <w:color w:val="auto"/>
              </w:rPr>
            </w:pPr>
            <w:r>
              <w:rPr>
                <w:rFonts w:ascii="Arial" w:cs="Arial" w:eastAsia="Arial" w:hAnsi="Arial"/>
                <w:sz w:val="18"/>
                <w:szCs w:val="18"/>
                <w:color w:val="auto"/>
              </w:rPr>
              <w:t>1,503</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(269)</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(3,283)</w:t>
            </w:r>
          </w:p>
        </w:tc>
        <w:tc>
          <w:tcPr>
            <w:tcW w:w="1060" w:type="dxa"/>
            <w:vAlign w:val="bottom"/>
          </w:tcPr>
          <w:p>
            <w:pPr>
              <w:jc w:val="right"/>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36"/>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income taxes</w:t>
            </w:r>
          </w:p>
        </w:tc>
        <w:tc>
          <w:tcPr>
            <w:tcW w:w="18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(140)</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(1,167)</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(420)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0" w:type="dxa"/>
            <w:vAlign w:val="bottom"/>
          </w:tcPr>
          <w:p>
            <w:pPr>
              <w:spacing w:after="0"/>
              <w:rPr>
                <w:sz w:val="1"/>
                <w:szCs w:val="1"/>
                <w:color w:val="auto"/>
              </w:rPr>
            </w:pPr>
          </w:p>
        </w:tc>
      </w:tr>
      <w:tr>
        <w:trPr>
          <w:trHeight w:val="170"/>
        </w:trPr>
        <w:tc>
          <w:tcPr>
            <w:tcW w:w="5600" w:type="dxa"/>
            <w:vAlign w:val="bottom"/>
          </w:tcPr>
          <w:p>
            <w:pPr>
              <w:ind w:left="20"/>
              <w:spacing w:after="0" w:line="170" w:lineRule="exact"/>
              <w:rPr>
                <w:sz w:val="20"/>
                <w:szCs w:val="20"/>
                <w:color w:val="auto"/>
              </w:rPr>
            </w:pPr>
            <w:r>
              <w:rPr>
                <w:rFonts w:ascii="Arial" w:cs="Arial" w:eastAsia="Arial" w:hAnsi="Arial"/>
                <w:sz w:val="18"/>
                <w:szCs w:val="18"/>
                <w:color w:val="auto"/>
              </w:rPr>
              <w:t>Comprehensive income (loss) attributable to Lee Enterprises,</w:t>
            </w:r>
          </w:p>
        </w:tc>
        <w:tc>
          <w:tcPr>
            <w:tcW w:w="1840" w:type="dxa"/>
            <w:vAlign w:val="bottom"/>
            <w:vMerge w:val="restart"/>
          </w:tcPr>
          <w:p>
            <w:pPr>
              <w:jc w:val="right"/>
              <w:ind w:right="290"/>
              <w:spacing w:after="0"/>
              <w:rPr>
                <w:sz w:val="20"/>
                <w:szCs w:val="20"/>
                <w:color w:val="auto"/>
              </w:rPr>
            </w:pPr>
            <w:r>
              <w:rPr>
                <w:rFonts w:ascii="Arial" w:cs="Arial" w:eastAsia="Arial" w:hAnsi="Arial"/>
                <w:sz w:val="18"/>
                <w:szCs w:val="18"/>
                <w:color w:val="auto"/>
              </w:rPr>
              <w:t>1,363</w:t>
            </w:r>
          </w:p>
        </w:tc>
        <w:tc>
          <w:tcPr>
            <w:tcW w:w="1340" w:type="dxa"/>
            <w:vAlign w:val="bottom"/>
            <w:vMerge w:val="restart"/>
          </w:tcPr>
          <w:p>
            <w:pPr>
              <w:jc w:val="right"/>
              <w:ind w:right="210"/>
              <w:spacing w:after="0"/>
              <w:rPr>
                <w:sz w:val="20"/>
                <w:szCs w:val="20"/>
                <w:color w:val="auto"/>
              </w:rPr>
            </w:pPr>
            <w:r>
              <w:rPr>
                <w:rFonts w:ascii="Arial" w:cs="Arial" w:eastAsia="Arial" w:hAnsi="Arial"/>
                <w:sz w:val="18"/>
                <w:szCs w:val="18"/>
                <w:color w:val="auto"/>
              </w:rPr>
              <w:t>(1,436)</w:t>
            </w:r>
          </w:p>
        </w:tc>
        <w:tc>
          <w:tcPr>
            <w:tcW w:w="1400" w:type="dxa"/>
            <w:vAlign w:val="bottom"/>
            <w:vMerge w:val="restart"/>
          </w:tcPr>
          <w:p>
            <w:pPr>
              <w:jc w:val="right"/>
              <w:ind w:right="250"/>
              <w:spacing w:after="0"/>
              <w:rPr>
                <w:sz w:val="20"/>
                <w:szCs w:val="20"/>
                <w:color w:val="auto"/>
              </w:rPr>
            </w:pPr>
            <w:r>
              <w:rPr>
                <w:rFonts w:ascii="Arial" w:cs="Arial" w:eastAsia="Arial" w:hAnsi="Arial"/>
                <w:sz w:val="18"/>
                <w:szCs w:val="18"/>
                <w:color w:val="auto"/>
              </w:rPr>
              <w:t>(3,703)</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36"/>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Incorporated</w:t>
            </w:r>
          </w:p>
        </w:tc>
        <w:tc>
          <w:tcPr>
            <w:tcW w:w="184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18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Basic:</w:t>
            </w:r>
          </w:p>
        </w:tc>
        <w:tc>
          <w:tcPr>
            <w:tcW w:w="1840" w:type="dxa"/>
            <w:vAlign w:val="bottom"/>
          </w:tcPr>
          <w:p>
            <w:pPr>
              <w:jc w:val="right"/>
              <w:ind w:right="290"/>
              <w:spacing w:after="0"/>
              <w:rPr>
                <w:sz w:val="20"/>
                <w:szCs w:val="20"/>
                <w:color w:val="auto"/>
              </w:rPr>
            </w:pPr>
            <w:r>
              <w:rPr>
                <w:rFonts w:ascii="Arial" w:cs="Arial" w:eastAsia="Arial" w:hAnsi="Arial"/>
                <w:sz w:val="18"/>
                <w:szCs w:val="18"/>
                <w:color w:val="auto"/>
              </w:rPr>
              <w:t>0.26</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(0.05)</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(0.56)</w:t>
            </w:r>
          </w:p>
        </w:tc>
        <w:tc>
          <w:tcPr>
            <w:tcW w:w="1060" w:type="dxa"/>
            <w:vAlign w:val="bottom"/>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62"/>
        </w:trPr>
        <w:tc>
          <w:tcPr>
            <w:tcW w:w="5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8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0.25</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(0.05)</w:t>
            </w:r>
          </w:p>
        </w:tc>
        <w:tc>
          <w:tcPr>
            <w:tcW w:w="1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(0.56)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 w:name="page6"/>
    <w:bookmarkEnd w:id="5"/>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jc w:val="right"/>
        <w:ind w:right="1540"/>
        <w:spacing w:after="0"/>
        <w:rPr>
          <w:sz w:val="20"/>
          <w:szCs w:val="20"/>
          <w:color w:val="auto"/>
        </w:rPr>
      </w:pPr>
      <w:r>
        <w:rPr>
          <w:rFonts w:ascii="Arial" w:cs="Arial" w:eastAsia="Arial" w:hAnsi="Arial"/>
          <w:sz w:val="18"/>
          <w:szCs w:val="18"/>
          <w:color w:val="auto"/>
        </w:rPr>
        <w:t>Accumulated</w:t>
      </w:r>
    </w:p>
    <w:p>
      <w:pPr>
        <w:jc w:val="right"/>
        <w:ind w:right="1540"/>
        <w:spacing w:after="0" w:line="219" w:lineRule="auto"/>
        <w:rPr>
          <w:sz w:val="20"/>
          <w:szCs w:val="20"/>
          <w:color w:val="auto"/>
        </w:rPr>
      </w:pPr>
      <w:r>
        <w:rPr>
          <w:rFonts w:ascii="Arial" w:cs="Arial" w:eastAsia="Arial" w:hAnsi="Arial"/>
          <w:sz w:val="18"/>
          <w:szCs w:val="18"/>
          <w:color w:val="auto"/>
        </w:rPr>
        <w:t>Other</w:t>
      </w:r>
    </w:p>
    <w:tbl>
      <w:tblPr>
        <w:tblLayout w:type="fixed"/>
        <w:tblInd w:w="0" w:type="dxa"/>
        <w:tblCellMar>
          <w:top w:w="0" w:type="dxa"/>
          <w:left w:w="0" w:type="dxa"/>
          <w:bottom w:w="0" w:type="dxa"/>
          <w:right w:w="0" w:type="dxa"/>
        </w:tblCellMar>
      </w:tblPr>
      <w:tr>
        <w:trPr>
          <w:trHeight w:val="164"/>
        </w:trPr>
        <w:tc>
          <w:tcPr>
            <w:tcW w:w="3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00" w:type="dxa"/>
            <w:vAlign w:val="bottom"/>
          </w:tcPr>
          <w:p>
            <w:pPr>
              <w:jc w:val="right"/>
              <w:ind w:right="110"/>
              <w:spacing w:after="0" w:line="164" w:lineRule="exact"/>
              <w:rPr>
                <w:sz w:val="20"/>
                <w:szCs w:val="20"/>
                <w:color w:val="auto"/>
              </w:rPr>
            </w:pPr>
            <w:r>
              <w:rPr>
                <w:rFonts w:ascii="Arial" w:cs="Arial" w:eastAsia="Arial" w:hAnsi="Arial"/>
                <w:sz w:val="18"/>
                <w:szCs w:val="18"/>
                <w:color w:val="auto"/>
              </w:rPr>
              <w:t>Accumulated</w:t>
            </w:r>
          </w:p>
        </w:tc>
        <w:tc>
          <w:tcPr>
            <w:tcW w:w="1660" w:type="dxa"/>
            <w:vAlign w:val="bottom"/>
            <w:vMerge w:val="restart"/>
          </w:tcPr>
          <w:p>
            <w:pPr>
              <w:jc w:val="right"/>
              <w:ind w:right="150"/>
              <w:spacing w:after="0"/>
              <w:rPr>
                <w:sz w:val="20"/>
                <w:szCs w:val="20"/>
                <w:color w:val="auto"/>
              </w:rPr>
            </w:pPr>
            <w:r>
              <w:rPr>
                <w:rFonts w:ascii="Arial" w:cs="Arial" w:eastAsia="Arial" w:hAnsi="Arial"/>
                <w:sz w:val="18"/>
                <w:szCs w:val="18"/>
                <w:color w:val="auto"/>
              </w:rPr>
              <w:t>Common Stock</w:t>
            </w:r>
          </w:p>
        </w:tc>
        <w:tc>
          <w:tcPr>
            <w:tcW w:w="1640" w:type="dxa"/>
            <w:vAlign w:val="bottom"/>
          </w:tcPr>
          <w:p>
            <w:pPr>
              <w:jc w:val="right"/>
              <w:ind w:right="170"/>
              <w:spacing w:after="0" w:line="164" w:lineRule="exact"/>
              <w:rPr>
                <w:sz w:val="20"/>
                <w:szCs w:val="20"/>
                <w:color w:val="auto"/>
              </w:rPr>
            </w:pPr>
            <w:r>
              <w:rPr>
                <w:rFonts w:ascii="Arial" w:cs="Arial" w:eastAsia="Arial" w:hAnsi="Arial"/>
                <w:sz w:val="18"/>
                <w:szCs w:val="18"/>
                <w:color w:val="auto"/>
              </w:rPr>
              <w:t>Additional</w:t>
            </w:r>
          </w:p>
        </w:tc>
        <w:tc>
          <w:tcPr>
            <w:tcW w:w="1980" w:type="dxa"/>
            <w:vAlign w:val="bottom"/>
          </w:tcPr>
          <w:p>
            <w:pPr>
              <w:jc w:val="right"/>
              <w:ind w:right="370"/>
              <w:spacing w:after="0" w:line="164" w:lineRule="exact"/>
              <w:rPr>
                <w:sz w:val="20"/>
                <w:szCs w:val="20"/>
                <w:color w:val="auto"/>
              </w:rPr>
            </w:pPr>
            <w:r>
              <w:rPr>
                <w:rFonts w:ascii="Arial" w:cs="Arial" w:eastAsia="Arial" w:hAnsi="Arial"/>
                <w:sz w:val="18"/>
                <w:szCs w:val="18"/>
                <w:color w:val="auto"/>
              </w:rPr>
              <w:t>Comprehensive</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auto"/>
            </w:tcBorders>
            <w:vMerge w:val="continue"/>
          </w:tcPr>
          <w:p>
            <w:pPr>
              <w:spacing w:after="0"/>
              <w:rPr>
                <w:sz w:val="19"/>
                <w:szCs w:val="19"/>
                <w:color w:val="auto"/>
              </w:rPr>
            </w:pPr>
          </w:p>
        </w:tc>
        <w:tc>
          <w:tcPr>
            <w:tcW w:w="1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Deficit</w:t>
            </w:r>
          </w:p>
        </w:tc>
        <w:tc>
          <w:tcPr>
            <w:tcW w:w="166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paid-in capital</w:t>
            </w:r>
          </w:p>
        </w:tc>
        <w:tc>
          <w:tcPr>
            <w:tcW w:w="1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Loss</w:t>
            </w: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26, 2022</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(261,229)</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60</w:t>
            </w:r>
          </w:p>
        </w:tc>
        <w:tc>
          <w:tcPr>
            <w:tcW w:w="1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259,521</w:t>
            </w:r>
          </w:p>
        </w:tc>
        <w:tc>
          <w:tcPr>
            <w:tcW w:w="1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16,653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15,005</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Shares issued (redeemed)</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(383)</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90"/>
        </w:trPr>
        <w:tc>
          <w:tcPr>
            <w:tcW w:w="3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Income attributable to Lee</w:t>
            </w:r>
          </w:p>
        </w:tc>
        <w:tc>
          <w:tcPr>
            <w:tcW w:w="16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Enterprises, Incorporated</w:t>
            </w:r>
          </w:p>
        </w:tc>
        <w:tc>
          <w:tcPr>
            <w:tcW w:w="1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1,099</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349</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income taxes, net</w:t>
            </w: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25, 2022</w:t>
            </w: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(260,130)</w:t>
            </w:r>
          </w:p>
        </w:tc>
        <w:tc>
          <w:tcPr>
            <w:tcW w:w="16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60</w:t>
            </w:r>
          </w:p>
        </w:tc>
        <w:tc>
          <w:tcPr>
            <w:tcW w:w="16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259,487</w:t>
            </w:r>
          </w:p>
        </w:tc>
        <w:tc>
          <w:tcPr>
            <w:tcW w:w="19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16,513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(redeemed)</w:t>
            </w:r>
          </w:p>
        </w:tc>
        <w:tc>
          <w:tcPr>
            <w:tcW w:w="1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(97)</w:t>
            </w:r>
          </w:p>
        </w:tc>
        <w:tc>
          <w:tcPr>
            <w:tcW w:w="1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76"/>
        </w:trPr>
        <w:tc>
          <w:tcPr>
            <w:tcW w:w="3280" w:type="dxa"/>
            <w:vAlign w:val="bottom"/>
          </w:tcPr>
          <w:p>
            <w:pPr>
              <w:ind w:left="20"/>
              <w:spacing w:after="0" w:line="176" w:lineRule="exact"/>
              <w:rPr>
                <w:sz w:val="20"/>
                <w:szCs w:val="20"/>
                <w:color w:val="auto"/>
              </w:rPr>
            </w:pPr>
            <w:r>
              <w:rPr>
                <w:rFonts w:ascii="Arial" w:cs="Arial" w:eastAsia="Arial" w:hAnsi="Arial"/>
                <w:sz w:val="18"/>
                <w:szCs w:val="18"/>
                <w:color w:val="auto"/>
              </w:rPr>
              <w:t>Loss attributable to Lee Enterprises,</w:t>
            </w:r>
          </w:p>
        </w:tc>
        <w:tc>
          <w:tcPr>
            <w:tcW w:w="1600" w:type="dxa"/>
            <w:vAlign w:val="bottom"/>
            <w:vMerge w:val="restart"/>
          </w:tcPr>
          <w:p>
            <w:pPr>
              <w:jc w:val="right"/>
              <w:ind w:right="130"/>
              <w:spacing w:after="0"/>
              <w:rPr>
                <w:sz w:val="20"/>
                <w:szCs w:val="20"/>
                <w:color w:val="auto"/>
              </w:rPr>
            </w:pPr>
            <w:r>
              <w:rPr>
                <w:rFonts w:ascii="Arial" w:cs="Arial" w:eastAsia="Arial" w:hAnsi="Arial"/>
                <w:sz w:val="18"/>
                <w:szCs w:val="18"/>
                <w:color w:val="auto"/>
              </w:rPr>
              <w:t>(5,885)</w:t>
            </w:r>
          </w:p>
        </w:tc>
        <w:tc>
          <w:tcPr>
            <w:tcW w:w="166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5"/>
                <w:szCs w:val="15"/>
                <w:color w:val="auto"/>
              </w:rPr>
            </w:pPr>
          </w:p>
        </w:tc>
        <w:tc>
          <w:tcPr>
            <w:tcW w:w="1980" w:type="dxa"/>
            <w:vAlign w:val="bottom"/>
            <w:vMerge w:val="restart"/>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Incorporated</w:t>
            </w:r>
          </w:p>
        </w:tc>
        <w:tc>
          <w:tcPr>
            <w:tcW w:w="160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1640" w:type="dxa"/>
            <w:vAlign w:val="bottom"/>
          </w:tcPr>
          <w:p>
            <w:pPr>
              <w:spacing w:after="0"/>
              <w:rPr>
                <w:sz w:val="19"/>
                <w:szCs w:val="19"/>
                <w:color w:val="auto"/>
              </w:rPr>
            </w:pPr>
          </w:p>
        </w:tc>
        <w:tc>
          <w:tcPr>
            <w:tcW w:w="19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574</w:t>
            </w:r>
          </w:p>
        </w:tc>
        <w:tc>
          <w:tcPr>
            <w:tcW w:w="1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9"/>
                <w:szCs w:val="19"/>
                <w:color w:val="auto"/>
              </w:rPr>
            </w:pPr>
          </w:p>
        </w:tc>
        <w:tc>
          <w:tcPr>
            <w:tcW w:w="1980" w:type="dxa"/>
            <w:vAlign w:val="bottom"/>
          </w:tcPr>
          <w:p>
            <w:pPr>
              <w:jc w:val="right"/>
              <w:ind w:right="370"/>
              <w:spacing w:after="0"/>
              <w:rPr>
                <w:sz w:val="20"/>
                <w:szCs w:val="20"/>
                <w:color w:val="auto"/>
              </w:rPr>
            </w:pPr>
            <w:r>
              <w:rPr>
                <w:rFonts w:ascii="Arial" w:cs="Arial" w:eastAsia="Arial" w:hAnsi="Arial"/>
                <w:sz w:val="18"/>
                <w:szCs w:val="18"/>
                <w:color w:val="auto"/>
              </w:rPr>
              <w:t>(200)</w:t>
            </w: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 net</w:t>
            </w:r>
          </w:p>
        </w:tc>
        <w:tc>
          <w:tcPr>
            <w:tcW w:w="16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26, 2023</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(266,015)</w:t>
            </w: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60</w:t>
            </w:r>
          </w:p>
        </w:tc>
        <w:tc>
          <w:tcPr>
            <w:tcW w:w="16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259,964</w:t>
            </w:r>
          </w:p>
        </w:tc>
        <w:tc>
          <w:tcPr>
            <w:tcW w:w="1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16,373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10,382</w:t>
            </w:r>
          </w:p>
        </w:tc>
        <w:tc>
          <w:tcPr>
            <w:tcW w:w="0" w:type="dxa"/>
            <w:vAlign w:val="bottom"/>
          </w:tcPr>
          <w:p>
            <w:pPr>
              <w:spacing w:after="0"/>
              <w:rPr>
                <w:sz w:val="1"/>
                <w:szCs w:val="1"/>
                <w:color w:val="auto"/>
              </w:rPr>
            </w:pP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Shares issued (redeemed)</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attributable to Lee</w:t>
            </w:r>
          </w:p>
        </w:tc>
        <w:tc>
          <w:tcPr>
            <w:tcW w:w="16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1,503</w:t>
            </w:r>
          </w:p>
        </w:tc>
        <w:tc>
          <w:tcPr>
            <w:tcW w:w="166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98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42"/>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Enterprises, Incorporated</w:t>
            </w:r>
          </w:p>
        </w:tc>
        <w:tc>
          <w:tcPr>
            <w:tcW w:w="1600" w:type="dxa"/>
            <w:vAlign w:val="bottom"/>
            <w:vMerge w:val="continue"/>
            <w:shd w:val="clear" w:color="auto" w:fill="CCEEFF"/>
          </w:tcPr>
          <w:p>
            <w:pPr>
              <w:spacing w:after="0"/>
              <w:rPr>
                <w:sz w:val="21"/>
                <w:szCs w:val="21"/>
                <w:color w:val="auto"/>
              </w:rPr>
            </w:pPr>
          </w:p>
        </w:tc>
        <w:tc>
          <w:tcPr>
            <w:tcW w:w="1660" w:type="dxa"/>
            <w:vAlign w:val="bottom"/>
            <w:vMerge w:val="continue"/>
            <w:shd w:val="clear" w:color="auto" w:fill="CCEEFF"/>
          </w:tcPr>
          <w:p>
            <w:pPr>
              <w:spacing w:after="0"/>
              <w:rPr>
                <w:sz w:val="21"/>
                <w:szCs w:val="21"/>
                <w:color w:val="auto"/>
              </w:rPr>
            </w:pPr>
          </w:p>
        </w:tc>
        <w:tc>
          <w:tcPr>
            <w:tcW w:w="1640" w:type="dxa"/>
            <w:vAlign w:val="bottom"/>
            <w:vMerge w:val="continue"/>
            <w:shd w:val="clear" w:color="auto" w:fill="CCEEFF"/>
          </w:tcPr>
          <w:p>
            <w:pPr>
              <w:spacing w:after="0"/>
              <w:rPr>
                <w:sz w:val="21"/>
                <w:szCs w:val="21"/>
                <w:color w:val="auto"/>
              </w:rPr>
            </w:pPr>
          </w:p>
        </w:tc>
        <w:tc>
          <w:tcPr>
            <w:tcW w:w="1980" w:type="dxa"/>
            <w:vAlign w:val="bottom"/>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461</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6"/>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income taxes, net</w:t>
            </w: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5"/>
        </w:trPr>
        <w:tc>
          <w:tcPr>
            <w:tcW w:w="3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25, 2023</w:t>
            </w: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(264,512)</w:t>
            </w:r>
          </w:p>
        </w:tc>
        <w:tc>
          <w:tcPr>
            <w:tcW w:w="16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61</w:t>
            </w:r>
          </w:p>
        </w:tc>
        <w:tc>
          <w:tcPr>
            <w:tcW w:w="16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260,425</w:t>
            </w:r>
          </w:p>
        </w:tc>
        <w:tc>
          <w:tcPr>
            <w:tcW w:w="19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16,233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12,207</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60" w:type="dxa"/>
            <w:vAlign w:val="bottom"/>
          </w:tcPr>
          <w:p>
            <w:pPr>
              <w:jc w:val="right"/>
              <w:ind w:right="770"/>
              <w:spacing w:after="0"/>
              <w:rPr>
                <w:sz w:val="20"/>
                <w:szCs w:val="20"/>
                <w:color w:val="auto"/>
              </w:rPr>
            </w:pPr>
            <w:r>
              <w:rPr>
                <w:rFonts w:ascii="Arial" w:cs="Arial" w:eastAsia="Arial" w:hAnsi="Arial"/>
                <w:sz w:val="18"/>
                <w:szCs w:val="18"/>
                <w:color w:val="auto"/>
              </w:rPr>
              <w:t>4</w:t>
            </w:r>
          </w:p>
        </w:tc>
        <w:tc>
          <w:tcPr>
            <w:tcW w:w="1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jc w:val="right"/>
        <w:ind w:right="1540"/>
        <w:spacing w:after="0"/>
        <w:rPr>
          <w:sz w:val="20"/>
          <w:szCs w:val="20"/>
          <w:color w:val="auto"/>
        </w:rPr>
      </w:pPr>
      <w:r>
        <w:rPr>
          <w:rFonts w:ascii="Arial" w:cs="Arial" w:eastAsia="Arial" w:hAnsi="Arial"/>
          <w:sz w:val="18"/>
          <w:szCs w:val="18"/>
          <w:color w:val="auto"/>
        </w:rPr>
        <w:t>Accumulated</w:t>
      </w:r>
    </w:p>
    <w:p>
      <w:pPr>
        <w:jc w:val="right"/>
        <w:ind w:right="1540"/>
        <w:spacing w:after="0" w:line="219" w:lineRule="auto"/>
        <w:rPr>
          <w:sz w:val="20"/>
          <w:szCs w:val="20"/>
          <w:color w:val="auto"/>
        </w:rPr>
      </w:pPr>
      <w:r>
        <w:rPr>
          <w:rFonts w:ascii="Arial" w:cs="Arial" w:eastAsia="Arial" w:hAnsi="Arial"/>
          <w:sz w:val="18"/>
          <w:szCs w:val="18"/>
          <w:color w:val="auto"/>
        </w:rPr>
        <w:t>Other</w:t>
      </w:r>
    </w:p>
    <w:tbl>
      <w:tblPr>
        <w:tblLayout w:type="fixed"/>
        <w:tblInd w:w="0" w:type="dxa"/>
        <w:tblCellMar>
          <w:top w:w="0" w:type="dxa"/>
          <w:left w:w="0" w:type="dxa"/>
          <w:bottom w:w="0" w:type="dxa"/>
          <w:right w:w="0" w:type="dxa"/>
        </w:tblCellMar>
      </w:tblPr>
      <w:tr>
        <w:trPr>
          <w:trHeight w:val="164"/>
        </w:trPr>
        <w:tc>
          <w:tcPr>
            <w:tcW w:w="3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00" w:type="dxa"/>
            <w:vAlign w:val="bottom"/>
          </w:tcPr>
          <w:p>
            <w:pPr>
              <w:jc w:val="right"/>
              <w:ind w:right="110"/>
              <w:spacing w:after="0" w:line="164" w:lineRule="exact"/>
              <w:rPr>
                <w:sz w:val="20"/>
                <w:szCs w:val="20"/>
                <w:color w:val="auto"/>
              </w:rPr>
            </w:pPr>
            <w:r>
              <w:rPr>
                <w:rFonts w:ascii="Arial" w:cs="Arial" w:eastAsia="Arial" w:hAnsi="Arial"/>
                <w:sz w:val="18"/>
                <w:szCs w:val="18"/>
                <w:color w:val="auto"/>
              </w:rPr>
              <w:t>Accumulated</w:t>
            </w:r>
          </w:p>
        </w:tc>
        <w:tc>
          <w:tcPr>
            <w:tcW w:w="1660" w:type="dxa"/>
            <w:vAlign w:val="bottom"/>
            <w:vMerge w:val="restart"/>
          </w:tcPr>
          <w:p>
            <w:pPr>
              <w:jc w:val="right"/>
              <w:ind w:right="150"/>
              <w:spacing w:after="0"/>
              <w:rPr>
                <w:sz w:val="20"/>
                <w:szCs w:val="20"/>
                <w:color w:val="auto"/>
              </w:rPr>
            </w:pPr>
            <w:r>
              <w:rPr>
                <w:rFonts w:ascii="Arial" w:cs="Arial" w:eastAsia="Arial" w:hAnsi="Arial"/>
                <w:sz w:val="18"/>
                <w:szCs w:val="18"/>
                <w:color w:val="auto"/>
              </w:rPr>
              <w:t>Common Stock</w:t>
            </w:r>
          </w:p>
        </w:tc>
        <w:tc>
          <w:tcPr>
            <w:tcW w:w="1640" w:type="dxa"/>
            <w:vAlign w:val="bottom"/>
          </w:tcPr>
          <w:p>
            <w:pPr>
              <w:jc w:val="right"/>
              <w:ind w:right="170"/>
              <w:spacing w:after="0" w:line="164" w:lineRule="exact"/>
              <w:rPr>
                <w:sz w:val="20"/>
                <w:szCs w:val="20"/>
                <w:color w:val="auto"/>
              </w:rPr>
            </w:pPr>
            <w:r>
              <w:rPr>
                <w:rFonts w:ascii="Arial" w:cs="Arial" w:eastAsia="Arial" w:hAnsi="Arial"/>
                <w:sz w:val="18"/>
                <w:szCs w:val="18"/>
                <w:color w:val="auto"/>
              </w:rPr>
              <w:t>Additional</w:t>
            </w:r>
          </w:p>
        </w:tc>
        <w:tc>
          <w:tcPr>
            <w:tcW w:w="1980" w:type="dxa"/>
            <w:vAlign w:val="bottom"/>
          </w:tcPr>
          <w:p>
            <w:pPr>
              <w:jc w:val="right"/>
              <w:ind w:right="370"/>
              <w:spacing w:after="0" w:line="164" w:lineRule="exact"/>
              <w:rPr>
                <w:sz w:val="20"/>
                <w:szCs w:val="20"/>
                <w:color w:val="auto"/>
              </w:rPr>
            </w:pPr>
            <w:r>
              <w:rPr>
                <w:rFonts w:ascii="Arial" w:cs="Arial" w:eastAsia="Arial" w:hAnsi="Arial"/>
                <w:sz w:val="18"/>
                <w:szCs w:val="18"/>
                <w:color w:val="auto"/>
              </w:rPr>
              <w:t>Comprehensive</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auto"/>
            </w:tcBorders>
            <w:vMerge w:val="continue"/>
          </w:tcPr>
          <w:p>
            <w:pPr>
              <w:spacing w:after="0"/>
              <w:rPr>
                <w:sz w:val="19"/>
                <w:szCs w:val="19"/>
                <w:color w:val="auto"/>
              </w:rPr>
            </w:pPr>
          </w:p>
        </w:tc>
        <w:tc>
          <w:tcPr>
            <w:tcW w:w="1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Deficit</w:t>
            </w:r>
          </w:p>
        </w:tc>
        <w:tc>
          <w:tcPr>
            <w:tcW w:w="166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paid-in capital</w:t>
            </w:r>
          </w:p>
        </w:tc>
        <w:tc>
          <w:tcPr>
            <w:tcW w:w="1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Loss</w:t>
            </w: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27, 2021</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(259,212)</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59</w:t>
            </w:r>
          </w:p>
        </w:tc>
        <w:tc>
          <w:tcPr>
            <w:tcW w:w="1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258,063</w:t>
            </w:r>
          </w:p>
        </w:tc>
        <w:tc>
          <w:tcPr>
            <w:tcW w:w="1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42,187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41,097</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Shares issued (redeemed)</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(386)</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190"/>
        </w:trPr>
        <w:tc>
          <w:tcPr>
            <w:tcW w:w="3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Income attributable to Lee</w:t>
            </w:r>
          </w:p>
        </w:tc>
        <w:tc>
          <w:tcPr>
            <w:tcW w:w="16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Enterprises, Incorporated</w:t>
            </w:r>
          </w:p>
        </w:tc>
        <w:tc>
          <w:tcPr>
            <w:tcW w:w="1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12,658</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12,658</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186</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(8,174)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(8,174)</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income taxes, net</w:t>
            </w: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2,062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26, 2021</w:t>
            </w: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(246,554)</w:t>
            </w:r>
          </w:p>
        </w:tc>
        <w:tc>
          <w:tcPr>
            <w:tcW w:w="16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60</w:t>
            </w:r>
          </w:p>
        </w:tc>
        <w:tc>
          <w:tcPr>
            <w:tcW w:w="16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257,863</w:t>
            </w:r>
          </w:p>
        </w:tc>
        <w:tc>
          <w:tcPr>
            <w:tcW w:w="19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36,075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47,444</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(redeemed)</w:t>
            </w:r>
          </w:p>
        </w:tc>
        <w:tc>
          <w:tcPr>
            <w:tcW w:w="1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c>
          <w:tcPr>
            <w:tcW w:w="1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6"/>
        </w:trPr>
        <w:tc>
          <w:tcPr>
            <w:tcW w:w="3280" w:type="dxa"/>
            <w:vAlign w:val="bottom"/>
          </w:tcPr>
          <w:p>
            <w:pPr>
              <w:ind w:left="20"/>
              <w:spacing w:after="0" w:line="176" w:lineRule="exact"/>
              <w:rPr>
                <w:sz w:val="20"/>
                <w:szCs w:val="20"/>
                <w:color w:val="auto"/>
              </w:rPr>
            </w:pPr>
            <w:r>
              <w:rPr>
                <w:rFonts w:ascii="Arial" w:cs="Arial" w:eastAsia="Arial" w:hAnsi="Arial"/>
                <w:sz w:val="18"/>
                <w:szCs w:val="18"/>
                <w:color w:val="auto"/>
              </w:rPr>
              <w:t>Loss attributable to Lee Enterprises,</w:t>
            </w:r>
          </w:p>
        </w:tc>
        <w:tc>
          <w:tcPr>
            <w:tcW w:w="1600" w:type="dxa"/>
            <w:vAlign w:val="bottom"/>
            <w:vMerge w:val="restart"/>
          </w:tcPr>
          <w:p>
            <w:pPr>
              <w:jc w:val="right"/>
              <w:ind w:right="130"/>
              <w:spacing w:after="0"/>
              <w:rPr>
                <w:sz w:val="20"/>
                <w:szCs w:val="20"/>
                <w:color w:val="auto"/>
              </w:rPr>
            </w:pPr>
            <w:r>
              <w:rPr>
                <w:rFonts w:ascii="Arial" w:cs="Arial" w:eastAsia="Arial" w:hAnsi="Arial"/>
                <w:sz w:val="18"/>
                <w:szCs w:val="18"/>
                <w:color w:val="auto"/>
              </w:rPr>
              <w:t>(7,276)</w:t>
            </w:r>
          </w:p>
        </w:tc>
        <w:tc>
          <w:tcPr>
            <w:tcW w:w="166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vMerge w:val="restart"/>
          </w:tcPr>
          <w:p>
            <w:pPr>
              <w:jc w:val="right"/>
              <w:ind w:right="230"/>
              <w:spacing w:after="0"/>
              <w:rPr>
                <w:sz w:val="20"/>
                <w:szCs w:val="20"/>
                <w:color w:val="auto"/>
              </w:rPr>
            </w:pPr>
            <w:r>
              <w:rPr>
                <w:rFonts w:ascii="Arial" w:cs="Arial" w:eastAsia="Arial" w:hAnsi="Arial"/>
                <w:sz w:val="18"/>
                <w:szCs w:val="18"/>
                <w:color w:val="auto"/>
              </w:rPr>
              <w:t>—</w:t>
            </w:r>
          </w:p>
        </w:tc>
        <w:tc>
          <w:tcPr>
            <w:tcW w:w="1980" w:type="dxa"/>
            <w:vAlign w:val="bottom"/>
            <w:vMerge w:val="restart"/>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(7,276)</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Incorporated</w:t>
            </w:r>
          </w:p>
        </w:tc>
        <w:tc>
          <w:tcPr>
            <w:tcW w:w="160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663</w:t>
            </w:r>
          </w:p>
        </w:tc>
        <w:tc>
          <w:tcPr>
            <w:tcW w:w="1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370"/>
              <w:spacing w:after="0"/>
              <w:rPr>
                <w:sz w:val="20"/>
                <w:szCs w:val="20"/>
                <w:color w:val="auto"/>
              </w:rPr>
            </w:pPr>
            <w:r>
              <w:rPr>
                <w:rFonts w:ascii="Arial" w:cs="Arial" w:eastAsia="Arial" w:hAnsi="Arial"/>
                <w:sz w:val="18"/>
                <w:szCs w:val="18"/>
                <w:color w:val="auto"/>
              </w:rPr>
              <w:t>(1,667)</w:t>
            </w:r>
          </w:p>
        </w:tc>
        <w:tc>
          <w:tcPr>
            <w:tcW w:w="1080" w:type="dxa"/>
            <w:vAlign w:val="bottom"/>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 net</w:t>
            </w:r>
          </w:p>
        </w:tc>
        <w:tc>
          <w:tcPr>
            <w:tcW w:w="16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500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27, 2022</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(253,830)</w:t>
            </w: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60</w:t>
            </w:r>
          </w:p>
        </w:tc>
        <w:tc>
          <w:tcPr>
            <w:tcW w:w="16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258,523</w:t>
            </w:r>
          </w:p>
        </w:tc>
        <w:tc>
          <w:tcPr>
            <w:tcW w:w="1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34,908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39,661</w:t>
            </w:r>
          </w:p>
        </w:tc>
        <w:tc>
          <w:tcPr>
            <w:tcW w:w="0" w:type="dxa"/>
            <w:vAlign w:val="bottom"/>
          </w:tcPr>
          <w:p>
            <w:pPr>
              <w:spacing w:after="0"/>
              <w:rPr>
                <w:sz w:val="1"/>
                <w:szCs w:val="1"/>
                <w:color w:val="auto"/>
              </w:rPr>
            </w:pP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Shares issued (redeemed)</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371</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attributable to Lee</w:t>
            </w:r>
          </w:p>
        </w:tc>
        <w:tc>
          <w:tcPr>
            <w:tcW w:w="16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(269)</w:t>
            </w:r>
          </w:p>
        </w:tc>
        <w:tc>
          <w:tcPr>
            <w:tcW w:w="166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98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42"/>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Enterprises, Incorporated</w:t>
            </w:r>
          </w:p>
        </w:tc>
        <w:tc>
          <w:tcPr>
            <w:tcW w:w="1600" w:type="dxa"/>
            <w:vAlign w:val="bottom"/>
            <w:vMerge w:val="continue"/>
            <w:shd w:val="clear" w:color="auto" w:fill="CCEEFF"/>
          </w:tcPr>
          <w:p>
            <w:pPr>
              <w:spacing w:after="0"/>
              <w:rPr>
                <w:sz w:val="21"/>
                <w:szCs w:val="21"/>
                <w:color w:val="auto"/>
              </w:rPr>
            </w:pPr>
          </w:p>
        </w:tc>
        <w:tc>
          <w:tcPr>
            <w:tcW w:w="1660" w:type="dxa"/>
            <w:vAlign w:val="bottom"/>
            <w:vMerge w:val="continue"/>
            <w:shd w:val="clear" w:color="auto" w:fill="CCEEFF"/>
          </w:tcPr>
          <w:p>
            <w:pPr>
              <w:spacing w:after="0"/>
              <w:rPr>
                <w:sz w:val="21"/>
                <w:szCs w:val="21"/>
                <w:color w:val="auto"/>
              </w:rPr>
            </w:pPr>
          </w:p>
        </w:tc>
        <w:tc>
          <w:tcPr>
            <w:tcW w:w="1640" w:type="dxa"/>
            <w:vAlign w:val="bottom"/>
            <w:vMerge w:val="continue"/>
            <w:shd w:val="clear" w:color="auto" w:fill="CCEEFF"/>
          </w:tcPr>
          <w:p>
            <w:pPr>
              <w:spacing w:after="0"/>
              <w:rPr>
                <w:sz w:val="21"/>
                <w:szCs w:val="21"/>
                <w:color w:val="auto"/>
              </w:rPr>
            </w:pPr>
          </w:p>
        </w:tc>
        <w:tc>
          <w:tcPr>
            <w:tcW w:w="1980" w:type="dxa"/>
            <w:vAlign w:val="bottom"/>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30"/>
              <w:spacing w:after="0"/>
              <w:rPr>
                <w:sz w:val="20"/>
                <w:szCs w:val="20"/>
                <w:color w:val="auto"/>
              </w:rPr>
            </w:pPr>
            <w:r>
              <w:rPr>
                <w:rFonts w:ascii="Arial" w:cs="Arial" w:eastAsia="Arial" w:hAnsi="Arial"/>
                <w:sz w:val="18"/>
                <w:szCs w:val="18"/>
                <w:color w:val="auto"/>
              </w:rPr>
              <w:t>327</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(1,667)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36"/>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income taxes, net</w:t>
            </w: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500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55"/>
        </w:trPr>
        <w:tc>
          <w:tcPr>
            <w:tcW w:w="3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26, 2022</w:t>
            </w: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(254,099)</w:t>
            </w:r>
          </w:p>
        </w:tc>
        <w:tc>
          <w:tcPr>
            <w:tcW w:w="16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60</w:t>
            </w:r>
          </w:p>
        </w:tc>
        <w:tc>
          <w:tcPr>
            <w:tcW w:w="16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259,221</w:t>
            </w:r>
          </w:p>
        </w:tc>
        <w:tc>
          <w:tcPr>
            <w:tcW w:w="19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33,741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38,923</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0"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Nine months ended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tcPr>
          <w:p>
            <w:pPr>
              <w:jc w:val="right"/>
              <w:ind w:right="430"/>
              <w:spacing w:after="0" w:line="170" w:lineRule="exact"/>
              <w:rPr>
                <w:sz w:val="20"/>
                <w:szCs w:val="20"/>
                <w:color w:val="auto"/>
              </w:rPr>
            </w:pPr>
            <w:r>
              <w:rPr>
                <w:rFonts w:ascii="Arial" w:cs="Arial" w:eastAsia="Arial" w:hAnsi="Arial"/>
                <w:sz w:val="18"/>
                <w:szCs w:val="18"/>
                <w:color w:val="auto"/>
              </w:rPr>
              <w:t>June 25,</w:t>
            </w:r>
          </w:p>
        </w:tc>
        <w:tc>
          <w:tcPr>
            <w:tcW w:w="12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June 26,</w:t>
            </w:r>
          </w:p>
        </w:tc>
      </w:tr>
      <w:tr>
        <w:trPr>
          <w:trHeight w:val="239"/>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53"/>
        </w:trPr>
        <w:tc>
          <w:tcPr>
            <w:tcW w:w="80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(required for) operating activities:</w:t>
            </w:r>
          </w:p>
        </w:tc>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6"/>
        </w:trPr>
        <w:tc>
          <w:tcPr>
            <w:tcW w:w="802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(1,407)</w:t>
            </w:r>
          </w:p>
        </w:tc>
        <w:tc>
          <w:tcPr>
            <w:tcW w:w="1220" w:type="dxa"/>
            <w:vAlign w:val="bottom"/>
          </w:tcPr>
          <w:p>
            <w:pPr>
              <w:jc w:val="right"/>
              <w:spacing w:after="0"/>
              <w:rPr>
                <w:sz w:val="20"/>
                <w:szCs w:val="20"/>
                <w:color w:val="auto"/>
              </w:rPr>
            </w:pPr>
            <w:r>
              <w:rPr>
                <w:rFonts w:ascii="Arial" w:cs="Arial" w:eastAsia="Arial" w:hAnsi="Arial"/>
                <w:sz w:val="18"/>
                <w:szCs w:val="18"/>
                <w:color w:val="auto"/>
              </w:rPr>
              <w:t>6,701</w:t>
            </w:r>
          </w:p>
        </w:tc>
      </w:tr>
      <w:tr>
        <w:trPr>
          <w:trHeight w:val="23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23,097</w:t>
            </w:r>
          </w:p>
        </w:tc>
        <w:tc>
          <w:tcPr>
            <w:tcW w:w="1220" w:type="dxa"/>
            <w:vAlign w:val="bottom"/>
          </w:tcPr>
          <w:p>
            <w:pPr>
              <w:jc w:val="right"/>
              <w:spacing w:after="0"/>
              <w:rPr>
                <w:sz w:val="20"/>
                <w:szCs w:val="20"/>
                <w:color w:val="auto"/>
              </w:rPr>
            </w:pPr>
            <w:r>
              <w:rPr>
                <w:rFonts w:ascii="Arial" w:cs="Arial" w:eastAsia="Arial" w:hAnsi="Arial"/>
                <w:sz w:val="18"/>
                <w:szCs w:val="18"/>
                <w:color w:val="auto"/>
              </w:rPr>
              <w:t>27,445</w:t>
            </w:r>
          </w:p>
        </w:tc>
      </w:tr>
      <w:tr>
        <w:trPr>
          <w:trHeight w:val="243"/>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Curtailment gain</w:t>
            </w:r>
          </w:p>
        </w:tc>
        <w:tc>
          <w:tcPr>
            <w:tcW w:w="20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Pension withdrawal cost</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2,335</w:t>
            </w: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20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1,384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36"/>
        </w:trPr>
        <w:tc>
          <w:tcPr>
            <w:tcW w:w="8020" w:type="dxa"/>
            <w:vAlign w:val="bottom"/>
          </w:tcPr>
          <w:p>
            <w:pPr>
              <w:ind w:left="180"/>
              <w:spacing w:after="0"/>
              <w:rPr>
                <w:sz w:val="20"/>
                <w:szCs w:val="20"/>
                <w:color w:val="auto"/>
              </w:rPr>
            </w:pPr>
            <w:r>
              <w:rPr>
                <w:rFonts w:ascii="Arial" w:cs="Arial" w:eastAsia="Arial" w:hAnsi="Arial"/>
                <w:sz w:val="18"/>
                <w:szCs w:val="18"/>
                <w:color w:val="auto"/>
              </w:rPr>
              <w:t>Assets (gain) loss on sales, impairments and other, net</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(4,255)</w:t>
            </w:r>
          </w:p>
        </w:tc>
        <w:tc>
          <w:tcPr>
            <w:tcW w:w="1220" w:type="dxa"/>
            <w:vAlign w:val="bottom"/>
          </w:tcPr>
          <w:p>
            <w:pPr>
              <w:jc w:val="right"/>
              <w:spacing w:after="0"/>
              <w:rPr>
                <w:sz w:val="20"/>
                <w:szCs w:val="20"/>
                <w:color w:val="auto"/>
              </w:rPr>
            </w:pPr>
            <w:r>
              <w:rPr>
                <w:rFonts w:ascii="Arial" w:cs="Arial" w:eastAsia="Arial" w:hAnsi="Arial"/>
                <w:sz w:val="18"/>
                <w:szCs w:val="18"/>
                <w:color w:val="auto"/>
              </w:rPr>
              <w:t>(11,340)</w:t>
            </w:r>
          </w:p>
        </w:tc>
      </w:tr>
      <w:tr>
        <w:trPr>
          <w:trHeight w:val="23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investment</w:t>
            </w:r>
          </w:p>
        </w:tc>
        <w:tc>
          <w:tcPr>
            <w:tcW w:w="20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(1,736)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(460)</w:t>
            </w: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Return of letters of credit collateral</w:t>
            </w:r>
          </w:p>
        </w:tc>
        <w:tc>
          <w:tcPr>
            <w:tcW w:w="20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778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(1,705)</w:t>
            </w:r>
          </w:p>
        </w:tc>
        <w:tc>
          <w:tcPr>
            <w:tcW w:w="1220" w:type="dxa"/>
            <w:vAlign w:val="bottom"/>
          </w:tcPr>
          <w:p>
            <w:pPr>
              <w:jc w:val="right"/>
              <w:spacing w:after="0"/>
              <w:rPr>
                <w:sz w:val="20"/>
                <w:szCs w:val="20"/>
                <w:color w:val="auto"/>
              </w:rPr>
            </w:pPr>
            <w:r>
              <w:rPr>
                <w:rFonts w:ascii="Arial" w:cs="Arial" w:eastAsia="Arial" w:hAnsi="Arial"/>
                <w:sz w:val="18"/>
                <w:szCs w:val="18"/>
                <w:color w:val="auto"/>
              </w:rPr>
              <w:t>(1,492)</w:t>
            </w: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6"/>
        </w:trPr>
        <w:tc>
          <w:tcPr>
            <w:tcW w:w="8020" w:type="dxa"/>
            <w:vAlign w:val="bottom"/>
          </w:tcPr>
          <w:p>
            <w:pPr>
              <w:ind w:left="360"/>
              <w:spacing w:after="0"/>
              <w:rPr>
                <w:sz w:val="20"/>
                <w:szCs w:val="20"/>
                <w:color w:val="auto"/>
              </w:rPr>
            </w:pPr>
            <w:r>
              <w:rPr>
                <w:rFonts w:ascii="Arial" w:cs="Arial" w:eastAsia="Arial" w:hAnsi="Arial"/>
                <w:sz w:val="18"/>
                <w:szCs w:val="18"/>
                <w:color w:val="auto"/>
              </w:rPr>
              <w:t>Decrease (increase) in receivables</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124</w:t>
            </w:r>
          </w:p>
        </w:tc>
        <w:tc>
          <w:tcPr>
            <w:tcW w:w="1220" w:type="dxa"/>
            <w:vAlign w:val="bottom"/>
          </w:tcPr>
          <w:p>
            <w:pPr>
              <w:jc w:val="right"/>
              <w:spacing w:after="0"/>
              <w:rPr>
                <w:sz w:val="20"/>
                <w:szCs w:val="20"/>
                <w:color w:val="auto"/>
              </w:rPr>
            </w:pPr>
            <w:r>
              <w:rPr>
                <w:rFonts w:ascii="Arial" w:cs="Arial" w:eastAsia="Arial" w:hAnsi="Arial"/>
                <w:sz w:val="18"/>
                <w:szCs w:val="18"/>
                <w:color w:val="auto"/>
              </w:rPr>
              <w:t>(8,004)</w:t>
            </w:r>
          </w:p>
        </w:tc>
      </w:tr>
      <w:tr>
        <w:trPr>
          <w:trHeight w:val="236"/>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 inventories and other</w:t>
            </w:r>
          </w:p>
        </w:tc>
        <w:tc>
          <w:tcPr>
            <w:tcW w:w="20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(348)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(Decrease) increase in accounts payable and other accrued liabilities</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(14,435)</w:t>
            </w:r>
          </w:p>
        </w:tc>
        <w:tc>
          <w:tcPr>
            <w:tcW w:w="1220" w:type="dxa"/>
            <w:vAlign w:val="bottom"/>
          </w:tcPr>
          <w:p>
            <w:pPr>
              <w:jc w:val="right"/>
              <w:spacing w:after="0"/>
              <w:rPr>
                <w:sz w:val="20"/>
                <w:szCs w:val="20"/>
                <w:color w:val="auto"/>
              </w:rPr>
            </w:pPr>
            <w:r>
              <w:rPr>
                <w:rFonts w:ascii="Arial" w:cs="Arial" w:eastAsia="Arial" w:hAnsi="Arial"/>
                <w:sz w:val="18"/>
                <w:szCs w:val="18"/>
                <w:color w:val="auto"/>
              </w:rPr>
              <w:t>1,775</w:t>
            </w:r>
          </w:p>
        </w:tc>
      </w:tr>
      <w:tr>
        <w:trPr>
          <w:trHeight w:val="24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 pension and other postretirement and postemployment benefit obligations</w:t>
            </w:r>
          </w:p>
        </w:tc>
        <w:tc>
          <w:tcPr>
            <w:tcW w:w="20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(186)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(13,910)</w:t>
            </w: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Change in income taxes payable</w:t>
            </w: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358</w:t>
            </w:r>
          </w:p>
        </w:tc>
        <w:tc>
          <w:tcPr>
            <w:tcW w:w="1220" w:type="dxa"/>
            <w:vAlign w:val="bottom"/>
          </w:tcPr>
          <w:p>
            <w:pPr>
              <w:jc w:val="right"/>
              <w:spacing w:after="0"/>
              <w:rPr>
                <w:sz w:val="20"/>
                <w:szCs w:val="20"/>
                <w:color w:val="auto"/>
              </w:rPr>
            </w:pPr>
            <w:r>
              <w:rPr>
                <w:rFonts w:ascii="Arial" w:cs="Arial" w:eastAsia="Arial" w:hAnsi="Arial"/>
                <w:sz w:val="18"/>
                <w:szCs w:val="18"/>
                <w:color w:val="auto"/>
              </w:rPr>
              <w:t>(2,986)</w:t>
            </w:r>
          </w:p>
        </w:tc>
      </w:tr>
      <w:tr>
        <w:trPr>
          <w:trHeight w:val="230"/>
        </w:trPr>
        <w:tc>
          <w:tcPr>
            <w:tcW w:w="80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20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(2,693)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(required for) provided by operating activities</w:t>
            </w:r>
          </w:p>
        </w:tc>
        <w:tc>
          <w:tcPr>
            <w:tcW w:w="2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(1,484)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investing activities:</w:t>
            </w:r>
          </w:p>
        </w:tc>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(3,791)</w:t>
            </w:r>
          </w:p>
        </w:tc>
        <w:tc>
          <w:tcPr>
            <w:tcW w:w="1220" w:type="dxa"/>
            <w:vAlign w:val="bottom"/>
          </w:tcPr>
          <w:p>
            <w:pPr>
              <w:jc w:val="right"/>
              <w:spacing w:after="0"/>
              <w:rPr>
                <w:sz w:val="20"/>
                <w:szCs w:val="20"/>
                <w:color w:val="auto"/>
              </w:rPr>
            </w:pPr>
            <w:r>
              <w:rPr>
                <w:rFonts w:ascii="Arial" w:cs="Arial" w:eastAsia="Arial" w:hAnsi="Arial"/>
                <w:sz w:val="18"/>
                <w:szCs w:val="18"/>
                <w:color w:val="auto"/>
              </w:rPr>
              <w:t>(5,738)</w:t>
            </w:r>
          </w:p>
        </w:tc>
      </w:tr>
      <w:tr>
        <w:trPr>
          <w:trHeight w:val="243"/>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assets</w:t>
            </w:r>
          </w:p>
        </w:tc>
        <w:tc>
          <w:tcPr>
            <w:tcW w:w="20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7,231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14,824</w:t>
            </w: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Distributions less than earnings of TNI and MNI</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(234)</w:t>
            </w:r>
          </w:p>
        </w:tc>
        <w:tc>
          <w:tcPr>
            <w:tcW w:w="122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30"/>
        </w:trPr>
        <w:tc>
          <w:tcPr>
            <w:tcW w:w="80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0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1,873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30"/>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2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5,079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8,515</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required for financing activities:</w:t>
            </w:r>
          </w:p>
        </w:tc>
        <w:tc>
          <w:tcPr>
            <w:tcW w:w="20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Payments on long-term debt</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(2,560)</w:t>
            </w:r>
          </w:p>
        </w:tc>
        <w:tc>
          <w:tcPr>
            <w:tcW w:w="1220" w:type="dxa"/>
            <w:vAlign w:val="bottom"/>
          </w:tcPr>
          <w:p>
            <w:pPr>
              <w:jc w:val="right"/>
              <w:spacing w:after="0"/>
              <w:rPr>
                <w:sz w:val="20"/>
                <w:szCs w:val="20"/>
                <w:color w:val="auto"/>
              </w:rPr>
            </w:pPr>
            <w:r>
              <w:rPr>
                <w:rFonts w:ascii="Arial" w:cs="Arial" w:eastAsia="Arial" w:hAnsi="Arial"/>
                <w:sz w:val="18"/>
                <w:szCs w:val="18"/>
                <w:color w:val="auto"/>
              </w:rPr>
              <w:t>(20,062)</w:t>
            </w:r>
          </w:p>
        </w:tc>
      </w:tr>
      <w:tr>
        <w:trPr>
          <w:trHeight w:val="236"/>
        </w:trPr>
        <w:tc>
          <w:tcPr>
            <w:tcW w:w="80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Common stock transactions, net</w:t>
            </w:r>
          </w:p>
        </w:tc>
        <w:tc>
          <w:tcPr>
            <w:tcW w:w="20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(265)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required for financing activities</w:t>
            </w:r>
          </w:p>
        </w:tc>
        <w:tc>
          <w:tcPr>
            <w:tcW w:w="2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(2,825)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(19,682)</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0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770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(10,451)</w:t>
            </w:r>
          </w:p>
        </w:tc>
      </w:tr>
      <w:tr>
        <w:trPr>
          <w:trHeight w:val="236"/>
        </w:trPr>
        <w:tc>
          <w:tcPr>
            <w:tcW w:w="80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0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6"/>
        </w:trPr>
        <w:tc>
          <w:tcPr>
            <w:tcW w:w="80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Beginning of period</w:t>
            </w:r>
          </w:p>
        </w:tc>
        <w:tc>
          <w:tcPr>
            <w:tcW w:w="20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16,185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26,112</w:t>
            </w:r>
          </w:p>
        </w:tc>
      </w:tr>
      <w:tr>
        <w:trPr>
          <w:trHeight w:val="223"/>
        </w:trPr>
        <w:tc>
          <w:tcPr>
            <w:tcW w:w="8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End of period</w:t>
            </w:r>
          </w:p>
        </w:tc>
        <w:tc>
          <w:tcPr>
            <w:tcW w:w="2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16,955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15,661</w:t>
            </w:r>
          </w:p>
        </w:tc>
      </w:tr>
      <w:tr>
        <w:trPr>
          <w:trHeight w:val="21"/>
        </w:trPr>
        <w:tc>
          <w:tcPr>
            <w:tcW w:w="80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(the “Company”). References to “2023”, “2022" and the like refer to the fiscal years ended the last Sunday in September.</w:t>
      </w:r>
    </w:p>
    <w:p>
      <w:pPr>
        <w:spacing w:after="0" w:line="123" w:lineRule="exact"/>
        <w:rPr>
          <w:sz w:val="20"/>
          <w:szCs w:val="20"/>
          <w:color w:val="auto"/>
        </w:rPr>
      </w:pPr>
    </w:p>
    <w:p>
      <w:pPr>
        <w:ind w:left="300" w:hanging="292"/>
        <w:spacing w:after="0"/>
        <w:tabs>
          <w:tab w:leader="none" w:pos="3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9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accompanying unaudited interim Consolidated Financial Statements included herein have been prepared pursuant to the rules and regulations of the Securities and Exchange Commission for quarterly reports. In the opinion of management, these financial statements contain all adjustments (consisting of only normal recurring items) necessary to present fairly the financial position of Lee Enterprises, Incorporated and its subsidiaries (the “Company”) as of June 25, 2023, and our results of operations and cash flows for the periods presented. The Consolidated Financial Statements should be read in conjunction with the Consolidated Financial Statements and Notes thereto included in the Company's 2022 Annual Report on Form 10-K.</w:t>
      </w:r>
    </w:p>
    <w:p>
      <w:pPr>
        <w:spacing w:after="0" w:line="165"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The Company's fiscal year ends on the last Sunday in September. Fiscal year 2023 ends on September 24, 2023, and fiscal year 2022 ended September 25, 2022. Fiscal year 2023 and 2022 are 52-week years with 13 weeks in each quarter. Because of seasonal and other factors, the results of operations for the three and nine months ended June 25, 2023, are not necessarily indicative of the results to be expected for the full year.</w:t>
      </w:r>
    </w:p>
    <w:p>
      <w:pPr>
        <w:spacing w:after="0" w:line="149" w:lineRule="exact"/>
        <w:rPr>
          <w:sz w:val="20"/>
          <w:szCs w:val="20"/>
          <w:color w:val="auto"/>
        </w:rPr>
      </w:pPr>
    </w:p>
    <w:p>
      <w:pPr>
        <w:jc w:val="both"/>
        <w:ind w:left="660"/>
        <w:spacing w:after="0" w:line="275" w:lineRule="auto"/>
        <w:rPr>
          <w:sz w:val="20"/>
          <w:szCs w:val="20"/>
          <w:color w:val="auto"/>
        </w:rPr>
      </w:pPr>
      <w:r>
        <w:rPr>
          <w:rFonts w:ascii="Arial" w:cs="Arial" w:eastAsia="Arial" w:hAnsi="Arial"/>
          <w:sz w:val="18"/>
          <w:szCs w:val="18"/>
          <w:color w:val="auto"/>
        </w:rPr>
        <w:t>The Consolidated Financial Statements include our accounts and those of our wholly owned subsidiaries, as well as our 82.5% interest in INN Partners, L.C. (“BLOX Digital", formerly "TownNews”).</w:t>
      </w:r>
    </w:p>
    <w:p>
      <w:pPr>
        <w:spacing w:after="0" w:line="133"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Our 50% interest in TNI Partners ("TNI") and our 50% interest in Madison Newspapers, Inc. ("MNI") are accounted for using the equity method and are reported at cost, plus our share of undistributed earnings since acquisition less, for TNI, amortization of intangible assets.</w:t>
      </w:r>
    </w:p>
    <w:p>
      <w:pPr>
        <w:spacing w:after="0" w:line="147" w:lineRule="exact"/>
        <w:rPr>
          <w:sz w:val="20"/>
          <w:szCs w:val="20"/>
          <w:color w:val="auto"/>
        </w:rPr>
      </w:pPr>
    </w:p>
    <w:p>
      <w:pPr>
        <w:ind w:left="300" w:hanging="292"/>
        <w:spacing w:after="0"/>
        <w:tabs>
          <w:tab w:leader="none" w:pos="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source: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60" w:type="dxa"/>
            <w:vAlign w:val="bottom"/>
          </w:tcPr>
          <w:p>
            <w:pPr>
              <w:spacing w:after="0"/>
              <w:rPr>
                <w:sz w:val="21"/>
                <w:szCs w:val="21"/>
                <w:color w:val="auto"/>
              </w:rPr>
            </w:pPr>
          </w:p>
        </w:tc>
        <w:tc>
          <w:tcPr>
            <w:tcW w:w="3940" w:type="dxa"/>
            <w:vAlign w:val="bottom"/>
            <w:tcBorders>
              <w:top w:val="single" w:sz="8" w:color="auto"/>
              <w:bottom w:val="single" w:sz="8" w:color="auto"/>
            </w:tcBorders>
          </w:tcPr>
          <w:p>
            <w:pPr>
              <w:spacing w:after="0"/>
              <w:rPr>
                <w:sz w:val="21"/>
                <w:szCs w:val="21"/>
                <w:color w:val="auto"/>
              </w:rPr>
            </w:pPr>
          </w:p>
        </w:tc>
        <w:tc>
          <w:tcPr>
            <w:tcW w:w="3180" w:type="dxa"/>
            <w:vAlign w:val="bottom"/>
            <w:tcBorders>
              <w:top w:val="single" w:sz="8" w:color="auto"/>
              <w:bottom w:val="single" w:sz="8" w:color="auto"/>
            </w:tcBorders>
            <w:gridSpan w:val="2"/>
          </w:tcPr>
          <w:p>
            <w:pPr>
              <w:jc w:val="right"/>
              <w:ind w:right="970"/>
              <w:spacing w:after="0"/>
              <w:rPr>
                <w:sz w:val="20"/>
                <w:szCs w:val="20"/>
                <w:color w:val="auto"/>
              </w:rPr>
            </w:pPr>
            <w:r>
              <w:rPr>
                <w:rFonts w:ascii="Arial" w:cs="Arial" w:eastAsia="Arial" w:hAnsi="Arial"/>
                <w:sz w:val="18"/>
                <w:szCs w:val="18"/>
                <w:color w:val="auto"/>
              </w:rPr>
              <w:t>Three months ended</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Nine months ended</w:t>
            </w:r>
          </w:p>
        </w:tc>
        <w:tc>
          <w:tcPr>
            <w:tcW w:w="740" w:type="dxa"/>
            <w:vAlign w:val="bottom"/>
            <w:tcBorders>
              <w:top w:val="single" w:sz="8" w:color="auto"/>
              <w:bottom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39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80" w:type="dxa"/>
            <w:vAlign w:val="bottom"/>
          </w:tcPr>
          <w:p>
            <w:pPr>
              <w:jc w:val="right"/>
              <w:ind w:right="330"/>
              <w:spacing w:after="0" w:line="176" w:lineRule="exact"/>
              <w:rPr>
                <w:sz w:val="20"/>
                <w:szCs w:val="20"/>
                <w:color w:val="auto"/>
              </w:rPr>
            </w:pPr>
            <w:r>
              <w:rPr>
                <w:rFonts w:ascii="Arial" w:cs="Arial" w:eastAsia="Arial" w:hAnsi="Arial"/>
                <w:sz w:val="18"/>
                <w:szCs w:val="18"/>
                <w:color w:val="auto"/>
              </w:rPr>
              <w:t>June 25,</w:t>
            </w:r>
          </w:p>
        </w:tc>
        <w:tc>
          <w:tcPr>
            <w:tcW w:w="1500" w:type="dxa"/>
            <w:vAlign w:val="bottom"/>
          </w:tcPr>
          <w:p>
            <w:pPr>
              <w:jc w:val="right"/>
              <w:ind w:right="290"/>
              <w:spacing w:after="0" w:line="176" w:lineRule="exact"/>
              <w:rPr>
                <w:sz w:val="20"/>
                <w:szCs w:val="20"/>
                <w:color w:val="auto"/>
              </w:rPr>
            </w:pPr>
            <w:r>
              <w:rPr>
                <w:rFonts w:ascii="Arial" w:cs="Arial" w:eastAsia="Arial" w:hAnsi="Arial"/>
                <w:sz w:val="18"/>
                <w:szCs w:val="18"/>
                <w:color w:val="auto"/>
              </w:rPr>
              <w:t>June 26,</w:t>
            </w:r>
          </w:p>
        </w:tc>
        <w:tc>
          <w:tcPr>
            <w:tcW w:w="1960" w:type="dxa"/>
            <w:vAlign w:val="bottom"/>
          </w:tcPr>
          <w:p>
            <w:pPr>
              <w:jc w:val="right"/>
              <w:ind w:right="730"/>
              <w:spacing w:after="0" w:line="176" w:lineRule="exact"/>
              <w:rPr>
                <w:sz w:val="20"/>
                <w:szCs w:val="20"/>
                <w:color w:val="auto"/>
              </w:rPr>
            </w:pPr>
            <w:r>
              <w:rPr>
                <w:rFonts w:ascii="Arial" w:cs="Arial" w:eastAsia="Arial" w:hAnsi="Arial"/>
                <w:sz w:val="18"/>
                <w:szCs w:val="18"/>
                <w:color w:val="auto"/>
              </w:rPr>
              <w:t>June 25,</w:t>
            </w:r>
          </w:p>
        </w:tc>
        <w:tc>
          <w:tcPr>
            <w:tcW w:w="1500" w:type="dxa"/>
            <w:vAlign w:val="bottom"/>
            <w:gridSpan w:val="2"/>
          </w:tcPr>
          <w:p>
            <w:pPr>
              <w:jc w:val="right"/>
              <w:ind w:right="780"/>
              <w:spacing w:after="0" w:line="176" w:lineRule="exact"/>
              <w:rPr>
                <w:sz w:val="20"/>
                <w:szCs w:val="20"/>
                <w:color w:val="auto"/>
              </w:rPr>
            </w:pPr>
            <w:r>
              <w:rPr>
                <w:rFonts w:ascii="Arial" w:cs="Arial" w:eastAsia="Arial" w:hAnsi="Arial"/>
                <w:sz w:val="18"/>
                <w:szCs w:val="18"/>
                <w:color w:val="auto"/>
              </w:rPr>
              <w:t>June 26,</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940" w:type="dxa"/>
            <w:vAlign w:val="bottom"/>
            <w:tcBorders>
              <w:bottom w:val="single" w:sz="8" w:color="auto"/>
            </w:tcBorders>
            <w:vMerge w:val="continue"/>
          </w:tcPr>
          <w:p>
            <w:pPr>
              <w:spacing w:after="0"/>
              <w:rPr>
                <w:sz w:val="19"/>
                <w:szCs w:val="19"/>
                <w:color w:val="auto"/>
              </w:rPr>
            </w:pPr>
          </w:p>
        </w:tc>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9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6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Print advertising revenue</w:t>
            </w: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29,216</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44,814</w:t>
            </w:r>
          </w:p>
        </w:tc>
        <w:tc>
          <w:tcPr>
            <w:tcW w:w="1960" w:type="dxa"/>
            <w:vAlign w:val="bottom"/>
          </w:tcPr>
          <w:p>
            <w:pPr>
              <w:jc w:val="right"/>
              <w:ind w:right="790"/>
              <w:spacing w:after="0"/>
              <w:rPr>
                <w:sz w:val="20"/>
                <w:szCs w:val="20"/>
                <w:color w:val="auto"/>
              </w:rPr>
            </w:pPr>
            <w:r>
              <w:rPr>
                <w:rFonts w:ascii="Arial" w:cs="Arial" w:eastAsia="Arial" w:hAnsi="Arial"/>
                <w:sz w:val="18"/>
                <w:szCs w:val="18"/>
                <w:color w:val="auto"/>
              </w:rPr>
              <w:t>102,503</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145,032</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39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Digital advertising revenue</w:t>
            </w:r>
          </w:p>
        </w:tc>
        <w:tc>
          <w:tcPr>
            <w:tcW w:w="16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49,904</w:t>
            </w:r>
          </w:p>
        </w:tc>
        <w:tc>
          <w:tcPr>
            <w:tcW w:w="15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46,187</w:t>
            </w:r>
          </w:p>
        </w:tc>
        <w:tc>
          <w:tcPr>
            <w:tcW w:w="196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143,903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132,356</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1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79,120</w:t>
            </w: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91,001</w:t>
            </w:r>
          </w:p>
        </w:tc>
        <w:tc>
          <w:tcPr>
            <w:tcW w:w="19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246,406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277,388</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Print subscription revenue</w:t>
            </w:r>
          </w:p>
        </w:tc>
        <w:tc>
          <w:tcPr>
            <w:tcW w:w="1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61,842</w:t>
            </w:r>
          </w:p>
        </w:tc>
        <w:tc>
          <w:tcPr>
            <w:tcW w:w="15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78,079</w:t>
            </w:r>
          </w:p>
        </w:tc>
        <w:tc>
          <w:tcPr>
            <w:tcW w:w="19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193,799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234,962</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Digital subscription revenue</w:t>
            </w:r>
          </w:p>
        </w:tc>
        <w:tc>
          <w:tcPr>
            <w:tcW w:w="1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15,715</w:t>
            </w: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10,969</w:t>
            </w:r>
          </w:p>
        </w:tc>
        <w:tc>
          <w:tcPr>
            <w:tcW w:w="19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42,039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28,953</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16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77,557</w:t>
            </w:r>
          </w:p>
        </w:tc>
        <w:tc>
          <w:tcPr>
            <w:tcW w:w="15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89,048</w:t>
            </w:r>
          </w:p>
        </w:tc>
        <w:tc>
          <w:tcPr>
            <w:tcW w:w="196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235,838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263,915</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Print other revenue</w:t>
            </w: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9,773</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10,671</w:t>
            </w:r>
          </w:p>
        </w:tc>
        <w:tc>
          <w:tcPr>
            <w:tcW w:w="1960" w:type="dxa"/>
            <w:vAlign w:val="bottom"/>
          </w:tcPr>
          <w:p>
            <w:pPr>
              <w:jc w:val="right"/>
              <w:ind w:right="790"/>
              <w:spacing w:after="0"/>
              <w:rPr>
                <w:sz w:val="20"/>
                <w:szCs w:val="20"/>
                <w:color w:val="auto"/>
              </w:rPr>
            </w:pPr>
            <w:r>
              <w:rPr>
                <w:rFonts w:ascii="Arial" w:cs="Arial" w:eastAsia="Arial" w:hAnsi="Arial"/>
                <w:sz w:val="18"/>
                <w:szCs w:val="18"/>
                <w:color w:val="auto"/>
              </w:rPr>
              <w:t>30,542</w:t>
            </w:r>
          </w:p>
        </w:tc>
        <w:tc>
          <w:tcPr>
            <w:tcW w:w="740" w:type="dxa"/>
            <w:vAlign w:val="bottom"/>
          </w:tcPr>
          <w:p>
            <w:pPr>
              <w:jc w:val="right"/>
              <w:spacing w:after="0"/>
              <w:rPr>
                <w:sz w:val="20"/>
                <w:szCs w:val="20"/>
                <w:color w:val="auto"/>
              </w:rPr>
            </w:pPr>
            <w:r>
              <w:rPr>
                <w:rFonts w:ascii="Arial" w:cs="Arial" w:eastAsia="Arial" w:hAnsi="Arial"/>
                <w:sz w:val="18"/>
                <w:szCs w:val="18"/>
                <w:color w:val="auto"/>
              </w:rPr>
              <w:t>32,430</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39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Digital other revenue</w:t>
            </w:r>
          </w:p>
        </w:tc>
        <w:tc>
          <w:tcPr>
            <w:tcW w:w="16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4,860</w:t>
            </w:r>
          </w:p>
        </w:tc>
        <w:tc>
          <w:tcPr>
            <w:tcW w:w="15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4,317</w:t>
            </w:r>
          </w:p>
        </w:tc>
        <w:tc>
          <w:tcPr>
            <w:tcW w:w="196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14,343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13,600</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1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14,633</w:t>
            </w: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14,988</w:t>
            </w:r>
          </w:p>
        </w:tc>
        <w:tc>
          <w:tcPr>
            <w:tcW w:w="19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44,885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46,030</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16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171,310</w:t>
            </w:r>
          </w:p>
        </w:tc>
        <w:tc>
          <w:tcPr>
            <w:tcW w:w="15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195,037</w:t>
            </w:r>
          </w:p>
        </w:tc>
        <w:tc>
          <w:tcPr>
            <w:tcW w:w="196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527,129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587,333</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9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6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680" w:type="dxa"/>
            <w:vAlign w:val="bottom"/>
          </w:tcPr>
          <w:p>
            <w:pPr>
              <w:jc w:val="right"/>
              <w:ind w:right="510"/>
              <w:spacing w:after="0"/>
              <w:rPr>
                <w:sz w:val="20"/>
                <w:szCs w:val="20"/>
                <w:color w:val="auto"/>
              </w:rPr>
            </w:pPr>
            <w:r>
              <w:rPr>
                <w:rFonts w:ascii="Arial" w:cs="Arial" w:eastAsia="Arial" w:hAnsi="Arial"/>
                <w:sz w:val="18"/>
                <w:szCs w:val="18"/>
                <w:color w:val="auto"/>
              </w:rPr>
              <w:t>7</w:t>
            </w:r>
          </w:p>
        </w:tc>
        <w:tc>
          <w:tcPr>
            <w:tcW w:w="1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60" w:type="dxa"/>
            <w:vAlign w:val="bottom"/>
            <w:tcBorders>
              <w:bottom w:val="single" w:sz="8" w:color="9A9A9A"/>
            </w:tcBorders>
          </w:tcPr>
          <w:p>
            <w:pPr>
              <w:spacing w:after="0"/>
              <w:rPr>
                <w:sz w:val="8"/>
                <w:szCs w:val="8"/>
                <w:color w:val="auto"/>
              </w:rPr>
            </w:pPr>
          </w:p>
        </w:tc>
        <w:tc>
          <w:tcPr>
            <w:tcW w:w="394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9" w:name="page10"/>
    <w:bookmarkEnd w:id="9"/>
    <w:p>
      <w:pPr>
        <w:jc w:val="both"/>
        <w:ind w:left="660"/>
        <w:spacing w:after="0" w:line="266"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 is recognized when a performance obligation is satisfied by the transfer of control of the contracted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to our customers, in an amount that reflects the consideration we expect to receive in exchange for those goods or services.</w:t>
      </w:r>
    </w:p>
    <w:p>
      <w:pPr>
        <w:spacing w:after="0" w:line="149"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We have various advertising and subscription agreements which include both</w:t>
      </w:r>
      <w:r>
        <w:rPr>
          <w:rFonts w:ascii="Arial" w:cs="Arial" w:eastAsia="Arial" w:hAnsi="Arial"/>
          <w:sz w:val="18"/>
          <w:szCs w:val="18"/>
          <w:i w:val="1"/>
          <w:iCs w:val="1"/>
          <w:color w:val="auto"/>
        </w:rPr>
        <w:t xml:space="preserve"> </w:t>
      </w:r>
      <w:r>
        <w:rPr>
          <w:rFonts w:ascii="Arial" w:cs="Arial" w:eastAsia="Arial" w:hAnsi="Arial"/>
          <w:sz w:val="18"/>
          <w:szCs w:val="18"/>
          <w:color w:val="auto"/>
        </w:rPr>
        <w:t>print and digital performance obligations. Revenue from sales agreements that contain multiple performance obligations are allocated to each obligation based on the relative standalone selling price. We determine standalone selling prices based on observable prices charged to customers.</w:t>
      </w:r>
    </w:p>
    <w:p>
      <w:pPr>
        <w:spacing w:after="0" w:line="139"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i w:val="1"/>
          <w:iCs w:val="1"/>
          <w:color w:val="auto"/>
        </w:rPr>
        <w:t xml:space="preserve">Contract Assets and Liabilities: </w:t>
      </w:r>
      <w:r>
        <w:rPr>
          <w:rFonts w:ascii="Arial" w:cs="Arial" w:eastAsia="Arial" w:hAnsi="Arial"/>
          <w:sz w:val="18"/>
          <w:szCs w:val="18"/>
          <w:color w:val="auto"/>
        </w:rPr>
        <w:t>The Company’s primary source of contract liabilities is unearned revenue from subscriptions paid in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of the service provided. The Company expects to recognize the revenue related to unsatisfied performance obligations over the next twelve months in accordance with the terms of the subscriptions and other contracts with customers. Revenue recognized in the nine months ended June 25, 2023, that was included in the contract liability as of September 25, 2022, was $45.5 million.</w:t>
      </w:r>
    </w:p>
    <w:p>
      <w:pPr>
        <w:spacing w:after="0" w:line="14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Accounts receivable, excluding allowance for credit losses were $74.2 million and $74.8 million as of June 25, 2023, and September 25, 2022</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 Allowance for credit losses was $5.0 million and $5.2 million as of June 25, 2023, and September 25, 2022</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w:t>
      </w:r>
    </w:p>
    <w:p>
      <w:pPr>
        <w:spacing w:after="0" w:line="15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Sales commissions are expensed as incurred as the associated contractual periods are one year or less. These costs are recorded within compensation. Most of our contracts have original expected lengths of one year or less and revenue is earned at a rate and amount that corresponds directly with the value to the customer.</w:t>
      </w:r>
    </w:p>
    <w:p>
      <w:pPr>
        <w:spacing w:after="0" w:line="133" w:lineRule="exact"/>
        <w:rPr>
          <w:sz w:val="20"/>
          <w:szCs w:val="20"/>
          <w:color w:val="auto"/>
        </w:rPr>
      </w:pPr>
    </w:p>
    <w:p>
      <w:pPr>
        <w:ind w:left="660" w:right="7080" w:hanging="652"/>
        <w:spacing w:after="0" w:line="467" w:lineRule="auto"/>
        <w:tabs>
          <w:tab w:leader="none" w:pos="31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 TNI Partners</w:t>
      </w:r>
    </w:p>
    <w:p>
      <w:pPr>
        <w:spacing w:after="0" w:line="1"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 xml:space="preserve">In Tucson, Arizona, TNI, acting as agent for our subsidiary, Star Publishing Company (“Star Publishing”), and Gannets Co. Inc.'s subsidiary Citizen Publishing Company (“Citizen”), is responsible for printing, delivery, advertising, and subscription activities of the </w:t>
      </w:r>
      <w:r>
        <w:rPr>
          <w:rFonts w:ascii="Arial" w:cs="Arial" w:eastAsia="Arial" w:hAnsi="Arial"/>
          <w:sz w:val="18"/>
          <w:szCs w:val="18"/>
          <w:i w:val="1"/>
          <w:iCs w:val="1"/>
          <w:color w:val="auto"/>
        </w:rPr>
        <w:t xml:space="preserve">Arizona Daily Star </w:t>
      </w:r>
      <w:r>
        <w:rPr>
          <w:rFonts w:ascii="Arial" w:cs="Arial" w:eastAsia="Arial" w:hAnsi="Arial"/>
          <w:sz w:val="18"/>
          <w:szCs w:val="18"/>
          <w:color w:val="auto"/>
        </w:rPr>
        <w:t>as well as the related digital platforms and specialty publications. TNI collects all receipts and income and pays</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operating expenses incident to the partnership's operations and publication of the newspaper and other media.</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or loss of TNI (before income taxes) is allocated equally to Star Publishing and Citizen.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TNI are as follows:</w:t>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3180" w:type="dxa"/>
            <w:vAlign w:val="bottom"/>
            <w:tcBorders>
              <w:top w:val="single" w:sz="8" w:color="auto"/>
              <w:bottom w:val="single" w:sz="8" w:color="auto"/>
            </w:tcBorders>
          </w:tcPr>
          <w:p>
            <w:pPr>
              <w:spacing w:after="0"/>
              <w:rPr>
                <w:sz w:val="21"/>
                <w:szCs w:val="21"/>
                <w:color w:val="auto"/>
              </w:rPr>
            </w:pPr>
          </w:p>
        </w:tc>
        <w:tc>
          <w:tcPr>
            <w:tcW w:w="3940" w:type="dxa"/>
            <w:vAlign w:val="bottom"/>
            <w:tcBorders>
              <w:top w:val="single" w:sz="8" w:color="auto"/>
              <w:bottom w:val="single" w:sz="8" w:color="auto"/>
            </w:tcBorders>
            <w:gridSpan w:val="2"/>
          </w:tcPr>
          <w:p>
            <w:pPr>
              <w:jc w:val="right"/>
              <w:ind w:right="970"/>
              <w:spacing w:after="0"/>
              <w:rPr>
                <w:sz w:val="20"/>
                <w:szCs w:val="20"/>
                <w:color w:val="auto"/>
              </w:rPr>
            </w:pPr>
            <w:r>
              <w:rPr>
                <w:rFonts w:ascii="Arial" w:cs="Arial" w:eastAsia="Arial" w:hAnsi="Arial"/>
                <w:sz w:val="18"/>
                <w:szCs w:val="18"/>
                <w:color w:val="auto"/>
              </w:rPr>
              <w:t>Three months ended</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Nine months ended</w:t>
            </w:r>
          </w:p>
        </w:tc>
        <w:tc>
          <w:tcPr>
            <w:tcW w:w="7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1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2440" w:type="dxa"/>
            <w:vAlign w:val="bottom"/>
          </w:tcPr>
          <w:p>
            <w:pPr>
              <w:jc w:val="right"/>
              <w:ind w:right="330"/>
              <w:spacing w:after="0" w:line="170" w:lineRule="exact"/>
              <w:rPr>
                <w:sz w:val="20"/>
                <w:szCs w:val="20"/>
                <w:color w:val="auto"/>
              </w:rPr>
            </w:pPr>
            <w:r>
              <w:rPr>
                <w:rFonts w:ascii="Arial" w:cs="Arial" w:eastAsia="Arial" w:hAnsi="Arial"/>
                <w:sz w:val="18"/>
                <w:szCs w:val="18"/>
                <w:color w:val="auto"/>
              </w:rPr>
              <w:t>June 25,</w:t>
            </w:r>
          </w:p>
        </w:tc>
        <w:tc>
          <w:tcPr>
            <w:tcW w:w="1500" w:type="dxa"/>
            <w:vAlign w:val="bottom"/>
          </w:tcPr>
          <w:p>
            <w:pPr>
              <w:jc w:val="right"/>
              <w:ind w:right="290"/>
              <w:spacing w:after="0" w:line="170" w:lineRule="exact"/>
              <w:rPr>
                <w:sz w:val="20"/>
                <w:szCs w:val="20"/>
                <w:color w:val="auto"/>
              </w:rPr>
            </w:pPr>
            <w:r>
              <w:rPr>
                <w:rFonts w:ascii="Arial" w:cs="Arial" w:eastAsia="Arial" w:hAnsi="Arial"/>
                <w:sz w:val="18"/>
                <w:szCs w:val="18"/>
                <w:color w:val="auto"/>
              </w:rPr>
              <w:t>June 26,</w:t>
            </w:r>
          </w:p>
        </w:tc>
        <w:tc>
          <w:tcPr>
            <w:tcW w:w="1960" w:type="dxa"/>
            <w:vAlign w:val="bottom"/>
          </w:tcPr>
          <w:p>
            <w:pPr>
              <w:jc w:val="right"/>
              <w:ind w:right="730"/>
              <w:spacing w:after="0" w:line="170" w:lineRule="exact"/>
              <w:rPr>
                <w:sz w:val="20"/>
                <w:szCs w:val="20"/>
                <w:color w:val="auto"/>
              </w:rPr>
            </w:pPr>
            <w:r>
              <w:rPr>
                <w:rFonts w:ascii="Arial" w:cs="Arial" w:eastAsia="Arial" w:hAnsi="Arial"/>
                <w:sz w:val="18"/>
                <w:szCs w:val="18"/>
                <w:color w:val="auto"/>
              </w:rPr>
              <w:t>June 25,</w:t>
            </w:r>
          </w:p>
        </w:tc>
        <w:tc>
          <w:tcPr>
            <w:tcW w:w="740" w:type="dxa"/>
            <w:vAlign w:val="bottom"/>
          </w:tcPr>
          <w:p>
            <w:pPr>
              <w:jc w:val="right"/>
              <w:spacing w:after="0" w:line="170" w:lineRule="exact"/>
              <w:rPr>
                <w:sz w:val="20"/>
                <w:szCs w:val="20"/>
                <w:color w:val="auto"/>
              </w:rPr>
            </w:pPr>
            <w:r>
              <w:rPr>
                <w:rFonts w:ascii="Arial" w:cs="Arial" w:eastAsia="Arial" w:hAnsi="Arial"/>
                <w:sz w:val="18"/>
                <w:szCs w:val="18"/>
                <w:color w:val="auto"/>
              </w:rPr>
              <w:t>June 26,</w:t>
            </w:r>
          </w:p>
        </w:tc>
        <w:tc>
          <w:tcPr>
            <w:tcW w:w="0" w:type="dxa"/>
            <w:vAlign w:val="bottom"/>
          </w:tcPr>
          <w:p>
            <w:pPr>
              <w:spacing w:after="0"/>
              <w:rPr>
                <w:sz w:val="1"/>
                <w:szCs w:val="1"/>
                <w:color w:val="auto"/>
              </w:rPr>
            </w:pPr>
          </w:p>
        </w:tc>
      </w:tr>
      <w:tr>
        <w:trPr>
          <w:trHeight w:val="236"/>
        </w:trPr>
        <w:tc>
          <w:tcPr>
            <w:tcW w:w="3180" w:type="dxa"/>
            <w:vAlign w:val="bottom"/>
            <w:tcBorders>
              <w:bottom w:val="single" w:sz="8" w:color="auto"/>
            </w:tcBorders>
            <w:vMerge w:val="continue"/>
          </w:tcPr>
          <w:p>
            <w:pPr>
              <w:spacing w:after="0"/>
              <w:rPr>
                <w:sz w:val="20"/>
                <w:szCs w:val="20"/>
                <w:color w:val="auto"/>
              </w:rPr>
            </w:pPr>
          </w:p>
        </w:tc>
        <w:tc>
          <w:tcPr>
            <w:tcW w:w="2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9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57"/>
        </w:trPr>
        <w:tc>
          <w:tcPr>
            <w:tcW w:w="31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4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7,244</w:t>
            </w:r>
          </w:p>
        </w:tc>
        <w:tc>
          <w:tcPr>
            <w:tcW w:w="15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8,229</w:t>
            </w:r>
          </w:p>
        </w:tc>
        <w:tc>
          <w:tcPr>
            <w:tcW w:w="19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23,954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25,805</w:t>
            </w:r>
          </w:p>
        </w:tc>
        <w:tc>
          <w:tcPr>
            <w:tcW w:w="0" w:type="dxa"/>
            <w:vAlign w:val="bottom"/>
          </w:tcPr>
          <w:p>
            <w:pPr>
              <w:spacing w:after="0"/>
              <w:rPr>
                <w:sz w:val="1"/>
                <w:szCs w:val="1"/>
                <w:color w:val="auto"/>
              </w:rPr>
            </w:pPr>
          </w:p>
        </w:tc>
      </w:tr>
      <w:tr>
        <w:trPr>
          <w:trHeight w:val="236"/>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expenses</w:t>
            </w:r>
          </w:p>
        </w:tc>
        <w:tc>
          <w:tcPr>
            <w:tcW w:w="24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5,677</w:t>
            </w: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6,492</w:t>
            </w:r>
          </w:p>
        </w:tc>
        <w:tc>
          <w:tcPr>
            <w:tcW w:w="19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19,041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19,365</w:t>
            </w:r>
          </w:p>
        </w:tc>
        <w:tc>
          <w:tcPr>
            <w:tcW w:w="0" w:type="dxa"/>
            <w:vAlign w:val="bottom"/>
          </w:tcPr>
          <w:p>
            <w:pPr>
              <w:spacing w:after="0"/>
              <w:rPr>
                <w:sz w:val="1"/>
                <w:szCs w:val="1"/>
                <w:color w:val="auto"/>
              </w:rPr>
            </w:pPr>
          </w:p>
        </w:tc>
      </w:tr>
      <w:tr>
        <w:trPr>
          <w:trHeight w:val="25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1,567</w:t>
            </w:r>
          </w:p>
        </w:tc>
        <w:tc>
          <w:tcPr>
            <w:tcW w:w="15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1,737</w:t>
            </w:r>
          </w:p>
        </w:tc>
        <w:tc>
          <w:tcPr>
            <w:tcW w:w="196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4,913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6,440</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Net Income</w:t>
            </w:r>
          </w:p>
        </w:tc>
        <w:tc>
          <w:tcPr>
            <w:tcW w:w="244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1,581</w:t>
            </w:r>
          </w:p>
        </w:tc>
        <w:tc>
          <w:tcPr>
            <w:tcW w:w="150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1,737</w:t>
            </w:r>
          </w:p>
        </w:tc>
        <w:tc>
          <w:tcPr>
            <w:tcW w:w="1960" w:type="dxa"/>
            <w:vAlign w:val="bottom"/>
            <w:tcBorders>
              <w:bottom w:val="single" w:sz="8" w:color="auto"/>
            </w:tcBorders>
          </w:tcPr>
          <w:p>
            <w:pPr>
              <w:jc w:val="right"/>
              <w:ind w:right="790"/>
              <w:spacing w:after="0" w:line="203" w:lineRule="exact"/>
              <w:rPr>
                <w:sz w:val="20"/>
                <w:szCs w:val="20"/>
                <w:color w:val="auto"/>
              </w:rPr>
            </w:pPr>
            <w:r>
              <w:rPr>
                <w:rFonts w:ascii="Arial" w:cs="Arial" w:eastAsia="Arial" w:hAnsi="Arial"/>
                <w:sz w:val="18"/>
                <w:szCs w:val="18"/>
                <w:color w:val="auto"/>
              </w:rPr>
              <w:t>5,247</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6,440</w:t>
            </w:r>
          </w:p>
        </w:tc>
        <w:tc>
          <w:tcPr>
            <w:tcW w:w="0" w:type="dxa"/>
            <w:vAlign w:val="bottom"/>
          </w:tcPr>
          <w:p>
            <w:pPr>
              <w:spacing w:after="0"/>
              <w:rPr>
                <w:sz w:val="1"/>
                <w:szCs w:val="1"/>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TNI</w:t>
            </w:r>
          </w:p>
        </w:tc>
        <w:tc>
          <w:tcPr>
            <w:tcW w:w="24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791</w:t>
            </w:r>
          </w:p>
        </w:tc>
        <w:tc>
          <w:tcPr>
            <w:tcW w:w="15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869</w:t>
            </w:r>
          </w:p>
        </w:tc>
        <w:tc>
          <w:tcPr>
            <w:tcW w:w="196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2,624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TNI makes periodic distributions of its earnings and for the three months ended June 25, 2023, and June 26, 2022, we received $0.4 million and $0.7 million in distributions, respectively. In the nine months ended June 25, 2023 and June 26, 2022, we received $2.8 million and $2.9 million in distributions,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b w:val="1"/>
          <w:bCs w:val="1"/>
          <w:color w:val="auto"/>
        </w:rPr>
        <w:t>Madison Newspapers, Inc.</w:t>
      </w:r>
    </w:p>
    <w:p>
      <w:pPr>
        <w:spacing w:after="0" w:line="208"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operates related digital platforms. Net income or loss of MNI (after income taxes) is allocated equally to us and The Capital Times Company (“TCT”). MNI conducts its business under the trade name Capital Newspapers.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MNI are as follows: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3940" w:type="dxa"/>
            <w:vAlign w:val="bottom"/>
            <w:tcBorders>
              <w:top w:val="single" w:sz="8" w:color="auto"/>
              <w:bottom w:val="single" w:sz="8" w:color="auto"/>
            </w:tcBorders>
          </w:tcPr>
          <w:p>
            <w:pPr>
              <w:spacing w:after="0"/>
              <w:rPr>
                <w:sz w:val="21"/>
                <w:szCs w:val="21"/>
                <w:color w:val="auto"/>
              </w:rPr>
            </w:pPr>
          </w:p>
        </w:tc>
        <w:tc>
          <w:tcPr>
            <w:tcW w:w="3080" w:type="dxa"/>
            <w:vAlign w:val="bottom"/>
            <w:tcBorders>
              <w:top w:val="single" w:sz="8" w:color="auto"/>
              <w:bottom w:val="single" w:sz="8" w:color="auto"/>
            </w:tcBorders>
            <w:gridSpan w:val="2"/>
          </w:tcPr>
          <w:p>
            <w:pPr>
              <w:jc w:val="right"/>
              <w:ind w:right="930"/>
              <w:spacing w:after="0"/>
              <w:rPr>
                <w:sz w:val="20"/>
                <w:szCs w:val="20"/>
                <w:color w:val="auto"/>
              </w:rPr>
            </w:pPr>
            <w:r>
              <w:rPr>
                <w:rFonts w:ascii="Arial" w:cs="Arial" w:eastAsia="Arial" w:hAnsi="Arial"/>
                <w:sz w:val="18"/>
                <w:szCs w:val="18"/>
                <w:color w:val="auto"/>
              </w:rPr>
              <w:t>Three months ended</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Nine months ended</w:t>
            </w:r>
          </w:p>
        </w:tc>
        <w:tc>
          <w:tcPr>
            <w:tcW w:w="7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9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620" w:type="dxa"/>
            <w:vAlign w:val="bottom"/>
          </w:tcPr>
          <w:p>
            <w:pPr>
              <w:jc w:val="right"/>
              <w:ind w:right="330"/>
              <w:spacing w:after="0" w:line="176" w:lineRule="exact"/>
              <w:rPr>
                <w:sz w:val="20"/>
                <w:szCs w:val="20"/>
                <w:color w:val="auto"/>
              </w:rPr>
            </w:pPr>
            <w:r>
              <w:rPr>
                <w:rFonts w:ascii="Arial" w:cs="Arial" w:eastAsia="Arial" w:hAnsi="Arial"/>
                <w:sz w:val="18"/>
                <w:szCs w:val="18"/>
                <w:color w:val="auto"/>
              </w:rPr>
              <w:t>June 25,</w:t>
            </w:r>
          </w:p>
        </w:tc>
        <w:tc>
          <w:tcPr>
            <w:tcW w:w="146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June 26,</w:t>
            </w:r>
          </w:p>
        </w:tc>
        <w:tc>
          <w:tcPr>
            <w:tcW w:w="1960" w:type="dxa"/>
            <w:vAlign w:val="bottom"/>
          </w:tcPr>
          <w:p>
            <w:pPr>
              <w:jc w:val="right"/>
              <w:ind w:right="730"/>
              <w:spacing w:after="0" w:line="176" w:lineRule="exact"/>
              <w:rPr>
                <w:sz w:val="20"/>
                <w:szCs w:val="20"/>
                <w:color w:val="auto"/>
              </w:rPr>
            </w:pPr>
            <w:r>
              <w:rPr>
                <w:rFonts w:ascii="Arial" w:cs="Arial" w:eastAsia="Arial" w:hAnsi="Arial"/>
                <w:sz w:val="18"/>
                <w:szCs w:val="18"/>
                <w:color w:val="auto"/>
              </w:rPr>
              <w:t>June 25,</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w w:val="98"/>
              </w:rPr>
              <w:t>June 26,</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vMerge w:val="continue"/>
          </w:tcPr>
          <w:p>
            <w:pPr>
              <w:spacing w:after="0"/>
              <w:rPr>
                <w:sz w:val="19"/>
                <w:szCs w:val="19"/>
                <w:color w:val="auto"/>
              </w:rPr>
            </w:pPr>
          </w:p>
        </w:tc>
        <w:tc>
          <w:tcPr>
            <w:tcW w:w="16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9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64"/>
        </w:trPr>
        <w:tc>
          <w:tcPr>
            <w:tcW w:w="39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10,963</w:t>
            </w:r>
          </w:p>
        </w:tc>
        <w:tc>
          <w:tcPr>
            <w:tcW w:w="14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11,921</w:t>
            </w:r>
          </w:p>
        </w:tc>
        <w:tc>
          <w:tcPr>
            <w:tcW w:w="19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33,470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35,677</w:t>
            </w:r>
          </w:p>
        </w:tc>
        <w:tc>
          <w:tcPr>
            <w:tcW w:w="0" w:type="dxa"/>
            <w:vAlign w:val="bottom"/>
          </w:tcPr>
          <w:p>
            <w:pPr>
              <w:spacing w:after="0"/>
              <w:rPr>
                <w:sz w:val="1"/>
                <w:szCs w:val="1"/>
                <w:color w:val="auto"/>
              </w:rPr>
            </w:pPr>
          </w:p>
        </w:tc>
      </w:tr>
      <w:tr>
        <w:trPr>
          <w:trHeight w:val="176"/>
        </w:trPr>
        <w:tc>
          <w:tcPr>
            <w:tcW w:w="3940" w:type="dxa"/>
            <w:vAlign w:val="bottom"/>
          </w:tcPr>
          <w:p>
            <w:pPr>
              <w:ind w:left="20"/>
              <w:spacing w:after="0" w:line="176" w:lineRule="exact"/>
              <w:rPr>
                <w:sz w:val="20"/>
                <w:szCs w:val="20"/>
                <w:color w:val="auto"/>
              </w:rPr>
            </w:pPr>
            <w:r>
              <w:rPr>
                <w:rFonts w:ascii="Arial" w:cs="Arial" w:eastAsia="Arial" w:hAnsi="Arial"/>
                <w:sz w:val="18"/>
                <w:szCs w:val="18"/>
                <w:color w:val="auto"/>
              </w:rPr>
              <w:t>Operating expenses, excluding restructuring</w:t>
            </w:r>
          </w:p>
        </w:tc>
        <w:tc>
          <w:tcPr>
            <w:tcW w:w="1620" w:type="dxa"/>
            <w:vAlign w:val="bottom"/>
            <w:vMerge w:val="restart"/>
          </w:tcPr>
          <w:p>
            <w:pPr>
              <w:jc w:val="right"/>
              <w:ind w:right="390"/>
              <w:spacing w:after="0"/>
              <w:rPr>
                <w:sz w:val="20"/>
                <w:szCs w:val="20"/>
                <w:color w:val="auto"/>
              </w:rPr>
            </w:pPr>
            <w:r>
              <w:rPr>
                <w:rFonts w:ascii="Arial" w:cs="Arial" w:eastAsia="Arial" w:hAnsi="Arial"/>
                <w:sz w:val="18"/>
                <w:szCs w:val="18"/>
                <w:color w:val="auto"/>
              </w:rPr>
              <w:t>8,470</w:t>
            </w:r>
          </w:p>
        </w:tc>
        <w:tc>
          <w:tcPr>
            <w:tcW w:w="1460" w:type="dxa"/>
            <w:vAlign w:val="bottom"/>
            <w:vMerge w:val="restart"/>
          </w:tcPr>
          <w:p>
            <w:pPr>
              <w:jc w:val="right"/>
              <w:ind w:right="330"/>
              <w:spacing w:after="0"/>
              <w:rPr>
                <w:sz w:val="20"/>
                <w:szCs w:val="20"/>
                <w:color w:val="auto"/>
              </w:rPr>
            </w:pPr>
            <w:r>
              <w:rPr>
                <w:rFonts w:ascii="Arial" w:cs="Arial" w:eastAsia="Arial" w:hAnsi="Arial"/>
                <w:sz w:val="18"/>
                <w:szCs w:val="18"/>
                <w:color w:val="auto"/>
              </w:rPr>
              <w:t>9,682</w:t>
            </w:r>
          </w:p>
        </w:tc>
        <w:tc>
          <w:tcPr>
            <w:tcW w:w="1960" w:type="dxa"/>
            <w:vAlign w:val="bottom"/>
            <w:vMerge w:val="restart"/>
          </w:tcPr>
          <w:p>
            <w:pPr>
              <w:jc w:val="right"/>
              <w:ind w:right="790"/>
              <w:spacing w:after="0"/>
              <w:rPr>
                <w:sz w:val="20"/>
                <w:szCs w:val="20"/>
                <w:color w:val="auto"/>
              </w:rPr>
            </w:pPr>
            <w:r>
              <w:rPr>
                <w:rFonts w:ascii="Arial" w:cs="Arial" w:eastAsia="Arial" w:hAnsi="Arial"/>
                <w:sz w:val="18"/>
                <w:szCs w:val="18"/>
                <w:color w:val="auto"/>
              </w:rPr>
              <w:t>26,496</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28,402</w:t>
            </w:r>
          </w:p>
        </w:tc>
        <w:tc>
          <w:tcPr>
            <w:tcW w:w="0" w:type="dxa"/>
            <w:vAlign w:val="bottom"/>
          </w:tcPr>
          <w:p>
            <w:pPr>
              <w:spacing w:after="0"/>
              <w:rPr>
                <w:sz w:val="1"/>
                <w:szCs w:val="1"/>
                <w:color w:val="auto"/>
              </w:rPr>
            </w:pPr>
          </w:p>
        </w:tc>
      </w:tr>
      <w:tr>
        <w:trPr>
          <w:trHeight w:val="242"/>
        </w:trPr>
        <w:tc>
          <w:tcPr>
            <w:tcW w:w="3940" w:type="dxa"/>
            <w:vAlign w:val="bottom"/>
          </w:tcPr>
          <w:p>
            <w:pPr>
              <w:ind w:left="20"/>
              <w:spacing w:after="0" w:line="242" w:lineRule="exact"/>
              <w:rPr>
                <w:sz w:val="20"/>
                <w:szCs w:val="20"/>
                <w:color w:val="auto"/>
              </w:rPr>
            </w:pPr>
            <w:r>
              <w:rPr>
                <w:rFonts w:ascii="Arial" w:cs="Arial" w:eastAsia="Arial" w:hAnsi="Arial"/>
                <w:sz w:val="18"/>
                <w:szCs w:val="18"/>
                <w:color w:val="auto"/>
              </w:rPr>
              <w:t>costs, depreciation and amortization</w:t>
            </w:r>
            <w:r>
              <w:rPr>
                <w:rFonts w:ascii="Arial" w:cs="Arial" w:eastAsia="Arial" w:hAnsi="Arial"/>
                <w:sz w:val="23"/>
                <w:szCs w:val="23"/>
                <w:color w:val="auto"/>
                <w:vertAlign w:val="superscript"/>
              </w:rPr>
              <w:t>(1)</w:t>
            </w:r>
          </w:p>
        </w:tc>
        <w:tc>
          <w:tcPr>
            <w:tcW w:w="162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196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w:t>
            </w:r>
          </w:p>
        </w:tc>
        <w:tc>
          <w:tcPr>
            <w:tcW w:w="14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122</w:t>
            </w:r>
          </w:p>
        </w:tc>
        <w:tc>
          <w:tcPr>
            <w:tcW w:w="19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137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6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129</w:t>
            </w:r>
          </w:p>
        </w:tc>
        <w:tc>
          <w:tcPr>
            <w:tcW w:w="1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167</w:t>
            </w:r>
          </w:p>
        </w:tc>
        <w:tc>
          <w:tcPr>
            <w:tcW w:w="19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402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55"/>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2,354</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1,950</w:t>
            </w:r>
          </w:p>
        </w:tc>
        <w:tc>
          <w:tcPr>
            <w:tcW w:w="196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6,435</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16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807</w:t>
            </w:r>
          </w:p>
        </w:tc>
        <w:tc>
          <w:tcPr>
            <w:tcW w:w="1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362</w:t>
            </w:r>
          </w:p>
        </w:tc>
        <w:tc>
          <w:tcPr>
            <w:tcW w:w="19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1,821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MNI</w:t>
            </w:r>
          </w:p>
        </w:tc>
        <w:tc>
          <w:tcPr>
            <w:tcW w:w="16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404</w:t>
            </w:r>
          </w:p>
        </w:tc>
        <w:tc>
          <w:tcPr>
            <w:tcW w:w="14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181</w:t>
            </w:r>
          </w:p>
        </w:tc>
        <w:tc>
          <w:tcPr>
            <w:tcW w:w="196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911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660"/>
        <w:spacing w:after="0"/>
        <w:rPr>
          <w:sz w:val="20"/>
          <w:szCs w:val="20"/>
          <w:color w:val="auto"/>
        </w:rPr>
      </w:pPr>
      <w:r>
        <w:rPr>
          <w:rFonts w:ascii="Arial" w:cs="Arial" w:eastAsia="Arial" w:hAnsi="Arial"/>
          <w:sz w:val="12"/>
          <w:szCs w:val="12"/>
          <w:color w:val="auto"/>
        </w:rPr>
        <w:t>(1) Amounts were reclassed to align with current year presentation</w:t>
      </w:r>
    </w:p>
    <w:p>
      <w:pPr>
        <w:spacing w:after="0" w:line="233"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MNI makes periodic distributions of its earnings and in the three months ended June 25, 2023 and June 26, 2022, we received $0.2 million in distributions for both periods. In the nine months ended June 25, 2023 and June 26, 2022 we received distributions of $0.5 million and $1.0 million, respectively.</w:t>
      </w:r>
    </w:p>
    <w:p>
      <w:pPr>
        <w:spacing w:after="0" w:line="133"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GOODWILL AND OTHER INTANGIBLE ASSETS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and identified intangible assets consist of the following:</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4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2960" w:type="dxa"/>
            <w:vAlign w:val="bottom"/>
            <w:tcBorders>
              <w:top w:val="single" w:sz="8" w:color="auto"/>
            </w:tcBorders>
          </w:tcPr>
          <w:p>
            <w:pPr>
              <w:jc w:val="right"/>
              <w:ind w:right="130"/>
              <w:spacing w:after="0" w:line="189" w:lineRule="exact"/>
              <w:rPr>
                <w:sz w:val="20"/>
                <w:szCs w:val="20"/>
                <w:color w:val="auto"/>
              </w:rPr>
            </w:pPr>
            <w:r>
              <w:rPr>
                <w:rFonts w:ascii="Arial" w:cs="Arial" w:eastAsia="Arial" w:hAnsi="Arial"/>
                <w:sz w:val="18"/>
                <w:szCs w:val="18"/>
                <w:color w:val="auto"/>
              </w:rPr>
              <w:t>June 25,</w:t>
            </w:r>
          </w:p>
        </w:tc>
        <w:tc>
          <w:tcPr>
            <w:tcW w:w="1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25,</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auto"/>
            </w:tcBorders>
            <w:vMerge w:val="continue"/>
          </w:tcPr>
          <w:p>
            <w:pPr>
              <w:spacing w:after="0"/>
              <w:rPr>
                <w:sz w:val="20"/>
                <w:szCs w:val="20"/>
                <w:color w:val="auto"/>
              </w:rPr>
            </w:pPr>
          </w:p>
        </w:tc>
        <w:tc>
          <w:tcPr>
            <w:tcW w:w="2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57"/>
        </w:trPr>
        <w:tc>
          <w:tcPr>
            <w:tcW w:w="54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beginning of period</w:t>
            </w:r>
          </w:p>
        </w:tc>
        <w:tc>
          <w:tcPr>
            <w:tcW w:w="2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329,504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330,204</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Impairment</w:t>
            </w:r>
          </w:p>
        </w:tc>
        <w:tc>
          <w:tcPr>
            <w:tcW w:w="2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end of period</w:t>
            </w:r>
          </w:p>
        </w:tc>
        <w:tc>
          <w:tcPr>
            <w:tcW w:w="2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329,504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329,504</w:t>
            </w:r>
          </w:p>
        </w:tc>
        <w:tc>
          <w:tcPr>
            <w:tcW w:w="0" w:type="dxa"/>
            <w:vAlign w:val="bottom"/>
          </w:tcPr>
          <w:p>
            <w:pPr>
              <w:spacing w:after="0"/>
              <w:rPr>
                <w:sz w:val="1"/>
                <w:szCs w:val="1"/>
                <w:color w:val="auto"/>
              </w:rPr>
            </w:pPr>
          </w:p>
        </w:tc>
      </w:tr>
      <w:tr>
        <w:trPr>
          <w:trHeight w:val="236"/>
        </w:trPr>
        <w:tc>
          <w:tcPr>
            <w:tcW w:w="5440" w:type="dxa"/>
            <w:vAlign w:val="bottom"/>
          </w:tcPr>
          <w:p>
            <w:pPr>
              <w:ind w:left="20"/>
              <w:spacing w:after="0"/>
              <w:rPr>
                <w:sz w:val="20"/>
                <w:szCs w:val="20"/>
                <w:color w:val="auto"/>
              </w:rPr>
            </w:pPr>
            <w:r>
              <w:rPr>
                <w:rFonts w:ascii="Arial" w:cs="Arial" w:eastAsia="Arial" w:hAnsi="Arial"/>
                <w:sz w:val="18"/>
                <w:szCs w:val="18"/>
                <w:color w:val="auto"/>
              </w:rPr>
              <w:t>Non-amortized intangible assets:</w:t>
            </w:r>
          </w:p>
        </w:tc>
        <w:tc>
          <w:tcPr>
            <w:tcW w:w="2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Mastheads</w:t>
            </w:r>
          </w:p>
        </w:tc>
        <w:tc>
          <w:tcPr>
            <w:tcW w:w="2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26,346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26,346</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2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and newspaper subscriber lists</w:t>
            </w:r>
          </w:p>
        </w:tc>
        <w:tc>
          <w:tcPr>
            <w:tcW w:w="2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321,804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323,568</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Less accumulated amortization</w:t>
            </w:r>
          </w:p>
        </w:tc>
        <w:tc>
          <w:tcPr>
            <w:tcW w:w="2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(241,039)</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(228,541)</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80,765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95,027</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intangibles, net</w:t>
            </w:r>
          </w:p>
        </w:tc>
        <w:tc>
          <w:tcPr>
            <w:tcW w:w="2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436,615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450,877</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amortization period for amortizable assets is 11.70 years.</w:t>
      </w:r>
    </w:p>
    <w:p>
      <w:pPr>
        <w:spacing w:after="0" w:line="175"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95" w:lineRule="exact"/>
        <w:rPr>
          <w:sz w:val="20"/>
          <w:szCs w:val="20"/>
          <w:color w:val="auto"/>
        </w:rPr>
      </w:pPr>
    </w:p>
    <w:p>
      <w:pPr>
        <w:ind w:left="660"/>
        <w:spacing w:after="0" w:line="275" w:lineRule="auto"/>
        <w:rPr>
          <w:sz w:val="20"/>
          <w:szCs w:val="20"/>
          <w:color w:val="auto"/>
        </w:rPr>
      </w:pPr>
      <w:r>
        <w:rPr>
          <w:rFonts w:ascii="Arial" w:cs="Arial" w:eastAsia="Arial" w:hAnsi="Arial"/>
          <w:sz w:val="18"/>
          <w:szCs w:val="18"/>
          <w:color w:val="auto"/>
        </w:rPr>
        <w:t>The Company has debt consisting of a single 25-year term loan with BH Finance LLC, with an aggregate principal balance of $460.0 million at a 9% annual fixed rate and maturing on March 16, 2045</w:t>
      </w:r>
    </w:p>
    <w:p>
      <w:pPr>
        <w:sectPr>
          <w:pgSz w:w="11900" w:h="16838" w:orient="portrait"/>
          <w:cols w:equalWidth="0" w:num="1">
            <w:col w:w="11240"/>
          </w:cols>
          <w:pgMar w:left="320" w:top="1102"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11" w:name="page12"/>
    <w:bookmarkEnd w:id="11"/>
    <w:p>
      <w:pPr>
        <w:jc w:val="both"/>
        <w:ind w:left="660"/>
        <w:spacing w:after="0" w:line="275" w:lineRule="auto"/>
        <w:rPr>
          <w:sz w:val="20"/>
          <w:szCs w:val="20"/>
          <w:color w:val="auto"/>
        </w:rPr>
      </w:pPr>
      <w:r>
        <w:rPr>
          <w:rFonts w:ascii="Arial" w:cs="Arial" w:eastAsia="Arial" w:hAnsi="Arial"/>
          <w:sz w:val="18"/>
          <w:szCs w:val="18"/>
          <w:color w:val="auto"/>
        </w:rPr>
        <w:t>(referred to herein as “Credit Agreement” and “Term Loan”). On June 25, 2023, the fair value is $462.4 million. This represents a level 2 fair value measurement.</w:t>
      </w:r>
    </w:p>
    <w:p>
      <w:pPr>
        <w:spacing w:after="0" w:line="147"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During the nine months ended June 25, 2023, we made principal debt payments of $2.6 million. Future payments are contingent on the Company's ability to generate future excess cash flow, as defined in the Credit Agreement. Subsequent to June 25, 2023, the Company will make a $2.0 million payment related to net proceeds received from the sale of non-core assets as required by our Credit Agreement.</w:t>
      </w:r>
    </w:p>
    <w:p>
      <w:pPr>
        <w:spacing w:after="0" w:line="139"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PENSION, POSTRETIREMENT AND POSTEMPLOYMENT DEFINED BENEFIT PLANS</w:t>
      </w:r>
    </w:p>
    <w:p>
      <w:pPr>
        <w:spacing w:after="0" w:line="195"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We have a defined benefit pension plan that covers certain employees, including plans established under collective bargaining agreements. Additionally, we provide retiree medical and life insurance benefits under postretirement plans at several of our operating locations. Through June 25, 2023, our liability and related expense for benefits under the plans are recorded over the service period of employees based upon annual actuarial calculations.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periodic pension and postretirement cost (benefit) components for our plans are as follows: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39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PENSION PLANS</w:t>
            </w:r>
          </w:p>
        </w:tc>
        <w:tc>
          <w:tcPr>
            <w:tcW w:w="3200" w:type="dxa"/>
            <w:vAlign w:val="bottom"/>
            <w:tcBorders>
              <w:top w:val="single" w:sz="8" w:color="auto"/>
              <w:bottom w:val="single" w:sz="8" w:color="auto"/>
            </w:tcBorders>
            <w:gridSpan w:val="2"/>
          </w:tcPr>
          <w:p>
            <w:pPr>
              <w:jc w:val="right"/>
              <w:ind w:right="970"/>
              <w:spacing w:after="0"/>
              <w:rPr>
                <w:sz w:val="20"/>
                <w:szCs w:val="20"/>
                <w:color w:val="auto"/>
              </w:rPr>
            </w:pPr>
            <w:r>
              <w:rPr>
                <w:rFonts w:ascii="Arial" w:cs="Arial" w:eastAsia="Arial" w:hAnsi="Arial"/>
                <w:sz w:val="18"/>
                <w:szCs w:val="18"/>
                <w:color w:val="auto"/>
              </w:rPr>
              <w:t>Three months ended</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Nine months ended</w:t>
            </w:r>
          </w:p>
        </w:tc>
        <w:tc>
          <w:tcPr>
            <w:tcW w:w="7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9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700" w:type="dxa"/>
            <w:vAlign w:val="bottom"/>
          </w:tcPr>
          <w:p>
            <w:pPr>
              <w:jc w:val="right"/>
              <w:ind w:right="330"/>
              <w:spacing w:after="0" w:line="183" w:lineRule="exact"/>
              <w:rPr>
                <w:sz w:val="20"/>
                <w:szCs w:val="20"/>
                <w:color w:val="auto"/>
              </w:rPr>
            </w:pPr>
            <w:r>
              <w:rPr>
                <w:rFonts w:ascii="Arial" w:cs="Arial" w:eastAsia="Arial" w:hAnsi="Arial"/>
                <w:sz w:val="18"/>
                <w:szCs w:val="18"/>
                <w:color w:val="auto"/>
              </w:rPr>
              <w:t>June 25,</w:t>
            </w:r>
          </w:p>
        </w:tc>
        <w:tc>
          <w:tcPr>
            <w:tcW w:w="1500" w:type="dxa"/>
            <w:vAlign w:val="bottom"/>
          </w:tcPr>
          <w:p>
            <w:pPr>
              <w:jc w:val="right"/>
              <w:ind w:right="290"/>
              <w:spacing w:after="0" w:line="183" w:lineRule="exact"/>
              <w:rPr>
                <w:sz w:val="20"/>
                <w:szCs w:val="20"/>
                <w:color w:val="auto"/>
              </w:rPr>
            </w:pPr>
            <w:r>
              <w:rPr>
                <w:rFonts w:ascii="Arial" w:cs="Arial" w:eastAsia="Arial" w:hAnsi="Arial"/>
                <w:sz w:val="18"/>
                <w:szCs w:val="18"/>
                <w:color w:val="auto"/>
              </w:rPr>
              <w:t>June 26,</w:t>
            </w:r>
          </w:p>
        </w:tc>
        <w:tc>
          <w:tcPr>
            <w:tcW w:w="1960" w:type="dxa"/>
            <w:vAlign w:val="bottom"/>
          </w:tcPr>
          <w:p>
            <w:pPr>
              <w:jc w:val="right"/>
              <w:ind w:right="730"/>
              <w:spacing w:after="0" w:line="183" w:lineRule="exact"/>
              <w:rPr>
                <w:sz w:val="20"/>
                <w:szCs w:val="20"/>
                <w:color w:val="auto"/>
              </w:rPr>
            </w:pPr>
            <w:r>
              <w:rPr>
                <w:rFonts w:ascii="Arial" w:cs="Arial" w:eastAsia="Arial" w:hAnsi="Arial"/>
                <w:sz w:val="18"/>
                <w:szCs w:val="18"/>
                <w:color w:val="auto"/>
              </w:rPr>
              <w:t>June 25,</w:t>
            </w:r>
          </w:p>
        </w:tc>
        <w:tc>
          <w:tcPr>
            <w:tcW w:w="740" w:type="dxa"/>
            <w:vAlign w:val="bottom"/>
          </w:tcPr>
          <w:p>
            <w:pPr>
              <w:jc w:val="right"/>
              <w:spacing w:after="0" w:line="183" w:lineRule="exact"/>
              <w:rPr>
                <w:sz w:val="20"/>
                <w:szCs w:val="20"/>
                <w:color w:val="auto"/>
              </w:rPr>
            </w:pPr>
            <w:r>
              <w:rPr>
                <w:rFonts w:ascii="Arial" w:cs="Arial" w:eastAsia="Arial" w:hAnsi="Arial"/>
                <w:sz w:val="18"/>
                <w:szCs w:val="18"/>
                <w:color w:val="auto"/>
              </w:rPr>
              <w:t>June 26,</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9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3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Service cost for benefits earned during the</w:t>
            </w:r>
          </w:p>
        </w:tc>
        <w:tc>
          <w:tcPr>
            <w:tcW w:w="17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1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w:t>
            </w:r>
          </w:p>
        </w:tc>
        <w:tc>
          <w:tcPr>
            <w:tcW w:w="15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287</w:t>
            </w:r>
          </w:p>
        </w:tc>
        <w:tc>
          <w:tcPr>
            <w:tcW w:w="19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15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1700" w:type="dxa"/>
            <w:vAlign w:val="bottom"/>
          </w:tcPr>
          <w:p>
            <w:pPr>
              <w:jc w:val="right"/>
              <w:ind w:right="390"/>
              <w:spacing w:after="0"/>
              <w:rPr>
                <w:sz w:val="20"/>
                <w:szCs w:val="20"/>
                <w:color w:val="auto"/>
              </w:rPr>
            </w:pPr>
            <w:r>
              <w:rPr>
                <w:rFonts w:ascii="Arial" w:cs="Arial" w:eastAsia="Arial" w:hAnsi="Arial"/>
                <w:sz w:val="18"/>
                <w:szCs w:val="18"/>
                <w:color w:val="auto"/>
              </w:rPr>
              <w:t>2,592</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2,001</w:t>
            </w:r>
          </w:p>
        </w:tc>
        <w:tc>
          <w:tcPr>
            <w:tcW w:w="1960" w:type="dxa"/>
            <w:vAlign w:val="bottom"/>
          </w:tcPr>
          <w:p>
            <w:pPr>
              <w:jc w:val="right"/>
              <w:ind w:right="790"/>
              <w:spacing w:after="0"/>
              <w:rPr>
                <w:sz w:val="20"/>
                <w:szCs w:val="20"/>
                <w:color w:val="auto"/>
              </w:rPr>
            </w:pPr>
            <w:r>
              <w:rPr>
                <w:rFonts w:ascii="Arial" w:cs="Arial" w:eastAsia="Arial" w:hAnsi="Arial"/>
                <w:sz w:val="18"/>
                <w:szCs w:val="18"/>
                <w:color w:val="auto"/>
              </w:rPr>
              <w:t>7,776</w:t>
            </w:r>
          </w:p>
        </w:tc>
        <w:tc>
          <w:tcPr>
            <w:tcW w:w="740" w:type="dxa"/>
            <w:vAlign w:val="bottom"/>
          </w:tcPr>
          <w:p>
            <w:pPr>
              <w:jc w:val="right"/>
              <w:spacing w:after="0"/>
              <w:rPr>
                <w:sz w:val="20"/>
                <w:szCs w:val="20"/>
                <w:color w:val="auto"/>
              </w:rPr>
            </w:pPr>
            <w:r>
              <w:rPr>
                <w:rFonts w:ascii="Arial" w:cs="Arial" w:eastAsia="Arial" w:hAnsi="Arial"/>
                <w:sz w:val="18"/>
                <w:szCs w:val="18"/>
                <w:color w:val="auto"/>
              </w:rPr>
              <w:t>5,939</w:t>
            </w: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(2,548)</w:t>
            </w:r>
          </w:p>
        </w:tc>
        <w:tc>
          <w:tcPr>
            <w:tcW w:w="1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(4,535)</w:t>
            </w:r>
          </w:p>
        </w:tc>
        <w:tc>
          <w:tcPr>
            <w:tcW w:w="19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(7,644)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(13,606)</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Amortization of net (gain) loss</w:t>
            </w:r>
          </w:p>
        </w:tc>
        <w:tc>
          <w:tcPr>
            <w:tcW w:w="1700" w:type="dxa"/>
            <w:vAlign w:val="bottom"/>
          </w:tcPr>
          <w:p>
            <w:pPr>
              <w:jc w:val="right"/>
              <w:ind w:right="390"/>
              <w:spacing w:after="0"/>
              <w:rPr>
                <w:sz w:val="20"/>
                <w:szCs w:val="20"/>
                <w:color w:val="auto"/>
              </w:rPr>
            </w:pPr>
            <w:r>
              <w:rPr>
                <w:rFonts w:ascii="Arial" w:cs="Arial" w:eastAsia="Arial" w:hAnsi="Arial"/>
                <w:sz w:val="18"/>
                <w:szCs w:val="18"/>
                <w:color w:val="auto"/>
              </w:rPr>
              <w:t>2</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(687)</w:t>
            </w:r>
          </w:p>
        </w:tc>
        <w:tc>
          <w:tcPr>
            <w:tcW w:w="1960" w:type="dxa"/>
            <w:vAlign w:val="bottom"/>
          </w:tcPr>
          <w:p>
            <w:pPr>
              <w:jc w:val="right"/>
              <w:ind w:right="790"/>
              <w:spacing w:after="0"/>
              <w:rPr>
                <w:sz w:val="20"/>
                <w:szCs w:val="20"/>
                <w:color w:val="auto"/>
              </w:rPr>
            </w:pPr>
            <w:r>
              <w:rPr>
                <w:rFonts w:ascii="Arial" w:cs="Arial" w:eastAsia="Arial" w:hAnsi="Arial"/>
                <w:sz w:val="18"/>
                <w:szCs w:val="18"/>
                <w:color w:val="auto"/>
              </w:rPr>
              <w:t>6</w:t>
            </w:r>
          </w:p>
        </w:tc>
        <w:tc>
          <w:tcPr>
            <w:tcW w:w="740" w:type="dxa"/>
            <w:vAlign w:val="bottom"/>
          </w:tcPr>
          <w:p>
            <w:pPr>
              <w:jc w:val="right"/>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17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213</w:t>
            </w:r>
          </w:p>
        </w:tc>
        <w:tc>
          <w:tcPr>
            <w:tcW w:w="15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212</w:t>
            </w:r>
          </w:p>
        </w:tc>
        <w:tc>
          <w:tcPr>
            <w:tcW w:w="19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639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6"/>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Curtailment gain</w:t>
            </w:r>
          </w:p>
        </w:tc>
        <w:tc>
          <w:tcPr>
            <w:tcW w:w="17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55"/>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Pension cost (benefit)</w:t>
            </w:r>
          </w:p>
        </w:tc>
        <w:tc>
          <w:tcPr>
            <w:tcW w:w="17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264</w:t>
            </w:r>
          </w:p>
        </w:tc>
        <w:tc>
          <w:tcPr>
            <w:tcW w:w="1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(2,722)</w:t>
            </w:r>
          </w:p>
        </w:tc>
        <w:tc>
          <w:tcPr>
            <w:tcW w:w="196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792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(9,873)</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auto"/>
            </w:tcBorders>
          </w:tcPr>
          <w:p>
            <w:pPr>
              <w:spacing w:after="0" w:line="20" w:lineRule="exact"/>
              <w:rPr>
                <w:sz w:val="1"/>
                <w:szCs w:val="1"/>
                <w:color w:val="auto"/>
              </w:rPr>
            </w:pPr>
          </w:p>
        </w:tc>
        <w:tc>
          <w:tcPr>
            <w:tcW w:w="3200" w:type="dxa"/>
            <w:vAlign w:val="bottom"/>
            <w:tcBorders>
              <w:top w:val="single" w:sz="8" w:color="CCEEFF"/>
              <w:bottom w:val="single" w:sz="8" w:color="auto"/>
            </w:tcBorders>
            <w:gridSpan w:val="2"/>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920" w:type="dxa"/>
            <w:vAlign w:val="bottom"/>
            <w:tcBorders>
              <w:bottom w:val="single" w:sz="8" w:color="auto"/>
            </w:tcBorders>
          </w:tcPr>
          <w:p>
            <w:pPr>
              <w:spacing w:after="0"/>
              <w:rPr>
                <w:sz w:val="23"/>
                <w:szCs w:val="23"/>
                <w:color w:val="auto"/>
              </w:rPr>
            </w:pPr>
          </w:p>
        </w:tc>
        <w:tc>
          <w:tcPr>
            <w:tcW w:w="3200" w:type="dxa"/>
            <w:vAlign w:val="bottom"/>
            <w:tcBorders>
              <w:bottom w:val="single" w:sz="8" w:color="auto"/>
            </w:tcBorders>
            <w:gridSpan w:val="2"/>
          </w:tcPr>
          <w:p>
            <w:pPr>
              <w:spacing w:after="0"/>
              <w:rPr>
                <w:sz w:val="23"/>
                <w:szCs w:val="23"/>
                <w:color w:val="auto"/>
              </w:rPr>
            </w:pPr>
          </w:p>
        </w:tc>
        <w:tc>
          <w:tcPr>
            <w:tcW w:w="19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POSTRETIREMENT MEDICAL PLANS</w:t>
            </w:r>
          </w:p>
        </w:tc>
        <w:tc>
          <w:tcPr>
            <w:tcW w:w="3200" w:type="dxa"/>
            <w:vAlign w:val="bottom"/>
            <w:tcBorders>
              <w:bottom w:val="single" w:sz="8" w:color="auto"/>
            </w:tcBorders>
            <w:gridSpan w:val="2"/>
          </w:tcPr>
          <w:p>
            <w:pPr>
              <w:jc w:val="right"/>
              <w:ind w:right="970"/>
              <w:spacing w:after="0"/>
              <w:rPr>
                <w:sz w:val="20"/>
                <w:szCs w:val="20"/>
                <w:color w:val="auto"/>
              </w:rPr>
            </w:pPr>
            <w:r>
              <w:rPr>
                <w:rFonts w:ascii="Arial" w:cs="Arial" w:eastAsia="Arial" w:hAnsi="Arial"/>
                <w:sz w:val="18"/>
                <w:szCs w:val="18"/>
                <w:color w:val="auto"/>
              </w:rPr>
              <w:t>Three months ended</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Nine months ended</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9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700" w:type="dxa"/>
            <w:vAlign w:val="bottom"/>
          </w:tcPr>
          <w:p>
            <w:pPr>
              <w:jc w:val="right"/>
              <w:ind w:right="310"/>
              <w:spacing w:after="0" w:line="183" w:lineRule="exact"/>
              <w:rPr>
                <w:sz w:val="20"/>
                <w:szCs w:val="20"/>
                <w:color w:val="auto"/>
              </w:rPr>
            </w:pPr>
            <w:r>
              <w:rPr>
                <w:rFonts w:ascii="Arial" w:cs="Arial" w:eastAsia="Arial" w:hAnsi="Arial"/>
                <w:sz w:val="18"/>
                <w:szCs w:val="18"/>
                <w:color w:val="auto"/>
              </w:rPr>
              <w:t>June 25,</w:t>
            </w:r>
          </w:p>
        </w:tc>
        <w:tc>
          <w:tcPr>
            <w:tcW w:w="1500" w:type="dxa"/>
            <w:vAlign w:val="bottom"/>
          </w:tcPr>
          <w:p>
            <w:pPr>
              <w:jc w:val="right"/>
              <w:ind w:right="290"/>
              <w:spacing w:after="0" w:line="183" w:lineRule="exact"/>
              <w:rPr>
                <w:sz w:val="20"/>
                <w:szCs w:val="20"/>
                <w:color w:val="auto"/>
              </w:rPr>
            </w:pPr>
            <w:r>
              <w:rPr>
                <w:rFonts w:ascii="Arial" w:cs="Arial" w:eastAsia="Arial" w:hAnsi="Arial"/>
                <w:sz w:val="18"/>
                <w:szCs w:val="18"/>
                <w:color w:val="auto"/>
              </w:rPr>
              <w:t>June 26,</w:t>
            </w:r>
          </w:p>
        </w:tc>
        <w:tc>
          <w:tcPr>
            <w:tcW w:w="1960" w:type="dxa"/>
            <w:vAlign w:val="bottom"/>
          </w:tcPr>
          <w:p>
            <w:pPr>
              <w:jc w:val="right"/>
              <w:ind w:right="730"/>
              <w:spacing w:after="0" w:line="183" w:lineRule="exact"/>
              <w:rPr>
                <w:sz w:val="20"/>
                <w:szCs w:val="20"/>
                <w:color w:val="auto"/>
              </w:rPr>
            </w:pPr>
            <w:r>
              <w:rPr>
                <w:rFonts w:ascii="Arial" w:cs="Arial" w:eastAsia="Arial" w:hAnsi="Arial"/>
                <w:sz w:val="18"/>
                <w:szCs w:val="18"/>
                <w:color w:val="auto"/>
              </w:rPr>
              <w:t>June 25,</w:t>
            </w:r>
          </w:p>
        </w:tc>
        <w:tc>
          <w:tcPr>
            <w:tcW w:w="740" w:type="dxa"/>
            <w:vAlign w:val="bottom"/>
          </w:tcPr>
          <w:p>
            <w:pPr>
              <w:jc w:val="right"/>
              <w:spacing w:after="0" w:line="183" w:lineRule="exact"/>
              <w:rPr>
                <w:sz w:val="20"/>
                <w:szCs w:val="20"/>
                <w:color w:val="auto"/>
              </w:rPr>
            </w:pPr>
            <w:r>
              <w:rPr>
                <w:rFonts w:ascii="Arial" w:cs="Arial" w:eastAsia="Arial" w:hAnsi="Arial"/>
                <w:sz w:val="18"/>
                <w:szCs w:val="18"/>
                <w:color w:val="auto"/>
              </w:rPr>
              <w:t>June 26,</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9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3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Service cost for benefits earned during the</w:t>
            </w:r>
          </w:p>
        </w:tc>
        <w:tc>
          <w:tcPr>
            <w:tcW w:w="170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17</w:t>
            </w:r>
          </w:p>
        </w:tc>
        <w:tc>
          <w:tcPr>
            <w:tcW w:w="150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27</w:t>
            </w:r>
          </w:p>
        </w:tc>
        <w:tc>
          <w:tcPr>
            <w:tcW w:w="1960" w:type="dxa"/>
            <w:vAlign w:val="bottom"/>
            <w:vMerge w:val="restart"/>
            <w:shd w:val="clear" w:color="auto" w:fill="CCEEFF"/>
          </w:tcPr>
          <w:p>
            <w:pPr>
              <w:jc w:val="right"/>
              <w:ind w:right="790"/>
              <w:spacing w:after="0"/>
              <w:rPr>
                <w:sz w:val="20"/>
                <w:szCs w:val="20"/>
                <w:color w:val="auto"/>
              </w:rPr>
            </w:pPr>
            <w:r>
              <w:rPr>
                <w:rFonts w:ascii="Arial" w:cs="Arial" w:eastAsia="Arial" w:hAnsi="Arial"/>
                <w:sz w:val="18"/>
                <w:szCs w:val="18"/>
                <w:color w:val="auto"/>
              </w:rPr>
              <w:t>51</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1700" w:type="dxa"/>
            <w:vAlign w:val="bottom"/>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96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2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149</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85</w:t>
            </w:r>
          </w:p>
        </w:tc>
        <w:tc>
          <w:tcPr>
            <w:tcW w:w="1960" w:type="dxa"/>
            <w:vAlign w:val="bottom"/>
          </w:tcPr>
          <w:p>
            <w:pPr>
              <w:jc w:val="right"/>
              <w:ind w:right="790"/>
              <w:spacing w:after="0"/>
              <w:rPr>
                <w:sz w:val="20"/>
                <w:szCs w:val="20"/>
                <w:color w:val="auto"/>
              </w:rPr>
            </w:pPr>
            <w:r>
              <w:rPr>
                <w:rFonts w:ascii="Arial" w:cs="Arial" w:eastAsia="Arial" w:hAnsi="Arial"/>
                <w:sz w:val="18"/>
                <w:szCs w:val="18"/>
                <w:color w:val="auto"/>
              </w:rPr>
              <w:t>447</w:t>
            </w:r>
          </w:p>
        </w:tc>
        <w:tc>
          <w:tcPr>
            <w:tcW w:w="74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(295)</w:t>
            </w:r>
          </w:p>
        </w:tc>
        <w:tc>
          <w:tcPr>
            <w:tcW w:w="1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(263)</w:t>
            </w:r>
          </w:p>
        </w:tc>
        <w:tc>
          <w:tcPr>
            <w:tcW w:w="19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(885)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Amortization of net gain</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(254)</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(249)</w:t>
            </w:r>
          </w:p>
        </w:tc>
        <w:tc>
          <w:tcPr>
            <w:tcW w:w="1960" w:type="dxa"/>
            <w:vAlign w:val="bottom"/>
          </w:tcPr>
          <w:p>
            <w:pPr>
              <w:jc w:val="right"/>
              <w:ind w:right="730"/>
              <w:spacing w:after="0"/>
              <w:rPr>
                <w:sz w:val="20"/>
                <w:szCs w:val="20"/>
                <w:color w:val="auto"/>
              </w:rPr>
            </w:pPr>
            <w:r>
              <w:rPr>
                <w:rFonts w:ascii="Arial" w:cs="Arial" w:eastAsia="Arial" w:hAnsi="Arial"/>
                <w:sz w:val="18"/>
                <w:szCs w:val="18"/>
                <w:color w:val="auto"/>
              </w:rPr>
              <w:t>(762)</w:t>
            </w:r>
          </w:p>
        </w:tc>
        <w:tc>
          <w:tcPr>
            <w:tcW w:w="740" w:type="dxa"/>
            <w:vAlign w:val="bottom"/>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36"/>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17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(162)</w:t>
            </w:r>
          </w:p>
        </w:tc>
        <w:tc>
          <w:tcPr>
            <w:tcW w:w="1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(162)</w:t>
            </w:r>
          </w:p>
        </w:tc>
        <w:tc>
          <w:tcPr>
            <w:tcW w:w="196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(486)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Postretirement medical benefit</w:t>
            </w:r>
          </w:p>
        </w:tc>
        <w:tc>
          <w:tcPr>
            <w:tcW w:w="1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(545)</w:t>
            </w:r>
          </w:p>
        </w:tc>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(562)</w:t>
            </w:r>
          </w:p>
        </w:tc>
        <w:tc>
          <w:tcPr>
            <w:tcW w:w="19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(1,635)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jc w:val="both"/>
        <w:ind w:left="660"/>
        <w:spacing w:after="0" w:line="275" w:lineRule="auto"/>
        <w:rPr>
          <w:sz w:val="20"/>
          <w:szCs w:val="20"/>
          <w:color w:val="auto"/>
        </w:rPr>
      </w:pPr>
      <w:r>
        <w:rPr>
          <w:rFonts w:ascii="Arial" w:cs="Arial" w:eastAsia="Arial" w:hAnsi="Arial"/>
          <w:sz w:val="18"/>
          <w:szCs w:val="18"/>
          <w:color w:val="auto"/>
        </w:rPr>
        <w:t>In the nine months ended June 25, 2023 and June 26, 2022, we made no contributions to our pension plans. We have no required contributions to our pension plans for 2023.</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Multiemployer Pension Plans</w:t>
      </w:r>
    </w:p>
    <w:p>
      <w:pPr>
        <w:spacing w:after="0" w:line="19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prior periods, the Company effectuated withdrawals from several multiemployer plans. As of June 25, 2023, and September 25, 2022, we had $23.1 million and $25.0 million of accrued withdrawal liabilities. The liabilities reflect the estimated value of payments to the fund, payable over 20 years.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2" w:name="page13"/>
    <w:bookmarkEnd w:id="12"/>
    <w:p>
      <w:pPr>
        <w:ind w:left="300" w:hanging="292"/>
        <w:spacing w:after="0"/>
        <w:tabs>
          <w:tab w:leader="none" w:pos="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8"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We recorded an income tax expense of $0.4 million related to income before taxes of $2.5 million for the three months ended June 25, 2023, and an income tax benefit of $1.2 million related to a loss before income taxes of $2.6 million for the nine months ended June 25, 2023. We recorded an income tax expense of $ 0.2 million related to income before taxes of $0.4 million for the three months ended June 26, 2022 and income tax expense of $2.4 million related to income before income taxes of $9.1 million for the nine months ended June 26, 2022. The effective income tax rate for the three and nine months ended June 25, 2023, were 15.6% and 46.8%, respectively. The effective income tax rate for the three and nine months ended June 26, 2022, were 44.3% and 26.1%, respectively.</w:t>
      </w:r>
    </w:p>
    <w:p>
      <w:pPr>
        <w:spacing w:after="0" w:line="154" w:lineRule="exact"/>
        <w:rPr>
          <w:sz w:val="20"/>
          <w:szCs w:val="20"/>
          <w:color w:val="auto"/>
        </w:rPr>
      </w:pPr>
    </w:p>
    <w:p>
      <w:pPr>
        <w:jc w:val="both"/>
        <w:ind w:left="660"/>
        <w:spacing w:after="0" w:line="275" w:lineRule="auto"/>
        <w:rPr>
          <w:sz w:val="20"/>
          <w:szCs w:val="20"/>
          <w:color w:val="auto"/>
        </w:rPr>
      </w:pPr>
      <w:r>
        <w:rPr>
          <w:rFonts w:ascii="Arial" w:cs="Arial" w:eastAsia="Arial" w:hAnsi="Arial"/>
          <w:sz w:val="18"/>
          <w:szCs w:val="18"/>
          <w:color w:val="auto"/>
        </w:rPr>
        <w:t>The primary differences between these rates and the U.S. federal statutory rate of 21% are because of state taxes, non-deductible expenses and adjustments to reserves for uncertain tax positions, including any related interest.</w:t>
      </w:r>
    </w:p>
    <w:p>
      <w:pPr>
        <w:spacing w:after="0" w:line="133"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We file a consolidated federal tax return, as well as combined and separate tax returns in approximately 27 state and local jurisdictions. We do not currently have any federal or material state income tax examinations in progress. Our income tax returns have generally been audited or closed to audit through 2015.</w:t>
      </w:r>
    </w:p>
    <w:p>
      <w:pPr>
        <w:spacing w:after="0" w:line="147"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4020" w:type="dxa"/>
            <w:vAlign w:val="bottom"/>
            <w:tcBorders>
              <w:top w:val="single" w:sz="8" w:color="auto"/>
              <w:bottom w:val="single" w:sz="8" w:color="auto"/>
            </w:tcBorders>
          </w:tcPr>
          <w:p>
            <w:pPr>
              <w:spacing w:after="0"/>
              <w:rPr>
                <w:sz w:val="21"/>
                <w:szCs w:val="21"/>
                <w:color w:val="auto"/>
              </w:rPr>
            </w:pPr>
          </w:p>
        </w:tc>
        <w:tc>
          <w:tcPr>
            <w:tcW w:w="3100" w:type="dxa"/>
            <w:vAlign w:val="bottom"/>
            <w:tcBorders>
              <w:top w:val="single" w:sz="8" w:color="auto"/>
              <w:bottom w:val="single" w:sz="8" w:color="auto"/>
            </w:tcBorders>
            <w:gridSpan w:val="2"/>
          </w:tcPr>
          <w:p>
            <w:pPr>
              <w:jc w:val="right"/>
              <w:ind w:right="970"/>
              <w:spacing w:after="0"/>
              <w:rPr>
                <w:sz w:val="20"/>
                <w:szCs w:val="20"/>
                <w:color w:val="auto"/>
              </w:rPr>
            </w:pPr>
            <w:r>
              <w:rPr>
                <w:rFonts w:ascii="Arial" w:cs="Arial" w:eastAsia="Arial" w:hAnsi="Arial"/>
                <w:sz w:val="18"/>
                <w:szCs w:val="18"/>
                <w:color w:val="auto"/>
              </w:rPr>
              <w:t>Three months ended</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Nine months ended</w:t>
            </w:r>
          </w:p>
        </w:tc>
        <w:tc>
          <w:tcPr>
            <w:tcW w:w="7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02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(Thousands of Dollars and Shares, Except</w:t>
            </w:r>
          </w:p>
        </w:tc>
        <w:tc>
          <w:tcPr>
            <w:tcW w:w="1600" w:type="dxa"/>
            <w:vAlign w:val="bottom"/>
          </w:tcPr>
          <w:p>
            <w:pPr>
              <w:jc w:val="right"/>
              <w:ind w:right="330"/>
              <w:spacing w:after="0" w:line="176" w:lineRule="exact"/>
              <w:rPr>
                <w:sz w:val="20"/>
                <w:szCs w:val="20"/>
                <w:color w:val="auto"/>
              </w:rPr>
            </w:pPr>
            <w:r>
              <w:rPr>
                <w:rFonts w:ascii="Arial" w:cs="Arial" w:eastAsia="Arial" w:hAnsi="Arial"/>
                <w:sz w:val="18"/>
                <w:szCs w:val="18"/>
                <w:color w:val="auto"/>
              </w:rPr>
              <w:t>June 25,</w:t>
            </w:r>
          </w:p>
        </w:tc>
        <w:tc>
          <w:tcPr>
            <w:tcW w:w="1500" w:type="dxa"/>
            <w:vAlign w:val="bottom"/>
          </w:tcPr>
          <w:p>
            <w:pPr>
              <w:jc w:val="right"/>
              <w:ind w:right="290"/>
              <w:spacing w:after="0" w:line="176" w:lineRule="exact"/>
              <w:rPr>
                <w:sz w:val="20"/>
                <w:szCs w:val="20"/>
                <w:color w:val="auto"/>
              </w:rPr>
            </w:pPr>
            <w:r>
              <w:rPr>
                <w:rFonts w:ascii="Arial" w:cs="Arial" w:eastAsia="Arial" w:hAnsi="Arial"/>
                <w:sz w:val="18"/>
                <w:szCs w:val="18"/>
                <w:color w:val="auto"/>
              </w:rPr>
              <w:t>June 26,</w:t>
            </w:r>
          </w:p>
        </w:tc>
        <w:tc>
          <w:tcPr>
            <w:tcW w:w="1960" w:type="dxa"/>
            <w:vAlign w:val="bottom"/>
          </w:tcPr>
          <w:p>
            <w:pPr>
              <w:jc w:val="right"/>
              <w:ind w:right="730"/>
              <w:spacing w:after="0" w:line="176" w:lineRule="exact"/>
              <w:rPr>
                <w:sz w:val="20"/>
                <w:szCs w:val="20"/>
                <w:color w:val="auto"/>
              </w:rPr>
            </w:pPr>
            <w:r>
              <w:rPr>
                <w:rFonts w:ascii="Arial" w:cs="Arial" w:eastAsia="Arial" w:hAnsi="Arial"/>
                <w:sz w:val="18"/>
                <w:szCs w:val="18"/>
                <w:color w:val="auto"/>
              </w:rPr>
              <w:t>June 25,</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June 26,</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Per Share Data)</w:t>
            </w:r>
          </w:p>
        </w:tc>
        <w:tc>
          <w:tcPr>
            <w:tcW w:w="1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9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63"/>
        </w:trPr>
        <w:tc>
          <w:tcPr>
            <w:tcW w:w="40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(loss) attributable to Lee Enterprises,</w:t>
            </w:r>
          </w:p>
        </w:tc>
        <w:tc>
          <w:tcPr>
            <w:tcW w:w="160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1,503</w:t>
            </w:r>
          </w:p>
        </w:tc>
        <w:tc>
          <w:tcPr>
            <w:tcW w:w="1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(269)</w:t>
            </w:r>
          </w:p>
        </w:tc>
        <w:tc>
          <w:tcPr>
            <w:tcW w:w="1960" w:type="dxa"/>
            <w:vAlign w:val="bottom"/>
            <w:vMerge w:val="restart"/>
            <w:shd w:val="clear" w:color="auto" w:fill="CCEEFF"/>
          </w:tcPr>
          <w:p>
            <w:pPr>
              <w:jc w:val="right"/>
              <w:ind w:right="730"/>
              <w:spacing w:after="0"/>
              <w:rPr>
                <w:sz w:val="20"/>
                <w:szCs w:val="20"/>
                <w:color w:val="auto"/>
              </w:rPr>
            </w:pPr>
            <w:r>
              <w:rPr>
                <w:rFonts w:ascii="Arial" w:cs="Arial" w:eastAsia="Arial" w:hAnsi="Arial"/>
                <w:sz w:val="18"/>
                <w:szCs w:val="18"/>
                <w:color w:val="auto"/>
              </w:rPr>
              <w:t>(3,283)</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49"/>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Incorporated:</w:t>
            </w: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1500" w:type="dxa"/>
            <w:vAlign w:val="bottom"/>
            <w:tcBorders>
              <w:bottom w:val="single" w:sz="8" w:color="auto"/>
            </w:tcBorders>
            <w:vMerge w:val="continue"/>
            <w:shd w:val="clear" w:color="auto" w:fill="CCEEFF"/>
          </w:tcPr>
          <w:p>
            <w:pPr>
              <w:spacing w:after="0"/>
              <w:rPr>
                <w:sz w:val="21"/>
                <w:szCs w:val="21"/>
                <w:color w:val="auto"/>
              </w:rPr>
            </w:pPr>
          </w:p>
        </w:tc>
        <w:tc>
          <w:tcPr>
            <w:tcW w:w="1960" w:type="dxa"/>
            <w:vAlign w:val="bottom"/>
            <w:tcBorders>
              <w:bottom w:val="single" w:sz="8" w:color="auto"/>
            </w:tcBorders>
            <w:vMerge w:val="continue"/>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8"/>
                <w:szCs w:val="18"/>
                <w:color w:val="auto"/>
              </w:rPr>
              <w:t>Weighted average common shares</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6,051</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5,965</w:t>
            </w:r>
          </w:p>
        </w:tc>
        <w:tc>
          <w:tcPr>
            <w:tcW w:w="1960" w:type="dxa"/>
            <w:vAlign w:val="bottom"/>
          </w:tcPr>
          <w:p>
            <w:pPr>
              <w:jc w:val="right"/>
              <w:ind w:right="790"/>
              <w:spacing w:after="0"/>
              <w:rPr>
                <w:sz w:val="20"/>
                <w:szCs w:val="20"/>
                <w:color w:val="auto"/>
              </w:rPr>
            </w:pPr>
            <w:r>
              <w:rPr>
                <w:rFonts w:ascii="Arial" w:cs="Arial" w:eastAsia="Arial" w:hAnsi="Arial"/>
                <w:sz w:val="18"/>
                <w:szCs w:val="18"/>
                <w:color w:val="auto"/>
              </w:rPr>
              <w:t>6,045</w:t>
            </w:r>
          </w:p>
        </w:tc>
        <w:tc>
          <w:tcPr>
            <w:tcW w:w="740" w:type="dxa"/>
            <w:vAlign w:val="bottom"/>
          </w:tcPr>
          <w:p>
            <w:pPr>
              <w:jc w:val="right"/>
              <w:spacing w:after="0"/>
              <w:rPr>
                <w:sz w:val="20"/>
                <w:szCs w:val="20"/>
                <w:color w:val="auto"/>
              </w:rPr>
            </w:pPr>
            <w:r>
              <w:rPr>
                <w:rFonts w:ascii="Arial" w:cs="Arial" w:eastAsia="Arial" w:hAnsi="Arial"/>
                <w:sz w:val="18"/>
                <w:szCs w:val="18"/>
                <w:color w:val="auto"/>
              </w:rPr>
              <w:t>5,935</w:t>
            </w:r>
          </w:p>
        </w:tc>
        <w:tc>
          <w:tcPr>
            <w:tcW w:w="0" w:type="dxa"/>
            <w:vAlign w:val="bottom"/>
          </w:tcPr>
          <w:p>
            <w:pPr>
              <w:spacing w:after="0"/>
              <w:rPr>
                <w:sz w:val="1"/>
                <w:szCs w:val="1"/>
                <w:color w:val="auto"/>
              </w:rPr>
            </w:pPr>
          </w:p>
        </w:tc>
      </w:tr>
      <w:tr>
        <w:trPr>
          <w:trHeight w:val="183"/>
        </w:trPr>
        <w:tc>
          <w:tcPr>
            <w:tcW w:w="40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Less weighted average restricted Common</w:t>
            </w:r>
          </w:p>
        </w:tc>
        <w:tc>
          <w:tcPr>
            <w:tcW w:w="160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(173)</w:t>
            </w:r>
          </w:p>
        </w:tc>
        <w:tc>
          <w:tcPr>
            <w:tcW w:w="15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(170)</w:t>
            </w:r>
          </w:p>
        </w:tc>
        <w:tc>
          <w:tcPr>
            <w:tcW w:w="1960" w:type="dxa"/>
            <w:vAlign w:val="bottom"/>
            <w:vMerge w:val="restart"/>
            <w:shd w:val="clear" w:color="auto" w:fill="CCEEFF"/>
          </w:tcPr>
          <w:p>
            <w:pPr>
              <w:jc w:val="right"/>
              <w:ind w:right="730"/>
              <w:spacing w:after="0"/>
              <w:rPr>
                <w:sz w:val="20"/>
                <w:szCs w:val="20"/>
                <w:color w:val="auto"/>
              </w:rPr>
            </w:pPr>
            <w:r>
              <w:rPr>
                <w:rFonts w:ascii="Arial" w:cs="Arial" w:eastAsia="Arial" w:hAnsi="Arial"/>
                <w:sz w:val="18"/>
                <w:szCs w:val="18"/>
                <w:color w:val="auto"/>
              </w:rPr>
              <w:t>(172)</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1500" w:type="dxa"/>
            <w:vAlign w:val="bottom"/>
            <w:tcBorders>
              <w:bottom w:val="single" w:sz="8" w:color="auto"/>
            </w:tcBorders>
            <w:vMerge w:val="continue"/>
            <w:shd w:val="clear" w:color="auto" w:fill="CCEEFF"/>
          </w:tcPr>
          <w:p>
            <w:pPr>
              <w:spacing w:after="0"/>
              <w:rPr>
                <w:sz w:val="19"/>
                <w:szCs w:val="19"/>
                <w:color w:val="auto"/>
              </w:rPr>
            </w:pPr>
          </w:p>
        </w:tc>
        <w:tc>
          <w:tcPr>
            <w:tcW w:w="196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Basic average common shares</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5,878</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5,795</w:t>
            </w:r>
          </w:p>
        </w:tc>
        <w:tc>
          <w:tcPr>
            <w:tcW w:w="1960" w:type="dxa"/>
            <w:vAlign w:val="bottom"/>
          </w:tcPr>
          <w:p>
            <w:pPr>
              <w:jc w:val="right"/>
              <w:ind w:right="790"/>
              <w:spacing w:after="0"/>
              <w:rPr>
                <w:sz w:val="20"/>
                <w:szCs w:val="20"/>
                <w:color w:val="auto"/>
              </w:rPr>
            </w:pPr>
            <w:r>
              <w:rPr>
                <w:rFonts w:ascii="Arial" w:cs="Arial" w:eastAsia="Arial" w:hAnsi="Arial"/>
                <w:sz w:val="18"/>
                <w:szCs w:val="18"/>
                <w:color w:val="auto"/>
              </w:rPr>
              <w:t>5,873</w:t>
            </w:r>
          </w:p>
        </w:tc>
        <w:tc>
          <w:tcPr>
            <w:tcW w:w="740" w:type="dxa"/>
            <w:vAlign w:val="bottom"/>
          </w:tcPr>
          <w:p>
            <w:pPr>
              <w:jc w:val="right"/>
              <w:spacing w:after="0"/>
              <w:rPr>
                <w:sz w:val="20"/>
                <w:szCs w:val="20"/>
                <w:color w:val="auto"/>
              </w:rPr>
            </w:pPr>
            <w:r>
              <w:rPr>
                <w:rFonts w:ascii="Arial" w:cs="Arial" w:eastAsia="Arial" w:hAnsi="Arial"/>
                <w:sz w:val="18"/>
                <w:szCs w:val="18"/>
                <w:color w:val="auto"/>
              </w:rPr>
              <w:t>5,767</w:t>
            </w:r>
          </w:p>
        </w:tc>
        <w:tc>
          <w:tcPr>
            <w:tcW w:w="0" w:type="dxa"/>
            <w:vAlign w:val="bottom"/>
          </w:tcPr>
          <w:p>
            <w:pPr>
              <w:spacing w:after="0"/>
              <w:rPr>
                <w:sz w:val="1"/>
                <w:szCs w:val="1"/>
                <w:color w:val="auto"/>
              </w:rPr>
            </w:pPr>
          </w:p>
        </w:tc>
      </w:tr>
      <w:tr>
        <w:trPr>
          <w:trHeight w:val="183"/>
        </w:trPr>
        <w:tc>
          <w:tcPr>
            <w:tcW w:w="40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Dilutive stock options and restricted Common</w:t>
            </w:r>
          </w:p>
        </w:tc>
        <w:tc>
          <w:tcPr>
            <w:tcW w:w="160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30</w:t>
            </w:r>
          </w:p>
        </w:tc>
        <w:tc>
          <w:tcPr>
            <w:tcW w:w="150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960" w:type="dxa"/>
            <w:vAlign w:val="bottom"/>
            <w:vMerge w:val="restart"/>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1500" w:type="dxa"/>
            <w:vAlign w:val="bottom"/>
            <w:tcBorders>
              <w:bottom w:val="single" w:sz="8" w:color="auto"/>
            </w:tcBorders>
            <w:vMerge w:val="continue"/>
            <w:shd w:val="clear" w:color="auto" w:fill="CCEEFF"/>
          </w:tcPr>
          <w:p>
            <w:pPr>
              <w:spacing w:after="0"/>
              <w:rPr>
                <w:sz w:val="19"/>
                <w:szCs w:val="19"/>
                <w:color w:val="auto"/>
              </w:rPr>
            </w:pPr>
          </w:p>
        </w:tc>
        <w:tc>
          <w:tcPr>
            <w:tcW w:w="196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average common shares</w:t>
            </w:r>
          </w:p>
        </w:tc>
        <w:tc>
          <w:tcPr>
            <w:tcW w:w="1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5,908</w:t>
            </w: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5,795</w:t>
            </w:r>
          </w:p>
        </w:tc>
        <w:tc>
          <w:tcPr>
            <w:tcW w:w="19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5,873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16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Basic</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0.26</w:t>
            </w: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(0.05)</w:t>
            </w:r>
          </w:p>
        </w:tc>
        <w:tc>
          <w:tcPr>
            <w:tcW w:w="1960" w:type="dxa"/>
            <w:vAlign w:val="bottom"/>
          </w:tcPr>
          <w:p>
            <w:pPr>
              <w:jc w:val="right"/>
              <w:ind w:right="730"/>
              <w:spacing w:after="0"/>
              <w:rPr>
                <w:sz w:val="20"/>
                <w:szCs w:val="20"/>
                <w:color w:val="auto"/>
              </w:rPr>
            </w:pPr>
            <w:r>
              <w:rPr>
                <w:rFonts w:ascii="Arial" w:cs="Arial" w:eastAsia="Arial" w:hAnsi="Arial"/>
                <w:sz w:val="18"/>
                <w:szCs w:val="18"/>
                <w:color w:val="auto"/>
              </w:rPr>
              <w:t>(0.56)</w:t>
            </w:r>
          </w:p>
        </w:tc>
        <w:tc>
          <w:tcPr>
            <w:tcW w:w="740" w:type="dxa"/>
            <w:vAlign w:val="bottom"/>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61"/>
        </w:trPr>
        <w:tc>
          <w:tcPr>
            <w:tcW w:w="40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0.25</w:t>
            </w:r>
          </w:p>
        </w:tc>
        <w:tc>
          <w:tcPr>
            <w:tcW w:w="1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(0.05)</w:t>
            </w:r>
          </w:p>
        </w:tc>
        <w:tc>
          <w:tcPr>
            <w:tcW w:w="196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(0.56)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For the three months ended June 25, 2023, 136,853 shares were excluded in the computation of diluted earnings per common share because their inclusion would result in an anti-dilutive effect on per share amounts. For the three months ended June 26, 2022, no shares were considered in the computation of diluted earnings per common share because the Company recorded net losses. For the nine months ended June 25, 2023, no shares were considered in the computation of diluted earnings per common share because the Company recorded net losses. For the nine months ended June 25, 2022, 74,804 shares were excluded in the computation of diluted earnings per common share because their inclusion would result in an anti-dilutive effect on per share amounts.</w:t>
      </w:r>
    </w:p>
    <w:p>
      <w:pPr>
        <w:spacing w:after="0" w:line="144" w:lineRule="exact"/>
        <w:rPr>
          <w:sz w:val="20"/>
          <w:szCs w:val="20"/>
          <w:color w:val="auto"/>
        </w:rPr>
      </w:pPr>
    </w:p>
    <w:p>
      <w:pPr>
        <w:ind w:left="660" w:right="6820" w:hanging="652"/>
        <w:spacing w:after="0" w:line="467" w:lineRule="auto"/>
        <w:tabs>
          <w:tab w:leader="none" w:pos="31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 Legal Proceedings</w:t>
      </w:r>
    </w:p>
    <w:p>
      <w:pPr>
        <w:spacing w:after="0" w:line="1" w:lineRule="exact"/>
        <w:rPr>
          <w:sz w:val="20"/>
          <w:szCs w:val="20"/>
          <w:color w:val="auto"/>
        </w:rPr>
      </w:pPr>
    </w:p>
    <w:p>
      <w:pPr>
        <w:ind w:left="660"/>
        <w:spacing w:after="0" w:line="275"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3" w:name="page14"/>
    <w:bookmarkEnd w:id="13"/>
    <w:p>
      <w:pPr>
        <w:spacing w:after="0" w:line="275" w:lineRule="auto"/>
        <w:rPr>
          <w:sz w:val="20"/>
          <w:szCs w:val="20"/>
          <w:color w:val="auto"/>
        </w:rPr>
      </w:pPr>
      <w:r>
        <w:rPr>
          <w:rFonts w:ascii="Arial" w:cs="Arial" w:eastAsia="Arial" w:hAnsi="Arial"/>
          <w:sz w:val="18"/>
          <w:szCs w:val="18"/>
          <w:color w:val="auto"/>
        </w:rPr>
        <w:t>ultimate outcome of these legal actions, it is our opinion that the disposition of these matters will not have a material adverse effect on our Consolidated Financial Statements, taken as a whole.</w:t>
      </w:r>
    </w:p>
    <w:p>
      <w:pPr>
        <w:spacing w:after="0" w:line="200" w:lineRule="exact"/>
        <w:rPr>
          <w:sz w:val="20"/>
          <w:szCs w:val="20"/>
          <w:color w:val="auto"/>
        </w:rPr>
      </w:pPr>
    </w:p>
    <w:p>
      <w:pPr>
        <w:spacing w:after="0" w:line="36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60960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12" w:right="339" w:bottom="1440" w:gutter="0" w:footer="0" w:header="0"/>
        </w:sectPr>
      </w:pPr>
    </w:p>
    <w:bookmarkStart w:id="14" w:name="page15"/>
    <w:bookmarkEnd w:id="14"/>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three and nine months ended June 25, 2023. This discussion should be read in conjunction with the Consolidated Financial Statements and related Notes thereto, included herein, and our 2022 Annual Report on Form 10-K. Statements that are not historical are forward-looking and involve risks and uncertainties. See "Forward-Looking Statements" at the end of this section for further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Lee Enterprises, Incorporated, together with its subsidiaries, is a digital-first subscription platform providing local markets with valuable, high quality, trusted, intensely local news, information, advertising and marketing services. We are a rapidly growing digital subscription platform with more than 606,000 digital subscribers serving 75 mid-sized local communities in 26 states. Our core strategy aims to grow digital audiences and engagement through continuous improvements to subscriber experience, while offering a full suite of omni-channel advertising and marketing solutions local advertisers desire.</w:t>
      </w:r>
    </w:p>
    <w:p>
      <w:pPr>
        <w:spacing w:after="0" w:line="21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product portfolio includes digital subscription platforms, daily, weekly and monthly newspapers and niche publications, all delivering original local news and information. Our products offer print and digital editions, and our content and advertising is available in real time through our websites and mobile apps. We operate in predominately mid-sized communities with products ranging from large daily newspapers and associated digital products, such as the St. Louis Post-Dispatch and The Buffalo News, to non-daily newspapers with news websites and digital platforms serving smaller communities.</w:t>
      </w:r>
    </w:p>
    <w:p>
      <w:pPr>
        <w:spacing w:after="0" w:line="213" w:lineRule="exact"/>
        <w:rPr>
          <w:sz w:val="20"/>
          <w:szCs w:val="20"/>
          <w:color w:val="auto"/>
        </w:rPr>
      </w:pPr>
    </w:p>
    <w:p>
      <w:pPr>
        <w:jc w:val="both"/>
        <w:ind w:right="320"/>
        <w:spacing w:after="0" w:line="249" w:lineRule="auto"/>
        <w:rPr>
          <w:sz w:val="20"/>
          <w:szCs w:val="20"/>
          <w:color w:val="auto"/>
        </w:rPr>
      </w:pPr>
      <w:r>
        <w:rPr>
          <w:rFonts w:ascii="Arial" w:cs="Arial" w:eastAsia="Arial" w:hAnsi="Arial"/>
          <w:sz w:val="18"/>
          <w:szCs w:val="18"/>
          <w:color w:val="auto"/>
        </w:rPr>
        <w:t>We have made talent and technology investments to improve user experience, content, data visualization, and marketing to align with the shift in spending habits to digital products by both consumers and advertisers.</w:t>
      </w:r>
    </w:p>
    <w:p>
      <w:pPr>
        <w:spacing w:after="0" w:line="1"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We aim to grow our business through three main categories: subscriptions to our product offerings, advertising and marketing solutions to local advertisers, and digital services to a diverse set of customers. Execution of this strategy is expected to transform Lee into a vibrant, digitally centric company.</w:t>
      </w:r>
    </w:p>
    <w:p>
      <w:pPr>
        <w:spacing w:after="0" w:line="23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digital subscription platforms are the fastest growing digital subscription platforms in local media.</w:t>
      </w:r>
    </w:p>
    <w:p>
      <w:pPr>
        <w:spacing w:after="0" w:line="23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Amplified Digital</w:t>
      </w:r>
      <w:r>
        <w:rPr>
          <w:rFonts w:ascii="Arial" w:cs="Arial" w:eastAsia="Arial" w:hAnsi="Arial"/>
          <w:sz w:val="23"/>
          <w:szCs w:val="23"/>
          <w:color w:val="auto"/>
          <w:vertAlign w:val="superscript"/>
        </w:rPr>
        <w:t>®</w:t>
      </w:r>
      <w:r>
        <w:rPr>
          <w:rFonts w:ascii="Arial" w:cs="Arial" w:eastAsia="Arial" w:hAnsi="Arial"/>
          <w:sz w:val="18"/>
          <w:szCs w:val="18"/>
          <w:color w:val="auto"/>
        </w:rPr>
        <w:t>, our digital marketing services agency, offers a full suite of digital marketing solutions to local advertisers.</w:t>
      </w:r>
    </w:p>
    <w:p>
      <w:pPr>
        <w:spacing w:after="0" w:line="187" w:lineRule="exact"/>
        <w:rPr>
          <w:rFonts w:ascii="Arial" w:cs="Arial" w:eastAsia="Arial" w:hAnsi="Arial"/>
          <w:sz w:val="18"/>
          <w:szCs w:val="18"/>
          <w:color w:val="auto"/>
        </w:rPr>
      </w:pPr>
    </w:p>
    <w:p>
      <w:pPr>
        <w:jc w:val="both"/>
        <w:ind w:left="660" w:hanging="328"/>
        <w:spacing w:after="0" w:line="24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BLOX Digital (formerly known as TownNews), our software as a service (SaaS) content platform, is one of the largest web-hosting and content management SaaS providers in North America. BLOX Digital represents a powerful opportunity to drive additional digital revenue by providing state-of-the-art web hosting and content management services to more than 2,000 customers who rely on BLOX Digital for their web, over-the-top display, mobile, video and social media products.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generate revenue primarily through advertising and marketing services, subscriptions to our digital and print products, and digital services, primarily through our majority-owned subsidiary, BLOX DIgital. Our operations also provide printing and distribution of third-party publications.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9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a major subscription and advertising platform, a trusted local news provider and innovative, digitally-focused marketing solutions company. Our focus is on the local market - including local news and information, local advertising and marketing services to top local accounts, and digital services to local content curators. To align with the core strength of our Company, our operating strategy is locally focused around three pillars:</w:t>
      </w:r>
    </w:p>
    <w:p>
      <w:pPr>
        <w:spacing w:after="0" w:line="16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 digital audiences by transforming the way we present local news and information</w:t>
      </w:r>
    </w:p>
    <w:p>
      <w:pPr>
        <w:spacing w:after="0" w:line="184"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our digital subscription base and revenue through audience growth and continued conversion of our massive digital audiences.</w:t>
      </w:r>
    </w:p>
    <w:p>
      <w:pPr>
        <w:spacing w:after="0" w:line="133" w:lineRule="exact"/>
        <w:rPr>
          <w:rFonts w:ascii="Arial" w:cs="Arial" w:eastAsia="Arial" w:hAnsi="Arial"/>
          <w:sz w:val="18"/>
          <w:szCs w:val="18"/>
          <w:color w:val="auto"/>
        </w:rPr>
      </w:pPr>
    </w:p>
    <w:p>
      <w:pPr>
        <w:jc w:val="both"/>
        <w:ind w:left="660" w:hanging="328"/>
        <w:spacing w:after="0" w:line="23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Diversify and expand offerings for advertisers by launching a portfolio of video advertising initiatives and e-commerce sales strategies through Amplified Digital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will enable advertisers to leverage our vast data-rich digital audiences and reach consumers in new ways.</w:t>
      </w:r>
    </w:p>
    <w:p>
      <w:pPr>
        <w:sectPr>
          <w:pgSz w:w="11900" w:h="16838" w:orient="portrait"/>
          <w:cols w:equalWidth="0" w:num="1">
            <w:col w:w="11240"/>
          </w:cols>
          <w:pgMar w:left="320" w:top="1102"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25, 2023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are summarized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2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4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Percent Change</w:t>
            </w:r>
          </w:p>
        </w:tc>
      </w:tr>
      <w:tr>
        <w:trPr>
          <w:trHeight w:val="253"/>
        </w:trPr>
        <w:tc>
          <w:tcPr>
            <w:tcW w:w="58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6"/>
        </w:trPr>
        <w:tc>
          <w:tcPr>
            <w:tcW w:w="5840" w:type="dxa"/>
            <w:vAlign w:val="bottom"/>
          </w:tcPr>
          <w:p>
            <w:pPr>
              <w:ind w:left="140"/>
              <w:spacing w:after="0"/>
              <w:rPr>
                <w:sz w:val="20"/>
                <w:szCs w:val="20"/>
                <w:color w:val="auto"/>
              </w:rPr>
            </w:pPr>
            <w:r>
              <w:rPr>
                <w:rFonts w:ascii="Arial" w:cs="Arial" w:eastAsia="Arial" w:hAnsi="Arial"/>
                <w:sz w:val="18"/>
                <w:szCs w:val="18"/>
                <w:color w:val="auto"/>
              </w:rPr>
              <w:t>Print advertising revenue</w:t>
            </w:r>
          </w:p>
        </w:tc>
        <w:tc>
          <w:tcPr>
            <w:tcW w:w="2460" w:type="dxa"/>
            <w:vAlign w:val="bottom"/>
          </w:tcPr>
          <w:p>
            <w:pPr>
              <w:jc w:val="right"/>
              <w:ind w:right="410"/>
              <w:spacing w:after="0"/>
              <w:rPr>
                <w:sz w:val="20"/>
                <w:szCs w:val="20"/>
                <w:color w:val="auto"/>
              </w:rPr>
            </w:pPr>
            <w:r>
              <w:rPr>
                <w:rFonts w:ascii="Arial" w:cs="Arial" w:eastAsia="Arial" w:hAnsi="Arial"/>
                <w:sz w:val="18"/>
                <w:szCs w:val="18"/>
                <w:color w:val="auto"/>
              </w:rPr>
              <w:t>29,216</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44,814</w:t>
            </w:r>
          </w:p>
        </w:tc>
        <w:tc>
          <w:tcPr>
            <w:tcW w:w="154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36"/>
        </w:trPr>
        <w:tc>
          <w:tcPr>
            <w:tcW w:w="5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advertising revenue</w:t>
            </w:r>
          </w:p>
        </w:tc>
        <w:tc>
          <w:tcPr>
            <w:tcW w:w="24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49,904</w:t>
            </w:r>
          </w:p>
        </w:tc>
        <w:tc>
          <w:tcPr>
            <w:tcW w:w="1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46,187</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2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2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79,120</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91,001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36"/>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 subscription revenue</w:t>
            </w:r>
          </w:p>
        </w:tc>
        <w:tc>
          <w:tcPr>
            <w:tcW w:w="2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61,842</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78,079</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30"/>
        </w:trPr>
        <w:tc>
          <w:tcPr>
            <w:tcW w:w="5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Digital subscription revenue</w:t>
            </w:r>
          </w:p>
        </w:tc>
        <w:tc>
          <w:tcPr>
            <w:tcW w:w="2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15,715</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10,969</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43.3 %</w:t>
            </w:r>
          </w:p>
        </w:tc>
      </w:tr>
      <w:tr>
        <w:trPr>
          <w:trHeight w:val="223"/>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4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77,557</w:t>
            </w:r>
          </w:p>
        </w:tc>
        <w:tc>
          <w:tcPr>
            <w:tcW w:w="1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89,048</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Print other revenue</w:t>
            </w:r>
          </w:p>
        </w:tc>
        <w:tc>
          <w:tcPr>
            <w:tcW w:w="2460" w:type="dxa"/>
            <w:vAlign w:val="bottom"/>
          </w:tcPr>
          <w:p>
            <w:pPr>
              <w:jc w:val="right"/>
              <w:ind w:right="410"/>
              <w:spacing w:after="0"/>
              <w:rPr>
                <w:sz w:val="20"/>
                <w:szCs w:val="20"/>
                <w:color w:val="auto"/>
              </w:rPr>
            </w:pPr>
            <w:r>
              <w:rPr>
                <w:rFonts w:ascii="Arial" w:cs="Arial" w:eastAsia="Arial" w:hAnsi="Arial"/>
                <w:sz w:val="18"/>
                <w:szCs w:val="18"/>
                <w:color w:val="auto"/>
              </w:rPr>
              <w:t>9,773</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10,671</w:t>
            </w:r>
          </w:p>
        </w:tc>
        <w:tc>
          <w:tcPr>
            <w:tcW w:w="15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6"/>
        </w:trPr>
        <w:tc>
          <w:tcPr>
            <w:tcW w:w="5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other revenue</w:t>
            </w:r>
          </w:p>
        </w:tc>
        <w:tc>
          <w:tcPr>
            <w:tcW w:w="24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4,860</w:t>
            </w:r>
          </w:p>
        </w:tc>
        <w:tc>
          <w:tcPr>
            <w:tcW w:w="1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4,317</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12.6 %</w:t>
            </w:r>
          </w:p>
        </w:tc>
      </w:tr>
      <w:tr>
        <w:trPr>
          <w:trHeight w:val="22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2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14,633</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14,988</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4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171,310</w:t>
            </w:r>
          </w:p>
        </w:tc>
        <w:tc>
          <w:tcPr>
            <w:tcW w:w="1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195,037</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2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63,582</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78,126</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36"/>
        </w:trPr>
        <w:tc>
          <w:tcPr>
            <w:tcW w:w="584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2460" w:type="dxa"/>
            <w:vAlign w:val="bottom"/>
          </w:tcPr>
          <w:p>
            <w:pPr>
              <w:jc w:val="right"/>
              <w:ind w:right="410"/>
              <w:spacing w:after="0"/>
              <w:rPr>
                <w:sz w:val="20"/>
                <w:szCs w:val="20"/>
                <w:color w:val="auto"/>
              </w:rPr>
            </w:pPr>
            <w:r>
              <w:rPr>
                <w:rFonts w:ascii="Arial" w:cs="Arial" w:eastAsia="Arial" w:hAnsi="Arial"/>
                <w:sz w:val="18"/>
                <w:szCs w:val="18"/>
                <w:color w:val="auto"/>
              </w:rPr>
              <w:t>6,346</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7,542</w:t>
            </w:r>
          </w:p>
        </w:tc>
        <w:tc>
          <w:tcPr>
            <w:tcW w:w="154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36"/>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2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80,010</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88,004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460" w:type="dxa"/>
            <w:vAlign w:val="bottom"/>
          </w:tcPr>
          <w:p>
            <w:pPr>
              <w:jc w:val="right"/>
              <w:ind w:right="410"/>
              <w:spacing w:after="0"/>
              <w:rPr>
                <w:sz w:val="20"/>
                <w:szCs w:val="20"/>
                <w:color w:val="auto"/>
              </w:rPr>
            </w:pPr>
            <w:r>
              <w:rPr>
                <w:rFonts w:ascii="Arial" w:cs="Arial" w:eastAsia="Arial" w:hAnsi="Arial"/>
                <w:sz w:val="18"/>
                <w:szCs w:val="18"/>
                <w:color w:val="auto"/>
              </w:rPr>
              <w:t>7,478</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8,818</w:t>
            </w:r>
          </w:p>
        </w:tc>
        <w:tc>
          <w:tcPr>
            <w:tcW w:w="15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 (gain) loss on sales, impairments and other, net</w:t>
            </w:r>
          </w:p>
        </w:tc>
        <w:tc>
          <w:tcPr>
            <w:tcW w:w="2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(900)</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1,086</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r>
      <w:tr>
        <w:trPr>
          <w:trHeight w:val="229"/>
        </w:trPr>
        <w:tc>
          <w:tcPr>
            <w:tcW w:w="5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costs and other</w:t>
            </w:r>
          </w:p>
        </w:tc>
        <w:tc>
          <w:tcPr>
            <w:tcW w:w="2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3,780</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6,072</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160,296</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189,648</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6"/>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2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1,194</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1,050</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13.7 %</w:t>
            </w:r>
          </w:p>
        </w:tc>
      </w:tr>
      <w:tr>
        <w:trPr>
          <w:trHeight w:val="230"/>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12,208</w:t>
            </w:r>
          </w:p>
        </w:tc>
        <w:tc>
          <w:tcPr>
            <w:tcW w:w="1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6,439</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89.6 %</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43"/>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(10,235)</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(10,292)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5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Pension and OPEB related benefit (cost) and other, net</w:t>
            </w:r>
          </w:p>
        </w:tc>
        <w:tc>
          <w:tcPr>
            <w:tcW w:w="2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555</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4,205</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r>
      <w:tr>
        <w:trPr>
          <w:trHeight w:val="223"/>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non-operating expense, net</w:t>
            </w:r>
          </w:p>
        </w:tc>
        <w:tc>
          <w:tcPr>
            <w:tcW w:w="24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(9,680)</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(6,087)</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59.0 %</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460" w:type="dxa"/>
            <w:vAlign w:val="bottom"/>
          </w:tcPr>
          <w:p>
            <w:pPr>
              <w:jc w:val="right"/>
              <w:ind w:right="410"/>
              <w:spacing w:after="0"/>
              <w:rPr>
                <w:sz w:val="20"/>
                <w:szCs w:val="20"/>
                <w:color w:val="auto"/>
              </w:rPr>
            </w:pPr>
            <w:r>
              <w:rPr>
                <w:rFonts w:ascii="Arial" w:cs="Arial" w:eastAsia="Arial" w:hAnsi="Arial"/>
                <w:sz w:val="18"/>
                <w:szCs w:val="18"/>
                <w:color w:val="auto"/>
              </w:rPr>
              <w:t>2,528</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352</w:t>
            </w:r>
          </w:p>
        </w:tc>
        <w:tc>
          <w:tcPr>
            <w:tcW w:w="1540" w:type="dxa"/>
            <w:vAlign w:val="bottom"/>
          </w:tcPr>
          <w:p>
            <w:pPr>
              <w:jc w:val="right"/>
              <w:spacing w:after="0"/>
              <w:rPr>
                <w:sz w:val="20"/>
                <w:szCs w:val="20"/>
                <w:color w:val="auto"/>
              </w:rPr>
            </w:pPr>
            <w:r>
              <w:rPr>
                <w:rFonts w:ascii="Arial" w:cs="Arial" w:eastAsia="Arial" w:hAnsi="Arial"/>
                <w:sz w:val="18"/>
                <w:szCs w:val="18"/>
                <w:color w:val="auto"/>
              </w:rPr>
              <w:t>618.2 %</w:t>
            </w:r>
          </w:p>
        </w:tc>
      </w:tr>
      <w:tr>
        <w:trPr>
          <w:trHeight w:val="236"/>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394</w:t>
            </w:r>
          </w:p>
        </w:tc>
        <w:tc>
          <w:tcPr>
            <w:tcW w:w="1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156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152.6 %</w:t>
            </w:r>
          </w:p>
        </w:tc>
      </w:tr>
      <w:tr>
        <w:trPr>
          <w:trHeight w:val="22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2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2,134</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196</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988.8 %</w:t>
            </w:r>
          </w:p>
        </w:tc>
      </w:tr>
      <w:tr>
        <w:trPr>
          <w:trHeight w:val="263"/>
        </w:trPr>
        <w:tc>
          <w:tcPr>
            <w:tcW w:w="584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Earnings (loss) per common share:</w:t>
            </w:r>
          </w:p>
        </w:tc>
        <w:tc>
          <w:tcPr>
            <w:tcW w:w="2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0.26</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(0.05)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6"/>
        </w:trPr>
        <w:tc>
          <w:tcPr>
            <w:tcW w:w="5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2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0.25</w:t>
            </w: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(0.05)</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bl>
    <w:p>
      <w:pPr>
        <w:spacing w:after="0" w:line="25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References to the “2023 Quarter” refer to the three months ended June 25, 2023. Similarly, references to the “2022 Quarter” refer to the three months ended June 26, 2022.</w:t>
      </w:r>
    </w:p>
    <w:p>
      <w:pPr>
        <w:spacing w:after="0" w:line="1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Operating Revenue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 was $171.3 million in the 2023 Quarter, down $23.7 million, or 12.2%,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6" w:name="page17"/>
    <w:bookmarkEnd w:id="16"/>
    <w:p>
      <w:pPr>
        <w:jc w:val="both"/>
        <w:spacing w:after="0" w:line="243" w:lineRule="auto"/>
        <w:rPr>
          <w:sz w:val="20"/>
          <w:szCs w:val="20"/>
          <w:color w:val="auto"/>
        </w:rPr>
      </w:pPr>
      <w:r>
        <w:rPr>
          <w:rFonts w:ascii="Arial" w:cs="Arial" w:eastAsia="Arial" w:hAnsi="Arial"/>
          <w:sz w:val="18"/>
          <w:szCs w:val="18"/>
          <w:color w:val="auto"/>
        </w:rPr>
        <w:t>Advertising and marketing services revenue totaled $79.1 million in the 2023 Quarter, down 13.1% compared to the 2022 Quarter. Advertising revenue, print and digital, was adversely affected by a broader, industry-wide pull back in advertising spending. Print advertising revenues were $29.2 million in the 2023 Quarter, down 34.8% compared to the 2022 Quarter due to the soft advertising environment and a continued secular declines in demand for print advertising. Digital advertising and marketing services totaled $49.9 million in the 2023 Quarter, up 8.0% compared to the 2022 Quarter. These gains resulted from an increase in Amplified Digital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 of $3.2 million or 15% compared to the 2022 Quarter. Digital advertising and marketing services represented 63.1% of the 2023 Quarter total advertising and marketing services revenue, compared to 50.8% in the same period last year.</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Subscription revenue totaled $77.6 million in the 2023 Quarter, down 12.9% compared to the 2022 Quarter. Decline in full access volume, consistent with historical and industry trends was partially offset by marketing efforts driving price yield on our full access subscriptions, growth in digital-only subscribers and price increases on digital subscriptions. Digital-only subscribers grew 21.0% since the 2022 Quarter and now total 606,000, and revenue from digital-only subscribers totaled $15.7 million, up 43.3% compared to the 2022 Quarter.</w:t>
      </w:r>
    </w:p>
    <w:p>
      <w:pPr>
        <w:spacing w:after="0" w:line="14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Other revenue, which primarily consists of commercial printing revenue and digital services from BLOX Digital, decreased $0.4 million, or 2.4%, in the 2023 Quarter compared to the 2022 Quarter. Digital services revenue totaled $4.9 million in the 2023 Quarter, a 12.6% increase compared to the 2022 Quarter. Commercial printing revenue totaled $5.1 million in the 2023 Quarter, a 5.0% decrease compared to the 2022 Quarter, primarily driven by reduction in print volumes from our partners.</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$70.5 million in the 2023 Quarter, an increase of 14.7% over the 2022 Quarter, and represented 41.1% of our total operating revenue in the 2023 Quarter.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increased $0.1 million in the 2023 Quarter.</w:t>
      </w:r>
    </w:p>
    <w:p>
      <w:pPr>
        <w:spacing w:after="0" w:line="17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Operating Expenses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operating expenses were $160.3 million in the 2023 Quarter, a 15.5% decrease compared to the 2022 Quarter. Cash Costs, a non-GAAP financial measure used to summarize certain operating expense (see reconciliation of non-GAAP financial measures below), were down 13.7% in the 2023 Quarter.</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Compensation expense decreased $14.5 million in the 2023 Quarter, or 18.6%, compared to the 2022 Quarter from reductions in headcount due to continued business transformation efforts, partially offset by investments in digital talent.</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Newsprint and ink costs decreased $1.2 million in the 2023 Quarter, or 15.9%, compared to the 2022 Quarter. The decrease is attributable to declines in newsprint volumes offset by higher newsprint prices. See Item 3, “Commodities”, included herein, for further discussion and analysis of the impact of newsprint on our business.</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operating expenses decreased $8.0 million in the 2023 Quarter, or 9.1%, compared to the 2022 Quarter. Other operating expenses include all operating costs not considered to be compensation, newsprint, depreciation and amortization, or restructuring costs and assets loss on sales, impairments, and other, net. The largest components are costs associated with printing and distribution of our printed products, digital costs of goods sold and facility expenses. The decrease is attributable to lower delivery and other print-related costs due to lower volumes of our print editions partially offset by investments to fund our digital growth strategy.</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Restructuring costs and other totaled $3.8 million and $6.1 million in the 2023 Quarter and 2022 Quarter, respectively. Restructuring costs and other include severance costs, litigation expenses, restructuring expenses, and advisor expenses. Restructuring costs in the 2023 Quarter are predominately severance related to our ongoing business transformation tied to our Three Pillar digital growth strategy, while restructuring costs in the 2022 quarter also include costs associated with the unsolicited offer in November 2021.</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Depreciation and amortization expense decreased $1.3 million, or 15.2%, in the 2023 Quarter. The decrease in both is attributable to assets becoming fully depreciated or amortized.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Assets gain on sales, impairments and other, was a net gain of $0.9 million in the 2023 Quarter compared to a net loss of $1.1 million in the 2022 Quarter. Assets gain on sales, impairments and other in the 2023 Quarter and in the 2022 Quarter were the result of the disposition of non-core assets, including real estate.</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factors noted above resulted in an operating income of $12.2 million in the 2023 Quarter compared to operating income of $6.4 million in the 2022 Quarter.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Non-operating Income and Expense</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Interest expense was down 1.0% at $ 10.2 million in the 2023 Quarter, compared to the same period last year. Our weighted average cost of debt was 9.0% at the end of the 2023 Quarter and 2022 Quarter.</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We recorded $0.3 million periodic pension and other postretirement benefits in the 2023 Quarter compared to $3.6 million in the 2022 Quarter.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Expense (Benefit)</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recorded an income tax expense of $0.4 million, or 15.6% of pretax income in the 2023 Quarter. In the 2022 Quarter, we recognized an income tax expense of $0.2 million, or 44.3% of pretax income.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(Loss) and Earnings (Losses) Per Share</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Net income was $2.1 million and diluted earnings per share were $0.25 for the 2023 Quarter compared to net income of $0.2 million and diluted losses per share of $0.05 for the 2022 Quarter. The change reflects the various items discussed above.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8" w:name="page19"/>
    <w:bookmarkEnd w:id="18"/>
    <w:p>
      <w:pPr>
        <w:ind w:left="4180"/>
        <w:spacing w:after="0"/>
        <w:rPr>
          <w:sz w:val="20"/>
          <w:szCs w:val="20"/>
          <w:color w:val="auto"/>
        </w:rPr>
      </w:pPr>
      <w:r>
        <w:rPr>
          <w:rFonts w:ascii="Arial" w:cs="Arial" w:eastAsia="Arial" w:hAnsi="Arial"/>
          <w:sz w:val="18"/>
          <w:szCs w:val="18"/>
          <w:b w:val="1"/>
          <w:bCs w:val="1"/>
          <w:color w:val="auto"/>
        </w:rPr>
        <w:t>Nine Months Ended June 25, 2023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26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June 25, 2023</w:t>
            </w:r>
          </w:p>
        </w:tc>
        <w:tc>
          <w:tcPr>
            <w:tcW w:w="16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June 26, 2022</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Percent Change</w:t>
            </w:r>
          </w:p>
        </w:tc>
      </w:tr>
      <w:tr>
        <w:trPr>
          <w:trHeight w:val="263"/>
        </w:trPr>
        <w:tc>
          <w:tcPr>
            <w:tcW w:w="536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6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Print advertising revenue</w:t>
            </w:r>
          </w:p>
        </w:tc>
        <w:tc>
          <w:tcPr>
            <w:tcW w:w="2620" w:type="dxa"/>
            <w:vAlign w:val="bottom"/>
          </w:tcPr>
          <w:p>
            <w:pPr>
              <w:jc w:val="right"/>
              <w:ind w:right="190"/>
              <w:spacing w:after="0"/>
              <w:rPr>
                <w:sz w:val="20"/>
                <w:szCs w:val="20"/>
                <w:color w:val="auto"/>
              </w:rPr>
            </w:pPr>
            <w:r>
              <w:rPr>
                <w:rFonts w:ascii="Arial" w:cs="Arial" w:eastAsia="Arial" w:hAnsi="Arial"/>
                <w:sz w:val="18"/>
                <w:szCs w:val="18"/>
                <w:color w:val="auto"/>
              </w:rPr>
              <w:t>102,503</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145,032</w:t>
            </w:r>
          </w:p>
        </w:tc>
        <w:tc>
          <w:tcPr>
            <w:tcW w:w="152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36"/>
        </w:trPr>
        <w:tc>
          <w:tcPr>
            <w:tcW w:w="5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advertising revenue</w:t>
            </w:r>
          </w:p>
        </w:tc>
        <w:tc>
          <w:tcPr>
            <w:tcW w:w="26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143,903</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132,356</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2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246,406</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277,388</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 subscription revenue</w:t>
            </w:r>
          </w:p>
        </w:tc>
        <w:tc>
          <w:tcPr>
            <w:tcW w:w="2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193,799</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234,962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7"/>
        </w:trPr>
        <w:tc>
          <w:tcPr>
            <w:tcW w:w="5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Digital subscription revenue</w:t>
            </w:r>
          </w:p>
        </w:tc>
        <w:tc>
          <w:tcPr>
            <w:tcW w:w="2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42,039</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28,953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45.2 %</w:t>
            </w:r>
          </w:p>
        </w:tc>
      </w:tr>
      <w:tr>
        <w:trPr>
          <w:trHeight w:val="230"/>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6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235,838</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263,915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5360" w:type="dxa"/>
            <w:vAlign w:val="bottom"/>
          </w:tcPr>
          <w:p>
            <w:pPr>
              <w:ind w:left="140"/>
              <w:spacing w:after="0"/>
              <w:rPr>
                <w:sz w:val="20"/>
                <w:szCs w:val="20"/>
                <w:color w:val="auto"/>
              </w:rPr>
            </w:pPr>
            <w:r>
              <w:rPr>
                <w:rFonts w:ascii="Arial" w:cs="Arial" w:eastAsia="Arial" w:hAnsi="Arial"/>
                <w:sz w:val="18"/>
                <w:szCs w:val="18"/>
                <w:color w:val="auto"/>
              </w:rPr>
              <w:t>Print other revenue</w:t>
            </w:r>
          </w:p>
        </w:tc>
        <w:tc>
          <w:tcPr>
            <w:tcW w:w="2620" w:type="dxa"/>
            <w:vAlign w:val="bottom"/>
          </w:tcPr>
          <w:p>
            <w:pPr>
              <w:jc w:val="right"/>
              <w:ind w:right="190"/>
              <w:spacing w:after="0"/>
              <w:rPr>
                <w:sz w:val="20"/>
                <w:szCs w:val="20"/>
                <w:color w:val="auto"/>
              </w:rPr>
            </w:pPr>
            <w:r>
              <w:rPr>
                <w:rFonts w:ascii="Arial" w:cs="Arial" w:eastAsia="Arial" w:hAnsi="Arial"/>
                <w:sz w:val="18"/>
                <w:szCs w:val="18"/>
                <w:color w:val="auto"/>
              </w:rPr>
              <w:t>30,542</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32,430</w:t>
            </w:r>
          </w:p>
        </w:tc>
        <w:tc>
          <w:tcPr>
            <w:tcW w:w="1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7"/>
        </w:trPr>
        <w:tc>
          <w:tcPr>
            <w:tcW w:w="5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other revenue</w:t>
            </w:r>
          </w:p>
        </w:tc>
        <w:tc>
          <w:tcPr>
            <w:tcW w:w="26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14,343</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13,600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29"/>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2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44,885</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46,030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6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527,129</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587,333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6"/>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2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207,859</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246,333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2620" w:type="dxa"/>
            <w:vAlign w:val="bottom"/>
          </w:tcPr>
          <w:p>
            <w:pPr>
              <w:jc w:val="right"/>
              <w:ind w:right="190"/>
              <w:spacing w:after="0"/>
              <w:rPr>
                <w:sz w:val="20"/>
                <w:szCs w:val="20"/>
                <w:color w:val="auto"/>
              </w:rPr>
            </w:pPr>
            <w:r>
              <w:rPr>
                <w:rFonts w:ascii="Arial" w:cs="Arial" w:eastAsia="Arial" w:hAnsi="Arial"/>
                <w:sz w:val="18"/>
                <w:szCs w:val="18"/>
                <w:color w:val="auto"/>
              </w:rPr>
              <w:t>20,244</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22,254</w:t>
            </w:r>
          </w:p>
        </w:tc>
        <w:tc>
          <w:tcPr>
            <w:tcW w:w="15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2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249,353</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258,665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20" w:type="dxa"/>
            <w:vAlign w:val="bottom"/>
          </w:tcPr>
          <w:p>
            <w:pPr>
              <w:jc w:val="right"/>
              <w:ind w:right="190"/>
              <w:spacing w:after="0"/>
              <w:rPr>
                <w:sz w:val="20"/>
                <w:szCs w:val="20"/>
                <w:color w:val="auto"/>
              </w:rPr>
            </w:pPr>
            <w:r>
              <w:rPr>
                <w:rFonts w:ascii="Arial" w:cs="Arial" w:eastAsia="Arial" w:hAnsi="Arial"/>
                <w:sz w:val="18"/>
                <w:szCs w:val="18"/>
                <w:color w:val="auto"/>
              </w:rPr>
              <w:t>23,097</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27,445</w:t>
            </w:r>
          </w:p>
        </w:tc>
        <w:tc>
          <w:tcPr>
            <w:tcW w:w="15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 gain on sales, impairments and other</w:t>
            </w:r>
          </w:p>
        </w:tc>
        <w:tc>
          <w:tcPr>
            <w:tcW w:w="2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(4,255)</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(11,340)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36"/>
        </w:trPr>
        <w:tc>
          <w:tcPr>
            <w:tcW w:w="5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costs and other</w:t>
            </w:r>
          </w:p>
        </w:tc>
        <w:tc>
          <w:tcPr>
            <w:tcW w:w="2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8,120</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19,862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504,418</w:t>
            </w:r>
          </w:p>
        </w:tc>
        <w:tc>
          <w:tcPr>
            <w:tcW w:w="1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563,219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2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3,534</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4,211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26,245</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28,325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Non-operating income (expense):</w:t>
            </w:r>
          </w:p>
        </w:tc>
        <w:tc>
          <w:tcPr>
            <w:tcW w:w="2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(31,144)</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(31,478)</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6"/>
        </w:trPr>
        <w:tc>
          <w:tcPr>
            <w:tcW w:w="5360" w:type="dxa"/>
            <w:vAlign w:val="bottom"/>
          </w:tcPr>
          <w:p>
            <w:pPr>
              <w:ind w:left="140"/>
              <w:spacing w:after="0"/>
              <w:rPr>
                <w:sz w:val="20"/>
                <w:szCs w:val="20"/>
                <w:color w:val="auto"/>
              </w:rPr>
            </w:pPr>
            <w:r>
              <w:rPr>
                <w:rFonts w:ascii="Arial" w:cs="Arial" w:eastAsia="Arial" w:hAnsi="Arial"/>
                <w:sz w:val="18"/>
                <w:szCs w:val="18"/>
                <w:color w:val="auto"/>
              </w:rPr>
              <w:t>Curtailment gain</w:t>
            </w:r>
          </w:p>
        </w:tc>
        <w:tc>
          <w:tcPr>
            <w:tcW w:w="2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1,027</w:t>
            </w:r>
          </w:p>
        </w:tc>
        <w:tc>
          <w:tcPr>
            <w:tcW w:w="15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6"/>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withdrawal cost</w:t>
            </w:r>
          </w:p>
        </w:tc>
        <w:tc>
          <w:tcPr>
            <w:tcW w:w="2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(2,335)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5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Pension and OPEB related benefit and other, net</w:t>
            </w:r>
          </w:p>
        </w:tc>
        <w:tc>
          <w:tcPr>
            <w:tcW w:w="2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2,255</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13,525</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r>
      <w:tr>
        <w:trPr>
          <w:trHeight w:val="230"/>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non-operating expense, net</w:t>
            </w:r>
          </w:p>
        </w:tc>
        <w:tc>
          <w:tcPr>
            <w:tcW w:w="2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(28,889)</w:t>
            </w:r>
          </w:p>
        </w:tc>
        <w:tc>
          <w:tcPr>
            <w:tcW w:w="16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(19,261)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50.0 %</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2620" w:type="dxa"/>
            <w:vAlign w:val="bottom"/>
          </w:tcPr>
          <w:p>
            <w:pPr>
              <w:jc w:val="right"/>
              <w:ind w:right="130"/>
              <w:spacing w:after="0"/>
              <w:rPr>
                <w:sz w:val="20"/>
                <w:szCs w:val="20"/>
                <w:color w:val="auto"/>
              </w:rPr>
            </w:pPr>
            <w:r>
              <w:rPr>
                <w:rFonts w:ascii="Arial" w:cs="Arial" w:eastAsia="Arial" w:hAnsi="Arial"/>
                <w:sz w:val="18"/>
                <w:szCs w:val="18"/>
                <w:color w:val="auto"/>
              </w:rPr>
              <w:t>(2,644)</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9,064</w:t>
            </w:r>
          </w:p>
        </w:tc>
        <w:tc>
          <w:tcPr>
            <w:tcW w:w="1520" w:type="dxa"/>
            <w:vAlign w:val="bottom"/>
          </w:tcPr>
          <w:p>
            <w:pPr>
              <w:jc w:val="right"/>
              <w:spacing w:after="0"/>
              <w:rPr>
                <w:sz w:val="20"/>
                <w:szCs w:val="20"/>
                <w:color w:val="auto"/>
              </w:rPr>
            </w:pPr>
            <w:r>
              <w:rPr>
                <w:rFonts w:ascii="Arial" w:cs="Arial" w:eastAsia="Arial" w:hAnsi="Arial"/>
                <w:sz w:val="18"/>
                <w:szCs w:val="18"/>
                <w:color w:val="auto"/>
              </w:rPr>
              <w:t>(129.2)%</w:t>
            </w:r>
          </w:p>
        </w:tc>
      </w:tr>
      <w:tr>
        <w:trPr>
          <w:trHeight w:val="230"/>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(1,237)</w:t>
            </w:r>
          </w:p>
        </w:tc>
        <w:tc>
          <w:tcPr>
            <w:tcW w:w="16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2,363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income</w:t>
            </w:r>
          </w:p>
        </w:tc>
        <w:tc>
          <w:tcPr>
            <w:tcW w:w="2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(1,407)</w:t>
            </w: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6,701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r>
      <w:tr>
        <w:trPr>
          <w:trHeight w:val="256"/>
        </w:trPr>
        <w:tc>
          <w:tcPr>
            <w:tcW w:w="536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Earnings (loss) per common share:</w:t>
            </w:r>
          </w:p>
        </w:tc>
        <w:tc>
          <w:tcPr>
            <w:tcW w:w="2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43"/>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(0.56)</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0.89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r>
      <w:tr>
        <w:trPr>
          <w:trHeight w:val="230"/>
        </w:trPr>
        <w:tc>
          <w:tcPr>
            <w:tcW w:w="5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2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(0.56)</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0.87</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w:t>
            </w:r>
          </w:p>
        </w:tc>
      </w:tr>
    </w:tbl>
    <w:p>
      <w:pPr>
        <w:spacing w:after="0" w:line="25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References to the “2023 Period” refer to the nine months ended June 25, 2023. Similarly, references to the “2022 Period” refer to the nine months ended June 26, 2022.</w:t>
      </w:r>
    </w:p>
    <w:p>
      <w:pPr>
        <w:spacing w:after="0" w:line="1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Operating Revenue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 was $527.1 million in the 2023 Period, down $60.2 million, or 10.3%, compared to the 2022 Period.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9" w:name="page20"/>
    <w:bookmarkEnd w:id="19"/>
    <w:p>
      <w:pPr>
        <w:jc w:val="both"/>
        <w:spacing w:after="0" w:line="243" w:lineRule="auto"/>
        <w:rPr>
          <w:sz w:val="20"/>
          <w:szCs w:val="20"/>
          <w:color w:val="auto"/>
        </w:rPr>
      </w:pPr>
      <w:r>
        <w:rPr>
          <w:rFonts w:ascii="Arial" w:cs="Arial" w:eastAsia="Arial" w:hAnsi="Arial"/>
          <w:sz w:val="18"/>
          <w:szCs w:val="18"/>
          <w:color w:val="auto"/>
        </w:rPr>
        <w:t>Advertising and marketing services revenue totaled $246.4 million in the 2023 Period, down 11.2% compared to the prior year. Advertising revenue, print and digital, was adversely affected by a broader, industry-wide pull back in advertising spending. Print advertising revenues were $102.5 million in the 2023 Period, down 29.3% compared to the prior year due to the soft advertising environment and a continued secular decline in demand for print advertising. Digital advertising and marketing services totaled $143.9 million in the 2023 Period, up 8.7% compared to the prior year. These gains resulted from an 24.8% increase in Amplified Digital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 and an increase in advertising on our owned and operated sites. Digital advertising and marketing services represented 58.4% of the 2022 Period total advertising and marketing services revenue, compared to 47.7% in the same period last year.</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Subscription revenue totaled $235.8 million in the 2023 Period, down 10.6% compared to the 2022 Period. The decline in full access volume, consistent with historical and industry trends were partially offset by growth in digital only subscribers and marketing efforts driving price yield on our full access subscriptions. Digital only subscribers grew 21.0% since the 2022 Period and now total 606,000.</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Other revenue, which primarily consists of commercial printing revenue and digital services from BLOX Digital, decreased $1.1 million, or 2.5%, in the 2023 Period compared to the 2022 Period. Digital services revenue totaled $14.3 million in the 2023 Period, a 5.5% increase compared to the 2022 Period. Commercial printing revenue totaled $15.3 million in the 2023 Period, a 5.6% decrease compared to the 2022 Period primarily driven by reduction in print volumes from our partners.</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$200.3 million in the 2023 Period, an increase of 14.5% over the 2022 Period, and represented 38.0% of our total operating revenue in the 2023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decreased $0.7 million in the 2023 Period.</w:t>
      </w:r>
    </w:p>
    <w:p>
      <w:pPr>
        <w:spacing w:after="0" w:line="17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Operating Expenses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operating expenses were $504.4 million in the 2023 Period, a 10.4% decrease compared to the 2022 Period. Cash Costs, a non-GAAP financial measure (see reconciliation of non-GAAP financial measures below), were $477.5 million, a 9.4% decrease compared to the 2022 Period.</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Compensation expense decreased $38.5 million in the 2023 Period, or 15.6%, compared to the 2022 Period attributable to reductions in FTE's due to continued business transformation efforts partially offset by investments in digital talent and increasing average compensation levels.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Newsprint and ink costs decreased $ 2.0 million in the 2023 Period, or 9.0%, compared to the 2022 Period. The decrease is attributable to declines in newsprint volumes offset by higher newsprint prices. See Item 3, “Commodities”, included herein, for further discussion and analysis of the impact of newsprint on our business.</w:t>
      </w:r>
    </w:p>
    <w:p>
      <w:pPr>
        <w:spacing w:after="0" w:line="14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Other operating expenses decreased $9.3 million in the 2023 Period, or 3.6%, compared to the 2022 Period. Other operating expenses include all operating costs not considered to be compensation, newsprint, depreciation and amortization, or restructuring costs and assets loss on sales, impairments and other, net. The largest components are costs associated with printing and distribution of our printed products, digital cost of goods sold and facility expenses. The decrease is attributable to lower delivery and other print-related costs due to lower volumes of our print editions increases partially offset by increases to digital costs of goods sold from Amplified Digital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growth, higher input costs due to inflation and investments to fund our digital growth strategy.</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Restructuring costs and other totaled $8.1 million and $19.9 million in the 2023 Period and 2022 Period, respectively. Restructuring costs and other include severance costs, litigation costs, restructuring expenses, and advisor expenses in the 2022 Period associated with an unsolicited takeover offer received in November 2021. Restructuring costs in the 2023 Period are predominately severance related to our ongoing business transformation.</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Depreciation and amortization expense decreased $4.3 million, or 15.8%, in the 2023 Period. The decrease in both is attributable to assets becoming fully depreciated or amortized.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color w:val="auto"/>
        </w:rPr>
        <w:t>Assets (gain) loss on sales, impairments and other, was a net gain of $4.3 million in the 2023 Period compared to a net gain of $11.3 million in the 2022 Period. The gains and losses in the 2023 Period and 2022 Period were the result of the disposition of non-core assets, including real estate.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factors noted above resulted in operating income of $26.2 million in the 2023 Period compared to $28.3 million in the 2022 Period.</w:t>
      </w:r>
    </w:p>
    <w:p>
      <w:pPr>
        <w:spacing w:after="0" w:line="17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Non-operating Income and Expense</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$0.3 million, or 1.1%, to $31.1 million in the 2023 Period, compared to the same period last year. The decrease was due to a lower outstanding balance on our Term Loan. Our weighted average cost of debt was 9.0% at the end of the 2023 Period and 2022 Period.</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Other non-operating income and expense consists of benefits associated with our pension and other postretirement plans. We recorded $0.9 million periodic pension and other postretirement benefits in the 2023 Period compared to $11.6 million in the 2022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recognized a non-cash curtailment gain of $1.0 million in the 2022 Period as a result of freezing certain pension plans.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recognized pension withdrawal costs in the 2022 Period of $2.3 million in connection with the withdrawal from a pension plan that covered certain employees. This withdrawal liability will be paid in equal quarterly installments over the next 20 years.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Expense (Benefit)</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recorded an income tax benefit of $1.2 million or 46.8% of pretax loss, in the 2023 Period. In the 2022 Period, we recognized an income tax expense of $2.4 million or 26.1% of pretax income.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(Loss) and Earnings (Losses) Per Share</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Net loss was $1.4 million and diluted losses per share were $0.56 for the 2023 Period, compared to net income of $6.7 million and diluted earnings per share of $0.87 for the 2022 Period. The change reflects the various items discussed above.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this report, we present Adjusted EBITDA and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one-time transactions. Adjusted EBITDA is also a component of the calculation used by stockholders and analysts to determine the value of our business when using the market approach, which applies a market multiple to financial metrics. It is also a</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1" w:name="page22"/>
    <w:bookmarkEnd w:id="21"/>
    <w:p>
      <w:pPr>
        <w:jc w:val="both"/>
        <w:spacing w:after="0" w:line="258" w:lineRule="auto"/>
        <w:rPr>
          <w:sz w:val="20"/>
          <w:szCs w:val="20"/>
          <w:color w:val="auto"/>
        </w:rPr>
      </w:pPr>
      <w:r>
        <w:rPr>
          <w:rFonts w:ascii="Arial" w:cs="Arial" w:eastAsia="Arial" w:hAnsi="Arial"/>
          <w:sz w:val="18"/>
          <w:szCs w:val="18"/>
          <w:color w:val="auto"/>
        </w:rPr>
        <w:t>measure used to calculate the leverage ratio of the Company, which is a key financial ratio monitored and used by the Company and its investors. Adjusted EBITDA is defined as net income (loss), plus non-operating expenses, income tax expense, depreciation and amortization, assets loss (gain) on sales, impairments and other, restructuring costs and other, stock compensation and our 50% share of EBITDA from TNI and MNI, minus equity in earnings of TNI and MNI.</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cash. This measure is useful to investors in understanding the components of the Company’s cash-settled operating costs. Generally,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non-cash operating expenses and other expenses are excluded. Cash Costs also exclude restructuring costs and other, which are typically settled in cash.</w:t>
      </w:r>
    </w:p>
    <w:p>
      <w:pPr>
        <w:spacing w:after="0" w:line="15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Adjusted EBITDA and Cash Costs are reconciled to net income (loss) and operating expenses, below, the closest comparable numbers under GAAP.</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GAAP measure: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20" w:type="dxa"/>
            <w:vAlign w:val="bottom"/>
            <w:tcBorders>
              <w:top w:val="single" w:sz="8" w:color="auto"/>
              <w:bottom w:val="single" w:sz="8" w:color="auto"/>
            </w:tcBorders>
          </w:tcPr>
          <w:p>
            <w:pPr>
              <w:spacing w:after="0"/>
              <w:rPr>
                <w:sz w:val="21"/>
                <w:szCs w:val="21"/>
                <w:color w:val="auto"/>
              </w:rPr>
            </w:pPr>
          </w:p>
        </w:tc>
        <w:tc>
          <w:tcPr>
            <w:tcW w:w="3580" w:type="dxa"/>
            <w:vAlign w:val="bottom"/>
            <w:tcBorders>
              <w:top w:val="single" w:sz="8" w:color="auto"/>
              <w:bottom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Three months ended</w:t>
            </w:r>
          </w:p>
        </w:tc>
        <w:tc>
          <w:tcPr>
            <w:tcW w:w="2640" w:type="dxa"/>
            <w:vAlign w:val="bottom"/>
            <w:tcBorders>
              <w:top w:val="single" w:sz="8" w:color="auto"/>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Nine months ended</w:t>
            </w:r>
          </w:p>
        </w:tc>
      </w:tr>
      <w:tr>
        <w:trPr>
          <w:trHeight w:val="23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June 25, 2023</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June 26, 2022</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June 25, 2023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June 26, 2022</w:t>
            </w:r>
          </w:p>
        </w:tc>
      </w:tr>
      <w:tr>
        <w:trPr>
          <w:trHeight w:val="253"/>
        </w:trPr>
        <w:tc>
          <w:tcPr>
            <w:tcW w:w="50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2,134</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196</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r>
      <w:tr>
        <w:trPr>
          <w:trHeight w:val="236"/>
        </w:trPr>
        <w:tc>
          <w:tcPr>
            <w:tcW w:w="5020" w:type="dxa"/>
            <w:vAlign w:val="bottom"/>
          </w:tcPr>
          <w:p>
            <w:pPr>
              <w:ind w:left="20"/>
              <w:spacing w:after="0"/>
              <w:rPr>
                <w:sz w:val="20"/>
                <w:szCs w:val="20"/>
                <w:color w:val="auto"/>
              </w:rPr>
            </w:pPr>
            <w:r>
              <w:rPr>
                <w:rFonts w:ascii="Arial" w:cs="Arial" w:eastAsia="Arial" w:hAnsi="Arial"/>
                <w:sz w:val="18"/>
                <w:szCs w:val="18"/>
                <w:color w:val="auto"/>
              </w:rPr>
              <w:t>Adjusted to exclude</w:t>
            </w:r>
          </w:p>
        </w:tc>
        <w:tc>
          <w:tcPr>
            <w:tcW w:w="2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6"/>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 (benefit)</w:t>
            </w:r>
          </w:p>
        </w:tc>
        <w:tc>
          <w:tcPr>
            <w:tcW w:w="2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394</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156</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Non-operating expenses, net</w:t>
            </w:r>
          </w:p>
        </w:tc>
        <w:tc>
          <w:tcPr>
            <w:tcW w:w="2200" w:type="dxa"/>
            <w:vAlign w:val="bottom"/>
          </w:tcPr>
          <w:p>
            <w:pPr>
              <w:jc w:val="right"/>
              <w:ind w:right="70"/>
              <w:spacing w:after="0"/>
              <w:rPr>
                <w:sz w:val="20"/>
                <w:szCs w:val="20"/>
                <w:color w:val="auto"/>
              </w:rPr>
            </w:pPr>
            <w:r>
              <w:rPr>
                <w:rFonts w:ascii="Arial" w:cs="Arial" w:eastAsia="Arial" w:hAnsi="Arial"/>
                <w:sz w:val="18"/>
                <w:szCs w:val="18"/>
                <w:color w:val="auto"/>
              </w:rPr>
              <w:t>9,680</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6,087</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28,889</w:t>
            </w:r>
          </w:p>
        </w:tc>
        <w:tc>
          <w:tcPr>
            <w:tcW w:w="1280" w:type="dxa"/>
            <w:vAlign w:val="bottom"/>
          </w:tcPr>
          <w:p>
            <w:pPr>
              <w:jc w:val="right"/>
              <w:spacing w:after="0"/>
              <w:rPr>
                <w:sz w:val="20"/>
                <w:szCs w:val="20"/>
                <w:color w:val="auto"/>
              </w:rPr>
            </w:pPr>
            <w:r>
              <w:rPr>
                <w:rFonts w:ascii="Arial" w:cs="Arial" w:eastAsia="Arial" w:hAnsi="Arial"/>
                <w:sz w:val="18"/>
                <w:szCs w:val="18"/>
                <w:color w:val="auto"/>
              </w:rPr>
              <w:t>19,261</w:t>
            </w:r>
          </w:p>
        </w:tc>
      </w:tr>
      <w:tr>
        <w:trPr>
          <w:trHeight w:val="243"/>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TNI and MNI</w:t>
            </w:r>
          </w:p>
        </w:tc>
        <w:tc>
          <w:tcPr>
            <w:tcW w:w="2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(1,194)</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(3,534)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w:t>
            </w: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200" w:type="dxa"/>
            <w:vAlign w:val="bottom"/>
          </w:tcPr>
          <w:p>
            <w:pPr>
              <w:jc w:val="right"/>
              <w:ind w:right="70"/>
              <w:spacing w:after="0"/>
              <w:rPr>
                <w:sz w:val="20"/>
                <w:szCs w:val="20"/>
                <w:color w:val="auto"/>
              </w:rPr>
            </w:pPr>
            <w:r>
              <w:rPr>
                <w:rFonts w:ascii="Arial" w:cs="Arial" w:eastAsia="Arial" w:hAnsi="Arial"/>
                <w:sz w:val="18"/>
                <w:szCs w:val="18"/>
                <w:color w:val="auto"/>
              </w:rPr>
              <w:t>7,478</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8,818</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23,097</w:t>
            </w:r>
          </w:p>
        </w:tc>
        <w:tc>
          <w:tcPr>
            <w:tcW w:w="1280" w:type="dxa"/>
            <w:vAlign w:val="bottom"/>
          </w:tcPr>
          <w:p>
            <w:pPr>
              <w:jc w:val="right"/>
              <w:spacing w:after="0"/>
              <w:rPr>
                <w:sz w:val="20"/>
                <w:szCs w:val="20"/>
                <w:color w:val="auto"/>
              </w:rPr>
            </w:pPr>
            <w:r>
              <w:rPr>
                <w:rFonts w:ascii="Arial" w:cs="Arial" w:eastAsia="Arial" w:hAnsi="Arial"/>
                <w:sz w:val="18"/>
                <w:szCs w:val="18"/>
                <w:color w:val="auto"/>
              </w:rPr>
              <w:t>27,445</w:t>
            </w: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2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3,780</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6,072</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8,120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19,862</w:t>
            </w:r>
          </w:p>
        </w:tc>
      </w:tr>
      <w:tr>
        <w:trPr>
          <w:trHeight w:val="236"/>
        </w:trPr>
        <w:tc>
          <w:tcPr>
            <w:tcW w:w="5020" w:type="dxa"/>
            <w:vAlign w:val="bottom"/>
          </w:tcPr>
          <w:p>
            <w:pPr>
              <w:ind w:left="140"/>
              <w:spacing w:after="0"/>
              <w:rPr>
                <w:sz w:val="20"/>
                <w:szCs w:val="20"/>
                <w:color w:val="auto"/>
              </w:rPr>
            </w:pPr>
            <w:r>
              <w:rPr>
                <w:rFonts w:ascii="Arial" w:cs="Arial" w:eastAsia="Arial" w:hAnsi="Arial"/>
                <w:sz w:val="18"/>
                <w:szCs w:val="18"/>
                <w:color w:val="auto"/>
              </w:rPr>
              <w:t>Assets (gain) loss on sales, impairments and other, net</w:t>
            </w:r>
          </w:p>
        </w:tc>
        <w:tc>
          <w:tcPr>
            <w:tcW w:w="2200" w:type="dxa"/>
            <w:vAlign w:val="bottom"/>
          </w:tcPr>
          <w:p>
            <w:pPr>
              <w:jc w:val="right"/>
              <w:ind w:right="30"/>
              <w:spacing w:after="0"/>
              <w:rPr>
                <w:sz w:val="20"/>
                <w:szCs w:val="20"/>
                <w:color w:val="auto"/>
              </w:rPr>
            </w:pPr>
            <w:r>
              <w:rPr>
                <w:rFonts w:ascii="Arial" w:cs="Arial" w:eastAsia="Arial" w:hAnsi="Arial"/>
                <w:sz w:val="18"/>
                <w:szCs w:val="18"/>
                <w:color w:val="auto"/>
              </w:rPr>
              <w:t>(900)</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1,086</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(4,255)</w:t>
            </w:r>
          </w:p>
        </w:tc>
        <w:tc>
          <w:tcPr>
            <w:tcW w:w="1280" w:type="dxa"/>
            <w:vAlign w:val="bottom"/>
          </w:tcPr>
          <w:p>
            <w:pPr>
              <w:jc w:val="right"/>
              <w:spacing w:after="0"/>
              <w:rPr>
                <w:sz w:val="20"/>
                <w:szCs w:val="20"/>
                <w:color w:val="auto"/>
              </w:rPr>
            </w:pPr>
            <w:r>
              <w:rPr>
                <w:rFonts w:ascii="Arial" w:cs="Arial" w:eastAsia="Arial" w:hAnsi="Arial"/>
                <w:sz w:val="18"/>
                <w:szCs w:val="18"/>
                <w:color w:val="auto"/>
              </w:rPr>
              <w:t>(11,340)</w:t>
            </w:r>
          </w:p>
        </w:tc>
      </w:tr>
      <w:tr>
        <w:trPr>
          <w:trHeight w:val="236"/>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w:t>
            </w:r>
          </w:p>
        </w:tc>
        <w:tc>
          <w:tcPr>
            <w:tcW w:w="2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462</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327</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1,384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Add:</w:t>
            </w:r>
          </w:p>
        </w:tc>
        <w:tc>
          <w:tcPr>
            <w:tcW w:w="2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6"/>
        </w:trPr>
        <w:tc>
          <w:tcPr>
            <w:tcW w:w="5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Ownership share of TNI and MNI EBITDA (50%)</w:t>
            </w:r>
          </w:p>
        </w:tc>
        <w:tc>
          <w:tcPr>
            <w:tcW w:w="2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1,406</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1,268</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4,128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4,864</w:t>
            </w:r>
          </w:p>
        </w:tc>
      </w:tr>
      <w:tr>
        <w:trPr>
          <w:trHeight w:val="23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EBITDA</w:t>
            </w:r>
          </w:p>
        </w:tc>
        <w:tc>
          <w:tcPr>
            <w:tcW w:w="2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23,240</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22,960</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55,185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65,971</w:t>
            </w: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898"/>
        </w:trPr>
        <w:tc>
          <w:tcPr>
            <w:tcW w:w="5020" w:type="dxa"/>
            <w:vAlign w:val="bottom"/>
          </w:tcPr>
          <w:p>
            <w:pPr>
              <w:spacing w:after="0"/>
              <w:rPr>
                <w:sz w:val="24"/>
                <w:szCs w:val="24"/>
                <w:color w:val="auto"/>
              </w:rPr>
            </w:pPr>
          </w:p>
        </w:tc>
        <w:tc>
          <w:tcPr>
            <w:tcW w:w="2200" w:type="dxa"/>
            <w:vAlign w:val="bottom"/>
          </w:tcPr>
          <w:p>
            <w:pPr>
              <w:jc w:val="right"/>
              <w:ind w:right="1410"/>
              <w:spacing w:after="0"/>
              <w:rPr>
                <w:sz w:val="20"/>
                <w:szCs w:val="20"/>
                <w:color w:val="auto"/>
              </w:rPr>
            </w:pPr>
            <w:r>
              <w:rPr>
                <w:rFonts w:ascii="Arial" w:cs="Arial" w:eastAsia="Arial" w:hAnsi="Arial"/>
                <w:sz w:val="18"/>
                <w:szCs w:val="18"/>
                <w:color w:val="auto"/>
              </w:rPr>
              <w:t>20</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2" w:name="page23"/>
    <w:bookmarkEnd w:id="22"/>
    <w:p>
      <w:pPr>
        <w:ind w:right="920"/>
        <w:spacing w:after="0" w:line="275" w:lineRule="auto"/>
        <w:rPr>
          <w:sz w:val="20"/>
          <w:szCs w:val="20"/>
          <w:color w:val="auto"/>
        </w:rPr>
      </w:pPr>
      <w:r>
        <w:rPr>
          <w:rFonts w:ascii="Arial" w:cs="Arial" w:eastAsia="Arial" w:hAnsi="Arial"/>
          <w:sz w:val="18"/>
          <w:szCs w:val="18"/>
          <w:color w:val="auto"/>
        </w:rPr>
        <w:t>The table below reconciles the non-GAAP financial performance measure of Cash Costs to Operating expenses, the most directly comparable GAAP measure: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bottom w:val="single" w:sz="8" w:color="auto"/>
            </w:tcBorders>
          </w:tcPr>
          <w:p>
            <w:pPr>
              <w:spacing w:after="0"/>
              <w:rPr>
                <w:sz w:val="21"/>
                <w:szCs w:val="21"/>
                <w:color w:val="auto"/>
              </w:rPr>
            </w:pPr>
          </w:p>
        </w:tc>
        <w:tc>
          <w:tcPr>
            <w:tcW w:w="3600" w:type="dxa"/>
            <w:vAlign w:val="bottom"/>
            <w:tcBorders>
              <w:top w:val="single" w:sz="8" w:color="auto"/>
              <w:bottom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Three months ended</w:t>
            </w:r>
          </w:p>
        </w:tc>
        <w:tc>
          <w:tcPr>
            <w:tcW w:w="2640" w:type="dxa"/>
            <w:vAlign w:val="bottom"/>
            <w:tcBorders>
              <w:top w:val="single" w:sz="8" w:color="auto"/>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Nine months ended</w:t>
            </w:r>
          </w:p>
        </w:tc>
      </w:tr>
      <w:tr>
        <w:trPr>
          <w:trHeight w:val="223"/>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2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June 25, 2023</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June 26, 2022</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June 25, 2023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June 26, 2022</w:t>
            </w:r>
          </w:p>
        </w:tc>
      </w:tr>
      <w:tr>
        <w:trPr>
          <w:trHeight w:val="263"/>
        </w:trPr>
        <w:tc>
          <w:tcPr>
            <w:tcW w:w="50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160,296</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189,648</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504,418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563,219</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7,478</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8,818</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23,097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27,445</w:t>
            </w: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Assets gain on sales, impairments and other, net</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(900)</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1,086</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(4,255)</w:t>
            </w:r>
          </w:p>
        </w:tc>
        <w:tc>
          <w:tcPr>
            <w:tcW w:w="1280" w:type="dxa"/>
            <w:vAlign w:val="bottom"/>
          </w:tcPr>
          <w:p>
            <w:pPr>
              <w:jc w:val="right"/>
              <w:spacing w:after="0"/>
              <w:rPr>
                <w:sz w:val="20"/>
                <w:szCs w:val="20"/>
                <w:color w:val="auto"/>
              </w:rPr>
            </w:pPr>
            <w:r>
              <w:rPr>
                <w:rFonts w:ascii="Arial" w:cs="Arial" w:eastAsia="Arial" w:hAnsi="Arial"/>
                <w:sz w:val="18"/>
                <w:szCs w:val="18"/>
                <w:color w:val="auto"/>
              </w:rPr>
              <w:t>(11,340)</w:t>
            </w:r>
          </w:p>
        </w:tc>
      </w:tr>
      <w:tr>
        <w:trPr>
          <w:trHeight w:val="229"/>
        </w:trPr>
        <w:tc>
          <w:tcPr>
            <w:tcW w:w="50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2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3,780</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6,072</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8,120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19,862</w:t>
            </w:r>
          </w:p>
        </w:tc>
      </w:tr>
      <w:tr>
        <w:trPr>
          <w:trHeight w:val="230"/>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Costs</w:t>
            </w:r>
          </w:p>
        </w:tc>
        <w:tc>
          <w:tcPr>
            <w:tcW w:w="2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149,938</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173,672</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477,456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527,252</w:t>
            </w:r>
          </w:p>
        </w:tc>
      </w:tr>
      <w:tr>
        <w:trPr>
          <w:trHeight w:val="27"/>
        </w:trPr>
        <w:tc>
          <w:tcPr>
            <w:tcW w:w="50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operations have historically generated strong positive cash flow and are expected to provide sufficient liquidity, together with cash on hand, to meet our requirements, primarily operating expenses, interest expense and capital expenditures. A summary of our cash flows is included in the narrative below.</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Activities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Cash required by operating activities totaled $1.5 million in 2023 compared to cash provided by operating activities of $0.7 million in 2022, a change of $2.2 million. The change was driven by a decrease in operating results of $10.5 million, (defined as net income (loss) adjusted for non-working capital items), partially offset by an increase in working capital of $8.3 million primarily related to favorable changes to accounts payable and other accrued liabilities.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Investing Activities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investing activities totaled $5.1 million in the 2023 Period compared to cash provided by investing activities of $ 8.5 million in the 2022 Period. 2023 and 2022 included $7.2 million and $14.8 million, respectively, in proceeds from the sale of assets as the Company divested non-core real estate.</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anticipate that funds necessary for capital expenditures, which are expected to total up to $5.0 million in 2023, and other requirements, will be available from internally generated funds.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required for financing activities totaled $2.8 million in the 2023 Period compared to $19.7 million in the 2022 Period. Debt reduction accounted for nearly all the usage of funds in both periods. We expect to make a $2.0 million principal payment in the 4th quarter related to disposition of non-core assets.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on Liquidity</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liquidity, consisting of cash on the balance sheet, totaled $17.0 million on June 25, 2023. This liquidity amount excludes any future cash flows from operations. We expect all interest and principal payments due in the next twelve months will be satisfied by existing cash and our cash flows, which will allow us to maintain an adequate level of liquidity.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AND REGULATIONS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Wage Laws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United States and various state and local governments are considering increasing their respective minimum wage rates. Most of our employees are paid more than the current United States or state minimum wage rates. However, until changes to such rates are enacted, the impact of the changes cannot be determined.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FORWARD-LOOKING STATEMENTS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8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overall impact the COVID-19 pandemic has on the Company's revenues and costs;</w:t>
      </w:r>
    </w:p>
    <w:p>
      <w:pPr>
        <w:spacing w:after="0" w:line="2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long-term or permanent changes the COVID-19 pandemic may have on the publishing industry, which may result in permanent revenue reductions and other risks and uncertainties;</w:t>
      </w: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to indemnify the previous owners of the BH Media or Buffalo News for unknown legal and other matters that may arise;</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manage declining print revenue and circulation subscribers;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advertising and subscription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cyber security breaches or failure of our information technology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achieve planned expense reductions and realize the expected benefit of our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our listing status on NASDAQ;</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Statements regarding our plans, strategies, prospects and expectations regarding our business and industry, including statements regarding the impacts that the COVID-19 pandemic and our responses thereto may have on our future operations, are forward-looking statements. They reflect our expectations, are not guarantees of performance and speak only as of the date the statement is made. Readers are cautioned not to place undue reliance on such forward-looking statements, which are made as of the date of this report. We do not undertake to publicly update or revise our forward-looking statements, except as required by law.</w:t>
      </w:r>
    </w:p>
    <w:p>
      <w:pPr>
        <w:spacing w:after="0" w:line="14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market risk stemming from changes in interest rates and commodity prices. Changes in these factors could cause fluctuations in earnings and cash flows. In the normal course of business, exposure to certain of these market risks is managed as described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 ON DEBT</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debt structure, which is entirely fixed rate, eliminates the potential impact of an increase in interest rates. We have no interest rate hedging in place.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Newsprint prices declined in Q3 of 2023 from the increases in prices implemented throughout 2022 and further price reductions effective in</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Q4 of 2023 have been announced. Despite reduced consumption, the newsprint supply chain continues to be challenged due to capacity reductions taken in the last two years including paper machine permanent shutdowns, conversion to paper grades other than newsprint,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recovering demand, domestically and exports, for newsprint.</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long-term supply strategy continues to align the Company with those cost-effective suppliers most likely to continue producing and supplying newsprint to the North American market and geographically aligned with our</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4" w:name="page25"/>
    <w:bookmarkEnd w:id="24"/>
    <w:p>
      <w:pPr>
        <w:jc w:val="both"/>
        <w:spacing w:after="0" w:line="260" w:lineRule="auto"/>
        <w:rPr>
          <w:sz w:val="20"/>
          <w:szCs w:val="20"/>
          <w:color w:val="auto"/>
        </w:rPr>
      </w:pPr>
      <w:r>
        <w:rPr>
          <w:rFonts w:ascii="Arial" w:cs="Arial" w:eastAsia="Arial" w:hAnsi="Arial"/>
          <w:sz w:val="18"/>
          <w:szCs w:val="18"/>
          <w:color w:val="auto"/>
        </w:rPr>
        <w:t>print locations. Where possible the Company will align supply with the lowest cost material, but may be restricted due to shipping expenses and paper production availability.</w:t>
      </w:r>
    </w:p>
    <w:p>
      <w:pPr>
        <w:spacing w:after="0" w:line="2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$10 per tonne price increase on 27.7-pound newsprint would result in an annualized reduction in income before taxes of approximately $0.3 million based on current and anticipated consumption trends in 2023, excluding consumption of TNI and MNI and the impact of LIFO accounting.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fixed rate debt consists of $460.0 million principal amount of the Term Loan recorded at carrying value.</w:t>
      </w:r>
    </w:p>
    <w:p>
      <w:pPr>
        <w:spacing w:after="0" w:line="17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25, 2022, 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Based on that evaluation the Company has concluded that, because the material weaknesses in the Company's internal control that existed as of September 25, 2022 have not been remediated by the end of the period covered by this report, our disclosure controls and procedures were not effective.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material weaknesses identified by the Company are described below:</w:t>
      </w:r>
    </w:p>
    <w:p>
      <w:pPr>
        <w:spacing w:after="0" w:line="198" w:lineRule="exact"/>
        <w:rPr>
          <w:sz w:val="20"/>
          <w:szCs w:val="20"/>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did not maintain appropriately designed information technology general controls in the areas of user access for certain of its information systems that are relevant to the preparation of the Company’s consolidated financial statements and system of internal control over financial reporting.</w:t>
      </w:r>
    </w:p>
    <w:p>
      <w:pPr>
        <w:spacing w:after="0" w:line="143" w:lineRule="exact"/>
        <w:rPr>
          <w:rFonts w:ascii="Arial" w:cs="Arial" w:eastAsia="Arial" w:hAnsi="Arial"/>
          <w:sz w:val="18"/>
          <w:szCs w:val="18"/>
          <w:color w:val="auto"/>
        </w:rPr>
      </w:pPr>
    </w:p>
    <w:p>
      <w:pPr>
        <w:jc w:val="both"/>
        <w:ind w:lef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did not maintain appropriately designed controls over data provided by third-party service organizations for which a System and Organization Controls (SOC) 1 Type 2 report is not available. Specifically, management did not design and implement controls over the validation of the completeness and accuracy of information received from these service organizations and correspondingly relied upon by the Company in the preparation of the Company’s consolidated financial statements.</w:t>
      </w:r>
    </w:p>
    <w:p>
      <w:pPr>
        <w:spacing w:after="0" w:line="149"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did not maintain appropriately designed controls to validate the accuracy of the tax basis associated with certain deferred tax assets and liabilities, which resulted in an immaterial error correction associated with the Company's previously issued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Plans and Actions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is committed to remediating the material weaknesses that have been identified and maintaining an effective system of disclosure controls and procedures. These remediation efforts, summarized below, are intended to both address the identified material weaknesses and to enhance our overall financial control environment. In this regard, our initiatives include:</w:t>
      </w:r>
    </w:p>
    <w:p>
      <w:pPr>
        <w:spacing w:after="0" w:line="143" w:lineRule="exact"/>
        <w:rPr>
          <w:sz w:val="20"/>
          <w:szCs w:val="20"/>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 project team to review, evaluate, and remediate material weaknesses in internal controls over financial reporting. The Company's recently expanded Corporate Compliance function will lead management's efforts related to effective control design, documentation, and implementation, as well as remediate ineffective controls.</w:t>
      </w:r>
    </w:p>
    <w:p>
      <w:pPr>
        <w:spacing w:after="0" w:line="156" w:lineRule="exact"/>
        <w:rPr>
          <w:rFonts w:ascii="Arial" w:cs="Arial" w:eastAsia="Arial" w:hAnsi="Arial"/>
          <w:sz w:val="18"/>
          <w:szCs w:val="18"/>
          <w:color w:val="auto"/>
        </w:rPr>
      </w:pPr>
    </w:p>
    <w:p>
      <w:pPr>
        <w:jc w:val="both"/>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Undergoing a complete user access review related to our information technology systems to refine user roles and establish appropriate user access to various systems that the Company relies upon in its internal controls over financial reporting, which includes enhancing user access provisioning and monitoring controls to enforce appropriate system access and segregation of duties.</w:t>
      </w:r>
    </w:p>
    <w:p>
      <w:pPr>
        <w:spacing w:after="0" w:line="149"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training to relevant personnel reinforcing existing Company policies regarding user access and the steps and procedures required to perform the required reviews of access to Company systems.</w:t>
      </w:r>
    </w:p>
    <w:p>
      <w:pPr>
        <w:spacing w:after="0" w:line="133"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Enhancing the design of internal controls around evaluating data provided by third-party service organizations for which a SOC 1, Type 2 is not available to validate completeness and accuracy.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5" w:name="page26"/>
    <w:bookmarkEnd w:id="25"/>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Enhancing the design of internal controls to validate the accuracy of the tax basis for deferred tax assets and liabilities, including enhancing our record retention policy to include retaining documentation for complex tax items for as long as such tax items impact our consolidated financial statements.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material weaknesses will be considered remediated when management concludes that, through testing, the applicable remedial controls are designed and implemented effectively.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6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Except as otherwise described herein, there have been no material changes in the risk factors previously disclosed in “Part I, Item 1A. Risk Factors” of our 2022 Form 10-K.</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the Company may, from time to time, evaluate and pursue other opportunities for growth, including through strategic investments, joint ventures, and other acquisitions. These strategic initiatives involve various inherent risks, including, without limitation, general business risk, integration and synergy risk, market acceptance risk and risks associated with the potential distraction of management. Such transactions and initiatives may not ultimately create value for us or our stockholders and may harm our reputation and materially adversely affect our business, financial condition, and results of operations.</w:t>
      </w:r>
    </w:p>
    <w:p>
      <w:pPr>
        <w:spacing w:after="0" w:line="14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Quarterly Report on Form 10-Q.</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8560" w:type="dxa"/>
            <w:vAlign w:val="bottom"/>
            <w:tcBorders>
              <w:top w:val="single" w:sz="8" w:color="auto"/>
              <w:bottom w:val="single" w:sz="8" w:color="auto"/>
            </w:tcBorders>
            <w:gridSpan w:val="5"/>
          </w:tcPr>
          <w:p>
            <w:pPr>
              <w:ind w:left="3780"/>
              <w:spacing w:after="0"/>
              <w:rPr>
                <w:sz w:val="20"/>
                <w:szCs w:val="20"/>
                <w:color w:val="auto"/>
              </w:rPr>
            </w:pPr>
            <w:r>
              <w:rPr>
                <w:rFonts w:ascii="Arial" w:cs="Arial" w:eastAsia="Arial" w:hAnsi="Arial"/>
                <w:sz w:val="18"/>
                <w:szCs w:val="18"/>
                <w:color w:val="auto"/>
              </w:rPr>
              <w:t>Description</w:t>
            </w:r>
          </w:p>
        </w:tc>
        <w:tc>
          <w:tcPr>
            <w:tcW w:w="1280" w:type="dxa"/>
            <w:vAlign w:val="bottom"/>
            <w:tcBorders>
              <w:top w:val="single" w:sz="8" w:color="auto"/>
              <w:bottom w:val="single" w:sz="8" w:color="auto"/>
            </w:tcBorders>
          </w:tcPr>
          <w:p>
            <w:pPr>
              <w:spacing w:after="0"/>
              <w:rPr>
                <w:sz w:val="21"/>
                <w:szCs w:val="21"/>
                <w:color w:val="auto"/>
              </w:rPr>
            </w:pPr>
          </w:p>
        </w:tc>
      </w:tr>
      <w:tr>
        <w:trPr>
          <w:trHeight w:val="439"/>
        </w:trPr>
        <w:tc>
          <w:tcPr>
            <w:tcW w:w="1400" w:type="dxa"/>
            <w:vAlign w:val="bottom"/>
          </w:tcPr>
          <w:p>
            <w:pPr>
              <w:ind w:left="20"/>
              <w:spacing w:after="0"/>
              <w:rPr>
                <w:sz w:val="20"/>
                <w:szCs w:val="20"/>
                <w:color w:val="auto"/>
              </w:rPr>
            </w:pPr>
            <w:r>
              <w:rPr>
                <w:rFonts w:ascii="Arial" w:cs="Arial" w:eastAsia="Arial" w:hAnsi="Arial"/>
                <w:sz w:val="18"/>
                <w:szCs w:val="18"/>
                <w:color w:val="auto"/>
              </w:rPr>
              <w:t>31.1</w:t>
            </w:r>
          </w:p>
        </w:tc>
        <w:tc>
          <w:tcPr>
            <w:tcW w:w="8560" w:type="dxa"/>
            <w:vAlign w:val="bottom"/>
            <w:gridSpan w:val="5"/>
          </w:tcPr>
          <w:p>
            <w:pPr>
              <w:spacing w:after="0"/>
              <w:rPr>
                <w:sz w:val="20"/>
                <w:szCs w:val="20"/>
                <w:color w:val="auto"/>
              </w:rPr>
            </w:pPr>
            <w:r>
              <w:rPr>
                <w:rFonts w:ascii="Arial" w:cs="Arial" w:eastAsia="Arial" w:hAnsi="Arial"/>
                <w:sz w:val="18"/>
                <w:szCs w:val="18"/>
                <w:color w:val="0000FF"/>
              </w:rPr>
              <w:t>Rule 13a-14(a) Certification of Chief Executive Officer</w:t>
            </w:r>
          </w:p>
        </w:tc>
        <w:tc>
          <w:tcPr>
            <w:tcW w:w="1280" w:type="dxa"/>
            <w:vAlign w:val="bottom"/>
          </w:tcPr>
          <w:p>
            <w:pPr>
              <w:ind w:left="560"/>
              <w:spacing w:after="0"/>
              <w:rPr>
                <w:sz w:val="20"/>
                <w:szCs w:val="20"/>
                <w:color w:val="auto"/>
              </w:rPr>
            </w:pPr>
            <w:r>
              <w:rPr>
                <w:rFonts w:ascii="Arial" w:cs="Arial" w:eastAsia="Arial" w:hAnsi="Arial"/>
                <w:sz w:val="18"/>
                <w:szCs w:val="18"/>
                <w:color w:val="auto"/>
                <w:w w:val="98"/>
              </w:rPr>
              <w:t>Attached</w:t>
            </w:r>
          </w:p>
        </w:tc>
      </w:tr>
      <w:tr>
        <w:trPr>
          <w:trHeight w:val="223"/>
        </w:trPr>
        <w:tc>
          <w:tcPr>
            <w:tcW w:w="1400" w:type="dxa"/>
            <w:vAlign w:val="bottom"/>
          </w:tcPr>
          <w:p>
            <w:pPr>
              <w:ind w:left="20"/>
              <w:spacing w:after="0"/>
              <w:rPr>
                <w:sz w:val="20"/>
                <w:szCs w:val="20"/>
                <w:color w:val="auto"/>
              </w:rPr>
            </w:pPr>
            <w:r>
              <w:rPr>
                <w:rFonts w:ascii="Arial" w:cs="Arial" w:eastAsia="Arial" w:hAnsi="Arial"/>
                <w:sz w:val="18"/>
                <w:szCs w:val="18"/>
                <w:color w:val="auto"/>
              </w:rPr>
              <w:t>31.2</w:t>
            </w:r>
          </w:p>
        </w:tc>
        <w:tc>
          <w:tcPr>
            <w:tcW w:w="42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Rule 13a-14(a) Certification of Chief Financial Officer</w:t>
            </w:r>
          </w:p>
        </w:tc>
        <w:tc>
          <w:tcPr>
            <w:tcW w:w="4280" w:type="dxa"/>
            <w:vAlign w:val="bottom"/>
          </w:tcPr>
          <w:p>
            <w:pPr>
              <w:spacing w:after="0"/>
              <w:rPr>
                <w:sz w:val="19"/>
                <w:szCs w:val="19"/>
                <w:color w:val="auto"/>
              </w:rPr>
            </w:pPr>
          </w:p>
        </w:tc>
        <w:tc>
          <w:tcPr>
            <w:tcW w:w="1280" w:type="dxa"/>
            <w:vAlign w:val="bottom"/>
          </w:tcPr>
          <w:p>
            <w:pPr>
              <w:ind w:left="560"/>
              <w:spacing w:after="0"/>
              <w:rPr>
                <w:sz w:val="20"/>
                <w:szCs w:val="20"/>
                <w:color w:val="auto"/>
              </w:rPr>
            </w:pPr>
            <w:r>
              <w:rPr>
                <w:rFonts w:ascii="Arial" w:cs="Arial" w:eastAsia="Arial" w:hAnsi="Arial"/>
                <w:sz w:val="18"/>
                <w:szCs w:val="18"/>
                <w:color w:val="auto"/>
                <w:w w:val="98"/>
              </w:rPr>
              <w:t>Attached</w:t>
            </w:r>
          </w:p>
        </w:tc>
      </w:tr>
      <w:tr>
        <w:trPr>
          <w:trHeight w:val="210"/>
        </w:trPr>
        <w:tc>
          <w:tcPr>
            <w:tcW w:w="1400" w:type="dxa"/>
            <w:vAlign w:val="bottom"/>
          </w:tcPr>
          <w:p>
            <w:pPr>
              <w:ind w:left="20"/>
              <w:spacing w:after="0"/>
              <w:rPr>
                <w:sz w:val="20"/>
                <w:szCs w:val="20"/>
                <w:color w:val="auto"/>
              </w:rPr>
            </w:pPr>
            <w:r>
              <w:rPr>
                <w:rFonts w:ascii="Arial" w:cs="Arial" w:eastAsia="Arial" w:hAnsi="Arial"/>
                <w:sz w:val="18"/>
                <w:szCs w:val="18"/>
                <w:color w:val="auto"/>
              </w:rPr>
              <w:t>32.1</w:t>
            </w:r>
          </w:p>
        </w:tc>
        <w:tc>
          <w:tcPr>
            <w:tcW w:w="41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9"/>
              </w:rPr>
              <w:t>Section 1350 Certification of Chief Executive Officer</w:t>
            </w:r>
          </w:p>
        </w:tc>
        <w:tc>
          <w:tcPr>
            <w:tcW w:w="80" w:type="dxa"/>
            <w:vAlign w:val="bottom"/>
            <w:tcBorders>
              <w:top w:val="single" w:sz="8" w:color="0000FF"/>
            </w:tcBorders>
          </w:tcPr>
          <w:p>
            <w:pPr>
              <w:spacing w:after="0"/>
              <w:rPr>
                <w:sz w:val="18"/>
                <w:szCs w:val="18"/>
                <w:color w:val="auto"/>
              </w:rPr>
            </w:pPr>
          </w:p>
        </w:tc>
        <w:tc>
          <w:tcPr>
            <w:tcW w:w="4340" w:type="dxa"/>
            <w:vAlign w:val="bottom"/>
            <w:gridSpan w:val="2"/>
          </w:tcPr>
          <w:p>
            <w:pPr>
              <w:spacing w:after="0"/>
              <w:rPr>
                <w:sz w:val="18"/>
                <w:szCs w:val="18"/>
                <w:color w:val="auto"/>
              </w:rPr>
            </w:pPr>
          </w:p>
        </w:tc>
        <w:tc>
          <w:tcPr>
            <w:tcW w:w="1280" w:type="dxa"/>
            <w:vAlign w:val="bottom"/>
          </w:tcPr>
          <w:p>
            <w:pPr>
              <w:ind w:left="560"/>
              <w:spacing w:after="0"/>
              <w:rPr>
                <w:sz w:val="20"/>
                <w:szCs w:val="20"/>
                <w:color w:val="auto"/>
              </w:rPr>
            </w:pPr>
            <w:r>
              <w:rPr>
                <w:rFonts w:ascii="Arial" w:cs="Arial" w:eastAsia="Arial" w:hAnsi="Arial"/>
                <w:sz w:val="18"/>
                <w:szCs w:val="18"/>
                <w:color w:val="auto"/>
                <w:w w:val="98"/>
              </w:rPr>
              <w:t>Attached</w:t>
            </w:r>
          </w:p>
        </w:tc>
      </w:tr>
      <w:tr>
        <w:trPr>
          <w:trHeight w:val="210"/>
        </w:trPr>
        <w:tc>
          <w:tcPr>
            <w:tcW w:w="1400" w:type="dxa"/>
            <w:vAlign w:val="bottom"/>
          </w:tcPr>
          <w:p>
            <w:pPr>
              <w:ind w:left="20"/>
              <w:spacing w:after="0"/>
              <w:rPr>
                <w:sz w:val="20"/>
                <w:szCs w:val="20"/>
                <w:color w:val="auto"/>
              </w:rPr>
            </w:pPr>
            <w:r>
              <w:rPr>
                <w:rFonts w:ascii="Arial" w:cs="Arial" w:eastAsia="Arial" w:hAnsi="Arial"/>
                <w:sz w:val="18"/>
                <w:szCs w:val="18"/>
                <w:color w:val="auto"/>
              </w:rPr>
              <w:t>32.2</w:t>
            </w:r>
          </w:p>
        </w:tc>
        <w:tc>
          <w:tcPr>
            <w:tcW w:w="40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Section 1350 Certification of Chief Financial Officer</w:t>
            </w:r>
          </w:p>
        </w:tc>
        <w:tc>
          <w:tcPr>
            <w:tcW w:w="4480" w:type="dxa"/>
            <w:vAlign w:val="bottom"/>
            <w:gridSpan w:val="4"/>
          </w:tcPr>
          <w:p>
            <w:pPr>
              <w:spacing w:after="0"/>
              <w:rPr>
                <w:sz w:val="18"/>
                <w:szCs w:val="18"/>
                <w:color w:val="auto"/>
              </w:rPr>
            </w:pPr>
          </w:p>
        </w:tc>
        <w:tc>
          <w:tcPr>
            <w:tcW w:w="1280" w:type="dxa"/>
            <w:vAlign w:val="bottom"/>
          </w:tcPr>
          <w:p>
            <w:pPr>
              <w:ind w:left="560"/>
              <w:spacing w:after="0"/>
              <w:rPr>
                <w:sz w:val="20"/>
                <w:szCs w:val="20"/>
                <w:color w:val="auto"/>
              </w:rPr>
            </w:pPr>
            <w:r>
              <w:rPr>
                <w:rFonts w:ascii="Arial" w:cs="Arial" w:eastAsia="Arial" w:hAnsi="Arial"/>
                <w:sz w:val="18"/>
                <w:szCs w:val="18"/>
                <w:color w:val="auto"/>
                <w:w w:val="98"/>
              </w:rPr>
              <w:t>Attached</w:t>
            </w:r>
          </w:p>
        </w:tc>
      </w:tr>
      <w:tr>
        <w:trPr>
          <w:trHeight w:val="210"/>
        </w:trPr>
        <w:tc>
          <w:tcPr>
            <w:tcW w:w="1400" w:type="dxa"/>
            <w:vAlign w:val="bottom"/>
          </w:tcPr>
          <w:p>
            <w:pPr>
              <w:ind w:left="20"/>
              <w:spacing w:after="0"/>
              <w:rPr>
                <w:sz w:val="20"/>
                <w:szCs w:val="20"/>
                <w:color w:val="auto"/>
              </w:rPr>
            </w:pPr>
            <w:r>
              <w:rPr>
                <w:rFonts w:ascii="Arial" w:cs="Arial" w:eastAsia="Arial" w:hAnsi="Arial"/>
                <w:sz w:val="18"/>
                <w:szCs w:val="18"/>
                <w:color w:val="auto"/>
              </w:rPr>
              <w:t>101.INS</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Instance Document (the Instance Document does not appear in the Interactive Data File</w:t>
            </w:r>
          </w:p>
        </w:tc>
        <w:tc>
          <w:tcPr>
            <w:tcW w:w="1280" w:type="dxa"/>
            <w:vAlign w:val="bottom"/>
          </w:tcPr>
          <w:p>
            <w:pPr>
              <w:ind w:left="560"/>
              <w:spacing w:after="0"/>
              <w:rPr>
                <w:sz w:val="20"/>
                <w:szCs w:val="20"/>
                <w:color w:val="auto"/>
              </w:rPr>
            </w:pPr>
            <w:r>
              <w:rPr>
                <w:rFonts w:ascii="Arial" w:cs="Arial" w:eastAsia="Arial" w:hAnsi="Arial"/>
                <w:sz w:val="18"/>
                <w:szCs w:val="18"/>
                <w:color w:val="auto"/>
                <w:w w:val="98"/>
              </w:rPr>
              <w:t>Attached</w:t>
            </w:r>
          </w:p>
        </w:tc>
      </w:tr>
      <w:tr>
        <w:trPr>
          <w:trHeight w:val="229"/>
        </w:trPr>
        <w:tc>
          <w:tcPr>
            <w:tcW w:w="1400" w:type="dxa"/>
            <w:vAlign w:val="bottom"/>
          </w:tcPr>
          <w:p>
            <w:pPr>
              <w:spacing w:after="0"/>
              <w:rPr>
                <w:sz w:val="19"/>
                <w:szCs w:val="19"/>
                <w:color w:val="auto"/>
              </w:rPr>
            </w:pPr>
          </w:p>
        </w:tc>
        <w:tc>
          <w:tcPr>
            <w:tcW w:w="8560" w:type="dxa"/>
            <w:vAlign w:val="bottom"/>
            <w:gridSpan w:val="5"/>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1280" w:type="dxa"/>
            <w:vAlign w:val="bottom"/>
          </w:tcPr>
          <w:p>
            <w:pPr>
              <w:spacing w:after="0"/>
              <w:rPr>
                <w:sz w:val="19"/>
                <w:szCs w:val="19"/>
                <w:color w:val="auto"/>
              </w:rPr>
            </w:pPr>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101.SCH</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1280" w:type="dxa"/>
            <w:vAlign w:val="bottom"/>
          </w:tcPr>
          <w:p>
            <w:pPr>
              <w:ind w:left="560"/>
              <w:spacing w:after="0"/>
              <w:rPr>
                <w:sz w:val="20"/>
                <w:szCs w:val="20"/>
                <w:color w:val="auto"/>
              </w:rPr>
            </w:pPr>
            <w:r>
              <w:rPr>
                <w:rFonts w:ascii="Arial" w:cs="Arial" w:eastAsia="Arial" w:hAnsi="Arial"/>
                <w:sz w:val="18"/>
                <w:szCs w:val="18"/>
                <w:color w:val="auto"/>
                <w:w w:val="98"/>
              </w:rPr>
              <w:t>Attached</w:t>
            </w:r>
          </w:p>
        </w:tc>
      </w:tr>
      <w:tr>
        <w:trPr>
          <w:trHeight w:val="243"/>
        </w:trPr>
        <w:tc>
          <w:tcPr>
            <w:tcW w:w="1400" w:type="dxa"/>
            <w:vAlign w:val="bottom"/>
          </w:tcPr>
          <w:p>
            <w:pPr>
              <w:ind w:left="20"/>
              <w:spacing w:after="0"/>
              <w:rPr>
                <w:sz w:val="20"/>
                <w:szCs w:val="20"/>
                <w:color w:val="auto"/>
              </w:rPr>
            </w:pPr>
            <w:r>
              <w:rPr>
                <w:rFonts w:ascii="Arial" w:cs="Arial" w:eastAsia="Arial" w:hAnsi="Arial"/>
                <w:sz w:val="18"/>
                <w:szCs w:val="18"/>
                <w:color w:val="auto"/>
              </w:rPr>
              <w:t>101.CAL</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280" w:type="dxa"/>
            <w:vAlign w:val="bottom"/>
          </w:tcPr>
          <w:p>
            <w:pPr>
              <w:ind w:left="560"/>
              <w:spacing w:after="0"/>
              <w:rPr>
                <w:sz w:val="20"/>
                <w:szCs w:val="20"/>
                <w:color w:val="auto"/>
              </w:rPr>
            </w:pPr>
            <w:r>
              <w:rPr>
                <w:rFonts w:ascii="Arial" w:cs="Arial" w:eastAsia="Arial" w:hAnsi="Arial"/>
                <w:sz w:val="18"/>
                <w:szCs w:val="18"/>
                <w:color w:val="auto"/>
                <w:w w:val="98"/>
              </w:rPr>
              <w:t>Attached</w:t>
            </w:r>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101.DEF</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280" w:type="dxa"/>
            <w:vAlign w:val="bottom"/>
          </w:tcPr>
          <w:p>
            <w:pPr>
              <w:ind w:left="560"/>
              <w:spacing w:after="0"/>
              <w:rPr>
                <w:sz w:val="20"/>
                <w:szCs w:val="20"/>
                <w:color w:val="auto"/>
              </w:rPr>
            </w:pPr>
            <w:r>
              <w:rPr>
                <w:rFonts w:ascii="Arial" w:cs="Arial" w:eastAsia="Arial" w:hAnsi="Arial"/>
                <w:sz w:val="18"/>
                <w:szCs w:val="18"/>
                <w:color w:val="auto"/>
                <w:w w:val="98"/>
              </w:rPr>
              <w:t>Attached</w:t>
            </w:r>
          </w:p>
        </w:tc>
      </w:tr>
      <w:tr>
        <w:trPr>
          <w:trHeight w:val="229"/>
        </w:trPr>
        <w:tc>
          <w:tcPr>
            <w:tcW w:w="1400" w:type="dxa"/>
            <w:vAlign w:val="bottom"/>
          </w:tcPr>
          <w:p>
            <w:pPr>
              <w:ind w:left="20"/>
              <w:spacing w:after="0"/>
              <w:rPr>
                <w:sz w:val="20"/>
                <w:szCs w:val="20"/>
                <w:color w:val="auto"/>
              </w:rPr>
            </w:pPr>
            <w:r>
              <w:rPr>
                <w:rFonts w:ascii="Arial" w:cs="Arial" w:eastAsia="Arial" w:hAnsi="Arial"/>
                <w:sz w:val="18"/>
                <w:szCs w:val="18"/>
                <w:color w:val="auto"/>
              </w:rPr>
              <w:t>101.LAB</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280" w:type="dxa"/>
            <w:vAlign w:val="bottom"/>
          </w:tcPr>
          <w:p>
            <w:pPr>
              <w:ind w:left="560"/>
              <w:spacing w:after="0"/>
              <w:rPr>
                <w:sz w:val="20"/>
                <w:szCs w:val="20"/>
                <w:color w:val="auto"/>
              </w:rPr>
            </w:pPr>
            <w:r>
              <w:rPr>
                <w:rFonts w:ascii="Arial" w:cs="Arial" w:eastAsia="Arial" w:hAnsi="Arial"/>
                <w:sz w:val="18"/>
                <w:szCs w:val="18"/>
                <w:color w:val="auto"/>
                <w:w w:val="98"/>
              </w:rPr>
              <w:t>Attached</w:t>
            </w:r>
          </w:p>
        </w:tc>
      </w:tr>
      <w:tr>
        <w:trPr>
          <w:trHeight w:val="243"/>
        </w:trPr>
        <w:tc>
          <w:tcPr>
            <w:tcW w:w="1400" w:type="dxa"/>
            <w:vAlign w:val="bottom"/>
          </w:tcPr>
          <w:p>
            <w:pPr>
              <w:ind w:left="20"/>
              <w:spacing w:after="0"/>
              <w:rPr>
                <w:sz w:val="20"/>
                <w:szCs w:val="20"/>
                <w:color w:val="auto"/>
              </w:rPr>
            </w:pPr>
            <w:r>
              <w:rPr>
                <w:rFonts w:ascii="Arial" w:cs="Arial" w:eastAsia="Arial" w:hAnsi="Arial"/>
                <w:sz w:val="18"/>
                <w:szCs w:val="18"/>
                <w:color w:val="auto"/>
              </w:rPr>
              <w:t>101.PRE</w:t>
            </w:r>
          </w:p>
        </w:tc>
        <w:tc>
          <w:tcPr>
            <w:tcW w:w="856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280" w:type="dxa"/>
            <w:vAlign w:val="bottom"/>
          </w:tcPr>
          <w:p>
            <w:pPr>
              <w:ind w:left="560"/>
              <w:spacing w:after="0"/>
              <w:rPr>
                <w:sz w:val="20"/>
                <w:szCs w:val="20"/>
                <w:color w:val="auto"/>
              </w:rPr>
            </w:pPr>
            <w:r>
              <w:rPr>
                <w:rFonts w:ascii="Arial" w:cs="Arial" w:eastAsia="Arial" w:hAnsi="Arial"/>
                <w:sz w:val="18"/>
                <w:szCs w:val="18"/>
                <w:color w:val="auto"/>
                <w:w w:val="98"/>
              </w:rPr>
              <w:t>Attached</w:t>
            </w:r>
          </w:p>
        </w:tc>
      </w:tr>
      <w:tr>
        <w:trPr>
          <w:trHeight w:val="176"/>
        </w:trPr>
        <w:tc>
          <w:tcPr>
            <w:tcW w:w="140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8560" w:type="dxa"/>
            <w:vAlign w:val="bottom"/>
            <w:gridSpan w:val="5"/>
          </w:tcPr>
          <w:p>
            <w:pPr>
              <w:spacing w:after="0" w:line="176" w:lineRule="exact"/>
              <w:rPr>
                <w:sz w:val="20"/>
                <w:szCs w:val="20"/>
                <w:color w:val="auto"/>
              </w:rPr>
            </w:pPr>
            <w:r>
              <w:rPr>
                <w:rFonts w:ascii="Arial" w:cs="Arial" w:eastAsia="Arial" w:hAnsi="Arial"/>
                <w:sz w:val="18"/>
                <w:szCs w:val="18"/>
                <w:color w:val="auto"/>
              </w:rPr>
              <w:t>Cover Page Interactive Data File (formatted as Inline XBRL and embedded within the Inline XBRL</w:t>
            </w:r>
          </w:p>
        </w:tc>
        <w:tc>
          <w:tcPr>
            <w:tcW w:w="1280" w:type="dxa"/>
            <w:vAlign w:val="bottom"/>
          </w:tcPr>
          <w:p>
            <w:pPr>
              <w:ind w:left="560"/>
              <w:spacing w:after="0" w:line="176" w:lineRule="exact"/>
              <w:rPr>
                <w:sz w:val="20"/>
                <w:szCs w:val="20"/>
                <w:color w:val="auto"/>
              </w:rPr>
            </w:pPr>
            <w:r>
              <w:rPr>
                <w:rFonts w:ascii="Arial" w:cs="Arial" w:eastAsia="Arial" w:hAnsi="Arial"/>
                <w:sz w:val="18"/>
                <w:szCs w:val="18"/>
                <w:color w:val="auto"/>
                <w:w w:val="98"/>
              </w:rPr>
              <w:t>Attached</w:t>
            </w:r>
          </w:p>
        </w:tc>
      </w:tr>
      <w:tr>
        <w:trPr>
          <w:trHeight w:val="236"/>
        </w:trPr>
        <w:tc>
          <w:tcPr>
            <w:tcW w:w="1400" w:type="dxa"/>
            <w:vAlign w:val="bottom"/>
            <w:tcBorders>
              <w:bottom w:val="single" w:sz="8" w:color="auto"/>
            </w:tcBorders>
          </w:tcPr>
          <w:p>
            <w:pPr>
              <w:spacing w:after="0"/>
              <w:rPr>
                <w:sz w:val="20"/>
                <w:szCs w:val="20"/>
                <w:color w:val="auto"/>
              </w:rPr>
            </w:pPr>
          </w:p>
        </w:tc>
        <w:tc>
          <w:tcPr>
            <w:tcW w:w="85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document)</w:t>
            </w:r>
          </w:p>
        </w:tc>
        <w:tc>
          <w:tcPr>
            <w:tcW w:w="1280" w:type="dxa"/>
            <w:vAlign w:val="bottom"/>
            <w:tcBorders>
              <w:bottom w:val="single" w:sz="8" w:color="auto"/>
            </w:tcBorders>
          </w:tcPr>
          <w:p>
            <w:pPr>
              <w:spacing w:after="0"/>
              <w:rPr>
                <w:sz w:val="20"/>
                <w:szCs w:val="20"/>
                <w:color w:val="auto"/>
              </w:rPr>
            </w:pPr>
          </w:p>
        </w:tc>
      </w:tr>
      <w:tr>
        <w:trPr>
          <w:trHeight w:val="891"/>
        </w:trPr>
        <w:tc>
          <w:tcPr>
            <w:tcW w:w="1400" w:type="dxa"/>
            <w:vAlign w:val="bottom"/>
          </w:tcPr>
          <w:p>
            <w:pPr>
              <w:spacing w:after="0"/>
              <w:rPr>
                <w:sz w:val="24"/>
                <w:szCs w:val="24"/>
                <w:color w:val="auto"/>
              </w:rPr>
            </w:pPr>
          </w:p>
        </w:tc>
        <w:tc>
          <w:tcPr>
            <w:tcW w:w="8560" w:type="dxa"/>
            <w:vAlign w:val="bottom"/>
            <w:gridSpan w:val="5"/>
          </w:tcPr>
          <w:p>
            <w:pPr>
              <w:ind w:left="4120"/>
              <w:spacing w:after="0"/>
              <w:rPr>
                <w:sz w:val="20"/>
                <w:szCs w:val="20"/>
                <w:color w:val="auto"/>
              </w:rPr>
            </w:pPr>
            <w:r>
              <w:rPr>
                <w:rFonts w:ascii="Arial" w:cs="Arial" w:eastAsia="Arial" w:hAnsi="Arial"/>
                <w:sz w:val="18"/>
                <w:szCs w:val="18"/>
                <w:color w:val="auto"/>
              </w:rPr>
              <w:t>24</w:t>
            </w:r>
          </w:p>
        </w:tc>
        <w:tc>
          <w:tcPr>
            <w:tcW w:w="1280" w:type="dxa"/>
            <w:vAlign w:val="bottom"/>
          </w:tcPr>
          <w:p>
            <w:pPr>
              <w:spacing w:after="0"/>
              <w:rPr>
                <w:sz w:val="24"/>
                <w:szCs w:val="24"/>
                <w:color w:val="auto"/>
              </w:rPr>
            </w:pPr>
          </w:p>
        </w:tc>
      </w:tr>
      <w:tr>
        <w:trPr>
          <w:trHeight w:val="115"/>
        </w:trPr>
        <w:tc>
          <w:tcPr>
            <w:tcW w:w="140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SIGNATURES</w:t>
      </w:r>
    </w:p>
    <w:p>
      <w:pPr>
        <w:spacing w:after="0" w:line="20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LEE ENTERPRISES, INCORPORATED</w:t>
      </w:r>
    </w:p>
    <w:p>
      <w:pPr>
        <w:spacing w:after="0" w:line="293" w:lineRule="exact"/>
        <w:rPr>
          <w:sz w:val="20"/>
          <w:szCs w:val="20"/>
          <w:color w:val="auto"/>
        </w:rPr>
      </w:pPr>
    </w:p>
    <w:p>
      <w:pPr>
        <w:ind w:left="280"/>
        <w:spacing w:after="0"/>
        <w:tabs>
          <w:tab w:leader="none" w:pos="9740" w:val="left"/>
        </w:tabs>
        <w:rPr>
          <w:sz w:val="20"/>
          <w:szCs w:val="20"/>
          <w:color w:val="auto"/>
        </w:rPr>
      </w:pPr>
      <w:r>
        <w:rPr>
          <w:rFonts w:ascii="Arial" w:cs="Arial" w:eastAsia="Arial" w:hAnsi="Arial"/>
          <w:sz w:val="18"/>
          <w:szCs w:val="18"/>
          <w:color w:val="auto"/>
        </w:rPr>
        <w:t>/s/ Timothy R. Millage</w:t>
      </w:r>
      <w:r>
        <w:rPr>
          <w:sz w:val="20"/>
          <w:szCs w:val="20"/>
          <w:color w:val="auto"/>
        </w:rPr>
        <w:tab/>
      </w:r>
      <w:r>
        <w:rPr>
          <w:rFonts w:ascii="Arial" w:cs="Arial" w:eastAsia="Arial" w:hAnsi="Arial"/>
          <w:sz w:val="18"/>
          <w:szCs w:val="18"/>
          <w:color w:val="auto"/>
        </w:rPr>
        <w:t>August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22225</wp:posOffset>
            </wp:positionV>
            <wp:extent cx="4071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pacing w:after="0" w:line="3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Timothy R. Millage</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Vice President, Chief Financial Officer and Treasurer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102"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158"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44" w:lineRule="exact"/>
        <w:rPr>
          <w:sz w:val="20"/>
          <w:szCs w:val="20"/>
          <w:color w:val="auto"/>
        </w:rPr>
      </w:pPr>
    </w:p>
    <w:p>
      <w:pPr>
        <w:ind w:left="500" w:right="120" w:hanging="492"/>
        <w:spacing w:after="0" w:line="263"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16" w:lineRule="exact"/>
        <w:rPr>
          <w:sz w:val="20"/>
          <w:szCs w:val="20"/>
          <w:color w:val="auto"/>
        </w:rPr>
      </w:pPr>
    </w:p>
    <w:p>
      <w:pPr>
        <w:ind w:left="500" w:right="320" w:hanging="492"/>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6" w:lineRule="exact"/>
        <w:rPr>
          <w:sz w:val="20"/>
          <w:szCs w:val="20"/>
          <w:color w:val="auto"/>
        </w:rPr>
      </w:pPr>
    </w:p>
    <w:p>
      <w:pPr>
        <w:ind w:left="500" w:right="220" w:hanging="492"/>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ind w:left="1460" w:right="60" w:hanging="480"/>
        <w:spacing w:after="0" w:line="258"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2" w:lineRule="exact"/>
        <w:rPr>
          <w:rFonts w:ascii="Arial" w:cs="Arial" w:eastAsia="Arial" w:hAnsi="Arial"/>
          <w:sz w:val="18"/>
          <w:szCs w:val="18"/>
          <w:color w:val="auto"/>
        </w:rPr>
      </w:pPr>
    </w:p>
    <w:p>
      <w:pPr>
        <w:ind w:left="1460" w:right="380" w:hanging="480"/>
        <w:spacing w:after="0" w:line="285" w:lineRule="auto"/>
        <w:tabs>
          <w:tab w:leader="none" w:pos="14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7"/>
          <w:szCs w:val="17"/>
          <w:color w:val="auto"/>
        </w:rPr>
      </w:pPr>
    </w:p>
    <w:p>
      <w:pPr>
        <w:jc w:val="both"/>
        <w:ind w:left="1460" w:right="160" w:hanging="480"/>
        <w:spacing w:after="0" w:line="263"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02" w:lineRule="exact"/>
        <w:rPr>
          <w:rFonts w:ascii="Arial" w:cs="Arial" w:eastAsia="Arial" w:hAnsi="Arial"/>
          <w:sz w:val="18"/>
          <w:szCs w:val="18"/>
          <w:color w:val="auto"/>
        </w:rPr>
      </w:pPr>
    </w:p>
    <w:p>
      <w:pPr>
        <w:ind w:left="1460" w:right="60" w:hanging="480"/>
        <w:spacing w:after="0" w:line="258"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660" w:right="28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460" w:right="260" w:hanging="480"/>
        <w:spacing w:after="0" w:line="263"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1460" w:right="640" w:hanging="480"/>
        <w:spacing w:after="0" w:line="275"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2023</w:t>
      </w:r>
    </w:p>
    <w:p>
      <w:pPr>
        <w:spacing w:after="0" w:line="19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13970</wp:posOffset>
            </wp:positionV>
            <wp:extent cx="33178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Kevin D. Mowbray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075"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158"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44" w:lineRule="exact"/>
        <w:rPr>
          <w:sz w:val="20"/>
          <w:szCs w:val="20"/>
          <w:color w:val="auto"/>
        </w:rPr>
      </w:pPr>
    </w:p>
    <w:p>
      <w:pPr>
        <w:ind w:left="500" w:right="120" w:hanging="492"/>
        <w:spacing w:after="0" w:line="263"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16" w:lineRule="exact"/>
        <w:rPr>
          <w:sz w:val="20"/>
          <w:szCs w:val="20"/>
          <w:color w:val="auto"/>
        </w:rPr>
      </w:pPr>
    </w:p>
    <w:p>
      <w:pPr>
        <w:ind w:left="500" w:right="320" w:hanging="492"/>
        <w:spacing w:after="0" w:line="263"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6" w:lineRule="exact"/>
        <w:rPr>
          <w:sz w:val="20"/>
          <w:szCs w:val="20"/>
          <w:color w:val="auto"/>
        </w:rPr>
      </w:pPr>
    </w:p>
    <w:p>
      <w:pPr>
        <w:ind w:left="500" w:right="220" w:hanging="492"/>
        <w:spacing w:after="0" w:line="263"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ind w:left="1460" w:right="60" w:hanging="480"/>
        <w:spacing w:after="0" w:line="258" w:lineRule="auto"/>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2" w:lineRule="exact"/>
        <w:rPr>
          <w:rFonts w:ascii="Arial" w:cs="Arial" w:eastAsia="Arial" w:hAnsi="Arial"/>
          <w:sz w:val="18"/>
          <w:szCs w:val="18"/>
          <w:color w:val="auto"/>
        </w:rPr>
      </w:pPr>
    </w:p>
    <w:p>
      <w:pPr>
        <w:ind w:left="1460" w:right="380" w:hanging="480"/>
        <w:spacing w:after="0" w:line="285" w:lineRule="auto"/>
        <w:tabs>
          <w:tab w:leader="none" w:pos="14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7"/>
          <w:szCs w:val="17"/>
          <w:color w:val="auto"/>
        </w:rPr>
      </w:pPr>
    </w:p>
    <w:p>
      <w:pPr>
        <w:jc w:val="both"/>
        <w:ind w:left="1460" w:right="160" w:hanging="480"/>
        <w:spacing w:after="0" w:line="263" w:lineRule="auto"/>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02" w:lineRule="exact"/>
        <w:rPr>
          <w:rFonts w:ascii="Arial" w:cs="Arial" w:eastAsia="Arial" w:hAnsi="Arial"/>
          <w:sz w:val="18"/>
          <w:szCs w:val="18"/>
          <w:color w:val="auto"/>
        </w:rPr>
      </w:pPr>
    </w:p>
    <w:p>
      <w:pPr>
        <w:ind w:left="1460" w:right="60" w:hanging="480"/>
        <w:spacing w:after="0" w:line="258" w:lineRule="auto"/>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left="660" w:right="280" w:hanging="652"/>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460" w:right="260" w:hanging="480"/>
        <w:spacing w:after="0" w:line="263" w:lineRule="auto"/>
        <w:tabs>
          <w:tab w:leader="none" w:pos="1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1460" w:right="640" w:hanging="480"/>
        <w:spacing w:after="0" w:line="275" w:lineRule="auto"/>
        <w:tabs>
          <w:tab w:leader="none" w:pos="1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2023</w:t>
      </w:r>
    </w:p>
    <w:p>
      <w:pPr>
        <w:spacing w:after="0" w:line="19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13970</wp:posOffset>
            </wp:positionV>
            <wp:extent cx="3815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15080" cy="8255"/>
                    </a:xfrm>
                    <a:prstGeom prst="rect">
                      <a:avLst/>
                    </a:prstGeom>
                    <a:noFill/>
                  </pic:spPr>
                </pic:pic>
              </a:graphicData>
            </a:graphic>
          </wp:anchor>
        </w:drawing>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Timothy R. Millage</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1075" w:right="339" w:bottom="1440" w:gutter="0" w:footer="0" w:header="0"/>
        </w:sectPr>
      </w:pPr>
    </w:p>
    <w:bookmarkStart w:id="29" w:name="page30"/>
    <w:bookmarkEnd w:id="29"/>
    <w:p>
      <w:pPr>
        <w:ind w:left="10240"/>
        <w:spacing w:after="0"/>
        <w:rPr>
          <w:sz w:val="20"/>
          <w:szCs w:val="20"/>
          <w:color w:val="auto"/>
        </w:rPr>
      </w:pPr>
      <w:r>
        <w:rPr>
          <w:rFonts w:ascii="Arial" w:cs="Arial" w:eastAsia="Arial" w:hAnsi="Arial"/>
          <w:sz w:val="17"/>
          <w:szCs w:val="17"/>
          <w:b w:val="1"/>
          <w:bCs w:val="1"/>
          <w:color w:val="auto"/>
        </w:rPr>
        <w:t>Exhibit 32.1</w:t>
      </w:r>
    </w:p>
    <w:p>
      <w:pPr>
        <w:spacing w:after="0" w:line="220" w:lineRule="exact"/>
        <w:rPr>
          <w:sz w:val="20"/>
          <w:szCs w:val="20"/>
          <w:color w:val="auto"/>
        </w:rPr>
      </w:pPr>
    </w:p>
    <w:p>
      <w:pPr>
        <w:ind w:right="160"/>
        <w:spacing w:after="0" w:line="306"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33" w:lineRule="exact"/>
        <w:rPr>
          <w:sz w:val="20"/>
          <w:szCs w:val="20"/>
          <w:color w:val="auto"/>
        </w:rPr>
      </w:pPr>
    </w:p>
    <w:p>
      <w:pPr>
        <w:ind w:left="500" w:right="360" w:hanging="492"/>
        <w:spacing w:after="0" w:line="275"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June 25, 2023 ("Quarterly Report"), fully complies with the requirements of section 13(a) or 15(d) of the Securities Exchange Act of 1934 (15 U.S.C. 78m or 78o(d)); and</w:t>
      </w:r>
    </w:p>
    <w:p>
      <w:pPr>
        <w:spacing w:after="0" w:line="146" w:lineRule="exact"/>
        <w:rPr>
          <w:rFonts w:ascii="Arial" w:cs="Arial" w:eastAsia="Arial" w:hAnsi="Arial"/>
          <w:sz w:val="18"/>
          <w:szCs w:val="18"/>
          <w:color w:val="auto"/>
        </w:rPr>
      </w:pPr>
    </w:p>
    <w:p>
      <w:pPr>
        <w:ind w:left="500" w:right="800" w:hanging="492"/>
        <w:spacing w:after="0" w:line="275"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2023</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8150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1508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D. Mowbray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7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p>
      <w:pPr>
        <w:sectPr>
          <w:pgSz w:w="11900" w:h="16838" w:orient="portrait"/>
          <w:cols w:equalWidth="0" w:num="1">
            <w:col w:w="11240"/>
          </w:cols>
          <w:pgMar w:left="320" w:top="1102" w:right="339" w:bottom="1440" w:gutter="0" w:footer="0" w:header="0"/>
        </w:sectPr>
      </w:pPr>
    </w:p>
    <w:bookmarkStart w:id="30" w:name="page31"/>
    <w:bookmarkEnd w:id="30"/>
    <w:p>
      <w:pPr>
        <w:ind w:left="10240"/>
        <w:spacing w:after="0"/>
        <w:rPr>
          <w:sz w:val="20"/>
          <w:szCs w:val="20"/>
          <w:color w:val="auto"/>
        </w:rPr>
      </w:pPr>
      <w:r>
        <w:rPr>
          <w:rFonts w:ascii="Arial" w:cs="Arial" w:eastAsia="Arial" w:hAnsi="Arial"/>
          <w:sz w:val="17"/>
          <w:szCs w:val="17"/>
          <w:b w:val="1"/>
          <w:bCs w:val="1"/>
          <w:color w:val="auto"/>
        </w:rPr>
        <w:t>Exhibit 32.2</w:t>
      </w:r>
    </w:p>
    <w:p>
      <w:pPr>
        <w:spacing w:after="0" w:line="220" w:lineRule="exact"/>
        <w:rPr>
          <w:sz w:val="20"/>
          <w:szCs w:val="20"/>
          <w:color w:val="auto"/>
        </w:rPr>
      </w:pPr>
    </w:p>
    <w:p>
      <w:pPr>
        <w:ind w:right="160"/>
        <w:spacing w:after="0" w:line="306"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33" w:lineRule="exact"/>
        <w:rPr>
          <w:sz w:val="20"/>
          <w:szCs w:val="20"/>
          <w:color w:val="auto"/>
        </w:rPr>
      </w:pPr>
    </w:p>
    <w:p>
      <w:pPr>
        <w:ind w:left="500" w:right="360" w:hanging="492"/>
        <w:spacing w:after="0" w:line="275"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June 25, 2023 ("Quarterly Report"), fully complies with the requirements of section 13(a) or 15(d) of the Securities Exchange Act of 1934 (15 U.S.C. 78m or 78o(d)); and</w:t>
      </w:r>
    </w:p>
    <w:p>
      <w:pPr>
        <w:spacing w:after="0" w:line="146" w:lineRule="exact"/>
        <w:rPr>
          <w:rFonts w:ascii="Arial" w:cs="Arial" w:eastAsia="Arial" w:hAnsi="Arial"/>
          <w:sz w:val="18"/>
          <w:szCs w:val="18"/>
          <w:color w:val="auto"/>
        </w:rPr>
      </w:pPr>
    </w:p>
    <w:p>
      <w:pPr>
        <w:ind w:left="500" w:right="800" w:hanging="492"/>
        <w:spacing w:after="0" w:line="275"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2023</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8150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1508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Timothy R. Millage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Financial Officer and Treasurer</w:t>
      </w:r>
    </w:p>
    <w:p>
      <w:pPr>
        <w:spacing w:after="0" w:line="29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240"/>
      </w:cols>
      <w:pgMar w:left="320" w:top="1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bullet"/>
      <w:start w:val="1"/>
    </w:lvl>
  </w:abstractNum>
  <w:abstractNum w:abstractNumId="1">
    <w:nsid w:val="DED7263"/>
    <w:multiLevelType w:val="hybridMultilevel"/>
    <w:lvl w:ilvl="0">
      <w:lvlJc w:val="left"/>
      <w:lvlText w:val="2"/>
      <w:numFmt w:val="bullet"/>
      <w:start w:val="1"/>
    </w:lvl>
  </w:abstractNum>
  <w:abstractNum w:abstractNumId="2">
    <w:nsid w:val="7FDCC233"/>
    <w:multiLevelType w:val="hybridMultilevel"/>
    <w:lvl w:ilvl="0">
      <w:lvlJc w:val="left"/>
      <w:lvlText w:val="3"/>
      <w:numFmt w:val="bullet"/>
      <w:start w:val="1"/>
    </w:lvl>
  </w:abstractNum>
  <w:abstractNum w:abstractNumId="3">
    <w:nsid w:val="1BEFD79F"/>
    <w:multiLevelType w:val="hybridMultilevel"/>
    <w:lvl w:ilvl="0">
      <w:lvlJc w:val="left"/>
      <w:lvlText w:val="5"/>
      <w:numFmt w:val="bullet"/>
      <w:start w:val="1"/>
    </w:lvl>
  </w:abstractNum>
  <w:abstractNum w:abstractNumId="4">
    <w:nsid w:val="41A7C4C9"/>
    <w:multiLevelType w:val="hybridMultilevel"/>
    <w:lvl w:ilvl="0">
      <w:lvlJc w:val="left"/>
      <w:lvlText w:val="6"/>
      <w:numFmt w:val="bullet"/>
      <w:start w:val="1"/>
    </w:lvl>
  </w:abstractNum>
  <w:abstractNum w:abstractNumId="5">
    <w:nsid w:val="6B68079A"/>
    <w:multiLevelType w:val="hybridMultilevel"/>
    <w:lvl w:ilvl="0">
      <w:lvlJc w:val="left"/>
      <w:lvlText w:val="7"/>
      <w:numFmt w:val="bullet"/>
      <w:start w:val="1"/>
    </w:lvl>
  </w:abstractNum>
  <w:abstractNum w:abstractNumId="6">
    <w:nsid w:val="4E6AFB66"/>
    <w:multiLevelType w:val="hybridMultilevel"/>
    <w:lvl w:ilvl="0">
      <w:lvlJc w:val="left"/>
      <w:lvlText w:val="8"/>
      <w:numFmt w:val="bullet"/>
      <w:start w:val="1"/>
    </w:lvl>
  </w:abstractNum>
  <w:abstractNum w:abstractNumId="7">
    <w:nsid w:val="25E45D32"/>
    <w:multiLevelType w:val="hybridMultilevel"/>
    <w:lvl w:ilvl="0">
      <w:lvlJc w:val="left"/>
      <w:lvlText w:val="9"/>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bullet"/>
      <w:start w:val="1"/>
    </w:lvl>
  </w:abstractNum>
  <w:abstractNum w:abstractNumId="15">
    <w:nsid w:val="628C895D"/>
    <w:multiLevelType w:val="hybridMultilevel"/>
    <w:lvl w:ilvl="0">
      <w:lvlJc w:val="left"/>
      <w:lvlText w:val="2"/>
      <w:numFmt w:val="bullet"/>
      <w:start w:val="1"/>
    </w:lvl>
  </w:abstractNum>
  <w:abstractNum w:abstractNumId="16">
    <w:nsid w:val="333AB105"/>
    <w:multiLevelType w:val="hybridMultilevel"/>
    <w:lvl w:ilvl="0">
      <w:lvlJc w:val="left"/>
      <w:lvlText w:val="3"/>
      <w:numFmt w:val="bullet"/>
      <w:start w:val="1"/>
    </w:lvl>
  </w:abstractNum>
  <w:abstractNum w:abstractNumId="17">
    <w:nsid w:val="721DA317"/>
    <w:multiLevelType w:val="hybridMultilevel"/>
    <w:lvl w:ilvl="0">
      <w:lvlJc w:val="left"/>
      <w:lvlText w:val="4"/>
      <w:numFmt w:val="bullet"/>
      <w:start w:val="1"/>
    </w:lvl>
    <w:lvl w:ilvl="1">
      <w:lvlJc w:val="left"/>
      <w:lvlText w:val="%2)"/>
      <w:numFmt w:val="lowerLetter"/>
      <w:start w:val="1"/>
    </w:lvl>
  </w:abstractNum>
  <w:abstractNum w:abstractNumId="18">
    <w:nsid w:val="2443A858"/>
    <w:multiLevelType w:val="hybridMultilevel"/>
    <w:lvl w:ilvl="0">
      <w:lvlJc w:val="left"/>
      <w:lvlText w:val="5"/>
      <w:numFmt w:val="bullet"/>
      <w:start w:val="1"/>
    </w:lvl>
    <w:lvl w:ilvl="1">
      <w:lvlJc w:val="left"/>
      <w:lvlText w:val="%2)"/>
      <w:numFmt w:val="lowerLetter"/>
      <w:start w:val="1"/>
    </w:lvl>
  </w:abstractNum>
  <w:abstractNum w:abstractNumId="19">
    <w:nsid w:val="2D1D5AE9"/>
    <w:multiLevelType w:val="hybridMultilevel"/>
    <w:lvl w:ilvl="0">
      <w:lvlJc w:val="left"/>
      <w:lvlText w:val="1"/>
      <w:numFmt w:val="bullet"/>
      <w:start w:val="1"/>
    </w:lvl>
  </w:abstractNum>
  <w:abstractNum w:abstractNumId="20">
    <w:nsid w:val="6763845E"/>
    <w:multiLevelType w:val="hybridMultilevel"/>
    <w:lvl w:ilvl="0">
      <w:lvlJc w:val="left"/>
      <w:lvlText w:val="2"/>
      <w:numFmt w:val="bullet"/>
      <w:start w:val="1"/>
    </w:lvl>
  </w:abstractNum>
  <w:abstractNum w:abstractNumId="21">
    <w:nsid w:val="75A2A8D4"/>
    <w:multiLevelType w:val="hybridMultilevel"/>
    <w:lvl w:ilvl="0">
      <w:lvlJc w:val="left"/>
      <w:lvlText w:val="3"/>
      <w:numFmt w:val="bullet"/>
      <w:start w:val="1"/>
    </w:lvl>
  </w:abstractNum>
  <w:abstractNum w:abstractNumId="22">
    <w:nsid w:val="8EDBDAB"/>
    <w:multiLevelType w:val="hybridMultilevel"/>
    <w:lvl w:ilvl="0">
      <w:lvlJc w:val="left"/>
      <w:lvlText w:val="4"/>
      <w:numFmt w:val="bullet"/>
      <w:start w:val="1"/>
    </w:lvl>
    <w:lvl w:ilvl="1">
      <w:lvlJc w:val="left"/>
      <w:lvlText w:val="%2)"/>
      <w:numFmt w:val="lowerLetter"/>
      <w:start w:val="1"/>
    </w:lvl>
  </w:abstractNum>
  <w:abstractNum w:abstractNumId="23">
    <w:nsid w:val="79838CB2"/>
    <w:multiLevelType w:val="hybridMultilevel"/>
    <w:lvl w:ilvl="0">
      <w:lvlJc w:val="left"/>
      <w:lvlText w:val="5"/>
      <w:numFmt w:val="bullet"/>
      <w:start w:val="1"/>
    </w:lvl>
    <w:lvl w:ilvl="1">
      <w:lvlJc w:val="left"/>
      <w:lvlText w:val="%2)"/>
      <w:numFmt w:val="lowerLetter"/>
      <w:start w:val="1"/>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2023-08-04T10:18:07Z</dcterms:created>
  <dcterms:modified xsi:type="dcterms:W3CDTF">2023-08-04T10:18:07Z</dcterms:modified>
</cp:coreProperties>
</file>