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UNITED STATES 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120" w:after="283"/>
        <w:jc w:val="center"/>
        <w:rPr/>
      </w:pP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QUARTERLY REPORT 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Quarterly Period Ended June 28, 2026</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OR</w:t>
      </w:r>
    </w:p>
    <w:p>
      <w:pPr>
        <w:pStyle w:val="TextBody"/>
        <w:bidi w:val="0"/>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Arial;sans-serif" w:hAnsi="Arial;sans-serif"/>
          <w:b w:val="false"/>
          <w:color w:val="000000"/>
          <w:sz w:val="20"/>
        </w:rPr>
        <w:t>TRANSITION REPORT 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Commission File Number 1-6227</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LEE ENTERPRISES, INCORPORATED</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8339" w:type="dxa"/>
        <w:jc w:val="left"/>
        <w:tblInd w:w="0" w:type="dxa"/>
        <w:tblLayout w:type="fixed"/>
        <w:tblCellMar>
          <w:top w:w="28" w:type="dxa"/>
          <w:left w:w="28" w:type="dxa"/>
          <w:bottom w:w="28" w:type="dxa"/>
          <w:right w:w="28" w:type="dxa"/>
        </w:tblCellMar>
      </w:tblPr>
      <w:tblGrid>
        <w:gridCol w:w="1864"/>
        <w:gridCol w:w="1634"/>
        <w:gridCol w:w="1647"/>
        <w:gridCol w:w="932"/>
        <w:gridCol w:w="932"/>
        <w:gridCol w:w="1330"/>
      </w:tblGrid>
      <w:tr>
        <w:trPr/>
        <w:tc>
          <w:tcPr>
            <w:tcW w:w="186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42-0823980</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4600 E. 53rd Street, Davenport, Iowa 52807</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(563) 383-2100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77" w:type="dxa"/>
        <w:jc w:val="left"/>
        <w:tblInd w:w="0" w:type="dxa"/>
        <w:tblLayout w:type="fixed"/>
        <w:tblCellMar>
          <w:top w:w="28" w:type="dxa"/>
          <w:left w:w="28" w:type="dxa"/>
          <w:bottom w:w="28" w:type="dxa"/>
          <w:right w:w="28" w:type="dxa"/>
        </w:tblCellMar>
      </w:tblPr>
      <w:tblGrid>
        <w:gridCol w:w="1332"/>
        <w:gridCol w:w="1172"/>
        <w:gridCol w:w="1185"/>
        <w:gridCol w:w="609"/>
        <w:gridCol w:w="609"/>
        <w:gridCol w:w="611"/>
        <w:gridCol w:w="1245"/>
        <w:gridCol w:w="1245"/>
        <w:gridCol w:w="1769"/>
      </w:tblGrid>
      <w:tr>
        <w:trPr/>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$.01 per share</w:t>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LEE</w:t>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both"/>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both"/>
        <w:rPr/>
      </w:pPr>
      <w:r>
        <w:rPr>
          <w:rFonts w:ascii="Arial;sans-serif" w:hAnsi="Arial;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Arial;sans-serif" w:hAnsi="Arial;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July 31, 2026, 22,292,044 shares of Common Stock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2"/>
        <w:gridCol w:w="355"/>
        <w:gridCol w:w="355"/>
        <w:gridCol w:w="419"/>
        <w:gridCol w:w="419"/>
        <w:gridCol w:w="419"/>
        <w:gridCol w:w="2403"/>
        <w:gridCol w:w="2365"/>
        <w:gridCol w:w="2347"/>
        <w:gridCol w:w="206"/>
        <w:gridCol w:w="206"/>
        <w:gridCol w:w="299"/>
      </w:tblGrid>
      <w:tr>
        <w:trPr/>
        <w:tc>
          <w:tcPr>
            <w:tcW w:w="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949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7">
              <w:r>
                <w:rPr>
                  <w:rStyle w:val="InternetLink"/>
                  <w:rFonts w:ascii="Arial;sans-serif" w:hAnsi="Arial;sans-serif"/>
                  <w:b w:val="false"/>
                  <w:strike w:val="false"/>
                  <w:dstrike w:val="false"/>
                  <w:color w:val="000000"/>
                  <w:sz w:val="20"/>
                  <w:u w:val="none"/>
                  <w:effect w:val="none"/>
                </w:rPr>
                <w:t>Table Of Contents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0">
              <w:r>
                <w:rPr>
                  <w:rStyle w:val="InternetLink"/>
                  <w:rFonts w:ascii="Arial;sans-serif" w:hAnsi="Arial;sans-serif"/>
                  <w:b w:val="false"/>
                  <w:color w:val="0000FF"/>
                  <w:sz w:val="20"/>
                  <w:u w:val="single"/>
                </w:rPr>
                <w:t>FORWARD LOOKING STATEMENTS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0">
              <w:r>
                <w:rPr>
                  <w:rStyle w:val="InternetLink"/>
                  <w:rFonts w:ascii="Arial;sans-serif" w:hAnsi="Arial;sans-serif"/>
                  <w:b w:val="false"/>
                  <w:color w:val="0000FF"/>
                  <w:sz w:val="20"/>
                  <w:u w:val="single"/>
                </w:rPr>
                <w:t>1</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3">
              <w:r>
                <w:rPr>
                  <w:rStyle w:val="InternetLink"/>
                  <w:rFonts w:ascii="Arial;sans-serif" w:hAnsi="Arial;sans-serif"/>
                  <w:b w:val="false"/>
                  <w:strike w:val="false"/>
                  <w:dstrike w:val="false"/>
                  <w:color w:val="000000"/>
                  <w:sz w:val="20"/>
                  <w:u w:val="none"/>
                  <w:effect w:val="none"/>
                </w:rPr>
                <w:t>PART I</w:t>
              </w:r>
            </w:hyperlink>
          </w:p>
        </w:tc>
        <w:tc>
          <w:tcPr>
            <w:tcW w:w="83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3">
              <w:r>
                <w:rPr>
                  <w:rStyle w:val="InternetLink"/>
                  <w:rFonts w:ascii="Arial;sans-serif" w:hAnsi="Arial;sans-serif"/>
                  <w:b w:val="false"/>
                  <w:color w:val="0000FF"/>
                  <w:sz w:val="20"/>
                  <w:u w:val="single"/>
                </w:rPr>
                <w:t>FINANCIAL INFORMATION</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3">
              <w:r>
                <w:rPr>
                  <w:rStyle w:val="InternetLink"/>
                  <w:rFonts w:ascii="Arial;sans-serif" w:hAnsi="Arial;sans-serif"/>
                  <w:b w:val="false"/>
                  <w:color w:val="0000FF"/>
                  <w:sz w:val="20"/>
                  <w:u w:val="single"/>
                </w:rPr>
                <w:t>2</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6">
              <w:r>
                <w:rPr>
                  <w:rStyle w:val="InternetLink"/>
                  <w:rFonts w:ascii="Arial;sans-serif" w:hAnsi="Arial;sans-serif"/>
                  <w:b w:val="false"/>
                  <w:strike w:val="false"/>
                  <w:dstrike w:val="false"/>
                  <w:color w:val="000000"/>
                  <w:sz w:val="20"/>
                  <w:u w:val="none"/>
                  <w:effect w:val="none"/>
                </w:rPr>
                <w:t>Item 1.</w:t>
              </w:r>
            </w:hyperlink>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6">
              <w:r>
                <w:rPr>
                  <w:rStyle w:val="InternetLink"/>
                  <w:rFonts w:ascii="Arial;sans-serif" w:hAnsi="Arial;sans-serif"/>
                  <w:b w:val="false"/>
                  <w:color w:val="0000FF"/>
                  <w:sz w:val="20"/>
                  <w:u w:val="single"/>
                </w:rPr>
                <w:t>Financial Statements (Unaudited)</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6">
              <w:r>
                <w:rPr>
                  <w:rStyle w:val="InternetLink"/>
                  <w:rFonts w:ascii="Arial;sans-serif" w:hAnsi="Arial;sans-serif"/>
                  <w:b w:val="false"/>
                  <w:color w:val="0000FF"/>
                  <w:sz w:val="20"/>
                  <w:u w:val="single"/>
                </w:rPr>
                <w:t>2</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9">
              <w:r>
                <w:rPr>
                  <w:rStyle w:val="InternetLink"/>
                  <w:rFonts w:ascii="Arial;sans-serif" w:hAnsi="Arial;sans-serif"/>
                  <w:b w:val="false"/>
                  <w:color w:val="0000FF"/>
                  <w:sz w:val="20"/>
                  <w:u w:val="single"/>
                </w:rPr>
                <w:t>Consolidated Balance Sheets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9">
              <w:r>
                <w:rPr>
                  <w:rStyle w:val="InternetLink"/>
                  <w:rFonts w:ascii="Arial;sans-serif" w:hAnsi="Arial;sans-serif"/>
                  <w:b w:val="false"/>
                  <w:color w:val="0000FF"/>
                  <w:sz w:val="20"/>
                  <w:u w:val="single"/>
                </w:rPr>
                <w:t>2</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22">
              <w:r>
                <w:rPr>
                  <w:rStyle w:val="InternetLink"/>
                  <w:rFonts w:ascii="Arial;sans-serif" w:hAnsi="Arial;sans-serif"/>
                  <w:b w:val="false"/>
                  <w:color w:val="000080"/>
                  <w:sz w:val="20"/>
                  <w:u w:val="single"/>
                </w:rPr>
                <w:t>Consolidated Statements of</w:t>
              </w:r>
            </w:hyperlink>
            <w:hyperlink w:anchor="ib46260ee725947aeb3139eb304c819d6_22">
              <w:r>
                <w:rPr>
                  <w:rStyle w:val="InternetLink"/>
                  <w:rFonts w:ascii="Arial;sans-serif" w:hAnsi="Arial;sans-serif"/>
                  <w:b w:val="false"/>
                  <w:color w:val="000080"/>
                  <w:sz w:val="20"/>
                  <w:u w:val="single"/>
                </w:rPr>
                <w:t xml:space="preserve"> Inco</w:t>
              </w:r>
            </w:hyperlink>
            <w:hyperlink w:anchor="ib46260ee725947aeb3139eb304c819d6_22">
              <w:r>
                <w:rPr>
                  <w:rStyle w:val="InternetLink"/>
                  <w:rFonts w:ascii="Arial;sans-serif" w:hAnsi="Arial;sans-serif"/>
                  <w:b w:val="false"/>
                  <w:color w:val="000080"/>
                  <w:sz w:val="20"/>
                  <w:u w:val="single"/>
                </w:rPr>
                <w:t>me (</w:t>
              </w:r>
            </w:hyperlink>
            <w:hyperlink w:anchor="ib46260ee725947aeb3139eb304c819d6_22">
              <w:r>
                <w:rPr>
                  <w:rStyle w:val="InternetLink"/>
                  <w:rFonts w:ascii="Arial;sans-serif" w:hAnsi="Arial;sans-serif"/>
                  <w:b w:val="false"/>
                  <w:color w:val="000080"/>
                  <w:sz w:val="20"/>
                  <w:u w:val="single"/>
                </w:rPr>
                <w:t>L</w:t>
              </w:r>
            </w:hyperlink>
            <w:hyperlink w:anchor="ib46260ee725947aeb3139eb304c819d6_22">
              <w:r>
                <w:rPr>
                  <w:rStyle w:val="InternetLink"/>
                  <w:rFonts w:ascii="Arial;sans-serif" w:hAnsi="Arial;sans-serif"/>
                  <w:b w:val="false"/>
                  <w:color w:val="000080"/>
                  <w:sz w:val="20"/>
                  <w:u w:val="single"/>
                </w:rPr>
                <w:t>oss</w:t>
              </w:r>
            </w:hyperlink>
            <w:hyperlink w:anchor="ib46260ee725947aeb3139eb304c819d6_22">
              <w:r>
                <w:rPr>
                  <w:rStyle w:val="InternetLink"/>
                  <w:rFonts w:ascii="Arial;sans-serif" w:hAnsi="Arial;sans-serif"/>
                  <w:b w:val="false"/>
                  <w:color w:val="000080"/>
                  <w:sz w:val="20"/>
                  <w:u w:val="single"/>
                </w:rPr>
                <w:t>)</w:t>
              </w:r>
            </w:hyperlink>
            <w:hyperlink w:anchor="ib46260ee725947aeb3139eb304c819d6_22">
              <w:r>
                <w:rPr>
                  <w:rStyle w:val="InternetLink"/>
                  <w:rFonts w:ascii="Arial;sans-serif" w:hAnsi="Arial;sans-serif"/>
                  <w:b w:val="false"/>
                  <w:color w:val="000080"/>
                  <w:sz w:val="20"/>
                  <w:u w:val="single"/>
                </w:rPr>
                <w:t xml:space="preserve"> and Comprehensive </w:t>
              </w:r>
            </w:hyperlink>
            <w:hyperlink w:anchor="ib46260ee725947aeb3139eb304c819d6_22">
              <w:r>
                <w:rPr>
                  <w:rStyle w:val="InternetLink"/>
                  <w:rFonts w:ascii="Arial;sans-serif" w:hAnsi="Arial;sans-serif"/>
                  <w:b w:val="false"/>
                  <w:color w:val="000080"/>
                  <w:sz w:val="20"/>
                  <w:u w:val="single"/>
                </w:rPr>
                <w:t>Income (</w:t>
              </w:r>
            </w:hyperlink>
            <w:hyperlink w:anchor="ib46260ee725947aeb3139eb304c819d6_22">
              <w:r>
                <w:rPr>
                  <w:rStyle w:val="InternetLink"/>
                  <w:rFonts w:ascii="Arial;sans-serif" w:hAnsi="Arial;sans-serif"/>
                  <w:b w:val="false"/>
                  <w:color w:val="000080"/>
                  <w:sz w:val="20"/>
                  <w:u w:val="single"/>
                </w:rPr>
                <w:t>Loss</w:t>
              </w:r>
            </w:hyperlink>
            <w:r>
              <w:rPr>
                <w:rFonts w:ascii="Arial;sans-serif" w:hAnsi="Arial;sans-serif"/>
                <w:b w:val="false"/>
                <w:color w:val="000000"/>
                <w:sz w:val="20"/>
              </w:rPr>
              <w:t>)</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22">
              <w:r>
                <w:rPr>
                  <w:rStyle w:val="InternetLink"/>
                  <w:rFonts w:ascii="Arial;sans-serif" w:hAnsi="Arial;sans-serif"/>
                  <w:b w:val="false"/>
                  <w:color w:val="0000FF"/>
                  <w:sz w:val="20"/>
                  <w:u w:val="single"/>
                </w:rPr>
                <w:t>4</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25">
              <w:r>
                <w:rPr>
                  <w:rStyle w:val="InternetLink"/>
                  <w:rFonts w:ascii="Arial;sans-serif" w:hAnsi="Arial;sans-serif"/>
                  <w:b w:val="false"/>
                  <w:color w:val="0000FF"/>
                  <w:sz w:val="20"/>
                  <w:u w:val="single"/>
                </w:rPr>
                <w:t>Consolidated Statements of Stockholders' Equity (Deficit)</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25">
              <w:r>
                <w:rPr>
                  <w:rStyle w:val="InternetLink"/>
                  <w:rFonts w:ascii="Arial;sans-serif" w:hAnsi="Arial;sans-serif"/>
                  <w:b w:val="false"/>
                  <w:color w:val="0000FF"/>
                  <w:sz w:val="20"/>
                  <w:u w:val="single"/>
                </w:rPr>
                <w:t>5</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28">
              <w:r>
                <w:rPr>
                  <w:rStyle w:val="InternetLink"/>
                  <w:rFonts w:ascii="Arial;sans-serif" w:hAnsi="Arial;sans-serif"/>
                  <w:b w:val="false"/>
                  <w:color w:val="0000FF"/>
                  <w:sz w:val="20"/>
                  <w:u w:val="single"/>
                </w:rPr>
                <w:t>Consolidated Statements of Cash Flows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28">
              <w:r>
                <w:rPr>
                  <w:rStyle w:val="InternetLink"/>
                  <w:rFonts w:ascii="Arial;sans-serif" w:hAnsi="Arial;sans-serif"/>
                  <w:b w:val="false"/>
                  <w:color w:val="0000FF"/>
                  <w:sz w:val="20"/>
                  <w:u w:val="single"/>
                </w:rPr>
                <w:t>7</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31">
              <w:r>
                <w:rPr>
                  <w:rStyle w:val="InternetLink"/>
                  <w:rFonts w:ascii="Arial;sans-serif" w:hAnsi="Arial;sans-serif"/>
                  <w:b w:val="false"/>
                  <w:color w:val="0000FF"/>
                  <w:sz w:val="20"/>
                  <w:u w:val="single"/>
                </w:rPr>
                <w:t>Notes to Consolidated Financial Statements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31">
              <w:r>
                <w:rPr>
                  <w:rStyle w:val="InternetLink"/>
                  <w:rFonts w:ascii="Arial;sans-serif" w:hAnsi="Arial;sans-serif"/>
                  <w:b w:val="false"/>
                  <w:color w:val="0000FF"/>
                  <w:sz w:val="20"/>
                  <w:u w:val="single"/>
                </w:rPr>
                <w:t>7</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79">
              <w:r>
                <w:rPr>
                  <w:rStyle w:val="InternetLink"/>
                  <w:rFonts w:ascii="Arial;sans-serif" w:hAnsi="Arial;sans-serif"/>
                  <w:b w:val="false"/>
                  <w:strike w:val="false"/>
                  <w:dstrike w:val="false"/>
                  <w:color w:val="000000"/>
                  <w:sz w:val="20"/>
                  <w:u w:val="none"/>
                  <w:effect w:val="none"/>
                </w:rPr>
                <w:t>Item 2.</w:t>
              </w:r>
            </w:hyperlink>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79">
              <w:r>
                <w:rPr>
                  <w:rStyle w:val="InternetLink"/>
                  <w:rFonts w:ascii="Arial;sans-serif" w:hAnsi="Arial;sans-serif"/>
                  <w:b w:val="false"/>
                  <w:color w:val="0000FF"/>
                  <w:sz w:val="20"/>
                  <w:u w:val="single"/>
                </w:rPr>
                <w:t>Management's Discussion and Analysis of Financial Condition and Results of Operations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79">
              <w:r>
                <w:rPr>
                  <w:rStyle w:val="InternetLink"/>
                  <w:rFonts w:ascii="Arial;sans-serif" w:hAnsi="Arial;sans-serif"/>
                  <w:b w:val="false"/>
                  <w:color w:val="0000FF"/>
                  <w:sz w:val="20"/>
                  <w:u w:val="single"/>
                </w:rPr>
                <w:t>19</w:t>
              </w:r>
            </w:hyperlink>
          </w:p>
        </w:tc>
      </w:tr>
      <w:tr>
        <w:trPr/>
        <w:tc>
          <w:tcPr>
            <w:tcW w:w="112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71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112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71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09">
              <w:r>
                <w:rPr>
                  <w:rStyle w:val="InternetLink"/>
                  <w:rFonts w:ascii="Arial;sans-serif" w:hAnsi="Arial;sans-serif"/>
                  <w:b w:val="false"/>
                  <w:strike w:val="false"/>
                  <w:dstrike w:val="false"/>
                  <w:color w:val="000080"/>
                  <w:sz w:val="20"/>
                  <w:u w:val="single"/>
                  <w:effect w:val="none"/>
                </w:rPr>
                <w:t xml:space="preserve">Item </w:t>
              </w:r>
            </w:hyperlink>
            <w:hyperlink w:anchor="ib46260ee725947aeb3139eb304c819d6_109">
              <w:r>
                <w:rPr>
                  <w:rStyle w:val="InternetLink"/>
                  <w:rFonts w:ascii="Arial;sans-serif" w:hAnsi="Arial;sans-serif"/>
                  <w:b w:val="false"/>
                  <w:strike w:val="false"/>
                  <w:dstrike w:val="false"/>
                  <w:color w:val="000080"/>
                  <w:sz w:val="20"/>
                  <w:u w:val="single"/>
                  <w:effect w:val="none"/>
                </w:rPr>
                <w:t>4</w:t>
              </w:r>
            </w:hyperlink>
            <w:hyperlink w:anchor="ib46260ee725947aeb3139eb304c819d6_109">
              <w:r>
                <w:rPr>
                  <w:rStyle w:val="InternetLink"/>
                  <w:rFonts w:ascii="Arial;sans-serif" w:hAnsi="Arial;sans-serif"/>
                  <w:b w:val="false"/>
                  <w:strike w:val="false"/>
                  <w:dstrike w:val="false"/>
                  <w:color w:val="000080"/>
                  <w:sz w:val="20"/>
                  <w:u w:val="single"/>
                  <w:effect w:val="none"/>
                </w:rPr>
                <w:t>.</w:t>
              </w:r>
            </w:hyperlink>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09">
              <w:r>
                <w:rPr>
                  <w:rStyle w:val="InternetLink"/>
                  <w:rFonts w:ascii="Arial;sans-serif" w:hAnsi="Arial;sans-serif"/>
                  <w:b w:val="false"/>
                  <w:color w:val="0000FF"/>
                  <w:sz w:val="20"/>
                  <w:u w:val="single"/>
                </w:rPr>
                <w:t>Controls and Procedures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09">
              <w:r>
                <w:rPr>
                  <w:rStyle w:val="InternetLink"/>
                  <w:rFonts w:ascii="Arial;sans-serif" w:hAnsi="Arial;sans-serif"/>
                  <w:b w:val="false"/>
                  <w:color w:val="0000FF"/>
                  <w:sz w:val="20"/>
                  <w:u w:val="single"/>
                </w:rPr>
                <w:t>28</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12">
              <w:r>
                <w:rPr>
                  <w:rStyle w:val="InternetLink"/>
                  <w:rFonts w:ascii="Arial;sans-serif" w:hAnsi="Arial;sans-serif"/>
                  <w:b w:val="false"/>
                  <w:strike w:val="false"/>
                  <w:dstrike w:val="false"/>
                  <w:color w:val="000000"/>
                  <w:sz w:val="20"/>
                  <w:u w:val="none"/>
                  <w:effect w:val="none"/>
                </w:rPr>
                <w:t>PART II</w:t>
              </w:r>
            </w:hyperlink>
          </w:p>
        </w:tc>
        <w:tc>
          <w:tcPr>
            <w:tcW w:w="83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12">
              <w:r>
                <w:rPr>
                  <w:rStyle w:val="InternetLink"/>
                  <w:rFonts w:ascii="Arial;sans-serif" w:hAnsi="Arial;sans-serif"/>
                  <w:b w:val="false"/>
                  <w:color w:val="0000FF"/>
                  <w:sz w:val="20"/>
                  <w:u w:val="single"/>
                </w:rPr>
                <w:t>OTHER INFORMATION</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12">
              <w:r>
                <w:rPr>
                  <w:rStyle w:val="InternetLink"/>
                  <w:rFonts w:ascii="Arial;sans-serif" w:hAnsi="Arial;sans-serif"/>
                  <w:b w:val="false"/>
                  <w:color w:val="0000FF"/>
                  <w:sz w:val="20"/>
                  <w:u w:val="single"/>
                </w:rPr>
                <w:t>29</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15">
              <w:r>
                <w:rPr>
                  <w:rStyle w:val="InternetLink"/>
                  <w:rFonts w:ascii="Arial;sans-serif" w:hAnsi="Arial;sans-serif"/>
                  <w:b w:val="false"/>
                  <w:strike w:val="false"/>
                  <w:dstrike w:val="false"/>
                  <w:color w:val="000000"/>
                  <w:sz w:val="20"/>
                  <w:u w:val="none"/>
                  <w:effect w:val="none"/>
                </w:rPr>
                <w:t>Item 1.</w:t>
              </w:r>
            </w:hyperlink>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15">
              <w:r>
                <w:rPr>
                  <w:rStyle w:val="InternetLink"/>
                  <w:rFonts w:ascii="Arial;sans-serif" w:hAnsi="Arial;sans-serif"/>
                  <w:b w:val="false"/>
                  <w:color w:val="0000FF"/>
                  <w:sz w:val="20"/>
                  <w:u w:val="single"/>
                </w:rPr>
                <w:t>Legal Proceedings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15">
              <w:r>
                <w:rPr>
                  <w:rStyle w:val="InternetLink"/>
                  <w:rFonts w:ascii="Arial;sans-serif" w:hAnsi="Arial;sans-serif"/>
                  <w:b w:val="false"/>
                  <w:color w:val="0000FF"/>
                  <w:sz w:val="20"/>
                  <w:u w:val="single"/>
                </w:rPr>
                <w:t>29</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18">
              <w:r>
                <w:rPr>
                  <w:rStyle w:val="InternetLink"/>
                  <w:rFonts w:ascii="Arial;sans-serif" w:hAnsi="Arial;sans-serif"/>
                  <w:b w:val="false"/>
                  <w:strike w:val="false"/>
                  <w:dstrike w:val="false"/>
                  <w:color w:val="000000"/>
                  <w:sz w:val="20"/>
                  <w:u w:val="none"/>
                  <w:effect w:val="none"/>
                </w:rPr>
                <w:t>Item 1.A.</w:t>
              </w:r>
            </w:hyperlink>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18">
              <w:r>
                <w:rPr>
                  <w:rStyle w:val="InternetLink"/>
                  <w:rFonts w:ascii="Arial;sans-serif" w:hAnsi="Arial;sans-serif"/>
                  <w:b w:val="false"/>
                  <w:color w:val="0000FF"/>
                  <w:sz w:val="20"/>
                  <w:u w:val="single"/>
                </w:rPr>
                <w:t>Risk Factors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18">
              <w:r>
                <w:rPr>
                  <w:rStyle w:val="InternetLink"/>
                  <w:rFonts w:ascii="Arial;sans-serif" w:hAnsi="Arial;sans-serif"/>
                  <w:b w:val="false"/>
                  <w:color w:val="0000FF"/>
                  <w:sz w:val="20"/>
                  <w:u w:val="single"/>
                </w:rPr>
                <w:t>30</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21">
              <w:r>
                <w:rPr>
                  <w:rStyle w:val="InternetLink"/>
                  <w:rFonts w:ascii="Arial;sans-serif" w:hAnsi="Arial;sans-serif"/>
                  <w:b w:val="false"/>
                  <w:strike w:val="false"/>
                  <w:dstrike w:val="false"/>
                  <w:color w:val="000000"/>
                  <w:sz w:val="20"/>
                  <w:u w:val="none"/>
                  <w:effect w:val="none"/>
                </w:rPr>
                <w:t>Item 5</w:t>
              </w:r>
            </w:hyperlink>
            <w:r>
              <w:rPr>
                <w:rFonts w:ascii="Arial;sans-serif" w:hAnsi="Arial;sans-serif"/>
                <w:b w:val="false"/>
                <w:color w:val="000000"/>
                <w:sz w:val="20"/>
              </w:rPr>
              <w:t>.</w:t>
            </w:r>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21">
              <w:r>
                <w:rPr>
                  <w:rStyle w:val="InternetLink"/>
                  <w:rFonts w:ascii="Arial;sans-serif" w:hAnsi="Arial;sans-serif"/>
                  <w:b w:val="false"/>
                  <w:color w:val="0000FF"/>
                  <w:sz w:val="20"/>
                  <w:u w:val="single"/>
                </w:rPr>
                <w:t>Other Information</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21">
              <w:r>
                <w:rPr>
                  <w:rStyle w:val="InternetLink"/>
                  <w:rFonts w:ascii="Arial;sans-serif" w:hAnsi="Arial;sans-serif"/>
                  <w:b w:val="false"/>
                  <w:color w:val="0000FF"/>
                  <w:sz w:val="20"/>
                  <w:u w:val="single"/>
                </w:rPr>
                <w:t>30</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27">
              <w:r>
                <w:rPr>
                  <w:rStyle w:val="InternetLink"/>
                  <w:rFonts w:ascii="Arial;sans-serif" w:hAnsi="Arial;sans-serif"/>
                  <w:b w:val="false"/>
                  <w:strike w:val="false"/>
                  <w:dstrike w:val="false"/>
                  <w:color w:val="000000"/>
                  <w:sz w:val="20"/>
                  <w:u w:val="none"/>
                  <w:effect w:val="none"/>
                </w:rPr>
                <w:t>Item 6.</w:t>
              </w:r>
            </w:hyperlink>
          </w:p>
        </w:tc>
        <w:tc>
          <w:tcPr>
            <w:tcW w:w="7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27">
              <w:r>
                <w:rPr>
                  <w:rStyle w:val="InternetLink"/>
                  <w:rFonts w:ascii="Arial;sans-serif" w:hAnsi="Arial;sans-serif"/>
                  <w:b w:val="false"/>
                  <w:color w:val="0000FF"/>
                  <w:sz w:val="20"/>
                  <w:u w:val="single"/>
                </w:rPr>
                <w:t>Exhibits</w:t>
              </w:r>
            </w:hyperlink>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27">
              <w:r>
                <w:rPr>
                  <w:rStyle w:val="InternetLink"/>
                  <w:rFonts w:ascii="Arial;sans-serif" w:hAnsi="Arial;sans-serif"/>
                  <w:b w:val="false"/>
                  <w:color w:val="0000FF"/>
                  <w:sz w:val="20"/>
                  <w:u w:val="single"/>
                </w:rPr>
                <w:t>31</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6260ee725947aeb3139eb304c819d6_130">
              <w:r>
                <w:rPr>
                  <w:rStyle w:val="InternetLink"/>
                  <w:rFonts w:ascii="Arial;sans-serif" w:hAnsi="Arial;sans-serif"/>
                  <w:b w:val="false"/>
                  <w:color w:val="0000FF"/>
                  <w:sz w:val="20"/>
                  <w:u w:val="single"/>
                </w:rPr>
                <w:t>SIGNATURES</w:t>
              </w:r>
            </w:hyperlink>
          </w:p>
        </w:tc>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6260ee725947aeb3139eb304c819d6_130">
              <w:r>
                <w:rPr>
                  <w:rStyle w:val="InternetLink"/>
                  <w:rFonts w:ascii="Arial;sans-serif" w:hAnsi="Arial;sans-serif"/>
                  <w:b w:val="false"/>
                  <w:color w:val="0000FF"/>
                  <w:sz w:val="20"/>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References to “we," “our,” “us” and the like throughout this document refer to Lee Enterprises, Incorporated (the “Company”). References to “2026”, “2025" and the like refer to the fiscal years ended the last Sunday in September.</w:t>
      </w:r>
    </w:p>
    <w:p>
      <w:pPr>
        <w:pStyle w:val="TextBody"/>
        <w:bidi w:val="0"/>
        <w:spacing w:lineRule="auto" w:line="288" w:before="200" w:after="283"/>
        <w:jc w:val="both"/>
        <w:rPr>
          <w:rFonts w:ascii="Arial;sans-serif" w:hAnsi="Arial;sans-serif"/>
          <w:b/>
          <w:color w:val="000000"/>
          <w:sz w:val="20"/>
          <w:shd w:fill="FFFFFF" w:val="clear"/>
        </w:rPr>
      </w:pPr>
      <w:r>
        <w:rPr>
          <w:rFonts w:ascii="Arial;sans-serif" w:hAnsi="Arial;sans-serif"/>
          <w:b/>
          <w:color w:val="000000"/>
          <w:sz w:val="20"/>
          <w:shd w:fill="FFFFFF" w:val="clear"/>
        </w:rPr>
        <w:t>FORWARD-LOOKING STATEMENTS</w:t>
      </w:r>
    </w:p>
    <w:p>
      <w:pPr>
        <w:pStyle w:val="TextBody"/>
        <w:bidi w:val="0"/>
        <w:spacing w:lineRule="auto" w:line="268" w:before="200" w:after="283"/>
        <w:jc w:val="both"/>
        <w:rPr>
          <w:rFonts w:ascii="Arial;sans-serif" w:hAnsi="Arial;sans-serif"/>
          <w:b w:val="false"/>
          <w:color w:val="000000"/>
          <w:sz w:val="20"/>
        </w:rPr>
      </w:pPr>
      <w:r>
        <w:rPr>
          <w:rFonts w:ascii="Arial;sans-serif" w:hAnsi="Arial;sans-serif"/>
          <w:b w:val="false"/>
          <w:color w:val="000000"/>
          <w:sz w:val="20"/>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pStyle w:val="TextBody"/>
        <w:bidi w:val="0"/>
        <w:spacing w:lineRule="auto" w:line="268" w:before="200" w:after="283"/>
        <w:ind w:left="0" w:right="0" w:hanging="360"/>
        <w:jc w:val="both"/>
        <w:rPr/>
      </w:pPr>
      <w:r>
        <w:rPr>
          <w:color w:val="000000"/>
        </w:rPr>
        <w:t>•</w:t>
      </w:r>
      <w:r>
        <w:rPr>
          <w:rFonts w:ascii="Arial;sans-serif" w:hAnsi="Arial;sans-serif"/>
          <w:b w:val="false"/>
          <w:color w:val="000000"/>
          <w:sz w:val="20"/>
        </w:rPr>
        <w:t>Our ability to manage declining print revenue and circulation subscribers;</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The impact and duration of adverse conditions in certain aspects of the economy affecting our business;</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Changes in advertising and subscription demand;</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Changes in technology that impact our ability to deliver digital advertising;</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Potential changes in newsprint, other commodities and energy costs;</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Interest rates;</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Labor costs;</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Significant cyber security breaches or failure of our information technology systems;</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Our ability to achieve planned expense reductions;</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Our ability to maintain employee and customer relationships;</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Our ability to manage increased capital costs;</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Our ability to maintain our listing status on Nasdaq;</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Competition;</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 xml:space="preserve">We may be required to indemnify the previous owners of BH Media Group, Inc. and The Buffalo News, Inc. for unknown legal and other matters that may arise; </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 xml:space="preserve">Our liquidity position, any need to obtain additional capital and our ability to obtain additional financing; and </w:t>
      </w:r>
    </w:p>
    <w:p>
      <w:pPr>
        <w:pStyle w:val="TextBody"/>
        <w:bidi w:val="0"/>
        <w:spacing w:lineRule="auto" w:line="268" w:before="200" w:after="283"/>
        <w:ind w:left="0" w:right="0" w:hanging="360"/>
        <w:jc w:val="left"/>
        <w:rPr/>
      </w:pPr>
      <w:r>
        <w:rPr>
          <w:color w:val="000000"/>
        </w:rPr>
        <w:t>•</w:t>
      </w:r>
      <w:r>
        <w:rPr>
          <w:rFonts w:ascii="Arial;sans-serif" w:hAnsi="Arial;sans-serif"/>
          <w:b w:val="false"/>
          <w:color w:val="000000"/>
          <w:sz w:val="20"/>
        </w:rPr>
        <w:t>Other risks detailed from time to time in our publicly filed documents.</w:t>
      </w:r>
    </w:p>
    <w:p>
      <w:pPr>
        <w:pStyle w:val="TextBody"/>
        <w:bidi w:val="0"/>
        <w:spacing w:lineRule="auto" w:line="268" w:before="200" w:after="283"/>
        <w:jc w:val="both"/>
        <w:rPr/>
      </w:pPr>
      <w:r>
        <w:rPr>
          <w:rFonts w:ascii="Arial;sans-serif" w:hAnsi="Arial;sans-serif"/>
          <w:b w:val="false"/>
          <w:color w:val="000000"/>
          <w:sz w:val="20"/>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that may affect our future operations are forward-looking statements. These forward-looking statements speak only as of the date of this Quarterly Report and are subject to a number of risks, uncertainties and assumptions described in the section titled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and elsewhere in this Quarterly Report. They reflect our expectations and are not guarantees of performance. Readers are cautioned not to place undue reliance on such forward-looking statements, which are made as of the date of this Quarterly Report. We do not undertake to publicly update or revise our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LEE ENTERPRISES,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5868" w:type="dxa"/>
        <w:jc w:val="left"/>
        <w:tblInd w:w="0" w:type="dxa"/>
        <w:tblLayout w:type="fixed"/>
        <w:tblCellMar>
          <w:top w:w="28" w:type="dxa"/>
          <w:left w:w="28" w:type="dxa"/>
          <w:bottom w:w="28" w:type="dxa"/>
          <w:right w:w="28" w:type="dxa"/>
        </w:tblCellMar>
      </w:tblPr>
      <w:tblGrid>
        <w:gridCol w:w="1146"/>
        <w:gridCol w:w="1006"/>
        <w:gridCol w:w="1012"/>
        <w:gridCol w:w="427"/>
        <w:gridCol w:w="429"/>
        <w:gridCol w:w="366"/>
        <w:gridCol w:w="475"/>
        <w:gridCol w:w="417"/>
        <w:gridCol w:w="590"/>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(Unaudited)</w:t>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September 28,</w:t>
              <w:br/>
              <w:t>2025</w:t>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59,428 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9,989 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44,925 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54,613 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4,696 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and other current assets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20,145 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121,115 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89,443 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Associated companies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27,070 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6,118 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investments</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33,529 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33,188 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improvements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5,782 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64,676 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64,880 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186,881 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191,594 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process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5,530 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260,056 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267,786 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227,545 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232,225 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32,511 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35,561 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19,989 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25,155 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323,858 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323,858 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46,612 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51,926 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plan assets, net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10,828 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Medical plan assets, net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22,407 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9,363 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8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624,601 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601,729 </w:t>
            </w:r>
          </w:p>
        </w:tc>
        <w:tc>
          <w:tcPr>
            <w:tcW w:w="5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86"/>
        <w:gridCol w:w="2360"/>
        <w:gridCol w:w="2372"/>
        <w:gridCol w:w="455"/>
        <w:gridCol w:w="458"/>
        <w:gridCol w:w="365"/>
        <w:gridCol w:w="486"/>
        <w:gridCol w:w="427"/>
        <w:gridCol w:w="596"/>
      </w:tblGrid>
      <w:tr>
        <w:trPr/>
        <w:tc>
          <w:tcPr>
            <w:tcW w:w="2686"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(Unaudited)</w:t>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 and Shares, Except Per Share Data)</w:t>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5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September 28,</w:t>
              <w:br/>
              <w:t>2025</w:t>
            </w:r>
          </w:p>
        </w:tc>
      </w:tr>
      <w:tr>
        <w:trPr/>
        <w:tc>
          <w:tcPr>
            <w:tcW w:w="7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EQUITY</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7,301 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45,595 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41,715 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other accrued liabilities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37,862 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26,478 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103,805 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113,356 </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maturities</w:t>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454,715 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455,469 </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18,810 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obligations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and postemployment benefit obligations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5,103 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22,029 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22,477 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Withdrawal liabilities and other</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21,201 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23,804 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624,562 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642,688 </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 (deficit):</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Serial convertible preferred stock, no par value; authorized 500 shares; none issued</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authorized 40,000 shares; issued and outstanding:</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June 28, 2026; 22,292 shares; $0.01 par value</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September 28, 2025; 6,263 shares; $0.01 par value</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309,571 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263,812 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(333,018)</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(329,934)</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20,984 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22,753 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Lee Enterprises, Inc. stockholders' deficit</w:t>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(43,306)</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2,347 </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 (deficit)</w:t>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(40,959)</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 (deficit)</w:t>
            </w:r>
          </w:p>
        </w:tc>
        <w:tc>
          <w:tcPr>
            <w:tcW w:w="91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624,601 </w:t>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601,729 </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LEE ENTERPRISES,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 (LOSS) AND COMPREHENSIVE INCOME (LOSS)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56"/>
        <w:gridCol w:w="1738"/>
        <w:gridCol w:w="1748"/>
        <w:gridCol w:w="588"/>
        <w:gridCol w:w="303"/>
        <w:gridCol w:w="269"/>
        <w:gridCol w:w="588"/>
        <w:gridCol w:w="303"/>
        <w:gridCol w:w="272"/>
        <w:gridCol w:w="591"/>
        <w:gridCol w:w="280"/>
        <w:gridCol w:w="247"/>
        <w:gridCol w:w="587"/>
        <w:gridCol w:w="281"/>
        <w:gridCol w:w="354"/>
      </w:tblGrid>
      <w:tr>
        <w:trPr/>
        <w:tc>
          <w:tcPr>
            <w:tcW w:w="205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34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5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 Except Per Common Share Data)</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5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marketing services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59,324 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66,571 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174,277 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193,633 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167,630 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191,423 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125,970 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141,294 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377,996 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423,235 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140,989 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164,349 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Newsprint and ink</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62,076 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77,252 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193,640 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223,387 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sales, impairments and other,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118,260 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137,318 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358,624 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429,391 </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associated companies</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22,382 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(3,193)</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 income:</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post employment benefits ("OPEB") related and other, net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gain</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(9,082)</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(18,265)</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(28,003)</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6,573 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(4,420)</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4,117 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(31,196)</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(29,915)</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attributable to Lee Enterprises, Incorporated</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4,675 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(31,179)</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income taxes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Lee Enterprises, Incorporated</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(31,409)</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per common share:</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2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2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3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CONSOLIDATED STATEMENTS OF STOCKHOLDERS' EQUITY (DEFICIT)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59"/>
        <w:gridCol w:w="761"/>
        <w:gridCol w:w="766"/>
        <w:gridCol w:w="438"/>
        <w:gridCol w:w="438"/>
        <w:gridCol w:w="416"/>
        <w:gridCol w:w="295"/>
        <w:gridCol w:w="295"/>
        <w:gridCol w:w="296"/>
        <w:gridCol w:w="434"/>
        <w:gridCol w:w="426"/>
        <w:gridCol w:w="362"/>
        <w:gridCol w:w="485"/>
        <w:gridCol w:w="485"/>
        <w:gridCol w:w="486"/>
        <w:gridCol w:w="580"/>
        <w:gridCol w:w="580"/>
        <w:gridCol w:w="581"/>
        <w:gridCol w:w="385"/>
        <w:gridCol w:w="386"/>
        <w:gridCol w:w="251"/>
      </w:tblGrid>
      <w:tr>
        <w:trPr/>
        <w:tc>
          <w:tcPr>
            <w:tcW w:w="10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Accumulated</w:t>
              <w:br/>
              <w:t>Deficit</w:t>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Common</w:t>
              <w:br/>
              <w:t>Stock</w:t>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Additional</w:t>
              <w:br/>
              <w:t>paid-in capital</w:t>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Accumulated</w:t>
              <w:br/>
              <w:t>Other</w:t>
              <w:br/>
              <w:t>Comprehensive</w:t>
              <w:br/>
              <w:t>Income</w:t>
            </w:r>
          </w:p>
        </w:tc>
        <w:tc>
          <w:tcPr>
            <w:tcW w:w="1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Non-Controlling Interests:</w:t>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Total</w:t>
            </w:r>
          </w:p>
        </w:tc>
      </w:tr>
      <w:tr>
        <w:trPr/>
        <w:tc>
          <w:tcPr>
            <w:tcW w:w="2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28, 2025</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(329,934)</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263,812 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redeemed</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Lee Enterprises, Incorporated</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(5,611)</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minority owners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28, 2025</w:t>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(335,545)</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264,067 </w:t>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22,674 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2,302 </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(46,440)</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redeemed</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Lee Enterprises, Incorporated</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Private Placement proceeds</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45,176 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minority owners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29, 2026</w:t>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(337,693)</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309,390 </w:t>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22,595 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2,310 </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attributable to Lee Enterprises, Incorporated</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minority owners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28, 2026</w:t>
            </w:r>
          </w:p>
        </w:tc>
        <w:tc>
          <w:tcPr>
            <w:tcW w:w="8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(333,018)</w:t>
            </w:r>
          </w:p>
        </w:tc>
        <w:tc>
          <w:tcPr>
            <w:tcW w:w="4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309,571 </w:t>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20,984 </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2,279 </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47"/>
        <w:gridCol w:w="756"/>
        <w:gridCol w:w="761"/>
        <w:gridCol w:w="439"/>
        <w:gridCol w:w="439"/>
        <w:gridCol w:w="416"/>
        <w:gridCol w:w="295"/>
        <w:gridCol w:w="295"/>
        <w:gridCol w:w="296"/>
        <w:gridCol w:w="434"/>
        <w:gridCol w:w="426"/>
        <w:gridCol w:w="364"/>
        <w:gridCol w:w="485"/>
        <w:gridCol w:w="485"/>
        <w:gridCol w:w="486"/>
        <w:gridCol w:w="586"/>
        <w:gridCol w:w="586"/>
        <w:gridCol w:w="587"/>
        <w:gridCol w:w="385"/>
        <w:gridCol w:w="387"/>
        <w:gridCol w:w="250"/>
      </w:tblGrid>
      <w:tr>
        <w:trPr/>
        <w:tc>
          <w:tcPr>
            <w:tcW w:w="10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Accumulated</w:t>
              <w:br/>
              <w:t>Deficit</w:t>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Common</w:t>
              <w:br/>
              <w:t>Stock</w:t>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Additional</w:t>
              <w:br/>
              <w:t>paid-in capital</w:t>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Accumulated</w:t>
              <w:br/>
              <w:t>Other</w:t>
              <w:br/>
              <w:t>Comprehensive</w:t>
              <w:br/>
              <w:t>Income</w:t>
            </w:r>
          </w:p>
        </w:tc>
        <w:tc>
          <w:tcPr>
            <w:tcW w:w="17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Non-Controlling Interests:</w:t>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Total</w:t>
            </w:r>
          </w:p>
        </w:tc>
      </w:tr>
      <w:tr>
        <w:trPr/>
        <w:tc>
          <w:tcPr>
            <w:tcW w:w="2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29, 2024</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(292,341)</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262,470 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redeemed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Lee Enterprises, Incorporated</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(16,748)</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minority owners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29, 2024</w:t>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(309,089)</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262,569 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19,805 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(24,177)</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Lee Enterprises, Incorporated</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(12,511)</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minority owners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30, 2025</w:t>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(321,600)</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262,927 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19,690 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2,823 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(36,098)</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(redeemed)</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Lee Enterprises, Incorporated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minority owners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29, 2025</w:t>
            </w:r>
          </w:p>
        </w:tc>
        <w:tc>
          <w:tcPr>
            <w:tcW w:w="8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(323,520)</w:t>
            </w:r>
          </w:p>
        </w:tc>
        <w:tc>
          <w:tcPr>
            <w:tcW w:w="4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263,383 </w:t>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19,575 </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2,302 </w:t>
            </w:r>
          </w:p>
        </w:tc>
        <w:tc>
          <w:tcPr>
            <w:tcW w:w="5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(38,197)</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LEE ENTERPRISES,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83"/>
        <w:gridCol w:w="2519"/>
        <w:gridCol w:w="2525"/>
        <w:gridCol w:w="518"/>
        <w:gridCol w:w="271"/>
        <w:gridCol w:w="244"/>
        <w:gridCol w:w="520"/>
        <w:gridCol w:w="274"/>
        <w:gridCol w:w="351"/>
      </w:tblGrid>
      <w:tr>
        <w:trPr/>
        <w:tc>
          <w:tcPr>
            <w:tcW w:w="2983"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8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w:t>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8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(required for) provided by operating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provided by (required for) operating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 debt expense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gain</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sales, impairments and other, net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net of distributions, deemed returns on investment of TNI and MNI</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interest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receivables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inventories and other</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accounts payable, unearned revenue, other accrued liabilities and other working capital items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pension and other postretirement and postemployment benefit obligations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(3,033)</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income taxes payable</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6,139 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(required for) provided by investing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of assets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80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(required for) provided by investing activities</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5,134 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(required for) financing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payments on long-term debt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of Private Placement of common stock</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Private Placement proceeds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80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(required for) financing activities</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44,583 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cash equivalents</w:t>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49,439 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4,527 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of period</w:t>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9,598 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3"/>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 of period</w:t>
            </w:r>
          </w:p>
        </w:tc>
        <w:tc>
          <w:tcPr>
            <w:tcW w:w="789" w:type="dxa"/>
            <w:gridSpan w:val="2"/>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59,428 </w:t>
            </w:r>
          </w:p>
        </w:tc>
        <w:tc>
          <w:tcPr>
            <w:tcW w:w="244" w:type="dxa"/>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14,125 </w:t>
            </w:r>
          </w:p>
        </w:tc>
        <w:tc>
          <w:tcPr>
            <w:tcW w:w="351" w:type="dxa"/>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LEE ENTERPRISES,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1    BASIS OF PRESENTATION AND SUMMARY OF SIGNIFICANT ACCOUNTING POLICIES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June 28, 2026, and our results of operations and cash flows for the periods presented. The Consolidated Financial Statements should be read in conjunction with the Consolidated Financial Statements and Notes thereto included in the Company's 2025 Annual Report on Form 10-K.</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fiscal year ends on the last Sunday in September. Fiscal year 2026 ends September 27, 2026, and fiscal year 2025 ended September 28, 2025. Fiscal years 2026 and 2025 include 52 weeks of operations. Because of seasonal and other factors, the results of operations for the three and nine months ended June 28, 2026, are not necessarily indicative of the results to be expected for the full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Consolidated Financial Statements include our accounts and those of our wholly owned subsidiaries, as well as our 82.5% interest in INN Partners, L.C. (“BLOX Digital" formerly "TownNews”).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New accounting pronouncements not yet adopted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December 2023, the FASB issued ASU 2023-09, Income Taxes (Topic 740): Improvements to Income Tax Disclosures, which enhances annual income tax disclosures by requiring additional disaggregated information about the effective tax rate reconciliation and income taxes paid. The guidance is effective for annual periods beginning after December 15, 2024. We will adopt this guidance for our annual consolidated financial statements and related disclosures.</w:t>
      </w:r>
    </w:p>
    <w:p>
      <w:pPr>
        <w:pStyle w:val="TextBody"/>
        <w:bidi w:val="0"/>
        <w:spacing w:lineRule="auto" w:line="288" w:before="200" w:after="283"/>
        <w:jc w:val="both"/>
        <w:rPr/>
      </w:pPr>
      <w:r>
        <w:rPr>
          <w:rFonts w:ascii="Arial;sans-serif" w:hAnsi="Arial;sans-serif"/>
          <w:b w:val="false"/>
          <w:color w:val="000000"/>
          <w:sz w:val="20"/>
        </w:rPr>
        <w:t>In November 2024, the FASB issued ASU 2024-03, I</w:t>
      </w:r>
      <w:r>
        <w:rPr>
          <w:rFonts w:ascii="Arial;sans-serif" w:hAnsi="Arial;sans-serif"/>
          <w:b w:val="false"/>
          <w:i/>
          <w:color w:val="000000"/>
          <w:sz w:val="20"/>
        </w:rPr>
        <w:t>ncome Statement—Reporting Comprehensive Income—Expense Disaggregation Disclosures</w:t>
      </w:r>
      <w:r>
        <w:rPr>
          <w:rFonts w:ascii="Arial;sans-serif" w:hAnsi="Arial;sans-serif"/>
          <w:b w:val="false"/>
          <w:color w:val="000000"/>
          <w:sz w:val="20"/>
        </w:rPr>
        <w:t>, and in January 2025 issued ASU 2025-01 to clarify the effective date. The guidance requires additional disaggregation of certain expense captions presented on the statement of operations. The guidance is effective for annual periods beginning after December 15, 2026, and interim periods within annual reporting periods beginning after December 15, 2027. We expect to enhance our expense disclosures upon adoption.</w:t>
      </w:r>
    </w:p>
    <w:p>
      <w:pPr>
        <w:pStyle w:val="TextBody"/>
        <w:bidi w:val="0"/>
        <w:spacing w:lineRule="auto" w:line="288" w:before="200" w:after="283"/>
        <w:jc w:val="both"/>
        <w:rPr/>
      </w:pPr>
      <w:r>
        <w:rPr>
          <w:rFonts w:ascii="Arial;sans-serif" w:hAnsi="Arial;sans-serif"/>
          <w:b w:val="false"/>
          <w:color w:val="000000"/>
          <w:sz w:val="20"/>
        </w:rPr>
        <w:t xml:space="preserve">In May 2025, the FASB issued ASU 2025-03, </w:t>
      </w:r>
      <w:r>
        <w:rPr>
          <w:rFonts w:ascii="Arial;sans-serif" w:hAnsi="Arial;sans-serif"/>
          <w:b w:val="false"/>
          <w:i/>
          <w:color w:val="000000"/>
          <w:sz w:val="20"/>
        </w:rPr>
        <w:t>Business Combinations (Topic 805) and Consolidation (Topic 810): Determining the Accounting Acquirer in the Acquisition of a Variable Interest Entity, which clarifies the accounting acquirer guidance for certain VIE transactions.</w:t>
      </w:r>
      <w:r>
        <w:rPr>
          <w:color w:val="000000"/>
        </w:rPr>
        <w:t xml:space="preserve"> </w:t>
      </w:r>
      <w:r>
        <w:rPr>
          <w:rFonts w:ascii="Arial;sans-serif" w:hAnsi="Arial;sans-serif"/>
          <w:b w:val="false"/>
          <w:color w:val="000000"/>
          <w:sz w:val="20"/>
        </w:rPr>
        <w:t>The guidance is effective for annual periods beginning after December 15, 2026, including interim periods within those annual periods. We are evaluating the guidance and do not expect it to have a material impact on our consolidated financial statements.</w:t>
      </w:r>
    </w:p>
    <w:p>
      <w:pPr>
        <w:pStyle w:val="TextBody"/>
        <w:bidi w:val="0"/>
        <w:spacing w:lineRule="auto" w:line="288" w:before="200" w:after="283"/>
        <w:jc w:val="both"/>
        <w:rPr/>
      </w:pPr>
      <w:r>
        <w:rPr>
          <w:rFonts w:ascii="Arial;sans-serif" w:hAnsi="Arial;sans-serif"/>
          <w:b w:val="false"/>
          <w:color w:val="000000"/>
          <w:sz w:val="20"/>
        </w:rPr>
        <w:t xml:space="preserve">In July 2025, the FASB issued ASU 2025-05, </w:t>
      </w:r>
      <w:r>
        <w:rPr>
          <w:rFonts w:ascii="Arial;sans-serif" w:hAnsi="Arial;sans-serif"/>
          <w:b w:val="false"/>
          <w:i/>
          <w:color w:val="000000"/>
          <w:sz w:val="20"/>
        </w:rPr>
        <w:t>Financial Instruments—Credit Losses (Topic 326): Measurement of Credit Losses for Accounts Receivable and Contract Assets</w:t>
      </w:r>
      <w:r>
        <w:rPr>
          <w:rFonts w:ascii="Arial;sans-serif" w:hAnsi="Arial;sans-serif"/>
          <w:b w:val="false"/>
          <w:color w:val="000000"/>
          <w:sz w:val="20"/>
        </w:rPr>
        <w:t>, which provides a practical expedient for estimating expected credit losses on current accounts receivable and current contract assets arising from revenue transactions. The guidance is effective for annual reporting periods beginning after December 15, 2025, including interim periods within those annual periods, with early adoption permitted. We are evaluating the guidance and do not expect it to have a material impact on our consolidated financial statements.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Other—Internal-Use Software (Subtopic 350-40): Targeted Improvements to the Accounting for Internal-Use Software.</w:t>
      </w:r>
      <w:r>
        <w:rPr>
          <w:color w:val="000000"/>
        </w:rPr>
        <w:t xml:space="preserve"> </w:t>
      </w:r>
      <w:r>
        <w:rPr>
          <w:rFonts w:ascii="Arial;sans-serif" w:hAnsi="Arial;sans-serif"/>
          <w:b w:val="false"/>
          <w:color w:val="000000"/>
          <w:sz w:val="20"/>
        </w:rPr>
        <w:t>The amendments clarify the accounting for internal-use software and provide targeted improvements to the capitalization guidance. The ASU is effective for annual reporting periods beginning after December 15, 2027, including interim periods within those annual reporting periods. Early adoption is permitted. We are currently evaluating the guidance and assessing the impact on our consolidated financial statements.</w:t>
      </w:r>
    </w:p>
    <w:p>
      <w:pPr>
        <w:pStyle w:val="TextBody"/>
        <w:bidi w:val="0"/>
        <w:spacing w:lineRule="auto" w:line="288" w:before="200" w:after="283"/>
        <w:jc w:val="both"/>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 xml:space="preserve">Interim Reporting (Topic 270): Narrow-Scope Improvements, </w:t>
      </w:r>
      <w:r>
        <w:rPr>
          <w:rFonts w:ascii="Arial;sans-serif" w:hAnsi="Arial;sans-serif"/>
          <w:b w:val="false"/>
          <w:color w:val="000000"/>
          <w:sz w:val="20"/>
        </w:rPr>
        <w:t>which improves the organization and navigability of interim reporting guidance and clarifies when such guidance applies. The amendments are not intended to significantly change interim reporting or expand or reduce current interim disclosure requirements. The guidance is effective for interim periods within fiscal years beginning after December 15, 2027. We are evaluating the guidance and do not expect it to fundamentally change our interim reporting.</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 xml:space="preserve">In December 2025, the FASB issued ASU 2025-12, </w:t>
      </w:r>
      <w:r>
        <w:rPr>
          <w:rFonts w:ascii="Arial;sans-serif" w:hAnsi="Arial;sans-serif"/>
          <w:b w:val="false"/>
          <w:i/>
          <w:color w:val="000000"/>
          <w:sz w:val="20"/>
        </w:rPr>
        <w:t>Codification Improvements</w:t>
      </w:r>
      <w:r>
        <w:rPr>
          <w:rFonts w:ascii="Arial;sans-serif" w:hAnsi="Arial;sans-serif"/>
          <w:b w:val="false"/>
          <w:color w:val="000000"/>
          <w:sz w:val="20"/>
        </w:rPr>
        <w:t>, which makes technical corrections, clarifications and other incremental improvements to U.S. GAAP. The guidance is effective for annual reporting periods beginning after December 15, 2026, including interim periods within those annual periods, with early adoption permitted. We are evaluating the guidance and assessing the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2 AGREEMENT WITH HOFFMANN MEDIA GROUP ("HMG")</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May 14, 2026, we entered into a five-year management agreement with HMG, effective June 1, 2026, under which we manage certain HMG-owned newspaper publications and related digital properties. HMG is owned by David H. Hoffmann, our Chairman and majority shareholder ("Mr. Hoffmann").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Under the agreement, we receive a fixed management fee of $135,000 per fiscal quarter, a variable fee based on the EBITDA of certain acquired publications, and reimbursement of shared service costs at cost. HMG retains ownership of the publications and all related revenues and remains responsible for working capital and operating obligations.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agreement was approved by our Board of Directors in accordance with our related-party transaction policies. Mr. Hoffmann recused himself from the Board's review and approval of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3 PRIVATE PLACEMENT FINANCING AND RELATED AGREEMENTS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On February 5, 2026, we issued an aggregate of 16,000,000 shares of Common Stock, consisting of 15,384,615 shares of Common Stock to certain investors and 615,385 shares of Common Stock to service providers as reimbursement for certain expenses incurred by certain investors, at a price of $3.25 per share in a private placement pursuant to the private placement agreement by and among the Company and the investors ("Private Placement"). The aggregate gross proceeds from the Private Placement were $50.0 million before deducting offering expenses.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investors also agreed to a lock-up with respect to the shares for a period of 180 days and standstill period of twelve months, subject to certain exceptions. With respect to the standstill, certain investors are each able to purchase up to 600,000 shares of Common Stock during the standstill period. Since the closing of the Private Placement, Mr. Hoffmann purchased the full 600,000 shares through June 28, 2026 bringing his percentage ownership to 54.5%.</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Further, in connection with the closing of the Private Placement, we amended our Certificate of Incorporation, increasing the number of authorized shares from 12,000,000 to 40,000,000. </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Registration Rights Agreement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We entered into a registration rights agreement pursuant to which we agreed to provide certain customary registration rights, including the registration of the Shares for resale. We were required to use commercially reasonable efforts to file a registration statement with the Securities and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Commission covering the resale by the investors of their shares within 60 days following the closing and an S-3 was filed on March 6, 2026. </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 xml:space="preserve">Financing costs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Costs related to the transaction are $4.7 million and partially offset the Private Placement proceeds of $50.0 million in "Additional Paid-in Capital" on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4    REVENUE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our revenue disaggregated by source:</w:t>
      </w:r>
    </w:p>
    <w:tbl>
      <w:tblPr>
        <w:tblW w:w="9391" w:type="dxa"/>
        <w:jc w:val="left"/>
        <w:tblInd w:w="0" w:type="dxa"/>
        <w:tblLayout w:type="fixed"/>
        <w:tblCellMar>
          <w:top w:w="28" w:type="dxa"/>
          <w:left w:w="28" w:type="dxa"/>
          <w:bottom w:w="28" w:type="dxa"/>
          <w:right w:w="28" w:type="dxa"/>
        </w:tblCellMar>
      </w:tblPr>
      <w:tblGrid>
        <w:gridCol w:w="1629"/>
        <w:gridCol w:w="1431"/>
        <w:gridCol w:w="1439"/>
        <w:gridCol w:w="588"/>
        <w:gridCol w:w="319"/>
        <w:gridCol w:w="319"/>
        <w:gridCol w:w="588"/>
        <w:gridCol w:w="319"/>
        <w:gridCol w:w="322"/>
        <w:gridCol w:w="591"/>
        <w:gridCol w:w="285"/>
        <w:gridCol w:w="285"/>
        <w:gridCol w:w="587"/>
        <w:gridCol w:w="285"/>
        <w:gridCol w:w="404"/>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43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4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4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advertising revenue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advertising and marketing services revenue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49,097 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128,334 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139,766 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marketing services revenue</w:t>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59,324 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66,571 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174,277 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193,633 </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subscription revenue</w:t>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32,918 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38,076 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100,816 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122,587 </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subscription revenue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66,814 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54,747 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61,558 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167,630 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191,423 </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other revenue</w:t>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6,967 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7,837 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21,545 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22,938 </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other revenue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11,899 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13,165 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36,089 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38,179 </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90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125,970 </w:t>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141,294 </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377,996 </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423,235 </w:t>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Arial;sans-serif" w:hAnsi="Arial;sans-serif"/>
          <w:b w:val="false"/>
          <w:i/>
          <w:color w:val="000000"/>
          <w:sz w:val="20"/>
        </w:rPr>
        <w:t>Recognition principles</w:t>
      </w:r>
      <w:r>
        <w:rPr>
          <w:color w:val="000000"/>
        </w:rPr>
        <w:t xml:space="preserve">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Revenue is recognized when control of the promised goods or services is transferred to customers, in an amount that reflects the consideration we expect to be entitled to in exchange for goods or services. Revenues are recognized as performance obligations are satisfied either at a point in time, such as when an advertisement is published, or over time, such as audience subscription revenue. </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 xml:space="preserve">Advertising and marketing services revenue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Print advertising revenue includes amounts charged to customers for retail, national, or classified advertising space purchased in our newspapers, advertising marketing services and other print advertising products such as preprint inserts and direct mail.</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Digital advertising revenue includes amounts for advertisements placed on our digital platforms, amounts charged to customers for digital marketing services which include: audience extension, search engine optimization, search engine marketing, web and mobile production, social media services and reputation monitoring and management.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Payments for print and digital advertising revenue are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 Depending on the product, revenue is recognized over time or at the point in time in which performance obligations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Subscription revenue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Print subscription revenue results from the sale of print editions of newspapers to individual subscribers and to sales outlets that resell the newspapers. Print subscriptions include full access to all forms of content provided. Single copy revenue is also included in subscription revenue. Subscription revenue from single copy and home delivery subscriptions are recognized at the point in time the publications are delivered.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Digital subscription revenue results from the sale of digital-only access to our content delivered via digital products purchased. Digital subscription revenue is recognized over time as performance obligations are met throughout the subscription period.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Payments for print and digital subscription revenue are typically collected in advance, or for contract periods of one year or less, and result in an unearned revenue liability that is reduced when revenue is recognized.</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Other revenue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Other revenue primarily consists of digital services, commercial printing and delivery of third party products. Digital services revenues, which are primarily delivered through BLOX Digital, are primarily comprised of contractual agreements to provide web hosting and content management services. As such, digital services revenue is recognized over the contract period. Prices for digital services are agreed upon in advance of the contract beginning and are typically billed in arrears on a monthly basis. Commercial printing and delivery revenue is recognized when the product is delivered to the customer or to the third party's subscriber.</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Contract Liabilities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primary source of unearned revenue is from subscriptions paid in advance of the service provided. We expect to recognize the revenue related to unsatisfied performance obligations over the next twelve months in accordance with the terms of the subscriptions and other contracts with customers. The unearned revenue balances described herein are our only contract liability. Revenue recognized in the nine months ended June 28, 2026, that was included in the contract liability as of September 28, 2025, was $23.6 million.</w:t>
      </w:r>
    </w:p>
    <w:p>
      <w:pPr>
        <w:pStyle w:val="TextBody"/>
        <w:bidi w:val="0"/>
        <w:spacing w:lineRule="auto" w:line="288" w:before="200" w:after="283"/>
        <w:jc w:val="both"/>
        <w:rPr/>
      </w:pPr>
      <w:r>
        <w:rPr>
          <w:rFonts w:ascii="Arial;sans-serif" w:hAnsi="Arial;sans-serif"/>
          <w:b w:val="false"/>
          <w:color w:val="000000"/>
          <w:sz w:val="20"/>
        </w:rPr>
        <w:t>Accounts receivable, excluding allowance for credit losses, was $48.6 million and $59.4 million as of</w:t>
      </w:r>
      <w:r>
        <w:rPr>
          <w:color w:val="000000"/>
        </w:rPr>
        <w:t xml:space="preserve"> </w:t>
      </w:r>
      <w:r>
        <w:rPr>
          <w:rFonts w:ascii="Arial;sans-serif" w:hAnsi="Arial;sans-serif"/>
          <w:b w:val="false"/>
          <w:color w:val="000000"/>
          <w:sz w:val="20"/>
        </w:rPr>
        <w:t>June 28, 2026, and</w:t>
      </w:r>
      <w:r>
        <w:rPr>
          <w:color w:val="000000"/>
        </w:rPr>
        <w:t xml:space="preserve"> </w:t>
      </w:r>
      <w:r>
        <w:rPr>
          <w:rFonts w:ascii="Arial;sans-serif" w:hAnsi="Arial;sans-serif"/>
          <w:b w:val="false"/>
          <w:color w:val="000000"/>
          <w:sz w:val="20"/>
        </w:rPr>
        <w:t>September 28, 2025</w:t>
      </w:r>
      <w:r>
        <w:rPr>
          <w:rFonts w:ascii="Arial;sans-serif" w:hAnsi="Arial;sans-serif"/>
          <w:b w:val="false"/>
          <w:i/>
          <w:color w:val="000000"/>
          <w:sz w:val="20"/>
        </w:rPr>
        <w:t xml:space="preserve">, </w:t>
      </w:r>
      <w:r>
        <w:rPr>
          <w:rFonts w:ascii="Arial;sans-serif" w:hAnsi="Arial;sans-serif"/>
          <w:b w:val="false"/>
          <w:color w:val="000000"/>
          <w:sz w:val="20"/>
        </w:rPr>
        <w:t>respectively. Allowance for credit losses was $3.7 million and $4.8 million as of</w:t>
      </w:r>
      <w:r>
        <w:rPr>
          <w:color w:val="000000"/>
        </w:rPr>
        <w:t xml:space="preserve"> </w:t>
      </w:r>
      <w:r>
        <w:rPr>
          <w:rFonts w:ascii="Arial;sans-serif" w:hAnsi="Arial;sans-serif"/>
          <w:b w:val="false"/>
          <w:color w:val="000000"/>
          <w:sz w:val="20"/>
        </w:rPr>
        <w:t>June 28, 2026, and September 28, 2025</w:t>
      </w:r>
      <w:r>
        <w:rPr>
          <w:rFonts w:ascii="Arial;sans-serif" w:hAnsi="Arial;sans-serif"/>
          <w:b w:val="false"/>
          <w:i/>
          <w:color w:val="000000"/>
          <w:sz w:val="20"/>
        </w:rPr>
        <w:t xml:space="preserve">, </w:t>
      </w:r>
      <w:r>
        <w:rPr>
          <w:rFonts w:ascii="Arial;sans-serif" w:hAnsi="Arial;sans-serif"/>
          <w:b w:val="false"/>
          <w:color w:val="000000"/>
          <w:sz w:val="20"/>
        </w:rPr>
        <w:t>respectively.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Valuation and qualifying account information related to the allowance for credit losses related to continuing operations is as follows:</w:t>
      </w:r>
    </w:p>
    <w:tbl>
      <w:tblPr>
        <w:tblW w:w="5116" w:type="dxa"/>
        <w:jc w:val="left"/>
        <w:tblInd w:w="0" w:type="dxa"/>
        <w:tblLayout w:type="fixed"/>
        <w:tblCellMar>
          <w:top w:w="28" w:type="dxa"/>
          <w:left w:w="28" w:type="dxa"/>
          <w:bottom w:w="28" w:type="dxa"/>
          <w:right w:w="28" w:type="dxa"/>
        </w:tblCellMar>
      </w:tblPr>
      <w:tblGrid>
        <w:gridCol w:w="978"/>
        <w:gridCol w:w="858"/>
        <w:gridCol w:w="864"/>
        <w:gridCol w:w="353"/>
        <w:gridCol w:w="353"/>
        <w:gridCol w:w="286"/>
        <w:gridCol w:w="417"/>
        <w:gridCol w:w="417"/>
        <w:gridCol w:w="59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9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September 28,</w:t>
              <w:br/>
              <w:t>2025</w:t>
            </w:r>
          </w:p>
        </w:tc>
      </w:tr>
      <w:tr>
        <w:trPr/>
        <w:tc>
          <w:tcPr>
            <w:tcW w:w="27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6,514 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Additions charged to expense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15,262 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Deductions from reserves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(8,470)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(16,949)</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7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3,700 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4,827 </w:t>
            </w:r>
          </w:p>
        </w:tc>
        <w:tc>
          <w:tcPr>
            <w:tcW w:w="5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Practical expedients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Sales commissions are expensed as incurred as the associated contractual periods are one year or less. These costs are recorded within "Compensation" on our Consolidated Statements of Income (Loss) and Comprehensive Income (Loss). The vast majority of our contracts have original expected lengths of one year or less and revenue is earned at a rate and amount that corresponds directly with the value to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5    INVESTMENTS IN ASSOCIATED COMPANIES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TNI Partners</w:t>
      </w:r>
    </w:p>
    <w:p>
      <w:pPr>
        <w:pStyle w:val="TextBody"/>
        <w:bidi w:val="0"/>
        <w:spacing w:lineRule="auto" w:line="288" w:before="200" w:after="283"/>
        <w:jc w:val="both"/>
        <w:rPr/>
      </w:pPr>
      <w:r>
        <w:rPr>
          <w:rFonts w:ascii="Arial;sans-serif" w:hAnsi="Arial;sans-serif"/>
          <w:b w:val="false"/>
          <w:color w:val="000000"/>
          <w:sz w:val="20"/>
        </w:rPr>
        <w:t xml:space="preserve">In Tucson, Arizona, TNI, acting as agent for our subsidiary, Star Publishing Company (“Star Publishing”), and Gannett Co., Inc.'s subsidiary Citizen Publishing Company (“Citizen”), is responsible for printing, delivery, advertising, and subscription activities of the </w:t>
      </w:r>
      <w:r>
        <w:rPr>
          <w:rFonts w:ascii="Arial;sans-serif" w:hAnsi="Arial;sans-serif"/>
          <w:b w:val="false"/>
          <w:i/>
          <w:color w:val="000000"/>
          <w:sz w:val="20"/>
        </w:rPr>
        <w:t xml:space="preserve">Arizona Daily Star </w:t>
      </w:r>
      <w:r>
        <w:rPr>
          <w:rFonts w:ascii="Arial;sans-serif" w:hAnsi="Arial;sans-serif"/>
          <w:b w:val="false"/>
          <w:color w:val="000000"/>
          <w:sz w:val="20"/>
        </w:rPr>
        <w:t>as well as the related digital platforms and specialty publications. TNI collects all receipts and income and pays substantially all operating expenses incidental to the partnership's operations and publication of the newspaper and other media.</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Income or loss of TNI (before income taxes) is allocated equally to Star Publishing and Citizen.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Summarized results of TNI are as follows:</w:t>
      </w:r>
    </w:p>
    <w:tbl>
      <w:tblPr>
        <w:tblW w:w="6719" w:type="dxa"/>
        <w:jc w:val="left"/>
        <w:tblInd w:w="0" w:type="dxa"/>
        <w:tblLayout w:type="fixed"/>
        <w:tblCellMar>
          <w:top w:w="28" w:type="dxa"/>
          <w:left w:w="28" w:type="dxa"/>
          <w:bottom w:w="28" w:type="dxa"/>
          <w:right w:w="28" w:type="dxa"/>
        </w:tblCellMar>
      </w:tblPr>
      <w:tblGrid>
        <w:gridCol w:w="825"/>
        <w:gridCol w:w="725"/>
        <w:gridCol w:w="729"/>
        <w:gridCol w:w="444"/>
        <w:gridCol w:w="314"/>
        <w:gridCol w:w="314"/>
        <w:gridCol w:w="444"/>
        <w:gridCol w:w="314"/>
        <w:gridCol w:w="317"/>
        <w:gridCol w:w="519"/>
        <w:gridCol w:w="285"/>
        <w:gridCol w:w="285"/>
        <w:gridCol w:w="515"/>
        <w:gridCol w:w="285"/>
        <w:gridCol w:w="40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2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2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17,609 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7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3,624 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4,559 </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1,077 </w:t>
            </w:r>
          </w:p>
        </w:tc>
        <w:tc>
          <w:tcPr>
            <w:tcW w:w="3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1,529 </w:t>
            </w:r>
          </w:p>
        </w:tc>
        <w:tc>
          <w:tcPr>
            <w:tcW w:w="3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3,916 </w:t>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4,596 </w:t>
            </w:r>
          </w:p>
        </w:tc>
        <w:tc>
          <w:tcPr>
            <w:tcW w:w="40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TNI</w:t>
            </w:r>
          </w:p>
        </w:tc>
        <w:tc>
          <w:tcPr>
            <w:tcW w:w="75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31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3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1,958 </w:t>
            </w:r>
          </w:p>
        </w:tc>
        <w:tc>
          <w:tcPr>
            <w:tcW w:w="2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2,298 </w:t>
            </w:r>
          </w:p>
        </w:tc>
        <w:tc>
          <w:tcPr>
            <w:tcW w:w="40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TNI makes periodic distributions of its earnings and for the three months ended June 28, 2026 and June 29, 2025, we received $0.7 million and $0.7 million in distributions, respectively. In the nine months ended June 28, 2026 and June 29, 2025, we received $1.7 million and $2.4 million in distributions, respectively.</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Madison Newspapers, Inc.</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Summarized results of MNI are as follows:</w:t>
      </w:r>
    </w:p>
    <w:tbl>
      <w:tblPr>
        <w:tblW w:w="10205" w:type="dxa"/>
        <w:jc w:val="left"/>
        <w:tblInd w:w="0" w:type="dxa"/>
        <w:tblLayout w:type="fixed"/>
        <w:tblCellMar>
          <w:top w:w="28" w:type="dxa"/>
          <w:left w:w="28" w:type="dxa"/>
          <w:bottom w:w="28" w:type="dxa"/>
          <w:right w:w="28" w:type="dxa"/>
        </w:tblCellMar>
      </w:tblPr>
      <w:tblGrid>
        <w:gridCol w:w="2183"/>
        <w:gridCol w:w="1893"/>
        <w:gridCol w:w="1905"/>
        <w:gridCol w:w="444"/>
        <w:gridCol w:w="291"/>
        <w:gridCol w:w="276"/>
        <w:gridCol w:w="444"/>
        <w:gridCol w:w="291"/>
        <w:gridCol w:w="278"/>
        <w:gridCol w:w="519"/>
        <w:gridCol w:w="274"/>
        <w:gridCol w:w="252"/>
        <w:gridCol w:w="515"/>
        <w:gridCol w:w="275"/>
        <w:gridCol w:w="365"/>
      </w:tblGrid>
      <w:tr>
        <w:trPr/>
        <w:tc>
          <w:tcPr>
            <w:tcW w:w="218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20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5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5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27,945 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27,974 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excluding restructuring costs, depreciation and amortization</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6,515 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5,867 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767 </w:t>
            </w:r>
          </w:p>
        </w:tc>
        <w:tc>
          <w:tcPr>
            <w:tcW w:w="27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27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2,104 </w:t>
            </w:r>
          </w:p>
        </w:tc>
        <w:tc>
          <w:tcPr>
            <w:tcW w:w="2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1,330 </w:t>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MNI</w:t>
            </w:r>
          </w:p>
        </w:tc>
        <w:tc>
          <w:tcPr>
            <w:tcW w:w="73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2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27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1,052 </w:t>
            </w:r>
          </w:p>
        </w:tc>
        <w:tc>
          <w:tcPr>
            <w:tcW w:w="25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36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Arial;sans-serif" w:hAnsi="Arial;sans-serif"/>
          <w:b w:val="false"/>
          <w:color w:val="000000"/>
          <w:sz w:val="20"/>
        </w:rPr>
        <w:t>MNI makes periodic distributions of its earnings and in the three months ended June 28, 2026, and June 29, 2025, we received $0.3 million and $0.0 million</w:t>
      </w:r>
      <w:r>
        <w:rPr>
          <w:color w:val="000000"/>
        </w:rPr>
        <w:t xml:space="preserve"> </w:t>
      </w:r>
      <w:r>
        <w:rPr>
          <w:rFonts w:ascii="Arial;sans-serif" w:hAnsi="Arial;sans-serif"/>
          <w:b w:val="false"/>
          <w:color w:val="000000"/>
          <w:sz w:val="24"/>
        </w:rPr>
        <w:t>i</w:t>
      </w:r>
      <w:r>
        <w:rPr>
          <w:rFonts w:ascii="Arial;sans-serif" w:hAnsi="Arial;sans-serif"/>
          <w:b w:val="false"/>
          <w:color w:val="000000"/>
          <w:sz w:val="20"/>
        </w:rPr>
        <w:t xml:space="preserve">n distributions, respectively. In the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months ended June 28, 2026 and June 29, 2025, we received $1.1 million and $0.9 million in distributions,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6    GOODWILL AND OTHER INTANGIBLE ASSETS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All of our goodwill is attributed to a single reporting unit. Goodwill and identified intangible assets consist of the following:</w:t>
      </w:r>
    </w:p>
    <w:tbl>
      <w:tblPr>
        <w:tblW w:w="6412" w:type="dxa"/>
        <w:jc w:val="left"/>
        <w:tblInd w:w="0" w:type="dxa"/>
        <w:tblLayout w:type="fixed"/>
        <w:tblCellMar>
          <w:top w:w="28" w:type="dxa"/>
          <w:left w:w="28" w:type="dxa"/>
          <w:bottom w:w="28" w:type="dxa"/>
          <w:right w:w="28" w:type="dxa"/>
        </w:tblCellMar>
      </w:tblPr>
      <w:tblGrid>
        <w:gridCol w:w="1341"/>
        <w:gridCol w:w="1178"/>
        <w:gridCol w:w="1185"/>
        <w:gridCol w:w="458"/>
        <w:gridCol w:w="458"/>
        <w:gridCol w:w="286"/>
        <w:gridCol w:w="458"/>
        <w:gridCol w:w="458"/>
        <w:gridCol w:w="590"/>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September 28,</w:t>
              <w:br/>
              <w:t>2025</w:t>
            </w:r>
          </w:p>
        </w:tc>
      </w:tr>
      <w:tr>
        <w:trPr/>
        <w:tc>
          <w:tcPr>
            <w:tcW w:w="3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beginning of period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323,858 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328,040 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Allocated to sold operations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(4,182)</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end of period</w:t>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323,858 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323,858 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Non-amortized intangible assets: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Mastheads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Amortizable intangible assets: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and newspaper subscriber lists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262,146 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262,146 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amortization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(214,166)</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42,666 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47,980 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intangibles, net</w:t>
            </w:r>
          </w:p>
        </w:tc>
        <w:tc>
          <w:tcPr>
            <w:tcW w:w="9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370,470 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375,784 </w:t>
            </w:r>
          </w:p>
        </w:tc>
        <w:tc>
          <w:tcPr>
            <w:tcW w:w="5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weighted average amortization period for amortizable assets is approximately nine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both"/>
        <w:rPr>
          <w:rFonts w:ascii="Arial;sans-serif" w:hAnsi="Arial;sans-serif"/>
          <w:b/>
          <w:color w:val="000000"/>
          <w:sz w:val="20"/>
          <w:shd w:fill="FFFFFF" w:val="clear"/>
        </w:rPr>
      </w:pPr>
      <w:r>
        <w:rPr>
          <w:rFonts w:ascii="Arial;sans-serif" w:hAnsi="Arial;sans-serif"/>
          <w:b/>
          <w:color w:val="000000"/>
          <w:sz w:val="20"/>
          <w:shd w:fill="FFFFFF" w:val="clear"/>
        </w:rPr>
        <w:t>7    SEGMENTS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operate as a single operating and reportable segment. The President and Chief Executive Officer (“CEO”) serves as our Chief Operating Decision Maker (“CODM”) and is responsible for evaluating financial performance and allocating resources. The CODM reviews financial information and makes operating decisions on a consolidated basis.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operations are organized into Strategic Business Units (“SBUs”) based on market. The SBU’s generally include one or more daily newspapers, several nondaily publications as well as the related digital operations. SBUs are internal, location-based operating components used for management purposes and do not represent separate operating or reportable segments. Separate operating results for each SBU are not reviewed by the CODM when assessing performance or making operating decisions. The CODM reviews our consolidated statements of income (loss) and balance sheets on a monthly basis and makes key decisions regarding resource allocation, including operating expenses and capital expenditures, primarily focusing on consolidated net income (loss) and consolidated total assets. These consolidated statements are used by the CODM to monitor budget versus actual results and evaluate the return on assets.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Significant segment expenses are separately disclosed and presented in the Consolidated Statements of Income (Loss) and Comprehensive Loss. The measure of segment assets is reported on the Consolidated Balance Sheets as Total Assets. The accounting policies of our operating segment are the same as those described in Note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both"/>
        <w:rPr>
          <w:rFonts w:ascii="Arial;sans-serif" w:hAnsi="Arial;sans-serif"/>
          <w:b/>
          <w:color w:val="000000"/>
          <w:sz w:val="20"/>
          <w:shd w:fill="FFFFFF" w:val="clear"/>
        </w:rPr>
      </w:pPr>
      <w:r>
        <w:rPr>
          <w:rFonts w:ascii="Arial;sans-serif" w:hAnsi="Arial;sans-serif"/>
          <w:b/>
          <w:color w:val="000000"/>
          <w:sz w:val="20"/>
          <w:shd w:fill="FFFFFF" w:val="clear"/>
        </w:rPr>
        <w:t>8    DEBT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have debt consisting of a single 25-year term loan with BH Finance LLC, with an aggregate principal balance of $454.7 million at an annual fixed rate and maturing on March 16, 2045 (referred to herein as “Credit Agreement” and “Term Loan”). On June 28, 2026, the fair value was $332.5 million, representing a Level 2 fair value measurement, which are fair values estimated using significant other observable inputs.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Concurrently with the execution of the Private Placement agreement discussed in Note 3, we entered into the Second Amendment to Credit Agreement on February 5, 2026. The amendments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among other items, a reduction of the applicable margin on our 25-year term loan from 9.00% to 5.00% for a period of 5 years following the closing and amending the definition of “Excess Cash Flow” such that the cash-on hand balance greater than $64.0 million held by us will be deemed Excess Cash Flow for a 5 year period following the closing. The interest rate amendment to 5.00% is treated as modification to the existing Credit Agreement.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During the nine months ended June 28, 2026, we had $0.8 million in proceeds that qualified as Net Cash Proceeds, as defined in our Credit Agreement, from asset sales which were applied towards our debt principal. As of June 28, 2026, there was no Excess Cash payment due as we did not generate the defined level of Excess Cash Flow.</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February 2025, in an effort to provide short-term liquidity to fund the Cyber Incident's remediation efforts and other operations, BH Finance LLC waived the interest expense payment and BH Media Group, Inc. waived the lease payment due March 1, 2025, April 1, 2025, and May 1, 2025. As of September 28, 2025, the waivers increased the outstanding debt balance by $11.3 million and was treated as non-cash activity within the statement of cash flows. These waivers were treated as modifications to the existing Credit Agreement. In addition, the May 2025 waiver was accompanied by an amendment to the Credit Agreement which includes provisions requiring us to prepay the loan in an aggregate amount equal to 100% of net cash proceeds received by us or our subsidiaries within three days following the receipt of net cash proceeds from asset sales and allowing BH Finance to assign its rights and obligations under the Credit Agreement to any person other than a natural person. Future payments are contingent on our ability to generate future Excess Cash Flow, as defined in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9    PENSION, POSTRETIREMENT AND POSTEMPLOYMENT DEFINED BENEFIT PLANS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We are the sponsor of one single-employer defined benefit pension plan, the Lee Enterprises, Incorporated Pension Plan ("the Plan"). As previously announced to participants on October 22, 2025, we are executing a strategic termination of our fully funded defined benefit pension Plan, eliminating the long-term volatility tied to interest rate movement, mortality assumptions and asset performance, while preserving participant benefits and improving balance sheet flexibility. We established December 31, 2025 as the termination date of the Plan and have submitted a request for a determination of the Plan's qualified status to the United States Internal Revenue Service. The termination process is ongoing, and we expect to complete it, including the settlement and distribution of Plan assets, in fiscal year 2027.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Additionally, we provide retiree medical and life insurance benefits under postretirement plans at several of our operating locations. In the three months ended June 28, 2026, we irrevocably transferred certain postretirement life insurance obligations under our Postretirement Plans to a third-party insurer. The transaction qualified as a settlement under ASC 715, Compensation—Retirement Benefits and we recognized a settlement gain of approximately $2.3 million, which includes the recognition of the applicable portion of previously deferred actuarial gains associated with the settled obligations. The settlement gain is recorded on a separate line in the Consolidated Statement of Income (Loss).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Through June 28, 2026, our liability and related expense for benefits under the plans are recorded over the service period of employees based upon annual actuarial calculations.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net periodic pension and postretirement cost (benefit) components for our plans are as follows:</w:t>
      </w:r>
    </w:p>
    <w:tbl>
      <w:tblPr>
        <w:tblW w:w="8547" w:type="dxa"/>
        <w:jc w:val="left"/>
        <w:tblInd w:w="0" w:type="dxa"/>
        <w:tblLayout w:type="fixed"/>
        <w:tblCellMar>
          <w:top w:w="28" w:type="dxa"/>
          <w:left w:w="28" w:type="dxa"/>
          <w:bottom w:w="28" w:type="dxa"/>
          <w:right w:w="28" w:type="dxa"/>
        </w:tblCellMar>
      </w:tblPr>
      <w:tblGrid>
        <w:gridCol w:w="1590"/>
        <w:gridCol w:w="1398"/>
        <w:gridCol w:w="1406"/>
        <w:gridCol w:w="353"/>
        <w:gridCol w:w="353"/>
        <w:gridCol w:w="324"/>
        <w:gridCol w:w="324"/>
        <w:gridCol w:w="324"/>
        <w:gridCol w:w="327"/>
        <w:gridCol w:w="446"/>
        <w:gridCol w:w="285"/>
        <w:gridCol w:w="285"/>
        <w:gridCol w:w="443"/>
        <w:gridCol w:w="285"/>
        <w:gridCol w:w="40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PLAN</w:t>
            </w:r>
          </w:p>
        </w:tc>
        <w:tc>
          <w:tcPr>
            <w:tcW w:w="200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Three months ended </w:t>
            </w:r>
          </w:p>
        </w:tc>
        <w:tc>
          <w:tcPr>
            <w:tcW w:w="214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for benefits earned during the period</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1,977</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(2,467)</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(7,400)</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(6,956)</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benefit</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pension benefit</w:t>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MEDICAL PLANS</w:t>
            </w:r>
          </w:p>
        </w:tc>
        <w:tc>
          <w:tcPr>
            <w:tcW w:w="20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Three months ended </w:t>
            </w:r>
          </w:p>
        </w:tc>
        <w:tc>
          <w:tcPr>
            <w:tcW w:w="214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for benefits earned during the period</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gain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benefit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gain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postretirement benefit</w:t>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w:t>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(4,201)</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w:t>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Arial;sans-serif" w:hAnsi="Arial;sans-serif"/>
          <w:b w:val="false"/>
          <w:color w:val="000000"/>
          <w:sz w:val="20"/>
        </w:rPr>
        <w:t>In the nine months ended June 28, 2026 and June 29, 2025, we made no contributions to our pension plans.</w:t>
      </w:r>
      <w:r>
        <w:rPr>
          <w:color w:val="000000"/>
          <w:shd w:fill="FFFFFF" w:val="clear"/>
        </w:rPr>
        <w:t xml:space="preserve"> </w:t>
      </w:r>
      <w:r>
        <w:rPr>
          <w:rFonts w:ascii="Arial;sans-serif" w:hAnsi="Arial;sans-serif"/>
          <w:b w:val="false"/>
          <w:color w:val="000000"/>
          <w:sz w:val="20"/>
          <w:shd w:fill="FFFFFF" w:val="clear"/>
        </w:rPr>
        <w:t>W</w:t>
      </w:r>
      <w:r>
        <w:rPr>
          <w:rFonts w:ascii="Arial;sans-serif" w:hAnsi="Arial;sans-serif"/>
          <w:b w:val="false"/>
          <w:color w:val="000000"/>
          <w:sz w:val="20"/>
        </w:rPr>
        <w:t>e have no required contributions to our pension plans for 2026.</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Multi-employer Pension Plans</w:t>
      </w:r>
    </w:p>
    <w:p>
      <w:pPr>
        <w:pStyle w:val="TextBody"/>
        <w:bidi w:val="0"/>
        <w:spacing w:lineRule="auto" w:line="288" w:before="200" w:after="283"/>
        <w:jc w:val="both"/>
        <w:rPr/>
      </w:pPr>
      <w:r>
        <w:rPr>
          <w:rFonts w:ascii="Arial;sans-serif" w:hAnsi="Arial;sans-serif"/>
          <w:b w:val="false"/>
          <w:color w:val="000000"/>
          <w:sz w:val="20"/>
        </w:rPr>
        <w:t>In prior periods, we completed withdrawals from several multi-employer plans. As of June 28, 2026 and September 28, 2025,</w:t>
      </w:r>
      <w:r>
        <w:rPr>
          <w:color w:val="000000"/>
        </w:rPr>
        <w:t xml:space="preserve"> </w:t>
      </w:r>
      <w:r>
        <w:rPr>
          <w:rFonts w:ascii="Arial;sans-serif" w:hAnsi="Arial;sans-serif"/>
          <w:b w:val="false"/>
          <w:color w:val="000000"/>
          <w:sz w:val="20"/>
        </w:rPr>
        <w:t>we had $21.4 million and $22.4 million of accrued withdrawal liabilities. The liabilities reflect the estimated value of payments to the funds, payable over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10    INCOME TAXES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recorded income tax expense of $1.4 million related to income before taxes of $6.6 million for the three months ended June 28, 2026, and income tax expense of $5.8 million related to income before taxes of $4.1 million for the nine months ended June 28, 2026. We recorded an income tax benefit of $2.7 million related to loss before taxes of $4.4 million for the three months ended June 29, 2025, and an income tax benefit of $1.3 million related to loss before income taxes of $31.2 million for the nine months ended June 29, 2025. The effective income tax rate for the three and nine months ended June 28, 2026, was 21.3% and 140.4%, respectively. The effective income tax rate for the three and nine months ended June 29, 2025, was 61.4% and 4.2% respectively.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primary differences between these rates and the U.S. federal statutory rate of 21% are because of state taxes, non-deductible expenses, increase in valuation allowance, and adjustments to reserves for uncertain tax positions, including any related interest.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We file a consolidated federal tax return, as well as combined and separate tax returns in approximately 34 state and local jurisdictions. We do not currently have any federal or material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examinations in progress. Our income tax returns have generally been audited or closed to audit through 2017.</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11    EARNINGS (LOSS) PER COMMON SHARE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(loss) per common share:</w:t>
      </w:r>
    </w:p>
    <w:tbl>
      <w:tblPr>
        <w:tblW w:w="10094" w:type="dxa"/>
        <w:jc w:val="left"/>
        <w:tblInd w:w="0" w:type="dxa"/>
        <w:tblLayout w:type="fixed"/>
        <w:tblCellMar>
          <w:top w:w="28" w:type="dxa"/>
          <w:left w:w="28" w:type="dxa"/>
          <w:bottom w:w="28" w:type="dxa"/>
          <w:right w:w="28" w:type="dxa"/>
        </w:tblCellMar>
      </w:tblPr>
      <w:tblGrid>
        <w:gridCol w:w="2058"/>
        <w:gridCol w:w="1808"/>
        <w:gridCol w:w="1818"/>
        <w:gridCol w:w="376"/>
        <w:gridCol w:w="375"/>
        <w:gridCol w:w="324"/>
        <w:gridCol w:w="353"/>
        <w:gridCol w:w="353"/>
        <w:gridCol w:w="327"/>
        <w:gridCol w:w="518"/>
        <w:gridCol w:w="285"/>
        <w:gridCol w:w="285"/>
        <w:gridCol w:w="522"/>
        <w:gridCol w:w="288"/>
        <w:gridCol w:w="404"/>
      </w:tblGrid>
      <w:tr>
        <w:trPr/>
        <w:tc>
          <w:tcPr>
            <w:tcW w:w="205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Three months ended </w:t>
            </w:r>
          </w:p>
        </w:tc>
        <w:tc>
          <w:tcPr>
            <w:tcW w:w="230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5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(Thousands of Dollars and Shares, Except Per Share Data)</w:t>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w:t>
              <w:br/>
              <w:t>2026</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w:t>
              <w:br/>
              <w:t>2025</w:t>
            </w:r>
          </w:p>
        </w:tc>
      </w:tr>
      <w:tr>
        <w:trPr/>
        <w:tc>
          <w:tcPr>
            <w:tcW w:w="5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attributable to Lee Enterprises, Incorporated: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(31,179)</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w:t>
            </w:r>
          </w:p>
        </w:tc>
        <w:tc>
          <w:tcPr>
            <w:tcW w:w="7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22,248 </w:t>
            </w:r>
          </w:p>
        </w:tc>
        <w:tc>
          <w:tcPr>
            <w:tcW w:w="3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6,232 </w:t>
            </w:r>
          </w:p>
        </w:tc>
        <w:tc>
          <w:tcPr>
            <w:tcW w:w="3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14,107 </w:t>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6,214 </w:t>
            </w:r>
          </w:p>
        </w:tc>
        <w:tc>
          <w:tcPr>
            <w:tcW w:w="40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weighted average restricted common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average common shares</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22,232 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6,112 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14,040 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6,043 </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restricted common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average common shares</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22,285 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6,112 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14,040 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6,043 </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per common share:</w:t>
            </w:r>
          </w:p>
        </w:tc>
        <w:tc>
          <w:tcPr>
            <w:tcW w:w="107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75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3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3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2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4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For the three months ended June 28, 2026, 51,000 shares were excluded from the computation of diluted earnings per common share because their effect would have been antidilutive. No shares were considered in the computation of diluted earnings per common share for the three month period ended June 29, 2025 and nine month periods ended June 28, 2026 and June 29, 2025 because we recorded net losses in those periods. The increase in weighted common shares is due to shares issued for the Private Placement on February 5, 2026 described in Note 3.</w:t>
      </w:r>
    </w:p>
    <w:p>
      <w:pPr>
        <w:pStyle w:val="TextBody"/>
        <w:bidi w:val="0"/>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 xml:space="preserve">Rights Agreement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entitled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 On February 4, 2026, in connection with the closing of the Private Placement, the Board of Directors amended the termination date of the Rights Agreement to February 4, 2026 causing each Right to expire and to be extinguished and for the Rights Agreement to be terminated. See Note 3 for additional information related to the Private Placement.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12     CYBERSECURITY INCIDENT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February 3, 2025, we experienced a cybersecurity incident that disrupted certain IT systems and resulted in unauthorized access to certain files (the “Cyber Incident”). We activated our incident-response plan, engaged third-party cybersecurity experts, notified law enforcement, and offered identity-protection services to affected customers and subscribers. The Cyber Incident adversely affected fiscal 2025 operating results; however, the incremental impact on revenues and certain operating expenses is not reasonably separable from other business factors. The incident remains under legal and forensic review, and we continue to implement security enhancements. We maintain cyber insurance with a $0.5 million deductible.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pPr>
      <w:r>
        <w:rPr>
          <w:rFonts w:ascii="Arial;sans-serif" w:hAnsi="Arial;sans-serif"/>
          <w:b w:val="false"/>
          <w:color w:val="000000"/>
          <w:sz w:val="20"/>
        </w:rPr>
        <w:t>Since the incident, we have incurred $10.5 million in cash flow losses attributable to the cyber incident, which have been submitted for recovery to our insurance providers. Approximately $3.7 million of incurred expenses and $2.0 million of business interruption reimbursements were recognized in "Restructuring and Other" in the Consolidated Statements of Loss and Comprehensive Loss during the year ended September 28, 2025. For the nine months ended June 28, 2026, we have received $0.9 million</w:t>
      </w:r>
      <w:r>
        <w:rPr>
          <w:color w:val="000000"/>
        </w:rPr>
        <w:t xml:space="preserve"> </w:t>
      </w:r>
      <w:r>
        <w:rPr>
          <w:rFonts w:ascii="Arial;sans-serif" w:hAnsi="Arial;sans-serif"/>
          <w:b w:val="false"/>
          <w:color w:val="000000"/>
          <w:sz w:val="20"/>
        </w:rPr>
        <w:t>of reimbursements, which are presented as a reduction of related costs within “Restructuring and other” and $6.4 million in business interruption reimbursements that were recorded on a separate line within "Operating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13    COMMITMENTS AND CONTINGENT LIABILITIES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Legal Proceedings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pStyle w:val="TextBody"/>
        <w:bidi w:val="0"/>
        <w:spacing w:lineRule="auto" w:line="288" w:before="200" w:after="283"/>
        <w:jc w:val="both"/>
        <w:rPr/>
      </w:pPr>
      <w:r>
        <w:rPr>
          <w:rFonts w:ascii="Arial;sans-serif" w:hAnsi="Arial;sans-serif"/>
          <w:b w:val="false"/>
          <w:color w:val="000000"/>
          <w:sz w:val="20"/>
          <w:u w:val="single"/>
        </w:rPr>
        <w:t>Stoudemire et al. v. Lee Enterprises, Incorporated (Video Privacy Claim)</w:t>
      </w:r>
      <w:r>
        <w:rPr>
          <w:rFonts w:ascii="Arial;sans-serif" w:hAnsi="Arial;sans-serif"/>
          <w:b w:val="false"/>
          <w:color w:val="000000"/>
          <w:sz w:val="20"/>
        </w:rPr>
        <w:t>. On December 19, 2022, named Plaintiffs filed a Complaint in the U.S. District Court for the Southern District of Iowa alleging our news websites violate the Video Privacy Protection Act by disclosing to third parties certain data about users’ video-watching habits. In particular, the Complaint alleged the websites use Facebook Pixel, a technology that allegedly links a user’s Facebook profile to videos the user watches on our website. The claimants are asserting class action claims and allege statutory damages of $2,500 per class member, punitive damages, and attorneys’ fees. In July 2023, the Court denied our Motion to Dismiss. This claim was submitted for coverage under our media insurance policy. The parties successfully mediated the case on November 5, 2024, and the court granted final approval of the class action settlement on August 14, 2025. The entire $9.5 million settlement amount was paid by our insurance carriers in October 2025. Payments to class members went out in October 2025. This case is now closed.</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u w:val="single"/>
        </w:rPr>
        <w:t>Fetes et al. v. Lee Enterprises, Incorporated (Cyber Incident)</w:t>
      </w:r>
      <w:r>
        <w:rPr>
          <w:rFonts w:ascii="Arial;sans-serif" w:hAnsi="Arial;sans-serif"/>
          <w:b w:val="false"/>
          <w:color w:val="000000"/>
          <w:sz w:val="20"/>
        </w:rPr>
        <w:t>. On June 12, 2025, Sarah Fetes filed a Complaint in the U.S. District Court for the Southern District of Iowa alleging claims arising out of a February 2025 cybersecurity incident, during which a third-party threat actor potentially accessed personal information of past and present Company employees existing on Company systems. Fetes and five additional named Plaintiffs filed a Consolidated Complaint on August 11, 2025. Plaintiffs allege that we failed to properly secure and safeguard personally identifiable information collected as part of our regular business practices. Plaintiffs sought damages for invasion of privacy and misuse of the compromised data, on behalf of themselves and a class consisting of approximately 39,700 individuals who received data breach notifications. This claim was submitted for coverage under our media insurance policy. The parties have reached a tentative settlement, all of which will be paid by our insurance carriers, in an amount that will be publicly disclosed through the court process. The settlement is subject to required court approval and open to objection by class members. We anticipate final approval of the settlement by August 2026. The probable settlement liability and insurance receivable are recorded within “Compensation and other accrued liabilities” and “Prepaids and other” on the Consolidated Balance Sheets as of June 28, 2026.</w:t>
      </w:r>
    </w:p>
    <w:p>
      <w:pPr>
        <w:pStyle w:val="TextBody"/>
        <w:bidi w:val="0"/>
        <w:spacing w:lineRule="auto" w:line="288" w:before="200" w:after="283"/>
        <w:jc w:val="both"/>
        <w:rPr/>
      </w:pPr>
      <w:r>
        <w:rPr>
          <w:rFonts w:ascii="Arial;sans-serif" w:hAnsi="Arial;sans-serif"/>
          <w:b w:val="false"/>
          <w:color w:val="000000"/>
          <w:sz w:val="20"/>
          <w:u w:val="single"/>
        </w:rPr>
        <w:t>Lineup Systems Corporation v. Lee Enterprises, Incorporated</w:t>
      </w:r>
      <w:r>
        <w:rPr>
          <w:rFonts w:ascii="Arial;sans-serif" w:hAnsi="Arial;sans-serif"/>
          <w:b w:val="false"/>
          <w:color w:val="000000"/>
          <w:sz w:val="20"/>
        </w:rPr>
        <w:t>. In July 2025, Lineup filed suit against us for breach of contract, breach of the covenant of good faith and fair dealing, and quantum meruit arising from the contract between Lee and Lineup for the purchase and installation of software. The suit claims $7.0 million in damages for failure to pay owed amounts, attorneys' fees and interest. We filed a counter claim alleging breach of contract and fraudulent inducement. Trial has been set for October 18, 2027. Lineup filed a Motion for Judgment on the Pleadings for various counts and oral arguments were heard by the Court on the Motion for Judgment on the Pleadings on January 16, 2026. The Court rendered an opinion in favor of defendants denying the motion. Discovery is ongoing in this case and the outcome is uncertain at this time.</w:t>
      </w:r>
    </w:p>
    <w:p>
      <w:pPr>
        <w:pStyle w:val="TextBody"/>
        <w:bidi w:val="0"/>
        <w:spacing w:lineRule="auto" w:line="288" w:before="200" w:after="283"/>
        <w:jc w:val="both"/>
        <w:rPr/>
      </w:pPr>
      <w:r>
        <w:rPr>
          <w:rFonts w:ascii="Arial;sans-serif" w:hAnsi="Arial;sans-serif"/>
          <w:b w:val="false"/>
          <w:color w:val="000000"/>
          <w:sz w:val="20"/>
          <w:u w:val="single"/>
        </w:rPr>
        <w:t>The Associated Press v. Lee Enterprises, Incorporated</w:t>
      </w:r>
      <w:r>
        <w:rPr>
          <w:rFonts w:ascii="Arial;sans-serif" w:hAnsi="Arial;sans-serif"/>
          <w:b w:val="false"/>
          <w:color w:val="000000"/>
          <w:sz w:val="20"/>
        </w:rPr>
        <w:t xml:space="preserve">. In June 2026, The Associated Press ("AP") filed a lawsuit against us in New York State Court alleging that we breached the parties' agreement. 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seeks to recover alleged damages, including amounts purportedly due under the agreement, together with interest, attorneys' fees, and other relief requested in the complaint. At this stage of the proceedings, loss is not reasonably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14    SUBSEQUENT EVENTS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July 23, 2026, the Company completed the sale of its property located in Davenport, Iowa. The transaction generated Net Cash Proceeds, as defined in the Company's Credit Agreement, of approximately $2.2 million, which were applied toward principal repayments of the Term Loan in accordance with the Credit Agreement. In addition, subsequent to quarter-end, the Company entered into purchase agreements for several additional properties through auctions in July 2026 with aggregate contract values of approximately $6.8 million. The remaining transactions are expected to close during the fourth quarter of 2026, subject to customary closing conditions, and have not been reflected in the accompanying consolidated financial statements.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July 24, 2026, we amended our Stock Purchase Agreement with the Investors to modify the standstill provisions, permitting Investors owning more than 10% of the Company's common stock to purchase up to 600,000 shares during the standstill period, and to exceed that limit through Company-approved Rule 10b5-1 trading plans. All other terms of the Stock Purchase Agreement remain unchanged.</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discussion includes comments and analysis relating to our results of operations and financial condition as of and for the three and nine months ended June 28, 2026. This discussion should be read in conjunction with the Consolidated Financial Statements and related Notes thereto, included herein, and our 2025 Annual Report on Form 10-K. Share and dollar amounts are presented on an actual basis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EXECUTIVE OVERVIEW</w:t>
      </w:r>
    </w:p>
    <w:p>
      <w:pPr>
        <w:pStyle w:val="TextBody"/>
        <w:bidi w:val="0"/>
        <w:spacing w:lineRule="auto" w:line="288" w:before="200" w:after="283"/>
        <w:ind w:left="0" w:right="0" w:hanging="720"/>
        <w:jc w:val="both"/>
        <w:rPr>
          <w:rFonts w:ascii="Arial;sans-serif" w:hAnsi="Arial;sans-serif"/>
          <w:b/>
          <w:i/>
          <w:color w:val="000000"/>
          <w:sz w:val="20"/>
        </w:rPr>
      </w:pPr>
      <w:r>
        <w:rPr>
          <w:rFonts w:ascii="Arial;sans-serif" w:hAnsi="Arial;sans-serif"/>
          <w:b/>
          <w:i/>
          <w:color w:val="000000"/>
          <w:sz w:val="20"/>
        </w:rPr>
        <w:t>QUARTERLY RESULTS OF OPERATIONS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For the three months ended June 28, 2026, our total operating revenue was $126.0 million, down 10.8% from the three months ended June 29, 2025. Total Digital Revenue was $71.6 million and represented 56.8% of our total operating revenue. Total Print Revenue was $54.4 million, a 14.2% decrease to the three months ended June 29, 2025. Our digital-only subscription revenue totaled $21.8 million in the quarter, a 7.0% decline year-over-year driven by lasting impact from last year's Cyber Incident and accelerated churn following inflationary surcharges implemented in the prior fiscal year. Another key piece of our digital business, Amplified Digital® agency revenue totaled $27.1 million in the quarter.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operating expenses were $118.3 million, a 13.9% decrease in the three months ended June 28, 2026, compared to the three months ended June 29, 2025. The decrease reflects continued disciplined cost management and the absence of prior-year Cyber Incident response costs (see Note 12). Cash Costs of $109.4 million, a non-GAAP financial measure used to summarize certain operating expenses (see reconciliation of non-GAAP financial measures below), were down 14.5% in the three months ended June 28, 2026, reflecting continued disciplined cost management.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Net income totaled $5.2 million compared to a net loss of $1.7 million in the prior-year period. Adjusted EBITDA (a non-GAAP financial measure) totaled $18.4 million, a 23.0% increase over the prior-year period. The improvements reflect the cost actions described above and the non-recurrence of prior-year Cyber Incident costs.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Cash on the balance sheet totaled $59.4 million including the net proceeds from the February 5, 2026 Private Placement. Debt, net of cash on the balance sheet, totaled $395.3 million. As discussed above, with the execution of the Private Placement, the applicable margin on our 25-year term loan was reduced from 9.00% to 5.00% for a period of five years. Together, the Private Placement proceeds, the reduction in our applicable interest rate margin, and continued cost discipline have strengthened our liquidity and financial flexibility as we execute our digital-first growth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RECENT DEVELOPMENTS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AGREEMENT WITH HOFFMANN MEDIA GROUP ("HMG")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14, 2026, we entered into a five-year management agreement with HMG, effective June 1, 2026, under which we manage certain HMG-owned newspaper publications and related digital properties. HMG is owned by David Hoffmann, our Chairman and majority shareholder.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agreement, we receive a fixed management fee of $135,000 per fiscal quarter, a variable fee based on the EBITDA of certain acquired publications, and reimbursement of shared service costs at cost. HMG retains ownership of the publications and all related revenues and remains responsible for working capital and operating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PRIVATE PLACEMENT FINANCING AND RELATED AGREEMENTS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Private Placement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29, 2026, we issued an aggregate of 16,000,000 shares of Common Stock, consisting of 15,384,615 shares of Common Stock to certain investors and 615,385 shares of Common Stock to service providers as reimbursement for certain expenses incurred by certain investors, at a price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$3.25 per share through the Private Placement. The aggregate gross proceeds from the Private Placement were $50.0 million, before deducting offering expenses. Further, in connection with the closing, we amended our Certificate of Incorporation, increasing the number of authorized shares from 12,000,000 to 40,000,000.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Registration Rights Agreement and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the closing of the Private Placement on February 5, 2026, we entered into a registration rights agreement pursuant to which we will agree to provide certain customary registration rights, including the registration of the Shares for resale. We filed a registration statement on Form S-3 with the Securities and Exchange Commission covering the resale by the investors of their shares on March 6, 2026.</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February 4, 2026, in connection with the closing of the Private Placement, the Board of Directors amended the termination date of the Rights Agreement to February 4, 2026, causing each Right to expire and to be extinguished and for the Rights Agreement to be terminated. See Note 3 of the unaudited condensed consolidated financial statements for additional discussion.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Credit Agreement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Concurrently with the execution of the Private Placement agreement, we entered into the Second Amendment to Credit Agreement. The amendments became operative concurrently with the closing. The amendments include among other things, a reduction of the applicable margin on our 25-year term loan from 9.00% to 5.00% for a period of five years following the closing and amending the definition of “Excess Cash Flow” such that any cash-on-hand balance above $64.0 million held by us would be deemed Excess Cash Flow for a period of five years. These amendments were treated as modifications to the existing Credit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PRESIDENT AND CHIEF EXECUTIVE OFFICER TRANSITION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Also, concurrently with the closing of the Private Placement on February 5, 2026, Kevin Mowbray, our previous President and Chief Executive Officer, entered into an agreement to voluntarily retire from his positions at the Company and its subsidiaries and affiliates. Nathan Bekke, our previous Chief Operating Officer, assumed the role of President and Interim Chief Executive Officer. On April 23, 2026, the Board of Directors appointed Mr. Bekke as President and Chief Executive Officer of the Company.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VICE PRESIDENT, CHIEF FINANCIAL OFFICER TRANSITION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November 17, 2025, Timothy R. Millage resigned from his position as Vice President, Chief Financial Officer, effective February 3, 2026. Josh Rinehults was appointed Vice President, Interim Chief Financial Officer and Treasurer, effective February 3, 2026. On April 23, 2026, the Board appointed Mr. Rinehults as Vice President, Chief Financial Officer and Treasurer.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STRATEGY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are a leading digital-first subscription and marketing services company committed to delivering high-quality, trusted, and deeply local news and information. Our mission is to strengthen and enrich the communities we serve by providing compelling local content, superior subscriber experiences, and innovative, data-driven advertising and marketing solutions. Through a premium, high-margin portfolio of digital products and marketing services — including owned-and-operated platforms, branded content, over-the-top advertising, AI-powered solutions, and targeted print — we enable more than 15,000 local advertisers to meaningfully engage customers, strengthen their brands, and accelerate growth.</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core strategy is to expand audiences and deepen engagement by delivering robust, hyper-local content that informs and connects our communities. We are committed to creating, collecting, and distributing trusted local news and information across platforms designed to meet audiences wherever they are — print, web, mobile, social, and emerging channels. At the same time, we are investing in world-class digital products that elevate the subscriber experience through personalization, seamless access, and continuous innovation.</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 xml:space="preserve">Three Months Ended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Operating results are summarized below.</w:t>
      </w:r>
    </w:p>
    <w:tbl>
      <w:tblPr>
        <w:tblW w:w="10205" w:type="dxa"/>
        <w:jc w:val="left"/>
        <w:tblInd w:w="0" w:type="dxa"/>
        <w:tblLayout w:type="fixed"/>
        <w:tblCellMar>
          <w:top w:w="28" w:type="dxa"/>
          <w:left w:w="28" w:type="dxa"/>
          <w:bottom w:w="28" w:type="dxa"/>
          <w:right w:w="28" w:type="dxa"/>
        </w:tblCellMar>
      </w:tblPr>
      <w:tblGrid>
        <w:gridCol w:w="2316"/>
        <w:gridCol w:w="2017"/>
        <w:gridCol w:w="2023"/>
        <w:gridCol w:w="444"/>
        <w:gridCol w:w="441"/>
        <w:gridCol w:w="425"/>
        <w:gridCol w:w="444"/>
        <w:gridCol w:w="441"/>
        <w:gridCol w:w="425"/>
        <w:gridCol w:w="296"/>
        <w:gridCol w:w="298"/>
        <w:gridCol w:w="476"/>
        <w:gridCol w:w="159"/>
      </w:tblGrid>
      <w:tr>
        <w:trPr/>
        <w:tc>
          <w:tcPr>
            <w:tcW w:w="2316"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 Except Per Common Share Data)</w:t>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xml:space="preserve">Percent </w:t>
              <w:br/>
              <w:t>Change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advertising revenue</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17,474 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advertising and marketing revenue</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44,846 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49,097 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marketing services revenue</w:t>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59,324 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66,571 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subscription revenue</w:t>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32,918 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38,076 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subscription revenue</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21,829 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23,482 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54,747 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61,558 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other revenue</w:t>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6,967 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7,837 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other revenue</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11,899 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13,165 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125,970 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141,294 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47,436 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Newsprint and ink</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62,076 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77,252 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3,783 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sales, impairments and other, net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118,260 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137,318 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associated companies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85.2 </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income (expense):</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(10,132)</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post employment benefits ("OPEB") related and other, net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gain</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(9,082)</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6,573 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(4,420)</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per common share:</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 Indicates an absolute value percentage change greater than 100.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Quarterly Results of Operations</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Operating Revenue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operating revenue was $126.0 million in the three months ended June 28, 2026, down $15.3 million, or 10.8%, compared to the three months ended June 29, 2025.</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Advertising and marketing services revenue totaled $59.3 million, down 10.9% in the three months ended June 28, 2026, compared to the prior-year period. Print advertising revenues were $14.5 million, down 17.1% in the three months ended June 28, 2026 compared to the prior-year period related to continued secular declines in demand for print advertising related to the decline in print subscribers by 19.3% to 221,000 compared to the prior-year period of 274,000. Digital advertising and marketing services revenue totaled $44.8 million, down 8.7% in the three months ended June 28, 2026 compared to the prior-year period. Digital advertising and marketing services represented 75.6% of the total advertising and marketing services revenue for the three months ended June 28, 2026, compared to 73.8% in the prior-year period.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Subscription revenue totaled $54.7 million, down 11.1% in the three months ended June 28, 2026 compared to the prior-year period. Declines in volumes, consistent with historical and industry trends, were partially offset by strategic rate increases. Digital-only subscribers decreased 12.8% to 584,000 at June 28, 2026 compared to 670,000 at June 29, 2025. Digital-only subscription revenue declined 7.0% compared to the prior-year period driven by lasting impact from last year's Cyber Incident and accelerated churn following inflationary surcharges implemented in the prior fiscal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Other revenue, which consists of digital services from BLOX Digital of $4.9 million, commercial printing revenue of $3.6 million and third party delivery and other of $3.4 million, decreased $1.3 million, or 9.6%, in the three months ended June 28, 2026 compared to the prior-year period. Digital services revenue decreased 7.4% in the three months ended June 28, 2026 compared to the prior-year period. Commercial printing revenue decreased 14.4% in the three months ended June 28, 2026 compared to the prior-year period, primarily driven by lower print volumes from our partners.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digital revenue including digital advertising revenue, digital subscription revenue and digital services revenue totaled $71.6 million, a decrease of 8.1%, in the three months ended June 28, 2026 compared to the prior-year period, and represented 56.8% of our total operating revenue in the three months ended June 28, 2026.</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Operating Expenses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operating expenses were $118.3 million, a 13.9% decrease in the three months ended June 28, 2026, compared to the three months ended June 29, 2025. The decrease reflects continued disciplined cost management and the absence of prior-year Cyber Incident response costs. Cash Costs of $109.4 million, a non-GAAP financial measure used to summarize certain operating expenses (see reconciliation of non-GAAP financial measures below), were down 14.5% in the three months ended June 28, 2026, reflecting continued disciplined cost management.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Compensation expense decreased $2.6 million, or 5.5%, in the three months ended June 28, 2026 compared to the prior-year period. The decrease reflects continued headcount reductions as we execute our digital transformation strategy.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Newsprint and ink costs decreased $0.7 million, or 22.9%, in the three months ended June 28, 2026 compared to the prior-year period. The decrease is attributable to lower print volumes, consistent with continued secular declines in demand for print.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Other operating expenses decreased $15.2 million, or 19.6%, in the three months ended June 28, 2026 compared to the prior-year period. Other operating expenses include all operating costs not considered to be compensation, newsprint, insurance proceeds, depreciation and amortization, or restructuring costs and (gain) loss on asset sales, impairments, and other, net. The largest components are costs associated with printing and distribution of our printed products, digital cost of goods sold and facility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Insurance proceeds were a net gain of $0.6 million in the three months ended June 28, 2026 which represent business interruption insurance recoveries recognized in the current quarter related to the prior-year Cyber Incident. See further information in Note 12.</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Restructuring costs and other decreased $1.2 million, or 16.6% in the three months ended June 28, 2026, compared to the prior-year period due primarily to higher expenses related to the Cyber incident included in the prior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Depreciation and amortization expense decreased $0.3 million, or 6.8%, in the three months ended June 28, 2026. This decrease is attributable to assets being fully depreciated or amortized.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Gain on asset sales, impairments and other, net, was $0.1 million in the three months ended June 28, 2026 compared to $1.6 million in the prior-year period, a decrease of $1.5 million driven by fewer property sales in the current year quarter. </w:t>
      </w:r>
    </w:p>
    <w:p>
      <w:pPr>
        <w:pStyle w:val="TextBody"/>
        <w:bidi w:val="0"/>
        <w:spacing w:lineRule="auto" w:line="288" w:before="200" w:after="283"/>
        <w:jc w:val="both"/>
        <w:rPr/>
      </w:pPr>
      <w:r>
        <w:rPr>
          <w:rFonts w:ascii="Arial;sans-serif" w:hAnsi="Arial;sans-serif"/>
          <w:b w:val="false"/>
          <w:color w:val="000000"/>
          <w:sz w:val="20"/>
        </w:rPr>
        <w:t>Operating income was $8.6 million, an increase of $4.0 million</w:t>
      </w:r>
      <w:r>
        <w:rPr>
          <w:color w:val="000000"/>
        </w:rPr>
        <w:t xml:space="preserve"> </w:t>
      </w:r>
      <w:r>
        <w:rPr>
          <w:rFonts w:ascii="Arial;sans-serif" w:hAnsi="Arial;sans-serif"/>
          <w:b w:val="false"/>
          <w:color w:val="000000"/>
          <w:sz w:val="20"/>
        </w:rPr>
        <w:t>from $4.7 million in the prior-year period, primarily reflecting lower compensation and other operating expenses.</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Non-operating Income and Expense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Non-operating expense decreased by $7.0 million, or 77.3% in the three months ended June 28, 2026 compared to the prior-year period. The decrease is primarily driven by a settlement gain in our Postretirement benefit plans as we irrevocably transferred certain postretirement life insurance obligations to a third-party insurer described in Note 9 and a decrease in interest expense related to the rate reduction on our debt described in Note 8. </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Income Tax Expense/Benefit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recorded an income tax expense of $1.4 million in the three months ended June 28, 2026 compared to an income tax benefit of $2.7 million in the prior-year period. The increase in income tax expense for the current period is mainly due to a higher valuation allowance related to additional interest expense carryforwards that are not expected to be fully realized.</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Net income (loss) and Net income (loss) Per Share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income was $5.2 million and diluted income per share was $0.21 for the three months ended June 28, 2026 compared to net loss of $1.7 million and diluted losses per share of $0.31 for the prior-year period. The improvement reflects the cost reduction actions, the interest rate reduction, the non-recurrence of prior-year Cyber Incident costs discussed above and a settlement gain in our Postretirement benefit plans.</w:t>
      </w:r>
    </w:p>
    <w:p>
      <w:pPr>
        <w:pStyle w:val="TextBody"/>
        <w:bidi w:val="0"/>
        <w:spacing w:before="200" w:after="283"/>
        <w:jc w:val="both"/>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 xml:space="preserve">Nine Months Ended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Operating results are summarized below.</w:t>
      </w:r>
    </w:p>
    <w:tbl>
      <w:tblPr>
        <w:tblW w:w="10205" w:type="dxa"/>
        <w:jc w:val="left"/>
        <w:tblInd w:w="0" w:type="dxa"/>
        <w:tblLayout w:type="fixed"/>
        <w:tblCellMar>
          <w:top w:w="28" w:type="dxa"/>
          <w:left w:w="28" w:type="dxa"/>
          <w:bottom w:w="28" w:type="dxa"/>
          <w:right w:w="28" w:type="dxa"/>
        </w:tblCellMar>
      </w:tblPr>
      <w:tblGrid>
        <w:gridCol w:w="2210"/>
        <w:gridCol w:w="1909"/>
        <w:gridCol w:w="1915"/>
        <w:gridCol w:w="444"/>
        <w:gridCol w:w="439"/>
        <w:gridCol w:w="409"/>
        <w:gridCol w:w="444"/>
        <w:gridCol w:w="439"/>
        <w:gridCol w:w="409"/>
        <w:gridCol w:w="109"/>
        <w:gridCol w:w="305"/>
        <w:gridCol w:w="295"/>
        <w:gridCol w:w="878"/>
      </w:tblGrid>
      <w:tr>
        <w:trPr/>
        <w:tc>
          <w:tcPr>
            <w:tcW w:w="221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 Except Per Common Share Data)</w:t>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Percent Change</w:t>
            </w:r>
          </w:p>
        </w:tc>
      </w:tr>
      <w:tr>
        <w:trPr/>
        <w:tc>
          <w:tcPr>
            <w:tcW w:w="6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advertising revenue</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45,943 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53,867 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advertising and marketing revenue</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128,334 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139,766 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marketing services revenue</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174,277 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193,633 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subscription revenue</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100,816 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122,587 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subscription revenue</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66,814 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68,836 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167,630 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191,423 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other revenue</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21,545 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22,938 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other revenue</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14,544 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15,241 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36,089 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38,179 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377,996 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423,235 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140,989 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164,349 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Newsprint and ink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9,996 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193,640 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223,387 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(6,401)</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10,621 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sales, impairments and other, net</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12,746 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18,806 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358,624 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429,391 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associated companies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22,382 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(3,193)</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income (expense):</w:t>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(23,435)</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(30,365)</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post employment benefits ("OPEB") related and other, net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gain</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(18,265)</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(28,003)</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4,117 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(31,196)</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5,779 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(29,915)</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8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4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4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w:t>
            </w:r>
          </w:p>
        </w:tc>
        <w:tc>
          <w:tcPr>
            <w:tcW w:w="8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 Indicates an absolute value percentage change greater than 100.</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Operating Revenue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operating revenue was $378.0 million, down $45.2 million, or 10.7% in the nine months ended June 28, 2026 compared to the nine months ended June 29,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Advertising and marketing services revenue totaled $174.3 million, down 10.0% in the nine months ended June 28, 2026 compared to the prior-year period. Print advertising revenues were $45.9 million, down 14.7% in the nine months ended June 28, 2026 compared to the prior-year period driven by continued secular declines and elimination of unprofitable print products. Digital advertising and marketing services totaled $128.3 million, down 8.2% in the nine months ended June 28, 2026 compared to the prior-year period. Digital advertising and marketing services represented 73.6% of the nine months ended June 28, 2026 total advertising and marketing services revenue, compared to 72.2% in the prior-year period.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Subscription revenue totaled $167.6 million, down 12.4% in the nine months ended June 28, 2026 compared to the prior-year period. Declines in volumes, consistent with historical and industry trends, were partially offset by strategic rate increases. Digital-only subscribers decreased 12.8% to 584,000 as of June 28, 2026. Digital-only subscription revenue declined 2.9% compared to the prior-year period.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Other revenue, which consists of digital services from BLOX Digital of $14.5 million, commercial printing revenue of $11.1 million and third party delivery and other of $10.4 million, decreased $2.1 million, or 5.5%, in the nine months ended June 28, 2026 compared to the prior-year period. Digital services revenue decreased by 4.6% in the nine months ended June 28, 2026 compared to the prior-year period. Commercial printing revenue decreased 7.7% in the nine months ended June 28, 2026 compared to the prior-year period, primarily driven by lower print volumes from our partners.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digital revenue including digital advertising revenue, digital subscription revenue and digital services revenue totaled $209.7 million, a decrease of 6.3% in the nine months ended June 28, 2026 over the prior-year period, and represented 55.5% of our total operating revenue in the nine months ended June 28, 2026.</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Operating Expenses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operating expenses were $358.6 million, a 16.5% decrease in the nine months ended June 28, 2026, compared to the nine months ended June 29, 2025. The decrease reflects continued disciplined cost management, the absence of prior-year Cyber Incident response costs, and $6.4 million of business interruption insurance recoveries recognized in the current period (see Note 12). Cash Costs of $342.6 million, a non-GAAP financial measure used to summarize certain operating expenses (see reconciliation of non-GAAP financial measures below), were down 13.9% in the nine months ended June 28, 2026, reflecting continued disciplined cost management.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Compensation expense decreased $23.4 million, or 14.2% in the nine months ended June 28, 2026 compared to the prior-year period from reductions in full time employees due to continued business transformation efforts.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Newsprint and ink costs decreased $2.0 million, or 19.9% in the nine months ended June 28, 2026, compared to the prior-year period. The decrease is attributable to declines in newsprint volumes.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Other operating expenses decreased $29.7 million, or 13.3%, in the nine months ended June 28, 2026 compared to the prior-year period. Other operating expenses include all operating costs not considered to be compensation, newsprint, insurance proceeds, depreciation and amortization, or restructuring costs and (gain) loss on asset sales, impairments, and other, net. The largest components are costs associated with printing and distribution of our printed products, digital cost of goods sold and facility expenses.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Insurance proceeds were a net gain of $6.4 million in the nine months ended June 28, 2026 which represent business interruption insurance recoveries related to the prior-year Cyber Incident (see Note 12).</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Restructuring costs and other decreased $6.1 million, or 32.2% in the nine months ended June 28, 2026, compared to the nine months ended June 29, 2025. The prior year period included $3.1 million of expenses related to the Cyber Incident and costs associated with the shutdown of one of our production facilities.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Depreciation and amortization expense decreased $4.6 million, or 30.2%, in the nine months ended June 28, 2026 compared to the prior-year period. The decrease in both is attributable to assets being fully depreciated or amortized.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Gain on asset sales, impairments and other, net, was $1.0 million in the nine months ended June 28, 2026 compared to a net gain of $2.4 million in the prior-year period. Current year gains on sales were primarily related to the sale of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factors noted above resulted in an operating income of $22.4 million in the nine months ended June 28, 2026 compared to an operating loss of $3.2 million in the prior-year period primarily due to lower compensation and other operating expenses together with $6.4 million of business-interruption recoveries recognized in the period. </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Non-operating Income and Expense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Non-operating expense decreased by $9.7 million, or 34.8% compared to the nine months ended June 29, 2025. The decrease is primarily driven by a settlement gain in our Postretirement benefit plans as we irrevocably transferred certain postretirement life insurance obligations to a third-party insurer described in Note 9 and a decrease in interest expense related to the rate reduction on our debt described in Note 8. </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Income Tax Expense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recorded an income tax expense of $5.8 million in the nine months ended June 28, 2026 compared to $1.3 million benefit in the nine months ended June 29, 2025. The increase in income tax expense for the current period is mainly due to a higher valuation allowance related to additional interest expense carryforwards that are not expected to be fully realized.</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Net loss and Net loss Per Share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loss was $1.7 million and diluted loss per share was $0.22 for the nine months ended June 28, 2026 compared to net loss of $29.9 million and diluted losses per share of $5.16 for the prior-year period. The improvement reflects the cost reduction actions, the interest rate reduction, the non-recurrence of prior-year Cyber Incident costs discussed above and a settlement gain in our Postretirement benefit plans.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define our non-GAAP measures, which may not be comparable to similarly titled measures reported by other companies, as follows: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Adjusted EBITDA is a non-GAAP financial performance measure that enhances financial statement users' overall understanding of our operating performance.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our future operating performance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our leverage ratio, which is a key financial ratio monitored and used by us and our investors. Adjusted EBITDA is defined as net income (loss), plus non-operating expenses, net, income tax expense (benefit), depreciation and amortization, (gain) loss on asset sales, impairments and other, restructuring costs and other, stock compensation and our 50% share of EBITDA from TNI and MNI, minus equity in earnings of TNI and MNI.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Cash Costs represent a non-GAAP financial performance measure of operating expenses which are measured on an accrual basis and settled in cash. This measure is useful to investors in understanding the components of our cash-settled operating costs. Generally, we provide forward-looking guidance of Cash Costs, which can be used by financial statement users to assess our ability to manage and control its operating cost structure. Cash Costs are defined as compensation, newsprint and ink and other operating expenses and exclude restructuring costs and other, which are typically settled in cash.</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Adjusted EBITDA and Cash Costs are reconciled to net income (loss) and operating expenses, below, the closest comparable numbers under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RECONCILIATION OF NON-GAAP FINANCIAL MEASURES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table below reconciles the non-GAAP financial performance measure of Adjusted EBITDA to net income (loss), the most directly comparable GAAP measure:</w:t>
      </w:r>
    </w:p>
    <w:tbl>
      <w:tblPr>
        <w:tblW w:w="9706" w:type="dxa"/>
        <w:jc w:val="left"/>
        <w:tblInd w:w="0" w:type="dxa"/>
        <w:tblLayout w:type="fixed"/>
        <w:tblCellMar>
          <w:top w:w="28" w:type="dxa"/>
          <w:left w:w="28" w:type="dxa"/>
          <w:bottom w:w="28" w:type="dxa"/>
          <w:right w:w="28" w:type="dxa"/>
        </w:tblCellMar>
      </w:tblPr>
      <w:tblGrid>
        <w:gridCol w:w="1566"/>
        <w:gridCol w:w="1374"/>
        <w:gridCol w:w="1380"/>
        <w:gridCol w:w="445"/>
        <w:gridCol w:w="445"/>
        <w:gridCol w:w="445"/>
        <w:gridCol w:w="443"/>
        <w:gridCol w:w="443"/>
        <w:gridCol w:w="448"/>
        <w:gridCol w:w="445"/>
        <w:gridCol w:w="445"/>
        <w:gridCol w:w="445"/>
        <w:gridCol w:w="405"/>
        <w:gridCol w:w="405"/>
        <w:gridCol w:w="57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71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r>
      <w:tr>
        <w:trPr/>
        <w:tc>
          <w:tcPr>
            <w:tcW w:w="4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(29,915)</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to exclude</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9,082 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TNI and MNI</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10,621 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18,806 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sales, impairments and other,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Ownership share of TNI and MNI EBITDA (50%)</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3,488 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8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18,375 </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14,944 </w:t>
            </w:r>
          </w:p>
        </w:tc>
        <w:tc>
          <w:tcPr>
            <w:tcW w:w="4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45,781 </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30,319 </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table below reconciles the non-GAAP financial performance measure of Cash Costs to Operating expenses, the most directly comparable GAAP measure:</w:t>
      </w:r>
    </w:p>
    <w:tbl>
      <w:tblPr>
        <w:tblW w:w="9872" w:type="dxa"/>
        <w:jc w:val="left"/>
        <w:tblInd w:w="0" w:type="dxa"/>
        <w:tblLayout w:type="fixed"/>
        <w:tblCellMar>
          <w:top w:w="28" w:type="dxa"/>
          <w:left w:w="28" w:type="dxa"/>
          <w:bottom w:w="28" w:type="dxa"/>
          <w:right w:w="28" w:type="dxa"/>
        </w:tblCellMar>
      </w:tblPr>
      <w:tblGrid>
        <w:gridCol w:w="1560"/>
        <w:gridCol w:w="1370"/>
        <w:gridCol w:w="1375"/>
        <w:gridCol w:w="445"/>
        <w:gridCol w:w="445"/>
        <w:gridCol w:w="445"/>
        <w:gridCol w:w="443"/>
        <w:gridCol w:w="443"/>
        <w:gridCol w:w="448"/>
        <w:gridCol w:w="445"/>
        <w:gridCol w:w="445"/>
        <w:gridCol w:w="445"/>
        <w:gridCol w:w="587"/>
        <w:gridCol w:w="404"/>
        <w:gridCol w:w="572"/>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8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29, 2025</w:t>
            </w:r>
          </w:p>
        </w:tc>
      </w:tr>
      <w:tr>
        <w:trPr/>
        <w:tc>
          <w:tcPr>
            <w:tcW w:w="4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118,260 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137,318 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358,624 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429,391 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3,783 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sales, impairments and other,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18,806 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(6,401)</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Costs</w:t>
            </w:r>
          </w:p>
        </w:tc>
        <w:tc>
          <w:tcPr>
            <w:tcW w:w="8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109,407 </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127,956 </w:t>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342,634 </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397,732 </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 summary of our cash flows is included in the narrative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Operating Activities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Cash provided by operating activities totaled $6.1 million in the nine months ended June 28, 2026 compared to $0.8 million in the nine months ended June 29, 2025. The improvement was primarily driven by an increase in operating results of $8.2 million (defined as net loss adjusted for non-working capital items) offset primarily by a decrease in working capital of $2.8 million. The decrease in working capital is primarily related to higher payments related to the Private Placement expenses offset by improved accounts receivable driven by lower revenue in the period.</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Investing Activities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Cash used in investing activities totaled $1.3 million in the nine months ended June 28, 2026 compared to cash provided by investing activities of $5.1 million in the nine months ended June 29, 2025. The nine months ended June 29, 2025 included $8.7 million in proceeds from the sale of assets as we divested non-core real estate compared to only $1.1 million in asset sale proceeds in the current period.</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Financing Activities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Cash provided by financing activities was $44.6 million for the nine months ended June 28, 2026 from net Private Placement proceeds described in Note 3.</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Additional Information on Liquidity</w:t>
      </w:r>
    </w:p>
    <w:p>
      <w:pPr>
        <w:pStyle w:val="TextBody"/>
        <w:bidi w:val="0"/>
        <w:spacing w:lineRule="auto" w:line="288" w:before="200" w:after="283"/>
        <w:ind w:left="0" w:right="0" w:hanging="720"/>
        <w:jc w:val="both"/>
        <w:rPr>
          <w:rFonts w:ascii="Arial;sans-serif" w:hAnsi="Arial;sans-serif"/>
          <w:b w:val="false"/>
          <w:i/>
          <w:color w:val="000000"/>
          <w:sz w:val="20"/>
        </w:rPr>
      </w:pPr>
      <w:r>
        <w:rPr>
          <w:rFonts w:ascii="Arial;sans-serif" w:hAnsi="Arial;sans-serif"/>
          <w:b w:val="false"/>
          <w:i/>
          <w:color w:val="000000"/>
          <w:sz w:val="20"/>
        </w:rPr>
        <w:t>PRIVATE PLACEMENT FINANCING AND RELATED AGREEMENTS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 discussed in Note 3, we issued an aggregate of 16,000,000 shares of our Common Stock in a Private Placement at a price of $3.25 per share, consisting of 15,384,615 shares issued to certain investors and 615,385 shares issued to service providers as reimbursement for certain expenses incurred by such investors. The aggregate gross proceeds from the Private Placement were $50.0 million, before deducting offering expenses. Additionally, concurrently with the execution of the Private Placement, we entered into the Second Amendment to Credit Agreement. The amendments include, among other items, a reduction of the applicable margin on our 25-year term loan from 9.00% to 5.00% for a period of five years following the closing and amending the definition of “Excess Cash Flow” such that any cash on hand balance held by us above $64.0 million will be deemed Excess Cash Flow for a five year period following the closing.</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As of June 28, 2026, our liquidity, consisting of cash on hand, was $59.4 million. For the nine months ended June 28, 2026, net cash provided by operating activities was $6.1 million, up from $0.8 million in the nine months ended June 29, 2025. This increase is primarily attributable to the improved operating results compared to the prior-year period.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current operating environment, expenditures related to our business transformation initiatives, and the impacts of the Cyber Incident have adversely affected our net cash flows and placed pressure on our liquidity. However, we believe that cash generated from operating activities, along with the proceeds from the Private Placement financing will be sufficient to fund our operations and meet our obligations for at least the next 12 months from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CHANGES IN LAWS AND REGULATIONS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Wage Laws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Under the supervision and with the participation of our senior management, including our President and Chief Executive Officer and Vice President, Chief Financial Officer and Treasurer, we conducted an evaluation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effectiveness of the design and operation of our disclosure controls and procedures, as defined in Rules 13a-15(e) and 15d-15(e) under the Exchange Act, as of the end of the period covered by this Quarterly Report on Form 10-Q (the “Evaluation Date”). Based on this evaluation, our President and Chief Executive Officer and Vice President, Chief Financial Officer and Treasurer concluded that as of the Evaluation Date, our disclosure controls and procedures were effective.</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that occurred during the three months ended June 28,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II</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pStyle w:val="TextBody"/>
        <w:bidi w:val="0"/>
        <w:spacing w:lineRule="auto" w:line="288" w:before="200" w:after="283"/>
        <w:jc w:val="both"/>
        <w:rPr/>
      </w:pPr>
      <w:r>
        <w:rPr>
          <w:rFonts w:ascii="Arial;sans-serif" w:hAnsi="Arial;sans-serif"/>
          <w:b w:val="false"/>
          <w:color w:val="000000"/>
          <w:sz w:val="20"/>
          <w:u w:val="single"/>
        </w:rPr>
        <w:t>Stoudemire et al. v. Lee Enterprises, Incorporated (Video Privacy Claim)</w:t>
      </w:r>
      <w:r>
        <w:rPr>
          <w:rFonts w:ascii="Arial;sans-serif" w:hAnsi="Arial;sans-serif"/>
          <w:b w:val="false"/>
          <w:color w:val="000000"/>
          <w:sz w:val="20"/>
        </w:rPr>
        <w:t>. On December 19, 2022, named Plaintiffs filed a Complaint in the U.S. District Court for the Southern District of Iowa alleging our news websites violate the Video Privacy Protection Act by disclosing to third parties certain data about users’ video-watching habits. In particular, the Complaint alleged the websites use Facebook Pixel, a technology that allegedly links a user’s Facebook profile to videos the user watches on our website. The claimants are asserting class action claims and allege statutory damages of $2,500 per class member, punitive damages, and attorneys’ fees. In July 2023, the Court denied our Motion to Dismiss. This claim was submitted for coverage under our media insurance policy. The parties successfully mediated the case on November 5, 2024, and the court granted final approval of the class action settlement on August 14, 2025. The entire $9.5 million settlement amount was paid by our insurance carriers in October 2025. Payments to class members went out in October 2025. This case is now closed.</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u w:val="single"/>
        </w:rPr>
        <w:t>Fetes et al. v. Lee Enterprises. Incorporated (Cyber Incident)</w:t>
      </w:r>
      <w:r>
        <w:rPr>
          <w:rFonts w:ascii="Arial;sans-serif" w:hAnsi="Arial;sans-serif"/>
          <w:b w:val="false"/>
          <w:color w:val="000000"/>
          <w:sz w:val="20"/>
        </w:rPr>
        <w:t xml:space="preserve">. On June 12, 2025, Sarah Fetes filed a Complaint in the U.S. District Court for the Southern District of Iowa alleging claims arising out of a February 2025 cybersecurity incident, during which a third-party threat actor potentially accessed personal information of past and present Company employees existing on Company systems. Fetes and five additional named Plaintiffs filed a Consolidated Complaint on August 11, 2025. Plaintiffs allege that we failed to properly secure and safeguard personally identifiable information collected as part of our regular business practices. Plaintiffs sought damages for invasion of privacy and misuse of the compromised data, on behalf of themselves and a class consisting of approximately 39,700 individuals who received data breach notifications. This claim was submitted for coverage under our media insurance policy. The parties have reached a tentative settlement, all of which will be paid by our insurance carriers, in an amount that will be publicly disclosed through the court process. The settlement is subject to required court approval and open to objection by class members. We anticipate final approval of the settlement by August 2026. </w:t>
      </w:r>
    </w:p>
    <w:p>
      <w:pPr>
        <w:pStyle w:val="TextBody"/>
        <w:bidi w:val="0"/>
        <w:spacing w:lineRule="auto" w:line="288" w:before="200" w:after="283"/>
        <w:jc w:val="both"/>
        <w:rPr/>
      </w:pPr>
      <w:r>
        <w:rPr>
          <w:rFonts w:ascii="Arial;sans-serif" w:hAnsi="Arial;sans-serif"/>
          <w:b w:val="false"/>
          <w:color w:val="000000"/>
          <w:sz w:val="20"/>
          <w:u w:val="single"/>
        </w:rPr>
        <w:t>Lineup Systems Corporation v. Lee Enterprises, Incorporated</w:t>
      </w:r>
      <w:r>
        <w:rPr>
          <w:rFonts w:ascii="Arial;sans-serif" w:hAnsi="Arial;sans-serif"/>
          <w:b w:val="false"/>
          <w:color w:val="000000"/>
          <w:sz w:val="20"/>
        </w:rPr>
        <w:t>. In July 2025, Lineup filed suit against us for breach of contract, breach of the covenant of good faith and fair dealing, and quantum meruit arising from the contract between Lee and Lineup for the purchase and installation of software. The suit claims $7.0 million in damages for failure to pay owed amounts, attorneys' fees and interest. We filed a counter claim alleging breach of contract and fraudulent inducement. Trial has been set for October 18, 2027. Lineup filed a Motion for Judgment on the Pleadings for various counts and oral arguments were heard by the Court on the Motion for Judgment on the Pleadings on January 16, 2026. The Court rendered an opinion in favor of defendants denying the motion. Discovery is ongoing in this case and the outcome is uncertain at this time.</w:t>
      </w:r>
    </w:p>
    <w:p>
      <w:pPr>
        <w:pStyle w:val="TextBody"/>
        <w:bidi w:val="0"/>
        <w:spacing w:lineRule="auto" w:line="288" w:before="200" w:after="283"/>
        <w:jc w:val="both"/>
        <w:rPr/>
      </w:pPr>
      <w:r>
        <w:rPr>
          <w:rFonts w:ascii="Arial;sans-serif" w:hAnsi="Arial;sans-serif"/>
          <w:b w:val="false"/>
          <w:color w:val="000000"/>
          <w:sz w:val="20"/>
          <w:u w:val="single"/>
        </w:rPr>
        <w:t>The Associated Press v. Lee Enterprises, Incorporated</w:t>
      </w:r>
      <w:r>
        <w:rPr>
          <w:rFonts w:ascii="Arial;sans-serif" w:hAnsi="Arial;sans-serif"/>
          <w:b w:val="false"/>
          <w:color w:val="000000"/>
          <w:sz w:val="20"/>
        </w:rPr>
        <w:t xml:space="preserve">. In June 2026, The Associated Press ("AP") filed a lawsuit against us in New York State Court alleging that we breached the parties' agreement. AP seeks to recover alleged damages, including amounts purportedly due under the agreement, together with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attorneys' fees, and other relief requested in the complaint. At this stage of the proceedings, loss is not reasonably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Our status as a “controlled company” will concentrate control with our majority owner and may limit your ability to influence corporate matters and result in corporate governance that differs from that of other public companies.</w: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 of June 28, 2026, David H. Hoffmann, our Chairman of the Board, ("Mr. Hoffmann") beneficially owns 54.5% of the aggregate voting power of our outstanding capital stock.</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 a result, we are a “controlled company” under the corporate-governance standards of The Nasdaq Stock Market LLC (“Nasdaq”) for so long as more than 50% of the voting power of our outstanding capital stock is held by Mr. Hoffmann. We will effectively be a closely held corporation with a single stockholder (together with his affiliates) exercising substantial control over our affairs. Under Nasdaq rules applicable to controlled companies, we are permitted to rely on certain exemptions from Nasdaq’s corporate-governance requirements, including exemptions from the requirements that a majority of our Board be independent and that our compensation and nominating and corporate-governance committees be composed entirely of independent directors. Although we do not currently rely on these exemptions, we could elect to do so in the future. If we rely on one or more of these exemptions, you may not have the same protections afforded to stockholders of companies that are subject to all of Nasdaq’s corporate-governance requirements.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Even if we do not rely on the controlled-company exemptions, the concentration of voting power with Mr. Hoffmann will allow him to exert significant influence over all matters submitted to a vote of our stockholders, including the election and removal of directors, amendments to our organizational documents, mergers and asset sales, and other significant corporate transactions. Mr. Hoffmann's interests may conflict with, and may not always be aligned with, those of our other stockholders. For example, they may be more focused on long-term strategic objectives, liquidity for his own holdings, tax or estate-planning considerations or other factors than maximizing short-term stock price performance.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This concentrated control could discourage, delay, or prevent a change of control that stockholders may consider favorable, limit your ability to influence our corporate policies and adversely affect the market price and liquidity of our common stock. Investors who do not agree with the decisions of our controlling stockholder will be limited in their ability to change our management or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Insider Trading Arrangements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June 11, 2026, Mr. Hoffmann, the Company's Chairman of the Board, terminated the previously reported 10b5-1 Plan adopted on March 13, 2026.</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Other than as described above, during the three months ended June 28, 2026, no director or officer of the Company adopted or terminated a “Rule 10b5-1 trading arrangement” or “non-Rule 10b5-1 trading arrangement,” as each term is defined in Item 408(a) of Regulation S-K.</w:t>
      </w:r>
    </w:p>
    <w:p>
      <w:pPr>
        <w:pStyle w:val="TextBody"/>
        <w:bidi w:val="0"/>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Cybersecurity Incident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February 3, 2025, we experienced a cybersecurity incident that disrupted certain information technology systems and resulted in unauthorized access to certain files (the "Cyber Incident"). We promptly activated our incident response plan, engaged third-party cybersecurity experts to investigate and assist with remediation, notified law enforcement, and offered identity-protection services to affected customers and subscribers.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Cyber Incident adversely affected our fiscal 2025 operations. We continue to respond to the incident through remediation activities, implementation of additional cybersecurity controls and system enhancements, and ongoing legal and forensic review. We also continue to pursue recovery under our cyber insurance policies.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For information regarding the financial statement impact of the Cyber Incident, including related costs, insurance recoveries, and the presentation of those amounts in the Consolidated Financial Statements, see Note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9"/>
        <w:gridCol w:w="263"/>
        <w:gridCol w:w="265"/>
        <w:gridCol w:w="2805"/>
        <w:gridCol w:w="2805"/>
        <w:gridCol w:w="2833"/>
        <w:gridCol w:w="272"/>
        <w:gridCol w:w="272"/>
        <w:gridCol w:w="39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w:t>
            </w:r>
          </w:p>
        </w:tc>
        <w:tc>
          <w:tcPr>
            <w:tcW w:w="8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8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20"/>
                  <w:u w:val="single"/>
                </w:rPr>
                <w:t>Amended and Restated Certificate of Incorporation of the Company, effective as of January 30, 2012 (incorporated by reference to Exhibit 3.1 to the Company’s Current Report on Form 8-K filed on February 3, 2012).</w:t>
              </w:r>
            </w:hyperlink>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20"/>
                  <w:u w:val="single"/>
                </w:rPr>
                <w:t>Certificate of Amendment to the Amended and Restated Certificate of Incorporation of the Company, effective as of March 12, 2021 (incorporated by reference to Exhibit 3.1 to the Company’s Current Report on Form 8-K filed on March 12, 2021).</w:t>
              </w:r>
            </w:hyperlink>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20"/>
                  <w:u w:val="single"/>
                </w:rPr>
                <w:t>Certificate of Amendment to the Amended and Restated Certificate of Incorporation of the Company, effective as of February 3, 2026 (incorporated by reference to Exhibit 3.1 to the Company’s Current Report on Form 8-K filed on February 5, 2026).</w:t>
              </w:r>
            </w:hyperlink>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3.4*</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20"/>
                  <w:u w:val="single"/>
                </w:rPr>
                <w:t>Second Amended and Restated By-Laws of the Company, effective as of June 26, 2019 (incorporated by reference to Exhibit 3.1 to the Company’s Current Report on Form 8-K filed on June 27, 2019).</w:t>
              </w:r>
            </w:hyperlink>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FF"/>
                  <w:sz w:val="20"/>
                  <w:u w:val="single"/>
                </w:rPr>
                <w:t>Certificate of Elimination, effective as of February 4, 2026 (incorporated by reference to Exhibit 3.2 to the Company’s Current Report on Form 8-K filed on February 5, 2026).</w:t>
              </w:r>
            </w:hyperlink>
            <w:r>
              <w:rPr>
                <w:color w:val="000000"/>
              </w:rPr>
              <w:t xml:space="preserve">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Arial;sans-serif" w:hAnsi="Arial;sans-serif"/>
                  <w:b w:val="false"/>
                  <w:color w:val="0000FF"/>
                  <w:sz w:val="20"/>
                  <w:u w:val="single"/>
                </w:rPr>
                <w:t>Amendment No. 2 to Rights Agreement, dated as of February 4, 2026, by and between the Company and Equiniti Trust Company, LLC (incorporated by reference to Exhibit 4.1 to the Company’s Current Report on Form 8-K filed on February 5, 2026).</w:t>
              </w:r>
            </w:hyperlink>
            <w:r>
              <w:rPr>
                <w:color w:val="000000"/>
              </w:rPr>
              <w:t xml:space="preserve">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bookmarkStart w:id="0" w:name="i2f08974450e648a2a13826fccaa2e48a_7-1-1-"/>
              <w:bookmarkEnd w:id="0"/>
              <w:r>
                <w:rPr>
                  <w:rStyle w:val="InternetLink"/>
                  <w:rFonts w:ascii="Arial;sans-serif" w:hAnsi="Arial;sans-serif"/>
                  <w:b w:val="false"/>
                  <w:color w:val="0000FF"/>
                  <w:sz w:val="20"/>
                  <w:u w:val="single"/>
                </w:rPr>
                <w:t>Stock Purchase Agreement, dated as of December 30, 2025, by and among the Company, Anchor Investor and the Other Investors party thereto (incorporated by reference to Exhibit 10.1 of the Company's Current Report on Form 8-K filed on December 30, 2025).</w:t>
              </w:r>
            </w:hyperlink>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Arial;sans-serif" w:hAnsi="Arial;sans-serif"/>
                  <w:b w:val="false"/>
                  <w:color w:val="0000FF"/>
                  <w:sz w:val="20"/>
                  <w:u w:val="single"/>
                </w:rPr>
                <w:t>Form of Registration Rights Agreement (incorporated by reference to Exhibit 10.2 of the Company's Current Report on Form 8-K filed on December 30, 2025).</w:t>
              </w:r>
            </w:hyperlink>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Arial;sans-serif" w:hAnsi="Arial;sans-serif"/>
                  <w:b w:val="false"/>
                  <w:color w:val="0000FF"/>
                  <w:sz w:val="20"/>
                  <w:u w:val="single"/>
                </w:rPr>
                <w:t>Executive Retirement and Transition Agreement, dated as of December 30, 2025, by and between the Company and Kevin Mowbray (incorporated by reference to Exhibit 10.4 to the Company's Current Report on Form 8-K filed on December 30, 2025).</w:t>
              </w:r>
            </w:hyperlink>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Arial;sans-serif" w:hAnsi="Arial;sans-serif"/>
                  <w:b w:val="false"/>
                  <w:color w:val="0000FF"/>
                  <w:sz w:val="20"/>
                  <w:u w:val="single"/>
                </w:rPr>
                <w:t>Second Amendment to Credit Agreement, dated as of December 30, 2025, by and between the Company and the Lender (incorporated by reference to Exhibit 10.5 of the Company's Current Report on Form 8-K filed on December 30, 2025).</w:t>
              </w:r>
            </w:hyperlink>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Arial;sans-serif" w:hAnsi="Arial;sans-serif"/>
                  <w:b w:val="false"/>
                  <w:color w:val="0000FF"/>
                  <w:sz w:val="20"/>
                  <w:u w:val="single"/>
                </w:rPr>
                <w:t>Executive Separation and Transition Agreement, dated as of November 21, 2025, by and between the Company and Timothy R. Millage (incorporated by reference to Exhibit 10.5 of the Company's Current Report on Form 10-Q for the Quarter Ended December 28, 2025).</w:t>
              </w:r>
            </w:hyperlink>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ee-2026628xex311.htm">
              <w:r>
                <w:rPr>
                  <w:rStyle w:val="InternetLink"/>
                  <w:rFonts w:ascii="Arial;sans-serif" w:hAnsi="Arial;sans-serif"/>
                  <w:b w:val="false"/>
                  <w:color w:val="0000FF"/>
                  <w:sz w:val="20"/>
                  <w:u w:val="single"/>
                </w:rPr>
                <w:t>Rule 13a-14(a) Certification of Chief Executive Officer</w:t>
              </w:r>
            </w:hyperlink>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ee-2026628xex312.htm">
              <w:r>
                <w:rPr>
                  <w:rStyle w:val="InternetLink"/>
                  <w:rFonts w:ascii="Arial;sans-serif" w:hAnsi="Arial;sans-serif"/>
                  <w:b w:val="false"/>
                  <w:color w:val="0000FF"/>
                  <w:sz w:val="20"/>
                  <w:u w:val="single"/>
                </w:rPr>
                <w:t>Rule 13a-14(a) Certification of Chief Financial Officer</w:t>
              </w:r>
            </w:hyperlink>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ee-2026628xex321.htm">
              <w:r>
                <w:rPr>
                  <w:rStyle w:val="InternetLink"/>
                  <w:rFonts w:ascii="Arial;sans-serif" w:hAnsi="Arial;sans-serif"/>
                  <w:b w:val="false"/>
                  <w:color w:val="0000FF"/>
                  <w:sz w:val="20"/>
                  <w:u w:val="single"/>
                </w:rPr>
                <w:t>Section 1350 Certification of Chief Executive Officer</w:t>
              </w:r>
            </w:hyperlink>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ee-2026628xex322.htm">
              <w:r>
                <w:rPr>
                  <w:rStyle w:val="InternetLink"/>
                  <w:rFonts w:ascii="Arial;sans-serif" w:hAnsi="Arial;sans-serif"/>
                  <w:b w:val="false"/>
                  <w:color w:val="0000FF"/>
                  <w:sz w:val="20"/>
                  <w:u w:val="single"/>
                </w:rPr>
                <w:t>Section 1350 Certification of Chief Financial Officer</w:t>
              </w:r>
            </w:hyperlink>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 (the Instance Document does not appear in the Interactive Data File because its XBRL tags are embedded within the Inline XBRL document)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84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84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embedded within the Inline XBRL document)</w:t>
            </w:r>
          </w:p>
        </w:tc>
        <w:tc>
          <w:tcPr>
            <w:tcW w:w="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46260ee725947aeb3139eb304c819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160" w:type="dxa"/>
        <w:jc w:val="left"/>
        <w:tblInd w:w="0" w:type="dxa"/>
        <w:tblLayout w:type="fixed"/>
        <w:tblCellMar>
          <w:top w:w="28" w:type="dxa"/>
          <w:left w:w="28" w:type="dxa"/>
          <w:bottom w:w="28" w:type="dxa"/>
          <w:right w:w="28" w:type="dxa"/>
        </w:tblCellMar>
      </w:tblPr>
      <w:tblGrid>
        <w:gridCol w:w="124"/>
        <w:gridCol w:w="109"/>
        <w:gridCol w:w="109"/>
        <w:gridCol w:w="1564"/>
        <w:gridCol w:w="1564"/>
        <w:gridCol w:w="1567"/>
        <w:gridCol w:w="109"/>
        <w:gridCol w:w="109"/>
        <w:gridCol w:w="109"/>
        <w:gridCol w:w="474"/>
        <w:gridCol w:w="474"/>
        <w:gridCol w:w="4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LEE ENTERPRISES,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Joshua P. Rinehults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Joshua P. Rinehults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16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Nathan E. Bekke, certify that:</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("Quarterly Report") of Lee Enterprises, Incorporated ("Registrant");</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Date: August 7, 2026</w:t>
      </w:r>
    </w:p>
    <w:tbl>
      <w:tblPr>
        <w:tblW w:w="3776" w:type="dxa"/>
        <w:jc w:val="left"/>
        <w:tblInd w:w="0" w:type="dxa"/>
        <w:tblLayout w:type="fixed"/>
        <w:tblCellMar>
          <w:top w:w="28" w:type="dxa"/>
          <w:left w:w="28" w:type="dxa"/>
          <w:bottom w:w="28" w:type="dxa"/>
          <w:right w:w="28" w:type="dxa"/>
        </w:tblCellMar>
      </w:tblPr>
      <w:tblGrid>
        <w:gridCol w:w="124"/>
        <w:gridCol w:w="109"/>
        <w:gridCol w:w="109"/>
        <w:gridCol w:w="1002"/>
        <w:gridCol w:w="1002"/>
        <w:gridCol w:w="14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Nathan E. Bekke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Nathan E. Bekke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Joshua P. Rinehults, certify that:</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("Quarterly Report") of Lee Enterprises, Incorporated ("Registrant");</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Date: August 7, 2026</w:t>
      </w:r>
    </w:p>
    <w:tbl>
      <w:tblPr>
        <w:tblW w:w="5082" w:type="dxa"/>
        <w:jc w:val="left"/>
        <w:tblInd w:w="0" w:type="dxa"/>
        <w:tblLayout w:type="fixed"/>
        <w:tblCellMar>
          <w:top w:w="28" w:type="dxa"/>
          <w:left w:w="28" w:type="dxa"/>
          <w:bottom w:w="28" w:type="dxa"/>
          <w:right w:w="28" w:type="dxa"/>
        </w:tblCellMar>
      </w:tblPr>
      <w:tblGrid>
        <w:gridCol w:w="124"/>
        <w:gridCol w:w="109"/>
        <w:gridCol w:w="109"/>
        <w:gridCol w:w="1386"/>
        <w:gridCol w:w="1386"/>
        <w:gridCol w:w="1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Joshua P. Rinehults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Joshua P. Rinehults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450 Fifth Street, NW</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Re: Lee Enterprises, Incorporated</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accordance with the requirements of Section 906 of the Sarbanes-Oxley Act of 2002 (18 U.S.C. 1350), the undersigned hereby certifies that to his knowledge:</w:t>
      </w:r>
    </w:p>
    <w:p>
      <w:pPr>
        <w:pStyle w:val="TextBody"/>
        <w:bidi w:val="0"/>
        <w:spacing w:lineRule="auto" w:line="288" w:before="200" w:after="283"/>
        <w:ind w:left="0" w:right="0" w:hanging="540"/>
        <w:jc w:val="left"/>
        <w:rPr>
          <w:rFonts w:ascii="Arial;sans-serif" w:hAnsi="Arial;sans-serif"/>
          <w:b w:val="false"/>
          <w:color w:val="000000"/>
          <w:sz w:val="20"/>
        </w:rPr>
      </w:pPr>
      <w:r>
        <w:rPr>
          <w:rFonts w:ascii="Arial;sans-serif" w:hAnsi="Arial;sans-serif"/>
          <w:b w:val="false"/>
          <w:color w:val="000000"/>
          <w:sz w:val="20"/>
        </w:rPr>
        <w:t>(i)this Quarterly report on Form 10-Q for the period ended June 28, 2026 ("Quarterly Report"), fully complies with the requirements of section 13(a) or 15(d) of the Securities Exchange Act of 1934 (15 U.S.C. 78m or 78o(d)); and</w:t>
      </w:r>
    </w:p>
    <w:p>
      <w:pPr>
        <w:pStyle w:val="TextBody"/>
        <w:bidi w:val="0"/>
        <w:spacing w:lineRule="auto" w:line="288" w:before="20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this Quarterly Report fairly presents, in all material respects, the financial condition and results of operations of Lee Enterprises, Incorporated for the periods presented in the Quarterly Report.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Date: August 7, 2026</w:t>
      </w:r>
    </w:p>
    <w:tbl>
      <w:tblPr>
        <w:tblW w:w="3777" w:type="dxa"/>
        <w:jc w:val="left"/>
        <w:tblInd w:w="0" w:type="dxa"/>
        <w:tblLayout w:type="fixed"/>
        <w:tblCellMar>
          <w:top w:w="28" w:type="dxa"/>
          <w:left w:w="28" w:type="dxa"/>
          <w:bottom w:w="28" w:type="dxa"/>
          <w:right w:w="28" w:type="dxa"/>
        </w:tblCellMar>
      </w:tblPr>
      <w:tblGrid>
        <w:gridCol w:w="1234"/>
        <w:gridCol w:w="1083"/>
        <w:gridCol w:w="1088"/>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Nathan E. Bekke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Nathan E. Bekke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Lee Enterprises, Incorporated and will be retained by Lee Enterprises, Incorporated and furnished to the Securities and Exchange Commission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450 Fifth Street, NW</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Re: Lee Enterprises, Incorporated</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accordance with the requirements of Section 906 of the Sarbanes-Oxley Act of 2002 (18 U.S.C. 1350), the undersigned hereby certifies that to his knowledge:</w:t>
      </w:r>
    </w:p>
    <w:p>
      <w:pPr>
        <w:pStyle w:val="TextBody"/>
        <w:bidi w:val="0"/>
        <w:spacing w:lineRule="auto" w:line="288" w:before="200" w:after="283"/>
        <w:ind w:left="0" w:right="0" w:hanging="540"/>
        <w:jc w:val="left"/>
        <w:rPr>
          <w:rFonts w:ascii="Arial;sans-serif" w:hAnsi="Arial;sans-serif"/>
          <w:b w:val="false"/>
          <w:color w:val="000000"/>
          <w:sz w:val="20"/>
        </w:rPr>
      </w:pPr>
      <w:r>
        <w:rPr>
          <w:rFonts w:ascii="Arial;sans-serif" w:hAnsi="Arial;sans-serif"/>
          <w:b w:val="false"/>
          <w:color w:val="000000"/>
          <w:sz w:val="20"/>
        </w:rPr>
        <w:t>(i)this Quarterly report on Form 10-Q for the period ended June 28, 2026 ("Quarterly Report"), fully complies with the requirements of section 13(a) or 15(d) of the Securities Exchange Act of 1934 (15 U.S.C. 78m or 78o(d)); and</w:t>
      </w:r>
    </w:p>
    <w:p>
      <w:pPr>
        <w:pStyle w:val="TextBody"/>
        <w:bidi w:val="0"/>
        <w:spacing w:lineRule="auto" w:line="288" w:before="20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this Quarterly Report fairly presents, in all material respects, the financial condition and results of operations of Lee Enterprises, Incorporated for the periods presented in the Quarterly Report.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Date: August 7, 2026</w:t>
      </w:r>
    </w:p>
    <w:tbl>
      <w:tblPr>
        <w:tblW w:w="5082" w:type="dxa"/>
        <w:jc w:val="left"/>
        <w:tblInd w:w="0" w:type="dxa"/>
        <w:tblLayout w:type="fixed"/>
        <w:tblCellMar>
          <w:top w:w="28" w:type="dxa"/>
          <w:left w:w="28" w:type="dxa"/>
          <w:bottom w:w="28" w:type="dxa"/>
          <w:right w:w="28" w:type="dxa"/>
        </w:tblCellMar>
      </w:tblPr>
      <w:tblGrid>
        <w:gridCol w:w="1705"/>
        <w:gridCol w:w="1498"/>
        <w:gridCol w:w="1507"/>
        <w:gridCol w:w="109"/>
        <w:gridCol w:w="109"/>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Lee Enterprises, Incorporated and will be retained by Lee Enterprises, Incorporated and furnished to the Securities and Exchange Commission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58361/000119312512039041/d291240dex31.htm" TargetMode="External"/><Relationship Id="rId3" Type="http://schemas.openxmlformats.org/officeDocument/2006/relationships/hyperlink" Target="https://www.sec.gov/Archives/edgar/data/58361/000143774921005954/ex_233470.htm" TargetMode="External"/><Relationship Id="rId4" Type="http://schemas.openxmlformats.org/officeDocument/2006/relationships/hyperlink" Target="https://www.sec.gov/Archives/edgar/data/58361/000121390026012780/ea027525701ex3-1_lee.htm" TargetMode="External"/><Relationship Id="rId5" Type="http://schemas.openxmlformats.org/officeDocument/2006/relationships/hyperlink" Target="https://www.sec.gov/Archives/edgar/data/58361/000118301019000005/bylaws.htm" TargetMode="External"/><Relationship Id="rId6" Type="http://schemas.openxmlformats.org/officeDocument/2006/relationships/hyperlink" Target="https://www.sec.gov/Archives/edgar/data/58361/000121390026012780/ea027525701ex3-2_lee.htm" TargetMode="External"/><Relationship Id="rId7" Type="http://schemas.openxmlformats.org/officeDocument/2006/relationships/hyperlink" Target="https://www.sec.gov/Archives/edgar/data/58361/000121390026012780/ea027525701ex4-1_lee.htm" TargetMode="External"/><Relationship Id="rId8" Type="http://schemas.openxmlformats.org/officeDocument/2006/relationships/hyperlink" Target="https://www.sec.gov/Archives/edgar/data/58361/000121390025126353/ea027118201ex10-1_lee.htm" TargetMode="External"/><Relationship Id="rId9" Type="http://schemas.openxmlformats.org/officeDocument/2006/relationships/hyperlink" Target="https://www.sec.gov/Archives/edgar/data/58361/000121390025126353/ea027118201ex10-2_lee.htm" TargetMode="External"/><Relationship Id="rId10" Type="http://schemas.openxmlformats.org/officeDocument/2006/relationships/hyperlink" Target="https://www.sec.gov/Archives/edgar/data/58361/000121390025126353/ea027118201ex10-4_lee.htm" TargetMode="External"/><Relationship Id="rId11" Type="http://schemas.openxmlformats.org/officeDocument/2006/relationships/hyperlink" Target="https://www.sec.gov/Archives/edgar/data/58361/000121390025126353/ea027118201ex10-5_lee.htm" TargetMode="External"/><Relationship Id="rId12" Type="http://schemas.openxmlformats.org/officeDocument/2006/relationships/hyperlink" Target="https://www.sec.gov/Archives/edgar/data/58361/000005836126000014/exhbit105millageexecutives.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15963</Words>
  <Characters>90697</Characters>
  <CharactersWithSpaces>105622</CharactersWithSpaces>
  <Paragraphs>1960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