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jc w:val="center"/>
        <w:spacing w:after="0" w:line="234"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980" w:right="2600" w:hanging="1370"/>
        <w:spacing w:after="0" w:line="246" w:lineRule="auto"/>
        <w:tabs>
          <w:tab w:leader="none" w:pos="28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27,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980" w:right="2600" w:hanging="1371"/>
        <w:spacing w:after="0" w:line="246"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79" w:right="339" w:bottom="1440" w:gutter="0" w:footer="0" w:header="0"/>
        </w:sectPr>
      </w:pPr>
    </w:p>
    <w:p>
      <w:pPr>
        <w:spacing w:after="0" w:line="21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Delaware</w:t>
      </w:r>
    </w:p>
    <w:p>
      <w:pPr>
        <w:jc w:val="center"/>
        <w:ind w:right="6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1079" w:right="339" w:bottom="1440" w:gutter="0" w:footer="0" w:header="0"/>
          <w:type w:val="continuous"/>
        </w:sectPr>
      </w:pPr>
    </w:p>
    <w:p>
      <w:pPr>
        <w:spacing w:after="0" w:line="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4600 E. 53rd Street, Davenport, Iowa 52807</w:t>
      </w: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Common Stock, par value $.01 per share</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The Nasdaq Global Select Market</w:t>
            </w:r>
          </w:p>
        </w:tc>
      </w:tr>
    </w:tbl>
    <w:p>
      <w:pPr>
        <w:spacing w:after="0" w:line="200" w:lineRule="exact"/>
        <w:rPr>
          <w:sz w:val="24"/>
          <w:szCs w:val="24"/>
          <w:color w:val="auto"/>
        </w:rPr>
      </w:pPr>
    </w:p>
    <w:p>
      <w:pPr>
        <w:spacing w:after="0" w:line="218"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4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9" w:lineRule="exact"/>
        <w:rPr>
          <w:sz w:val="24"/>
          <w:szCs w:val="24"/>
          <w:color w:val="auto"/>
        </w:rPr>
      </w:pPr>
    </w:p>
    <w:p>
      <w:pPr>
        <w:ind w:right="218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2021, 5,888,983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104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 LOOKING STATEMENTS</w:t>
              </w:r>
            </w:hyperlink>
          </w:p>
        </w:tc>
        <w:tc>
          <w:tcPr>
            <w:tcW w:w="520" w:type="dxa"/>
            <w:vAlign w:val="bottom"/>
            <w:gridSpan w:val="4"/>
          </w:tcPr>
          <w:p>
            <w:pPr>
              <w:jc w:val="center"/>
              <w:ind w:left="21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8"/>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FINANCIAL INFORMATION</w:t>
              </w:r>
            </w:hyperlink>
          </w:p>
        </w:tc>
        <w:tc>
          <w:tcPr>
            <w:tcW w:w="7360" w:type="dxa"/>
            <w:vAlign w:val="bottom"/>
            <w:gridSpan w:val="12"/>
          </w:tcPr>
          <w:p>
            <w:pPr>
              <w:spacing w:after="0"/>
              <w:rPr>
                <w:sz w:val="24"/>
                <w:szCs w:val="24"/>
                <w:color w:val="auto"/>
              </w:rPr>
            </w:pPr>
          </w:p>
        </w:tc>
        <w:tc>
          <w:tcPr>
            <w:tcW w:w="36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520" w:type="dxa"/>
            <w:vAlign w:val="bottom"/>
            <w:gridSpan w:val="4"/>
          </w:tcPr>
          <w:p>
            <w:pPr>
              <w:jc w:val="center"/>
              <w:ind w:left="2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Consolidated Balance Sheets - June 27, 2021, and September 27, </w:t>
              </w:r>
            </w:hyperlink>
            <w:r>
              <w:rPr>
                <w:rFonts w:ascii="Arial" w:cs="Arial" w:eastAsia="Arial" w:hAnsi="Arial"/>
                <w:sz w:val="18"/>
                <w:szCs w:val="18"/>
                <w:color w:val="0000EE"/>
              </w:rPr>
              <w:t>2020</w:t>
            </w:r>
          </w:p>
        </w:tc>
        <w:tc>
          <w:tcPr>
            <w:tcW w:w="520" w:type="dxa"/>
            <w:vAlign w:val="bottom"/>
            <w:gridSpan w:val="4"/>
          </w:tcPr>
          <w:p>
            <w:pPr>
              <w:jc w:val="center"/>
              <w:ind w:left="2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Income (Loss) and Comprehensive Income (Loss) - 13 and 39 weeks ended</w:t>
              </w:r>
            </w:hyperlink>
          </w:p>
        </w:tc>
        <w:tc>
          <w:tcPr>
            <w:tcW w:w="50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June 27, 2021 and June 28, 2020</w:t>
              </w:r>
            </w:hyperlink>
          </w:p>
        </w:tc>
        <w:tc>
          <w:tcPr>
            <w:tcW w:w="5640" w:type="dxa"/>
            <w:vAlign w:val="bottom"/>
            <w:tcBorders>
              <w:top w:val="single" w:sz="8" w:color="0000EE"/>
            </w:tcBorders>
            <w:gridSpan w:val="6"/>
          </w:tcPr>
          <w:p>
            <w:pPr>
              <w:spacing w:after="0"/>
              <w:rPr>
                <w:sz w:val="15"/>
                <w:szCs w:val="15"/>
                <w:color w:val="auto"/>
              </w:rPr>
            </w:pPr>
          </w:p>
        </w:tc>
        <w:tc>
          <w:tcPr>
            <w:tcW w:w="50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Stockholder's Equity (Deficit) - 13 and 39 weeks ended June 27, 2021, and June</w:t>
              </w:r>
            </w:hyperlink>
          </w:p>
        </w:tc>
        <w:tc>
          <w:tcPr>
            <w:tcW w:w="520" w:type="dxa"/>
            <w:vAlign w:val="bottom"/>
            <w:gridSpan w:val="4"/>
          </w:tcPr>
          <w:p>
            <w:pPr>
              <w:jc w:val="center"/>
              <w:ind w:left="21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28, 2020</w:t>
              </w:r>
            </w:hyperlink>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6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Consolidated Statements of Cash Flows - 39 weeks ended June 27, 2021, and June 28, 2020</w:t>
              </w:r>
            </w:hyperlink>
          </w:p>
        </w:tc>
        <w:tc>
          <w:tcPr>
            <w:tcW w:w="1360" w:type="dxa"/>
            <w:vAlign w:val="bottom"/>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gridSpan w:val="11"/>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Consolidated Financial Statements</w:t>
              </w:r>
            </w:hyperlink>
          </w:p>
        </w:tc>
        <w:tc>
          <w:tcPr>
            <w:tcW w:w="3960" w:type="dxa"/>
            <w:vAlign w:val="bottom"/>
            <w:gridSpan w:val="4"/>
          </w:tcPr>
          <w:p>
            <w:pPr>
              <w:spacing w:after="0"/>
              <w:rPr>
                <w:sz w:val="24"/>
                <w:szCs w:val="24"/>
                <w:color w:val="auto"/>
              </w:rPr>
            </w:pPr>
          </w:p>
        </w:tc>
        <w:tc>
          <w:tcPr>
            <w:tcW w:w="1360" w:type="dxa"/>
            <w:vAlign w:val="bottom"/>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7</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Management's Discussion and Analysis of Financial Condition and Results of Operations</w:t>
              </w:r>
            </w:hyperlink>
          </w:p>
        </w:tc>
        <w:tc>
          <w:tcPr>
            <w:tcW w:w="1740" w:type="dxa"/>
            <w:vAlign w:val="bottom"/>
            <w:gridSpan w:val="4"/>
          </w:tcPr>
          <w:p>
            <w:pPr>
              <w:spacing w:after="0"/>
              <w:rPr>
                <w:sz w:val="24"/>
                <w:szCs w:val="24"/>
                <w:color w:val="auto"/>
              </w:rPr>
            </w:pPr>
          </w:p>
        </w:tc>
        <w:tc>
          <w:tcPr>
            <w:tcW w:w="800" w:type="dxa"/>
            <w:vAlign w:val="bottom"/>
            <w:gridSpan w:val="5"/>
          </w:tcPr>
          <w:p>
            <w:pPr>
              <w:jc w:val="cente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16</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1740" w:type="dxa"/>
            <w:vAlign w:val="bottom"/>
            <w:gridSpan w:val="4"/>
          </w:tcPr>
          <w:p>
            <w:pPr>
              <w:spacing w:after="0"/>
              <w:rPr>
                <w:sz w:val="24"/>
                <w:szCs w:val="24"/>
                <w:color w:val="auto"/>
              </w:rPr>
            </w:pPr>
          </w:p>
        </w:tc>
        <w:tc>
          <w:tcPr>
            <w:tcW w:w="800" w:type="dxa"/>
            <w:vAlign w:val="bottom"/>
            <w:gridSpan w:val="5"/>
          </w:tcPr>
          <w:p>
            <w:pPr>
              <w:jc w:val="cente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24</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120" w:type="dxa"/>
            <w:vAlign w:val="bottom"/>
            <w:gridSpan w:val="6"/>
          </w:tcPr>
          <w:p>
            <w:pPr>
              <w:spacing w:after="0"/>
              <w:rPr>
                <w:sz w:val="24"/>
                <w:szCs w:val="24"/>
                <w:color w:val="auto"/>
              </w:rPr>
            </w:pPr>
          </w:p>
        </w:tc>
        <w:tc>
          <w:tcPr>
            <w:tcW w:w="800" w:type="dxa"/>
            <w:vAlign w:val="bottom"/>
            <w:gridSpan w:val="5"/>
          </w:tcPr>
          <w:p>
            <w:pPr>
              <w:jc w:val="cente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24</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6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800" w:type="dxa"/>
            <w:vAlign w:val="bottom"/>
            <w:gridSpan w:val="5"/>
          </w:tcPr>
          <w:p>
            <w:pPr>
              <w:jc w:val="cente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25</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800" w:type="dxa"/>
            <w:vAlign w:val="bottom"/>
            <w:gridSpan w:val="5"/>
          </w:tcPr>
          <w:p>
            <w:pPr>
              <w:jc w:val="cente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25</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Risk Factors</w:t>
              </w:r>
            </w:hyperlink>
          </w:p>
        </w:tc>
        <w:tc>
          <w:tcPr>
            <w:tcW w:w="480" w:type="dxa"/>
            <w:vAlign w:val="bottom"/>
            <w:gridSpan w:val="4"/>
          </w:tcPr>
          <w:p>
            <w:pPr>
              <w:spacing w:after="0"/>
              <w:rPr>
                <w:sz w:val="24"/>
                <w:szCs w:val="24"/>
                <w:color w:val="auto"/>
              </w:rPr>
            </w:pPr>
          </w:p>
        </w:tc>
        <w:tc>
          <w:tcPr>
            <w:tcW w:w="7340" w:type="dxa"/>
            <w:vAlign w:val="bottom"/>
            <w:gridSpan w:val="11"/>
          </w:tcPr>
          <w:p>
            <w:pPr>
              <w:spacing w:after="0"/>
              <w:rPr>
                <w:sz w:val="24"/>
                <w:szCs w:val="24"/>
                <w:color w:val="auto"/>
              </w:rPr>
            </w:pPr>
          </w:p>
        </w:tc>
        <w:tc>
          <w:tcPr>
            <w:tcW w:w="800" w:type="dxa"/>
            <w:vAlign w:val="bottom"/>
            <w:gridSpan w:val="5"/>
          </w:tcPr>
          <w:p>
            <w:pPr>
              <w:jc w:val="cente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25</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82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0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820" w:type="dxa"/>
            <w:vAlign w:val="bottom"/>
            <w:gridSpan w:val="15"/>
          </w:tcPr>
          <w:p>
            <w:pPr>
              <w:spacing w:after="0"/>
              <w:rPr>
                <w:sz w:val="24"/>
                <w:szCs w:val="24"/>
                <w:color w:val="auto"/>
              </w:rPr>
            </w:pPr>
          </w:p>
        </w:tc>
        <w:tc>
          <w:tcPr>
            <w:tcW w:w="800" w:type="dxa"/>
            <w:vAlign w:val="bottom"/>
            <w:gridSpan w:val="5"/>
          </w:tcPr>
          <w:p>
            <w:pPr>
              <w:jc w:val="cente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25</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5"/>
          </w:tcPr>
          <w:p>
            <w:pPr>
              <w:jc w:val="cente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26</w:t>
              </w:r>
            </w:hyperlink>
          </w:p>
        </w:tc>
        <w:tc>
          <w:tcPr>
            <w:tcW w:w="20" w:type="dxa"/>
            <w:vAlign w:val="bottom"/>
          </w:tcPr>
          <w:p>
            <w:pPr>
              <w:spacing w:after="0"/>
              <w:rPr>
                <w:sz w:val="24"/>
                <w:szCs w:val="24"/>
                <w:color w:val="auto"/>
              </w:rPr>
            </w:pPr>
          </w:p>
        </w:tc>
      </w:tr>
      <w:tr>
        <w:trPr>
          <w:trHeight w:val="568"/>
        </w:trPr>
        <w:tc>
          <w:tcPr>
            <w:tcW w:w="20" w:type="dxa"/>
            <w:vAlign w:val="bottom"/>
            <w:tcBorders>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3"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“2021”, “2020” and the like refer to the fiscal years ended the last Sunday in September.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9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diminish or declines in revenue could accelerate as a result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be diminished longer than anticipated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may result in material long-term changes to the publishing industry which may result in permanent revenue reductions for the Company and other risks and uncertainties;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increased costs, inefficiencies and other disruptions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warrants issued in our 2014 refinancing will not be exercised;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59"/>
        </w:trPr>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FINANCIAL INFORMATION</w:t>
            </w:r>
          </w:p>
        </w:tc>
        <w:tc>
          <w:tcPr>
            <w:tcW w:w="1640" w:type="dxa"/>
            <w:vAlign w:val="bottom"/>
          </w:tcPr>
          <w:p>
            <w:pPr>
              <w:spacing w:after="0"/>
              <w:rPr>
                <w:sz w:val="20"/>
                <w:szCs w:val="20"/>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9"/>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9"/>
              </w:rPr>
              <w:t>LEE ENTERPRISES, INCORPORATED</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0"/>
                <w:szCs w:val="20"/>
                <w:color w:val="auto"/>
              </w:rPr>
            </w:pPr>
          </w:p>
        </w:tc>
      </w:tr>
      <w:tr>
        <w:trPr>
          <w:trHeight w:val="189"/>
        </w:trPr>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40" w:type="dxa"/>
            <w:vAlign w:val="bottom"/>
            <w:tcBorders>
              <w:bottom w:val="single" w:sz="8" w:color="auto"/>
            </w:tcBorders>
          </w:tcPr>
          <w:p>
            <w:pPr>
              <w:spacing w:after="0"/>
              <w:rPr>
                <w:sz w:val="17"/>
                <w:szCs w:val="17"/>
                <w:color w:val="auto"/>
              </w:rPr>
            </w:pPr>
          </w:p>
        </w:tc>
      </w:tr>
      <w:tr>
        <w:trPr>
          <w:trHeight w:val="195"/>
        </w:trPr>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7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27,</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388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(Thousands of Dollars)</w:t>
            </w:r>
          </w:p>
        </w:tc>
        <w:tc>
          <w:tcPr>
            <w:tcW w:w="57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128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21,070</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33,733</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62,085</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52,598</w:t>
            </w: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Inventories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6,478</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7,534</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Prepaids and other</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15,952</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14,888</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current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105,585</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108,753</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27,172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27,624</w:t>
            </w:r>
          </w:p>
        </w:tc>
      </w:tr>
      <w:tr>
        <w:trPr>
          <w:trHeight w:val="216"/>
        </w:trPr>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6,256</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6,255</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investments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33,428</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33,879</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16,853</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18,711</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108,719</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128,475</w:t>
            </w:r>
          </w:p>
        </w:tc>
      </w:tr>
      <w:tr>
        <w:trPr>
          <w:trHeight w:val="202"/>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Equipment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231,662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245,117</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4,569</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361,803</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394,626</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275,375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289,017</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Property and equipment, net</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86,428</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105,609</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7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67,260</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70,933</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330,204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328,445</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163,064</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182,680</w:t>
            </w:r>
          </w:p>
        </w:tc>
      </w:tr>
      <w:tr>
        <w:trPr>
          <w:trHeight w:val="203"/>
        </w:trPr>
        <w:tc>
          <w:tcPr>
            <w:tcW w:w="3880" w:type="dxa"/>
            <w:vAlign w:val="bottom"/>
            <w:gridSpan w:val="3"/>
          </w:tcPr>
          <w:p>
            <w:pPr>
              <w:spacing w:after="0" w:line="202" w:lineRule="exact"/>
              <w:rPr>
                <w:sz w:val="20"/>
                <w:szCs w:val="20"/>
                <w:color w:val="auto"/>
              </w:rPr>
            </w:pPr>
            <w:r>
              <w:rPr>
                <w:rFonts w:ascii="Arial" w:cs="Arial" w:eastAsia="Arial" w:hAnsi="Arial"/>
                <w:sz w:val="18"/>
                <w:szCs w:val="18"/>
                <w:color w:val="auto"/>
              </w:rPr>
              <w:t>Pension plan assets, net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6,831</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4,147</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Medical plan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16,116</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15,912</w:t>
            </w:r>
          </w:p>
        </w:tc>
      </w:tr>
      <w:tr>
        <w:trPr>
          <w:trHeight w:val="203"/>
        </w:trPr>
        <w:tc>
          <w:tcPr>
            <w:tcW w:w="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11,877</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13,699</w:t>
            </w:r>
          </w:p>
        </w:tc>
      </w:tr>
      <w:tr>
        <w:trPr>
          <w:trHeight w:val="236"/>
        </w:trPr>
        <w:tc>
          <w:tcPr>
            <w:tcW w:w="3880" w:type="dxa"/>
            <w:vAlign w:val="bottom"/>
            <w:tcBorders>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7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820,793</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864,057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(Unaudited)</w:t>
            </w:r>
          </w:p>
        </w:tc>
        <w:tc>
          <w:tcPr>
            <w:tcW w:w="1620" w:type="dxa"/>
            <w:vAlign w:val="bottom"/>
            <w:tcBorders>
              <w:top w:val="single" w:sz="8" w:color="auto"/>
              <w:bottom w:val="single" w:sz="8" w:color="auto"/>
            </w:tcBorders>
          </w:tcPr>
          <w:p>
            <w:pPr>
              <w:spacing w:after="0"/>
              <w:rPr>
                <w:sz w:val="18"/>
                <w:szCs w:val="18"/>
                <w:color w:val="auto"/>
              </w:rPr>
            </w:pPr>
          </w:p>
        </w:tc>
      </w:tr>
      <w:tr>
        <w:trPr>
          <w:trHeight w:val="195"/>
        </w:trPr>
        <w:tc>
          <w:tcPr>
            <w:tcW w:w="7580" w:type="dxa"/>
            <w:vAlign w:val="bottom"/>
          </w:tcPr>
          <w:p>
            <w:pPr>
              <w:spacing w:after="0"/>
              <w:rPr>
                <w:sz w:val="16"/>
                <w:szCs w:val="16"/>
                <w:color w:val="auto"/>
              </w:rPr>
            </w:pPr>
          </w:p>
        </w:tc>
        <w:tc>
          <w:tcPr>
            <w:tcW w:w="20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27,</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7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EQUITY</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8,803</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8,577</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1,070</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13,733</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17,788</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17,163</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47,625</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44,278</w:t>
            </w:r>
          </w:p>
        </w:tc>
      </w:tr>
      <w:tr>
        <w:trPr>
          <w:trHeight w:val="216"/>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62,255</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60,271</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137,541</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144,022</w:t>
            </w:r>
          </w:p>
        </w:tc>
      </w:tr>
      <w:tr>
        <w:trPr>
          <w:trHeight w:val="196"/>
        </w:trPr>
        <w:tc>
          <w:tcPr>
            <w:tcW w:w="758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0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484,092</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524,557</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59,016</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62,374</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70,622</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75,656</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14,481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39,543</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14,625</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15,208</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19,921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18,048</w:t>
            </w: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 and other</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28,958</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14,282</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829,256</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893,690</w:t>
            </w:r>
          </w:p>
        </w:tc>
      </w:tr>
      <w:tr>
        <w:trPr>
          <w:trHeight w:val="196"/>
        </w:trPr>
        <w:tc>
          <w:tcPr>
            <w:tcW w:w="7580" w:type="dxa"/>
            <w:vAlign w:val="bottom"/>
          </w:tcPr>
          <w:p>
            <w:pPr>
              <w:spacing w:after="0" w:line="196" w:lineRule="exact"/>
              <w:rPr>
                <w:sz w:val="20"/>
                <w:szCs w:val="20"/>
                <w:color w:val="auto"/>
              </w:rPr>
            </w:pPr>
            <w:r>
              <w:rPr>
                <w:rFonts w:ascii="Arial" w:cs="Arial" w:eastAsia="Arial" w:hAnsi="Arial"/>
                <w:sz w:val="18"/>
                <w:szCs w:val="18"/>
                <w:color w:val="auto"/>
              </w:rPr>
              <w:t>Equity (deficit):</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 (deficit):</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$0.01 par value; authorized 12,000 shares; issued and outstanding:</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59</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203"/>
        </w:trPr>
        <w:tc>
          <w:tcPr>
            <w:tcW w:w="7580" w:type="dxa"/>
            <w:vAlign w:val="bottom"/>
          </w:tcPr>
          <w:p>
            <w:pPr>
              <w:ind w:left="500"/>
              <w:spacing w:after="0" w:line="202" w:lineRule="exact"/>
              <w:rPr>
                <w:sz w:val="20"/>
                <w:szCs w:val="20"/>
                <w:color w:val="auto"/>
              </w:rPr>
            </w:pPr>
            <w:r>
              <w:rPr>
                <w:rFonts w:ascii="Arial" w:cs="Arial" w:eastAsia="Arial" w:hAnsi="Arial"/>
                <w:sz w:val="18"/>
                <w:szCs w:val="18"/>
                <w:color w:val="auto"/>
              </w:rPr>
              <w:t>June 27, 2021; 5,889 shares; $0.01 par value</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27, 2020; 5,835 shares; $0.01 par value</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Class B Common Stock, $2 par value; authorized 3,000 shares; none issued</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257,851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256,957</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(250,534)</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(268,529)</w:t>
            </w:r>
          </w:p>
        </w:tc>
      </w:tr>
      <w:tr>
        <w:trPr>
          <w:trHeight w:val="203"/>
        </w:trPr>
        <w:tc>
          <w:tcPr>
            <w:tcW w:w="75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0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(17,953)</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(20,050)</w:t>
            </w:r>
          </w:p>
        </w:tc>
      </w:tr>
      <w:tr>
        <w:trPr>
          <w:trHeight w:val="196"/>
        </w:trPr>
        <w:tc>
          <w:tcPr>
            <w:tcW w:w="7580" w:type="dxa"/>
            <w:vAlign w:val="bottom"/>
          </w:tcPr>
          <w:p>
            <w:pPr>
              <w:ind w:left="180"/>
              <w:spacing w:after="0" w:line="196" w:lineRule="exact"/>
              <w:rPr>
                <w:sz w:val="20"/>
                <w:szCs w:val="20"/>
                <w:color w:val="auto"/>
              </w:rPr>
            </w:pPr>
            <w:r>
              <w:rPr>
                <w:rFonts w:ascii="Arial" w:cs="Arial" w:eastAsia="Arial" w:hAnsi="Arial"/>
                <w:sz w:val="18"/>
                <w:szCs w:val="18"/>
                <w:color w:val="auto"/>
              </w:rPr>
              <w:t>Total stockholders' deficit</w:t>
            </w:r>
          </w:p>
        </w:tc>
        <w:tc>
          <w:tcPr>
            <w:tcW w:w="20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(10,577)</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(31,564)</w:t>
            </w:r>
          </w:p>
        </w:tc>
      </w:tr>
      <w:tr>
        <w:trPr>
          <w:trHeight w:val="216"/>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2,114</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r>
      <w:tr>
        <w:trPr>
          <w:trHeight w:val="196"/>
        </w:trPr>
        <w:tc>
          <w:tcPr>
            <w:tcW w:w="7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deficit</w:t>
            </w:r>
          </w:p>
        </w:tc>
        <w:tc>
          <w:tcPr>
            <w:tcW w:w="20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(8,463)</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(29,633)</w:t>
            </w:r>
          </w:p>
        </w:tc>
      </w:tr>
      <w:tr>
        <w:trPr>
          <w:trHeight w:val="23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deficit</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820,793</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864,057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13 Weeks Ended</w:t>
            </w:r>
          </w:p>
        </w:tc>
        <w:tc>
          <w:tcPr>
            <w:tcW w:w="24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56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8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27,</w:t>
            </w:r>
          </w:p>
        </w:tc>
        <w:tc>
          <w:tcPr>
            <w:tcW w:w="13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28,</w:t>
            </w:r>
          </w:p>
        </w:tc>
        <w:tc>
          <w:tcPr>
            <w:tcW w:w="13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27,</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3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91,122</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77,754</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279,326</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204,426</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88,792</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89,115</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269,905</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178,234</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16,576</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15,659</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51,505</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43,578</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196,490</w:t>
            </w:r>
          </w:p>
        </w:tc>
        <w:tc>
          <w:tcPr>
            <w:tcW w:w="13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182,528</w:t>
            </w:r>
          </w:p>
        </w:tc>
        <w:tc>
          <w:tcPr>
            <w:tcW w:w="13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600,736</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426,238</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82,731</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72,396</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250,048</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164,330</w:t>
            </w:r>
          </w:p>
        </w:tc>
        <w:tc>
          <w:tcPr>
            <w:tcW w:w="0" w:type="dxa"/>
            <w:vAlign w:val="bottom"/>
          </w:tcPr>
          <w:p>
            <w:pPr>
              <w:spacing w:after="0"/>
              <w:rPr>
                <w:sz w:val="1"/>
                <w:szCs w:val="1"/>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7,051</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7,572</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22,222</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16,629</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82,117</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77,440</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243,749</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178,744</w:t>
            </w:r>
          </w:p>
        </w:tc>
        <w:tc>
          <w:tcPr>
            <w:tcW w:w="0" w:type="dxa"/>
            <w:vAlign w:val="bottom"/>
          </w:tcPr>
          <w:p>
            <w:pPr>
              <w:spacing w:after="0"/>
              <w:rPr>
                <w:sz w:val="1"/>
                <w:szCs w:val="1"/>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10,836</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11,201</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33,794</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25,196</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242</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147</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6,938</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1,419</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2,865</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5,880</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8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184,396</w:t>
            </w:r>
          </w:p>
        </w:tc>
        <w:tc>
          <w:tcPr>
            <w:tcW w:w="13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171,621</w:t>
            </w:r>
          </w:p>
        </w:tc>
        <w:tc>
          <w:tcPr>
            <w:tcW w:w="13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562,631</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386,168</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1,689</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842</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4,902</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13,783</w:t>
            </w:r>
          </w:p>
        </w:tc>
        <w:tc>
          <w:tcPr>
            <w:tcW w:w="13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11,749</w:t>
            </w:r>
          </w:p>
        </w:tc>
        <w:tc>
          <w:tcPr>
            <w:tcW w:w="13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43,007</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43,843</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(11,010)</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(13,135)</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(34,129)</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(35,377)</w:t>
            </w:r>
          </w:p>
        </w:tc>
        <w:tc>
          <w:tcPr>
            <w:tcW w:w="0" w:type="dxa"/>
            <w:vAlign w:val="bottom"/>
          </w:tcPr>
          <w:p>
            <w:pPr>
              <w:spacing w:after="0"/>
              <w:rPr>
                <w:sz w:val="1"/>
                <w:szCs w:val="1"/>
                <w:color w:val="auto"/>
              </w:rPr>
            </w:pPr>
          </w:p>
        </w:tc>
      </w:tr>
      <w:tr>
        <w:trPr>
          <w:trHeight w:val="202"/>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23,830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(12,310)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8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2,330</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1,027</w:t>
            </w:r>
          </w:p>
        </w:tc>
        <w:tc>
          <w:tcPr>
            <w:tcW w:w="13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6,240</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expense, net</w:t>
            </w:r>
          </w:p>
        </w:tc>
        <w:tc>
          <w:tcPr>
            <w:tcW w:w="18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(8,680)</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(12,108)</w:t>
            </w:r>
          </w:p>
        </w:tc>
        <w:tc>
          <w:tcPr>
            <w:tcW w:w="13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(16,369)</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8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5,103</w:t>
            </w:r>
          </w:p>
        </w:tc>
        <w:tc>
          <w:tcPr>
            <w:tcW w:w="13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(359)</w:t>
            </w:r>
          </w:p>
        </w:tc>
        <w:tc>
          <w:tcPr>
            <w:tcW w:w="13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26,638</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(benefit) expense</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1,366</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368</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7,106</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3,737</w:t>
            </w:r>
          </w:p>
        </w:tc>
        <w:tc>
          <w:tcPr>
            <w:tcW w:w="13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(727)</w:t>
            </w:r>
          </w:p>
        </w:tc>
        <w:tc>
          <w:tcPr>
            <w:tcW w:w="13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19,532</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(510)</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(548)</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(1,537)</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18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3,227</w:t>
            </w:r>
          </w:p>
        </w:tc>
        <w:tc>
          <w:tcPr>
            <w:tcW w:w="13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(1,275)</w:t>
            </w:r>
          </w:p>
        </w:tc>
        <w:tc>
          <w:tcPr>
            <w:tcW w:w="13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17,995</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net of income taxes</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477</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317</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2,097</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95"/>
        </w:trPr>
        <w:tc>
          <w:tcPr>
            <w:tcW w:w="5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Comprehensive (loss) income attributable to Lee Enterprises,</w:t>
            </w:r>
          </w:p>
        </w:tc>
        <w:tc>
          <w:tcPr>
            <w:tcW w:w="18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Incorporated</w:t>
            </w:r>
          </w:p>
        </w:tc>
        <w:tc>
          <w:tcPr>
            <w:tcW w:w="1820" w:type="dxa"/>
            <w:vAlign w:val="bottom"/>
            <w:tcBorders>
              <w:bottom w:val="single" w:sz="8" w:color="auto"/>
            </w:tcBorders>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3,704</w:t>
            </w:r>
          </w:p>
        </w:tc>
        <w:tc>
          <w:tcPr>
            <w:tcW w:w="1360" w:type="dxa"/>
            <w:vAlign w:val="bottom"/>
            <w:tcBorders>
              <w:bottom w:val="single" w:sz="8" w:color="auto"/>
            </w:tcBorders>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(958)</w:t>
            </w:r>
          </w:p>
        </w:tc>
        <w:tc>
          <w:tcPr>
            <w:tcW w:w="1320" w:type="dxa"/>
            <w:vAlign w:val="bottom"/>
            <w:tcBorders>
              <w:bottom w:val="single" w:sz="8" w:color="auto"/>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20,092</w:t>
            </w:r>
          </w:p>
        </w:tc>
        <w:tc>
          <w:tcPr>
            <w:tcW w:w="10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183"/>
        </w:trPr>
        <w:tc>
          <w:tcPr>
            <w:tcW w:w="566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0.56</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(0.23)</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3.15</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0.55</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(0.23)</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3.10</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Accumulated</w:t>
            </w: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28, 2020</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(268,529)</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58</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256,957</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(20,050)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15,902</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15,902</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220</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1,347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27, 2020</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(252,627)</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257,122</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(18,908)</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(1,134)</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214</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682</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(204)</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28, 2021</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(253,761)</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257,328</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(18,430)</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318</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3,227</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682</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27, 2021</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(250,534)</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257,851</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(17,953)</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311"/>
        </w:trPr>
        <w:tc>
          <w:tcPr>
            <w:tcW w:w="4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Accumulated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2019</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(265,423)</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255,996</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(29,114)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5,320</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452</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29, 2019</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(260,103)</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58</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256,165</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(28,797)</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2"/>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(5,367)</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269</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451</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29, 2020</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(265,470)</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58</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256,235</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(28,481)</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242</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(1,275)</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228</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451</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2"/>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(134)</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28, 2020</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(266,745)</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58</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256,705</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(28,163)</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(38,145)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39 Weeks Ended</w:t>
            </w:r>
          </w:p>
        </w:tc>
        <w:tc>
          <w:tcPr>
            <w:tcW w:w="0" w:type="dxa"/>
            <w:vAlign w:val="bottom"/>
          </w:tcPr>
          <w:p>
            <w:pPr>
              <w:spacing w:after="0"/>
              <w:rPr>
                <w:sz w:val="1"/>
                <w:szCs w:val="1"/>
                <w:color w:val="auto"/>
              </w:rPr>
            </w:pPr>
          </w:p>
        </w:tc>
      </w:tr>
      <w:tr>
        <w:trPr>
          <w:trHeight w:val="195"/>
        </w:trPr>
        <w:tc>
          <w:tcPr>
            <w:tcW w:w="810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June 27,</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19,532</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33,794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25,196</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(23,830)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12,310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6,938</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Return of collateral on (Payments to collateralize) letters of credit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receivables and contract assets</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24,173</w:t>
            </w:r>
          </w:p>
        </w:tc>
        <w:tc>
          <w:tcPr>
            <w:tcW w:w="0" w:type="dxa"/>
            <w:vAlign w:val="bottom"/>
          </w:tcPr>
          <w:p>
            <w:pPr>
              <w:spacing w:after="0"/>
              <w:rPr>
                <w:sz w:val="1"/>
                <w:szCs w:val="1"/>
                <w:color w:val="auto"/>
              </w:rPr>
            </w:pPr>
          </w:p>
        </w:tc>
      </w:tr>
      <w:tr>
        <w:trPr>
          <w:trHeight w:val="203"/>
        </w:trPr>
        <w:tc>
          <w:tcPr>
            <w:tcW w:w="8100" w:type="dxa"/>
            <w:vAlign w:val="bottom"/>
          </w:tcPr>
          <w:p>
            <w:pPr>
              <w:ind w:left="340"/>
              <w:spacing w:after="0" w:line="202" w:lineRule="exact"/>
              <w:rPr>
                <w:sz w:val="20"/>
                <w:szCs w:val="20"/>
                <w:color w:val="auto"/>
              </w:rPr>
            </w:pPr>
            <w:r>
              <w:rPr>
                <w:rFonts w:ascii="Arial" w:cs="Arial" w:eastAsia="Arial" w:hAnsi="Arial"/>
                <w:sz w:val="18"/>
                <w:szCs w:val="18"/>
                <w:color w:val="auto"/>
              </w:rPr>
              <w:t>Decrease in inventories and other</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1,080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accounts payable and other accrued liabilities</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03"/>
        </w:trPr>
        <w:tc>
          <w:tcPr>
            <w:tcW w:w="8100" w:type="dxa"/>
            <w:vAlign w:val="bottom"/>
          </w:tcPr>
          <w:p>
            <w:pPr>
              <w:ind w:left="34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(4,807)</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income taxes payable</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Other, including warrants</w:t>
            </w: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706</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42,771</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38,010</w:t>
            </w:r>
          </w:p>
        </w:tc>
        <w:tc>
          <w:tcPr>
            <w:tcW w:w="0" w:type="dxa"/>
            <w:vAlign w:val="bottom"/>
          </w:tcPr>
          <w:p>
            <w:pPr>
              <w:spacing w:after="0"/>
              <w:rPr>
                <w:sz w:val="1"/>
                <w:szCs w:val="1"/>
                <w:color w:val="auto"/>
              </w:rPr>
            </w:pPr>
          </w:p>
        </w:tc>
      </w:tr>
      <w:tr>
        <w:trPr>
          <w:trHeight w:val="196"/>
        </w:trPr>
        <w:tc>
          <w:tcPr>
            <w:tcW w:w="8100" w:type="dxa"/>
            <w:vAlign w:val="bottom"/>
          </w:tcPr>
          <w:p>
            <w:pPr>
              <w:spacing w:after="0" w:line="196" w:lineRule="exact"/>
              <w:rPr>
                <w:sz w:val="20"/>
                <w:szCs w:val="20"/>
                <w:color w:val="auto"/>
              </w:rPr>
            </w:pPr>
            <w:r>
              <w:rPr>
                <w:rFonts w:ascii="Arial" w:cs="Arial" w:eastAsia="Arial" w:hAnsi="Arial"/>
                <w:sz w:val="18"/>
                <w:szCs w:val="18"/>
                <w:color w:val="auto"/>
              </w:rPr>
              <w:t>Cash required for investing activities:</w:t>
            </w: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(5,350)</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(7,297)</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sales of assets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3,095</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17,649</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(130,985)</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Distributions greater (less) than earnings of TNI and MNI</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(369)</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investing activities</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(2,465)</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(121,137)</w:t>
            </w:r>
          </w:p>
        </w:tc>
        <w:tc>
          <w:tcPr>
            <w:tcW w:w="0" w:type="dxa"/>
            <w:vAlign w:val="bottom"/>
          </w:tcPr>
          <w:p>
            <w:pPr>
              <w:spacing w:after="0"/>
              <w:rPr>
                <w:sz w:val="1"/>
                <w:szCs w:val="1"/>
                <w:color w:val="auto"/>
              </w:rPr>
            </w:pP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(required for) financing activities:</w:t>
            </w: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long term debt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576,000</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(53,128)</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(443,627)</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transactions, net</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provided by financing activities</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(52,969)</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131,192</w:t>
            </w:r>
          </w:p>
        </w:tc>
        <w:tc>
          <w:tcPr>
            <w:tcW w:w="0" w:type="dxa"/>
            <w:vAlign w:val="bottom"/>
          </w:tcPr>
          <w:p>
            <w:pPr>
              <w:spacing w:after="0"/>
              <w:rPr>
                <w:sz w:val="1"/>
                <w:szCs w:val="1"/>
                <w:color w:val="auto"/>
              </w:rPr>
            </w:pP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(12,663)</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48,065</w:t>
            </w:r>
          </w:p>
        </w:tc>
        <w:tc>
          <w:tcPr>
            <w:tcW w:w="0" w:type="dxa"/>
            <w:vAlign w:val="bottom"/>
          </w:tcPr>
          <w:p>
            <w:pPr>
              <w:spacing w:after="0"/>
              <w:rPr>
                <w:sz w:val="1"/>
                <w:szCs w:val="1"/>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Beginning of period</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33,733</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End of period</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21,070</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56,710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ind w:left="4700" w:right="3220" w:hanging="4692"/>
        <w:spacing w:after="0" w:line="482" w:lineRule="auto"/>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June 27, 2021, and our results of operations and cash flows for the periods presented. The Consolidated Financial Statements should be read in conjunction with the Consolidated Financial Statements and Notes thereto included in the Company's 2020 Annual Report on Form 10-K.</w:t>
      </w:r>
    </w:p>
    <w:p>
      <w:pPr>
        <w:spacing w:after="0" w:line="191"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Because of seasonal and other factors, the results of operations for the 13 and 39 weeks ended June 27, 2021, are not necessarily indicative of the results to be expected for the full year.</w:t>
      </w:r>
    </w:p>
    <w:p>
      <w:pPr>
        <w:spacing w:after="0" w:line="18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“2021”, “2020” and the like refer to the fiscal years ended the last Sunday in September.</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82.5% interest in INN Partners, L.C. (“TownNews.com”), 50% interest in TNI Partners (“TNI”) and 50% interest in Madison Newspapers, Inc. (“MNI”).</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83"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Certain amounts in prior period Consolidated Financial Statements have been reclassified to conform to the current year presentation. Pursuant to our acquisition of BH Media Group, Inc. a Delaware corporation, ("BHMG") and The Buffalo News, Inc. a Delaware corporation ("Buffalo News"), we realigned the presentation of certain home delivery print revenue and certain other Subscription revenue from Other revenue to Subscription revenue on the Consolidated Statements of Income (loss) and Comprehensive Income (loss). As a result of this updated presentation, Subscription revenue increased and Other revenue decreased for the 13 weeks ended June 28, 2020 by $598,000, the 39 weeks ended June 28, 2020 by $1,579,000 and the 13 weeks ended December 27, 2020 by $794,000. Operating revenues, net income (loss), accumulated deficit, and earnings per share remained unchanged.</w:t>
      </w:r>
    </w:p>
    <w:p>
      <w:pPr>
        <w:spacing w:after="0" w:line="194"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On February 25, 2021, our Board of Directors declared a one-for-ten split of the Company's common stock effected (the "Reverse Stock Split"). Effective March 15, 2021 the Company's shares began trading on a post reverse split basis. Prior period results have been adjusted to reflect the one-for-ten reverse stock split in March 2021. The split did not change the Company's Common Stock Par value but changed opening Common Stock and Additional Paid in Capital balances by offsetting amounts. Additionally, in March 29, 2020, we had outstanding shares of 58,135,910 which were adjusted to 5,813,591 to give effect to the Reverse Stock Split.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Company accounts for acquisitions in accordance with the provisions of Accounting Standards Codification 805 “Business Combinations” (“ASC 805”),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the acquisition.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 Pandemic</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ongoing COVID-19 pandemic and related measures to contain its spread have resulted in significant volatility and economic uncertainty, which is expected to continue in the near term. The COVID-19 pandemic has had and the Company currently expects that it will continue to have a significant negative impact on the Company’s business and operating results in the near term. While vaccines have become widely available in the United States, the long-term impact of the COVID-19 pandemic remains uncertain and unpredictable as it will depend on the pace of vaccine distribution, government responses to future outbreaks, the spread of variants, as well as changes in consumer behavior, all of which are highly uncertain. Despite the significant negative impacts on our operating results, we have operated uninterrupted in providing local news, information and advertising in our print and digital editions.</w:t>
      </w:r>
    </w:p>
    <w:p>
      <w:pPr>
        <w:sectPr>
          <w:pgSz w:w="11900" w:h="16838" w:orient="portrait"/>
          <w:cols w:equalWidth="0" w:num="1">
            <w:col w:w="11240"/>
          </w:cols>
          <w:pgMar w:left="320" w:top="125" w:right="339" w:bottom="482"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82"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Recently Issued Accounting Standards - Standards Adopted in 2021</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In June 2016, the FASB issued a new standard to replace the incurred loss impairment methodology with a methodology that reflects expected credit losses and requires consideration of a wider array of reasonable and supportable information to inform and develop credit loss estimates ("ASC 326"). We are required to use a forward-looking expected credit loss model for both accounts receivables and other financial instruments. The new standard was adopted on September 28, 2020, using a modified retrospective approach. This standard did not have a material impact on our Consolidated Financial Statements.</w:t>
      </w:r>
    </w:p>
    <w:p>
      <w:pPr>
        <w:spacing w:after="0" w:line="189"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In August 2018, the FASB issued new guidance that changes disclosure requirements related to fair value measurements as part of the disclosure framework project. The disclosure framework project aims to improve the effectiveness of disclosures in the notes to the financial statements by focusing on requirements that clearly communicate the most important information to users of the financial statements ("ASU 2018-13"). The new guidance was adopted on September 28, 2020, and did not have a material impact on our Consolidated Financial Statements.</w:t>
      </w:r>
    </w:p>
    <w:p>
      <w:pPr>
        <w:spacing w:after="0" w:line="189"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In December 2019, the FASB issued new guidance that simplifies the accounting for income taxes by eliminating certain exceptions to the guidance in Accounting Standards Codification ("ASC") 740 related to the approach for intraperiod tax allocation, the methodology for calculating income taxes in an interim period and the recognition for deferred tax liabilities for outside basis differences. The standard also simplifies aspects of the accounting for franchise taxes and enacted changes in tax laws or rates and clarifies the accounting for transactions that result in a step-up in the tax basis of goodwill. This new guidance was adopted September 28, 2020 and did not have a material impact on our Consolidated Financial Statements.</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Recently Issued Accounting Standards - Standards Not Yet Adopted</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In August 2018, FASB issued a new standard to amend disclosure requirements for employers that sponsor defined benefit pension or other postretirement plans ("ASU 2018-14"). The new standard will be adopted beginning September 27, 2021 using a retrospective approach. The Company is still evaluating the impacts to our financial statement disclosures.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In October 2020, FASB issued new guidance containing amendments that improve consistency of the Codification. Many of the amendments arose because the FASB provided an option to give certain information either on the face of the financial statements or in the notes to financial statements. The Company is still evaluating the impacts to our financial statement disclosures.</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13 Weeks Ended</w:t>
            </w:r>
          </w:p>
        </w:tc>
        <w:tc>
          <w:tcPr>
            <w:tcW w:w="24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6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80" w:type="dxa"/>
            <w:vAlign w:val="bottom"/>
          </w:tcPr>
          <w:p>
            <w:pPr>
              <w:jc w:val="right"/>
              <w:spacing w:after="0" w:line="195" w:lineRule="exact"/>
              <w:rPr>
                <w:sz w:val="20"/>
                <w:szCs w:val="20"/>
                <w:color w:val="auto"/>
              </w:rPr>
            </w:pPr>
            <w:r>
              <w:rPr>
                <w:rFonts w:ascii="Arial" w:cs="Arial" w:eastAsia="Arial" w:hAnsi="Arial"/>
                <w:sz w:val="18"/>
                <w:szCs w:val="18"/>
                <w:color w:val="auto"/>
              </w:rPr>
              <w:t>June 27,</w:t>
            </w:r>
          </w:p>
        </w:tc>
        <w:tc>
          <w:tcPr>
            <w:tcW w:w="174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28,</w:t>
            </w:r>
          </w:p>
        </w:tc>
        <w:tc>
          <w:tcPr>
            <w:tcW w:w="13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June 27,</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466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7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91,122</w:t>
            </w:r>
          </w:p>
        </w:tc>
        <w:tc>
          <w:tcPr>
            <w:tcW w:w="17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77,754</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279,326</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204,426</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88,792</w:t>
            </w:r>
          </w:p>
        </w:tc>
        <w:tc>
          <w:tcPr>
            <w:tcW w:w="17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89,115</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269,905</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178,234</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4,713</w:t>
            </w:r>
          </w:p>
        </w:tc>
        <w:tc>
          <w:tcPr>
            <w:tcW w:w="17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5,010</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14,363</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14,544</w:t>
            </w:r>
          </w:p>
        </w:tc>
        <w:tc>
          <w:tcPr>
            <w:tcW w:w="0" w:type="dxa"/>
            <w:vAlign w:val="bottom"/>
          </w:tcPr>
          <w:p>
            <w:pPr>
              <w:spacing w:after="0"/>
              <w:rPr>
                <w:sz w:val="1"/>
                <w:szCs w:val="1"/>
                <w:color w:val="auto"/>
              </w:rPr>
            </w:pPr>
          </w:p>
        </w:tc>
      </w:tr>
      <w:tr>
        <w:trPr>
          <w:trHeight w:val="203"/>
        </w:trPr>
        <w:tc>
          <w:tcPr>
            <w:tcW w:w="4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11,863</w:t>
            </w:r>
          </w:p>
        </w:tc>
        <w:tc>
          <w:tcPr>
            <w:tcW w:w="17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10,649</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37,142</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29,034</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196,490</w:t>
            </w:r>
          </w:p>
        </w:tc>
        <w:tc>
          <w:tcPr>
            <w:tcW w:w="17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182,528</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600,736</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426,238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63"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7" w:lineRule="exact"/>
        <w:rPr>
          <w:sz w:val="20"/>
          <w:szCs w:val="20"/>
          <w:color w:val="auto"/>
        </w:rPr>
      </w:pPr>
    </w:p>
    <w:p>
      <w:pPr>
        <w:jc w:val="both"/>
        <w:ind w:left="660" w:right="80"/>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$62,255,000 as of June 27, 2021 and $60,271,000 as of September 27, 2020. Revenue recognized in the 13 and 39 weeks ended June 27, 2021 that was included in the contract liability as of September 27, 2020 was $5,489,000 and $53,992,000, respectively.</w:t>
      </w:r>
    </w:p>
    <w:p>
      <w:pPr>
        <w:spacing w:after="0" w:line="188"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Accounts receivable, excluding allowance for credit losses was $70,558,000 and $66,029,000 as of June 27, 2021 and September 27, 2020, respectively. Allowance for credit losses was $8,473,000 and $13,431,000 as of June 27, 2021 and September 27, 2020, respectively.</w:t>
      </w:r>
    </w:p>
    <w:p>
      <w:pPr>
        <w:spacing w:after="0" w:line="171"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costs are recorded within compensation. The vast majority of our contracts have original expected lengths of one year or less and revenue is earned at a rate and amount that corresponds directly with the value to the customer.</w:t>
      </w:r>
    </w:p>
    <w:p>
      <w:pPr>
        <w:sectPr>
          <w:pgSz w:w="11900" w:h="16838" w:orient="portrait"/>
          <w:cols w:equalWidth="0" w:num="1">
            <w:col w:w="11320"/>
          </w:cols>
          <w:pgMar w:left="320" w:top="125" w:right="259" w:bottom="1440" w:gutter="0" w:footer="0" w:header="0"/>
        </w:sectPr>
      </w:pP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right="6820" w:hanging="652"/>
        <w:spacing w:after="0" w:line="4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 Star</w:t>
      </w:r>
      <w:r>
        <w:rPr>
          <w:rFonts w:ascii="Arial" w:cs="Arial" w:eastAsia="Arial" w:hAnsi="Arial"/>
          <w:sz w:val="18"/>
          <w:szCs w:val="18"/>
          <w:color w:val="auto"/>
        </w:rPr>
        <w:t xml:space="preserve"> as well as the related digital platforms and specialty publications. TNI collects all receipts and income and pays substantially all operating expenses incident to the partnership's operations and publication of the newspaper and other media.</w:t>
      </w:r>
    </w:p>
    <w:p>
      <w:pPr>
        <w:spacing w:after="0" w:line="191" w:lineRule="exact"/>
        <w:rPr>
          <w:rFonts w:ascii="Arial" w:cs="Arial" w:eastAsia="Arial" w:hAnsi="Arial"/>
          <w:sz w:val="18"/>
          <w:szCs w:val="18"/>
          <w:b w:val="1"/>
          <w:bCs w:val="1"/>
          <w:color w:val="auto"/>
        </w:rPr>
      </w:pPr>
    </w:p>
    <w:p>
      <w:pPr>
        <w:ind w:left="660" w:right="3140"/>
        <w:spacing w:after="0" w:line="477"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8"/>
        </w:trPr>
        <w:tc>
          <w:tcPr>
            <w:tcW w:w="458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270"/>
              <w:spacing w:after="0" w:line="198" w:lineRule="exact"/>
              <w:rPr>
                <w:sz w:val="20"/>
                <w:szCs w:val="20"/>
                <w:color w:val="auto"/>
              </w:rPr>
            </w:pPr>
            <w:r>
              <w:rPr>
                <w:rFonts w:ascii="Arial" w:cs="Arial" w:eastAsia="Arial" w:hAnsi="Arial"/>
                <w:sz w:val="18"/>
                <w:szCs w:val="18"/>
                <w:color w:val="auto"/>
                <w:w w:val="99"/>
              </w:rPr>
              <w:t>13 Weeks Ended</w:t>
            </w:r>
          </w:p>
        </w:tc>
        <w:tc>
          <w:tcPr>
            <w:tcW w:w="2480" w:type="dxa"/>
            <w:vAlign w:val="bottom"/>
            <w:tcBorders>
              <w:top w:val="single" w:sz="8" w:color="auto"/>
              <w:bottom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5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860" w:type="dxa"/>
            <w:vAlign w:val="bottom"/>
          </w:tcPr>
          <w:p>
            <w:pPr>
              <w:jc w:val="right"/>
              <w:spacing w:after="0" w:line="195" w:lineRule="exact"/>
              <w:rPr>
                <w:sz w:val="20"/>
                <w:szCs w:val="20"/>
                <w:color w:val="auto"/>
              </w:rPr>
            </w:pPr>
            <w:r>
              <w:rPr>
                <w:rFonts w:ascii="Arial" w:cs="Arial" w:eastAsia="Arial" w:hAnsi="Arial"/>
                <w:sz w:val="18"/>
                <w:szCs w:val="18"/>
                <w:color w:val="auto"/>
              </w:rPr>
              <w:t>June 27,</w:t>
            </w:r>
          </w:p>
        </w:tc>
        <w:tc>
          <w:tcPr>
            <w:tcW w:w="174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28,</w:t>
            </w:r>
          </w:p>
        </w:tc>
        <w:tc>
          <w:tcPr>
            <w:tcW w:w="13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June 27,</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7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8,389</w:t>
            </w:r>
          </w:p>
        </w:tc>
        <w:tc>
          <w:tcPr>
            <w:tcW w:w="17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8,222</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26,548</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28,602</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6,077</w:t>
            </w:r>
          </w:p>
        </w:tc>
        <w:tc>
          <w:tcPr>
            <w:tcW w:w="17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6,645</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19,506</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22,576</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2,312</w:t>
            </w:r>
          </w:p>
        </w:tc>
        <w:tc>
          <w:tcPr>
            <w:tcW w:w="17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1,577</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7,042</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183"/>
        </w:trPr>
        <w:tc>
          <w:tcPr>
            <w:tcW w:w="458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1860" w:type="dxa"/>
            <w:vAlign w:val="bottom"/>
          </w:tcPr>
          <w:p>
            <w:pPr>
              <w:jc w:val="right"/>
              <w:spacing w:after="0" w:line="183" w:lineRule="exact"/>
              <w:rPr>
                <w:sz w:val="20"/>
                <w:szCs w:val="20"/>
                <w:color w:val="auto"/>
              </w:rPr>
            </w:pPr>
            <w:r>
              <w:rPr>
                <w:rFonts w:ascii="Arial" w:cs="Arial" w:eastAsia="Arial" w:hAnsi="Arial"/>
                <w:sz w:val="18"/>
                <w:szCs w:val="18"/>
                <w:color w:val="auto"/>
              </w:rPr>
              <w:t>1,156</w:t>
            </w:r>
          </w:p>
        </w:tc>
        <w:tc>
          <w:tcPr>
            <w:tcW w:w="1740" w:type="dxa"/>
            <w:vAlign w:val="bottom"/>
          </w:tcPr>
          <w:p>
            <w:pPr>
              <w:jc w:val="right"/>
              <w:ind w:right="270"/>
              <w:spacing w:after="0" w:line="183" w:lineRule="exact"/>
              <w:rPr>
                <w:sz w:val="20"/>
                <w:szCs w:val="20"/>
                <w:color w:val="auto"/>
              </w:rPr>
            </w:pPr>
            <w:r>
              <w:rPr>
                <w:rFonts w:ascii="Arial" w:cs="Arial" w:eastAsia="Arial" w:hAnsi="Arial"/>
                <w:sz w:val="18"/>
                <w:szCs w:val="18"/>
                <w:color w:val="auto"/>
              </w:rPr>
              <w:t>789</w:t>
            </w:r>
          </w:p>
        </w:tc>
        <w:tc>
          <w:tcPr>
            <w:tcW w:w="1360" w:type="dxa"/>
            <w:vAlign w:val="bottom"/>
          </w:tcPr>
          <w:p>
            <w:pPr>
              <w:jc w:val="right"/>
              <w:ind w:right="230"/>
              <w:spacing w:after="0" w:line="183" w:lineRule="exact"/>
              <w:rPr>
                <w:sz w:val="20"/>
                <w:szCs w:val="20"/>
                <w:color w:val="auto"/>
              </w:rPr>
            </w:pPr>
            <w:r>
              <w:rPr>
                <w:rFonts w:ascii="Arial" w:cs="Arial" w:eastAsia="Arial" w:hAnsi="Arial"/>
                <w:sz w:val="18"/>
                <w:szCs w:val="18"/>
                <w:color w:val="auto"/>
              </w:rPr>
              <w:t>3,521</w:t>
            </w:r>
          </w:p>
        </w:tc>
        <w:tc>
          <w:tcPr>
            <w:tcW w:w="11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1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TNI</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1,156</w:t>
            </w:r>
          </w:p>
        </w:tc>
        <w:tc>
          <w:tcPr>
            <w:tcW w:w="17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789</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3,521</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TNI makes weekly distributions of its earnings and for the 13 weeks ended June 27, 2021 and June 28, 2020 we received $544,000 and $959,000 in distributions, respectively. In the 39 weeks ended June 27, 2021 and June 28, 2020, we received $3,161,000 and $2,650,000 in distributions,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13 Weeks Ended</w:t>
            </w:r>
          </w:p>
        </w:tc>
        <w:tc>
          <w:tcPr>
            <w:tcW w:w="24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540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June 27,</w:t>
            </w:r>
          </w:p>
        </w:tc>
        <w:tc>
          <w:tcPr>
            <w:tcW w:w="174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28,</w:t>
            </w:r>
          </w:p>
        </w:tc>
        <w:tc>
          <w:tcPr>
            <w:tcW w:w="13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June 27,</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7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11,479</w:t>
            </w:r>
          </w:p>
        </w:tc>
        <w:tc>
          <w:tcPr>
            <w:tcW w:w="17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10,875</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34,425</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37,125</w:t>
            </w: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Operating expenses, excluding restructuring costs, depreciation</w:t>
            </w:r>
          </w:p>
        </w:tc>
        <w:tc>
          <w:tcPr>
            <w:tcW w:w="10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line="203" w:lineRule="exact"/>
              <w:rPr>
                <w:sz w:val="20"/>
                <w:szCs w:val="20"/>
                <w:color w:val="auto"/>
              </w:rPr>
            </w:pPr>
            <w:r>
              <w:rPr>
                <w:rFonts w:ascii="Arial" w:cs="Arial" w:eastAsia="Arial" w:hAnsi="Arial"/>
                <w:sz w:val="18"/>
                <w:szCs w:val="18"/>
                <w:color w:val="auto"/>
              </w:rPr>
              <w:t>and amortization</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8,657</w:t>
            </w:r>
          </w:p>
        </w:tc>
        <w:tc>
          <w:tcPr>
            <w:tcW w:w="17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10,542</w:t>
            </w:r>
          </w:p>
        </w:tc>
        <w:tc>
          <w:tcPr>
            <w:tcW w:w="13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29,324</w:t>
            </w:r>
          </w:p>
        </w:tc>
        <w:tc>
          <w:tcPr>
            <w:tcW w:w="11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34,222</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106</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w:t>
            </w:r>
          </w:p>
        </w:tc>
        <w:tc>
          <w:tcPr>
            <w:tcW w:w="17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172</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480</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2,634</w:t>
            </w:r>
          </w:p>
        </w:tc>
        <w:tc>
          <w:tcPr>
            <w:tcW w:w="17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161</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4,515</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1,066</w:t>
            </w:r>
          </w:p>
        </w:tc>
        <w:tc>
          <w:tcPr>
            <w:tcW w:w="1740" w:type="dxa"/>
            <w:vAlign w:val="bottom"/>
            <w:tcBorders>
              <w:bottom w:val="single" w:sz="8" w:color="auto"/>
            </w:tcBorders>
          </w:tcPr>
          <w:p>
            <w:pPr>
              <w:jc w:val="right"/>
              <w:ind w:right="270"/>
              <w:spacing w:after="0" w:line="183" w:lineRule="exact"/>
              <w:rPr>
                <w:sz w:val="20"/>
                <w:szCs w:val="20"/>
                <w:color w:val="auto"/>
              </w:rPr>
            </w:pPr>
            <w:r>
              <w:rPr>
                <w:rFonts w:ascii="Arial" w:cs="Arial" w:eastAsia="Arial" w:hAnsi="Arial"/>
                <w:sz w:val="18"/>
                <w:szCs w:val="18"/>
                <w:color w:val="auto"/>
              </w:rPr>
              <w:t>107</w:t>
            </w:r>
          </w:p>
        </w:tc>
        <w:tc>
          <w:tcPr>
            <w:tcW w:w="1360" w:type="dxa"/>
            <w:vAlign w:val="bottom"/>
            <w:tcBorders>
              <w:bottom w:val="single" w:sz="8" w:color="auto"/>
            </w:tcBorders>
          </w:tcPr>
          <w:p>
            <w:pPr>
              <w:jc w:val="right"/>
              <w:ind w:right="230"/>
              <w:spacing w:after="0" w:line="183" w:lineRule="exact"/>
              <w:rPr>
                <w:sz w:val="20"/>
                <w:szCs w:val="20"/>
                <w:color w:val="auto"/>
              </w:rPr>
            </w:pPr>
            <w:r>
              <w:rPr>
                <w:rFonts w:ascii="Arial" w:cs="Arial" w:eastAsia="Arial" w:hAnsi="Arial"/>
                <w:sz w:val="18"/>
                <w:szCs w:val="18"/>
                <w:color w:val="auto"/>
              </w:rPr>
              <w:t>2,762</w:t>
            </w:r>
          </w:p>
        </w:tc>
        <w:tc>
          <w:tcPr>
            <w:tcW w:w="112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Equity in earnings of MNI</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533</w:t>
            </w:r>
          </w:p>
        </w:tc>
        <w:tc>
          <w:tcPr>
            <w:tcW w:w="1740" w:type="dxa"/>
            <w:vAlign w:val="bottom"/>
            <w:tcBorders>
              <w:bottom w:val="single" w:sz="8" w:color="auto"/>
            </w:tcBorders>
            <w:shd w:val="clear" w:color="auto" w:fill="CCEEFF"/>
          </w:tcPr>
          <w:p>
            <w:pPr>
              <w:jc w:val="right"/>
              <w:ind w:right="270"/>
              <w:spacing w:after="0" w:line="183" w:lineRule="exact"/>
              <w:rPr>
                <w:sz w:val="20"/>
                <w:szCs w:val="20"/>
                <w:color w:val="auto"/>
              </w:rPr>
            </w:pPr>
            <w:r>
              <w:rPr>
                <w:rFonts w:ascii="Arial" w:cs="Arial" w:eastAsia="Arial" w:hAnsi="Arial"/>
                <w:sz w:val="18"/>
                <w:szCs w:val="18"/>
                <w:color w:val="auto"/>
              </w:rPr>
              <w:t>54</w:t>
            </w:r>
          </w:p>
        </w:tc>
        <w:tc>
          <w:tcPr>
            <w:tcW w:w="1360" w:type="dxa"/>
            <w:vAlign w:val="bottom"/>
            <w:tcBorders>
              <w:bottom w:val="single" w:sz="8" w:color="auto"/>
            </w:tcBorders>
            <w:shd w:val="clear" w:color="auto" w:fill="CCEEFF"/>
          </w:tcPr>
          <w:p>
            <w:pPr>
              <w:jc w:val="right"/>
              <w:ind w:right="230"/>
              <w:spacing w:after="0" w:line="183" w:lineRule="exact"/>
              <w:rPr>
                <w:sz w:val="20"/>
                <w:szCs w:val="20"/>
                <w:color w:val="auto"/>
              </w:rPr>
            </w:pPr>
            <w:r>
              <w:rPr>
                <w:rFonts w:ascii="Arial" w:cs="Arial" w:eastAsia="Arial" w:hAnsi="Arial"/>
                <w:sz w:val="18"/>
                <w:szCs w:val="18"/>
                <w:color w:val="auto"/>
              </w:rPr>
              <w:t>1,381</w:t>
            </w:r>
          </w:p>
        </w:tc>
        <w:tc>
          <w:tcPr>
            <w:tcW w:w="112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MNI makes quarterly distributions of its earnings and in the 13 weeks ended June 27, 2021 and June 28, 2020, we received dividends of $750,000 and $0, respectively. In the 39 weeks ended June 27, 2021 and June 28, 2020, we received dividends of $1,900,000 and $1,000,000 respectively.</w:t>
      </w:r>
    </w:p>
    <w:p>
      <w:pPr>
        <w:spacing w:after="0" w:line="200" w:lineRule="exact"/>
        <w:rPr>
          <w:sz w:val="20"/>
          <w:szCs w:val="20"/>
          <w:color w:val="auto"/>
        </w:rPr>
      </w:pPr>
    </w:p>
    <w:p>
      <w:pPr>
        <w:spacing w:after="0" w:line="210" w:lineRule="exact"/>
        <w:rPr>
          <w:sz w:val="20"/>
          <w:szCs w:val="20"/>
          <w:color w:val="auto"/>
        </w:rPr>
      </w:pPr>
    </w:p>
    <w:p>
      <w:pPr>
        <w:ind w:left="660" w:right="6020" w:hanging="652"/>
        <w:spacing w:after="0" w:line="511"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tbl>
      <w:tblPr>
        <w:tblLayout w:type="fixed"/>
        <w:tblInd w:w="660" w:type="dxa"/>
        <w:tblCellMar>
          <w:top w:w="0" w:type="dxa"/>
          <w:left w:w="0" w:type="dxa"/>
          <w:bottom w:w="0" w:type="dxa"/>
          <w:right w:w="0" w:type="dxa"/>
        </w:tblCellMar>
      </w:tblPr>
      <w:tr>
        <w:trPr>
          <w:trHeight w:val="196"/>
        </w:trPr>
        <w:tc>
          <w:tcPr>
            <w:tcW w:w="658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39 Weeks</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195"/>
        </w:trPr>
        <w:tc>
          <w:tcPr>
            <w:tcW w:w="65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4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27,</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auto"/>
            </w:tcBorders>
            <w:vMerge w:val="continue"/>
          </w:tcPr>
          <w:p>
            <w:pPr>
              <w:spacing w:after="0"/>
              <w:rPr>
                <w:sz w:val="17"/>
                <w:szCs w:val="17"/>
                <w:color w:val="auto"/>
              </w:rPr>
            </w:pPr>
          </w:p>
        </w:tc>
        <w:tc>
          <w:tcPr>
            <w:tcW w:w="4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4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1,617,174</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4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beginning of September 27, 2020</w:t>
            </w:r>
          </w:p>
        </w:tc>
        <w:tc>
          <w:tcPr>
            <w:tcW w:w="4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328,445</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Measurement period adjustments</w:t>
            </w:r>
          </w:p>
        </w:tc>
        <w:tc>
          <w:tcPr>
            <w:tcW w:w="4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Goodwill, end of period</w:t>
            </w:r>
          </w:p>
        </w:tc>
        <w:tc>
          <w:tcPr>
            <w:tcW w:w="408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330,204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522" w:gutter="0" w:footer="0" w:header="0"/>
        </w:sectPr>
      </w:pP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522"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intangible assets consist of the following:</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8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June 27,</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vMerge w:val="continue"/>
          </w:tcPr>
          <w:p>
            <w:pPr>
              <w:spacing w:after="0"/>
              <w:rPr>
                <w:sz w:val="17"/>
                <w:szCs w:val="17"/>
                <w:color w:val="auto"/>
              </w:rPr>
            </w:pPr>
          </w:p>
        </w:tc>
        <w:tc>
          <w:tcPr>
            <w:tcW w:w="33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2021</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Mastheads</w:t>
            </w:r>
          </w:p>
        </w:tc>
        <w:tc>
          <w:tcPr>
            <w:tcW w:w="3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40,459</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40,459</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3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774,291</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774,604</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33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651,704</w:t>
            </w:r>
          </w:p>
        </w:tc>
        <w:tc>
          <w:tcPr>
            <w:tcW w:w="1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632,457</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122,587</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142,147</w:t>
            </w: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Non-compete and consulting agreements</w:t>
            </w:r>
          </w:p>
        </w:tc>
        <w:tc>
          <w:tcPr>
            <w:tcW w:w="33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28,656</w:t>
            </w:r>
          </w:p>
        </w:tc>
        <w:tc>
          <w:tcPr>
            <w:tcW w:w="15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28,656</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33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28,638</w:t>
            </w:r>
          </w:p>
        </w:tc>
        <w:tc>
          <w:tcPr>
            <w:tcW w:w="15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28,582</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shd w:val="clear" w:color="auto" w:fill="CCEEFF"/>
          </w:tcPr>
          <w:p>
            <w:pPr>
              <w:spacing w:after="0"/>
              <w:rPr>
                <w:sz w:val="17"/>
                <w:szCs w:val="17"/>
                <w:color w:val="auto"/>
              </w:rPr>
            </w:pPr>
          </w:p>
        </w:tc>
        <w:tc>
          <w:tcPr>
            <w:tcW w:w="33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18</w:t>
            </w:r>
          </w:p>
        </w:tc>
        <w:tc>
          <w:tcPr>
            <w:tcW w:w="15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intangible assets, net</w:t>
            </w:r>
          </w:p>
        </w:tc>
        <w:tc>
          <w:tcPr>
            <w:tcW w:w="33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163,064</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182,680</w:t>
            </w: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Company recognized $ 27,620,000 of advertiser relationships, $27,850,000 of subscriber relationships, $19,560,000 of commercial print relationships and $20,390,000 of indefinite-lived masthead assets as part of the Transactions as defined in Note 7.</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Annual amortization of intangible assets for the five years ending December 2022 to December 2026 is estimated to be $21,494,000, $20,081,000, $18,043,000, $12,707,000, and $7,218,000, respectively. The weighted average amortization period for those amortizable assets acquired as part of the Transactions is 13.7 years.</w:t>
      </w:r>
    </w:p>
    <w:p>
      <w:pPr>
        <w:spacing w:after="0" w:line="20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Company recognized $79,896,000 of Goodwill as part of the Transactions as defined in Note 7. The value of the acquired Goodwill is primarily related to an assembled workforce and expected synergies from combining operations. For tax purposes, the amount of Goodwill that is expected to be deductible is $42,442,000. Refer to Note 7 for more information regarding final purchase accounting for the Transactions.</w:t>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jc w:val="both"/>
        <w:ind w:left="660" w:right="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March 16, 2020 in connection with the closing of the Transactions as defined in Note 7, the Company completed a comprehensive refinancing of its debt (the “2020 Refinancing”). The 2020 Refinancing consists of a 25-year term loan with BH Finance LLC (“BH Finance”), an affiliate of Berkshire, in an aggregate principal amount of $576,000,000 at a 9% annual rate (referred to herein as “Credit Agreement” and “Term Loan”). The proceeds of the Term Loan were used, along with cash on hand, to repay the Company's $431,502,000 in existing debt incurred in 2014 (the "2014 Refinancing") as well as to fund the acquisition of the BH Media Newspaper Business assets and the stock of the Buffalo News for $140,000,000 in cash. With the closing of this refinancing, BH Finance became Lee's sole lender. The Credit Agreement documents the primary terms of the Term Loan. The Term Loan matures on March 16, 2045.</w:t>
      </w:r>
    </w:p>
    <w:p>
      <w:pPr>
        <w:spacing w:after="0" w:line="194" w:lineRule="exact"/>
        <w:rPr>
          <w:rFonts w:ascii="Arial" w:cs="Arial" w:eastAsia="Arial" w:hAnsi="Arial"/>
          <w:sz w:val="18"/>
          <w:szCs w:val="18"/>
          <w:b w:val="1"/>
          <w:bCs w:val="1"/>
          <w:color w:val="auto"/>
        </w:rPr>
      </w:pP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As of June 27, 2021, the Company had $485,162,000 in aggregate principal outstanding under the Term Loan. The weighted average cost of debt at June 27, 2021 is 9.0%.</w:t>
      </w:r>
    </w:p>
    <w:p>
      <w:pPr>
        <w:spacing w:after="0" w:line="183"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For the 13-weeks ended June 27, 2021 excess cash flow (as such term is defined in the Term Loan) totaled $1,070,000 and was used to pay debt in July 2021. This balance was recognized in current maturities of long-term debt as of June 27, 2021 in the Consolidated Balance Sheets. Future payments are contingent on the Company's ability to generate future excess cash flow, as defined in the Credit Agreement.</w:t>
      </w:r>
    </w:p>
    <w:p>
      <w:pPr>
        <w:spacing w:after="0" w:line="191"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88" w:lineRule="exact"/>
        <w:rPr>
          <w:rFonts w:ascii="Arial" w:cs="Arial" w:eastAsia="Arial" w:hAnsi="Arial"/>
          <w:sz w:val="18"/>
          <w:szCs w:val="18"/>
          <w:b w:val="1"/>
          <w:bCs w:val="1"/>
          <w:color w:val="auto"/>
        </w:rPr>
      </w:pPr>
    </w:p>
    <w:p>
      <w:pPr>
        <w:jc w:val="both"/>
        <w:ind w:left="660" w:right="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 (ii) make certain investments, (iii) enter into mergers, acquisitions and asset sales, (iv) incur or create liens and (v) enter into transactions with certain affiliates. The Credit Agreement contains various representations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ectPr>
          <w:pgSz w:w="11900" w:h="16838" w:orient="portrait"/>
          <w:cols w:equalWidth="0" w:num="1">
            <w:col w:w="11320"/>
          </w:cols>
          <w:pgMar w:left="320" w:top="125" w:right="259" w:bottom="1440" w:gutter="0" w:footer="0" w:header="0"/>
        </w:sectPr>
      </w:pP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Voluntary payments under the Credit Agreement are not subject to call premiums and are payable at par.</w:t>
      </w:r>
    </w:p>
    <w:p>
      <w:pPr>
        <w:spacing w:after="0" w:line="198"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There are no scheduled mandatory principal payments required under the Credit Agreement. The Company is required to make mandatory pre-payments of the Term Loan as follows:</w:t>
      </w:r>
    </w:p>
    <w:p>
      <w:pPr>
        <w:spacing w:after="0" w:line="183" w:lineRule="exact"/>
        <w:rPr>
          <w:sz w:val="20"/>
          <w:szCs w:val="20"/>
          <w:color w:val="auto"/>
        </w:rPr>
      </w:pPr>
    </w:p>
    <w:p>
      <w:pPr>
        <w:jc w:val="both"/>
        <w:ind w:left="1180" w:right="260" w:hanging="33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lease or other disposition of any property of the Company or any subsidiary in excess of $500,000 in any ninety (90) day period.</w:t>
      </w:r>
    </w:p>
    <w:p>
      <w:pPr>
        <w:spacing w:after="0" w:line="189" w:lineRule="exact"/>
        <w:rPr>
          <w:rFonts w:ascii="Arial" w:cs="Arial" w:eastAsia="Arial" w:hAnsi="Arial"/>
          <w:sz w:val="18"/>
          <w:szCs w:val="18"/>
          <w:color w:val="auto"/>
        </w:rPr>
      </w:pPr>
    </w:p>
    <w:p>
      <w:pPr>
        <w:jc w:val="both"/>
        <w:ind w:left="1180" w:hanging="33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Beginning on June 28, 2020, the Company is required to prepay the Term Loan with excess cash flow, defined as cash on the balance sheet in excess of $20,000,000 (“Excess Cash Flow”). Excess Cash Flow is used to prepay the Term Loan, at par, and is due within 50-days of quarter end.</w:t>
      </w:r>
    </w:p>
    <w:p>
      <w:pPr>
        <w:spacing w:after="0" w:line="189" w:lineRule="exact"/>
        <w:rPr>
          <w:rFonts w:ascii="Arial" w:cs="Arial" w:eastAsia="Arial" w:hAnsi="Arial"/>
          <w:sz w:val="18"/>
          <w:szCs w:val="18"/>
          <w:color w:val="auto"/>
        </w:rPr>
      </w:pPr>
    </w:p>
    <w:p>
      <w:pPr>
        <w:ind w:left="1180" w:hanging="335"/>
        <w:spacing w:after="0" w:line="246"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prepayments of the Term Loan shall be accompanied by payment of all accrued interest on the amount of principal prepaid to the date of prepayment.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Warrants</w:t>
      </w:r>
    </w:p>
    <w:p>
      <w:pPr>
        <w:spacing w:after="0" w:line="220"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14"/>
          <w:szCs w:val="14"/>
          <w:color w:val="auto"/>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14"/>
          <w:szCs w:val="14"/>
          <w:color w:val="auto"/>
        </w:rPr>
        <w:t>nd</w:t>
      </w:r>
      <w:r>
        <w:rPr>
          <w:rFonts w:ascii="Arial" w:cs="Arial" w:eastAsia="Arial" w:hAnsi="Arial"/>
          <w:sz w:val="18"/>
          <w:szCs w:val="18"/>
          <w:color w:val="auto"/>
        </w:rPr>
        <w:t xml:space="preserve"> Lien Lenders received on March 31, 2014 their pro rata share of warrants to purchase, in cash, an initial aggregate of 600,000 shares of Common Stock, subject to adjustment pursuant to anti -dilution provisions (the “Warrants”). The Warrants represent, when fully exercised, approximately 10.4% of shares of Common Stock outstanding at March 30, 2014 on a fully diluted basis. The exercise price of the Warrants is $41.90 per share. The Warrants are set to expire in March 2022. Shares and exercise price have been adjusted to reflect the reverse stock split as described in Note 1.</w:t>
      </w:r>
    </w:p>
    <w:p>
      <w:pPr>
        <w:spacing w:after="0" w:line="20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11.</w:t>
      </w:r>
    </w:p>
    <w:p>
      <w:pPr>
        <w:spacing w:after="0" w:line="189"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In connection with the issuance of the Warrants entered into in the 2014 Refinancing,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20"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including plans established under collective bargaining agreements.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88"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provide retiree medical and life insurance benefits under postretirement plans at several of our operating locations.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1"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With the exception of defined benefit plans acquired in the Transactions as defined in Note 7, effective in 2012, substantially all benefits are frozen. Our liability and related expenses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91"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During the 13 weeks ended December 27, 2020 we notified certain participants in our post-employment benefit plans of changes to be made to the plans, including elimination of coverage for certain participants. The changes resulted in a non-cash curtailment gain of $23,830,000 and a reduction in our benefit obligation liability by $23,830,000. This is recorded within Curtailment gain and Postretirement and postemployment benefit obligations.</w:t>
      </w:r>
    </w:p>
    <w:p>
      <w:pPr>
        <w:sectPr>
          <w:pgSz w:w="11900" w:h="16838" w:orient="portrait"/>
          <w:cols w:equalWidth="0" w:num="1">
            <w:col w:w="11320"/>
          </w:cols>
          <w:pgMar w:left="320" w:top="125" w:right="259" w:bottom="1440" w:gutter="0" w:footer="0" w:header="0"/>
        </w:sectPr>
      </w:pP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a fiscal year end measurement date for all of our Pension and postretirement medical plan obligations.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PENSION PLANS</w:t>
            </w:r>
          </w:p>
        </w:tc>
        <w:tc>
          <w:tcPr>
            <w:tcW w:w="338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13 Weeks Ended</w:t>
            </w:r>
          </w:p>
        </w:tc>
        <w:tc>
          <w:tcPr>
            <w:tcW w:w="2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9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27,</w:t>
            </w:r>
          </w:p>
        </w:tc>
        <w:tc>
          <w:tcPr>
            <w:tcW w:w="14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28,</w:t>
            </w:r>
          </w:p>
        </w:tc>
        <w:tc>
          <w:tcPr>
            <w:tcW w:w="13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27,</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633</w:t>
            </w:r>
          </w:p>
        </w:tc>
        <w:tc>
          <w:tcPr>
            <w:tcW w:w="14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626</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1,899</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1,787</w:t>
            </w:r>
          </w:p>
        </w:tc>
        <w:tc>
          <w:tcPr>
            <w:tcW w:w="14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2,462</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5,361</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(4,672)</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(4,356)</w:t>
            </w:r>
          </w:p>
        </w:tc>
        <w:tc>
          <w:tcPr>
            <w:tcW w:w="13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(14,016)</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1,004</w:t>
            </w:r>
          </w:p>
        </w:tc>
        <w:tc>
          <w:tcPr>
            <w:tcW w:w="14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792</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3,013</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19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w:t>
            </w:r>
          </w:p>
        </w:tc>
        <w:tc>
          <w:tcPr>
            <w:tcW w:w="13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Pension benefit</w:t>
            </w:r>
          </w:p>
        </w:tc>
        <w:tc>
          <w:tcPr>
            <w:tcW w:w="19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(1,248)</w:t>
            </w:r>
          </w:p>
        </w:tc>
        <w:tc>
          <w:tcPr>
            <w:tcW w:w="1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(478)</w:t>
            </w:r>
          </w:p>
        </w:tc>
        <w:tc>
          <w:tcPr>
            <w:tcW w:w="13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(3,744)</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2"/>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2"/>
          </w:tcPr>
          <w:p>
            <w:pPr>
              <w:spacing w:after="0"/>
              <w:rPr>
                <w:sz w:val="15"/>
                <w:szCs w:val="15"/>
                <w:color w:val="auto"/>
              </w:rPr>
            </w:pPr>
          </w:p>
        </w:tc>
        <w:tc>
          <w:tcPr>
            <w:tcW w:w="246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380" w:type="dxa"/>
            <w:vAlign w:val="bottom"/>
            <w:tcBorders>
              <w:bottom w:val="single" w:sz="8" w:color="auto"/>
            </w:tcBorders>
            <w:gridSpan w:val="2"/>
          </w:tcPr>
          <w:p>
            <w:pPr>
              <w:jc w:val="right"/>
              <w:ind w:right="290"/>
              <w:spacing w:after="0" w:line="196" w:lineRule="exact"/>
              <w:rPr>
                <w:sz w:val="20"/>
                <w:szCs w:val="20"/>
                <w:color w:val="auto"/>
              </w:rPr>
            </w:pPr>
            <w:r>
              <w:rPr>
                <w:rFonts w:ascii="Arial" w:cs="Arial" w:eastAsia="Arial" w:hAnsi="Arial"/>
                <w:sz w:val="18"/>
                <w:szCs w:val="18"/>
                <w:color w:val="auto"/>
              </w:rPr>
              <w:t>13 Weeks Ended</w:t>
            </w:r>
          </w:p>
        </w:tc>
        <w:tc>
          <w:tcPr>
            <w:tcW w:w="24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9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27,</w:t>
            </w:r>
          </w:p>
        </w:tc>
        <w:tc>
          <w:tcPr>
            <w:tcW w:w="14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28,</w:t>
            </w:r>
          </w:p>
        </w:tc>
        <w:tc>
          <w:tcPr>
            <w:tcW w:w="13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27,</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1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240</w:t>
            </w:r>
          </w:p>
        </w:tc>
        <w:tc>
          <w:tcPr>
            <w:tcW w:w="14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232</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690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239</w:t>
            </w:r>
          </w:p>
        </w:tc>
        <w:tc>
          <w:tcPr>
            <w:tcW w:w="14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346</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601</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(252)</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(265)</w:t>
            </w:r>
          </w:p>
        </w:tc>
        <w:tc>
          <w:tcPr>
            <w:tcW w:w="13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(756)</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Amortization of net gain</w:t>
            </w:r>
          </w:p>
        </w:tc>
        <w:tc>
          <w:tcPr>
            <w:tcW w:w="19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(172)</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(186)</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(516)</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19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(162)</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(161)</w:t>
            </w:r>
          </w:p>
        </w:tc>
        <w:tc>
          <w:tcPr>
            <w:tcW w:w="13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(485)</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w:t>
            </w:r>
          </w:p>
        </w:tc>
        <w:tc>
          <w:tcPr>
            <w:tcW w:w="19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(23,830)</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198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(107)</w:t>
            </w:r>
          </w:p>
        </w:tc>
        <w:tc>
          <w:tcPr>
            <w:tcW w:w="14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(34)</w:t>
            </w:r>
          </w:p>
        </w:tc>
        <w:tc>
          <w:tcPr>
            <w:tcW w:w="13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(24,296)</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In the 39 weeks ended June 27, 2021 we contributed $965,000 to our pension plans. In March 2021, The American Rescue Plan Act was signed into law. Among other things, the law changed how companies compute minimum required pension contributions. As a result we expect to make no additional contributions to our pension trust during the remainder of fiscal 2021.</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During the 13 weeks ended December 27, 2020, we withdrew from a multiemployer pension plan and recorded a $12,310,000 liability reflecting an estimate of the withdrawal from the fund. The withdrawal liability is recorded in Warrants and other and the expense is included within Pension withdrawal cost. The liability will be paid over 20 years.</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 Media Group”) (“Purchase Agreement”). As part of the Purchase Agreement, the Company purchased certain assets and assumed certain liabilities of BH Media's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BHMG includes 30 daily newspapers and digital operations, in addition to 49 paid weekly newspapers with websites and 32 other print products. Buffalo News is a provider of local print and digital news to the Buffalo, NY area. The rationale for the acquisition was primarily the attractive nature of the various publications, businesses, and digital platforms as well as the revenue growth and operating expense synergy opportunities. The fair values of the assets and liabilities for the Transactions were finalized during the second quarter of 2021.</w:t>
      </w:r>
    </w:p>
    <w:p>
      <w:pPr>
        <w:spacing w:after="0" w:line="360"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(the “BH Lease”). The BH Lease was signed and commenced on March 16, 2020. The BH Lease requires the Company to pay annual rent of $8,000,000, payable in equal monthly payments, as well as all operating costs relating to the properties (including maintenance, repairs, property taxes and insurance). Rent payments will be subject to a Rent Credit (as defined in the BH Lease) equal to 8.00% of the net consideration for any leased real estate sold by BH Media during the term of the BH Lease.</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 Forma Information</w:t>
      </w:r>
    </w:p>
    <w:p>
      <w:pPr>
        <w:spacing w:after="0" w:line="207"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following table sets forth unaudited pro forma results of operations assuming the Transactions, along with the credit arrangements necessary to finance the Transactions, occurred on September 30, 2019, the first day of fiscal year 2020.</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6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Unaudited</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13 Weeks Ended</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60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30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June 28,</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auto"/>
            </w:tcBorders>
            <w:vMerge w:val="continue"/>
          </w:tcPr>
          <w:p>
            <w:pPr>
              <w:spacing w:after="0"/>
              <w:rPr>
                <w:sz w:val="17"/>
                <w:szCs w:val="17"/>
                <w:color w:val="auto"/>
              </w:rPr>
            </w:pPr>
          </w:p>
        </w:tc>
        <w:tc>
          <w:tcPr>
            <w:tcW w:w="30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30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182,528</w:t>
            </w:r>
          </w:p>
        </w:tc>
        <w:tc>
          <w:tcPr>
            <w:tcW w:w="16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630,027</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3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(1,275)</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19,334</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diluted</w:t>
            </w:r>
          </w:p>
        </w:tc>
        <w:tc>
          <w:tcPr>
            <w:tcW w:w="30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(0.20)</w:t>
            </w:r>
          </w:p>
        </w:tc>
        <w:tc>
          <w:tcPr>
            <w:tcW w:w="16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212"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This pro forma financial information is based on historical results of operations, adjusted for the allocation of the purchase price and other acquisition accounting adjustments. This pro forma information is not necessarily indicative of what our results would have been had we operated the businesses since the beginning of the periods presented. The pro forma adjustments reflect the income statement effects of depreciation expense and amortization of intangibles related to the fair value adjustments of the assets acquired, acquisition-related costs, incremental interest expense related to the financing of the Transactions and 2020 Refinancing, the BH Lease entered into as part of the Transactions, the elimination of certain intercompany activity and the related tax effects of the adjustments.</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only material, nonrecurring adjustment made relates to the write-off of previously unamortized debt-issuance costs as of October 1, 2019 which resulted in an $8,900,000 increase to net income for the 39 weeks ended June 28, 2020.</w:t>
      </w:r>
    </w:p>
    <w:p>
      <w:pPr>
        <w:spacing w:after="0" w:line="200" w:lineRule="exact"/>
        <w:rPr>
          <w:sz w:val="20"/>
          <w:szCs w:val="20"/>
          <w:color w:val="auto"/>
        </w:rPr>
      </w:pPr>
    </w:p>
    <w:p>
      <w:pPr>
        <w:spacing w:after="0" w:line="21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recorded an income tax expense of $1,366,000 related to income before taxes of $5,103,000 for the 13 weeks ended June 27, 2021, and income tax expense of $7,106,000 related to income before taxes of $26,636,000 for the 39 weeks ended June 27, 2021. We recorded an income tax expense of $368,000 related to a loss before taxes of $359,000 for the 13 weeks ended June 27, 2020, and income tax benefit of $92,000 related to a loss before taxes of $90,000 for the 39 weeks ended June 28, 2020. The effective income tax rates for the 13 weeks and 39 weeks ended June 27, 2021 was 26.8% and 26.7%, respectively. The effective income tax rate for the 13 and 39 weeks ended June 28, 2020 was negative 102.5% and 102.2%, respectively.</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and mark-to-market adjustments to value stock warrants.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27, 2020, we had approximately $46,066,000 of state net operating loss benefits.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0" w:lineRule="exact"/>
        <w:rPr>
          <w:rFonts w:ascii="Arial" w:cs="Arial" w:eastAsia="Arial" w:hAnsi="Arial"/>
          <w:sz w:val="18"/>
          <w:szCs w:val="18"/>
          <w:b w:val="1"/>
          <w:bCs w:val="1"/>
          <w:color w:val="auto"/>
        </w:rPr>
      </w:pP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 as adjusted to give effect to the reverse stock split:</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13 Weeks Ended</w:t>
            </w:r>
          </w:p>
        </w:tc>
        <w:tc>
          <w:tcPr>
            <w:tcW w:w="2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52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15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27,</w:t>
            </w:r>
          </w:p>
        </w:tc>
        <w:tc>
          <w:tcPr>
            <w:tcW w:w="14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28,</w:t>
            </w:r>
          </w:p>
        </w:tc>
        <w:tc>
          <w:tcPr>
            <w:tcW w:w="13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27,</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15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3,227</w:t>
            </w:r>
          </w:p>
        </w:tc>
        <w:tc>
          <w:tcPr>
            <w:tcW w:w="14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(1,275)</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17,995</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183"/>
        </w:trPr>
        <w:tc>
          <w:tcPr>
            <w:tcW w:w="522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1580" w:type="dxa"/>
            <w:vAlign w:val="bottom"/>
          </w:tcPr>
          <w:p>
            <w:pPr>
              <w:jc w:val="right"/>
              <w:ind w:right="290"/>
              <w:spacing w:after="0" w:line="183" w:lineRule="exact"/>
              <w:rPr>
                <w:sz w:val="20"/>
                <w:szCs w:val="20"/>
                <w:color w:val="auto"/>
              </w:rPr>
            </w:pPr>
            <w:r>
              <w:rPr>
                <w:rFonts w:ascii="Arial" w:cs="Arial" w:eastAsia="Arial" w:hAnsi="Arial"/>
                <w:sz w:val="18"/>
                <w:szCs w:val="18"/>
                <w:color w:val="auto"/>
              </w:rPr>
              <w:t>5,881</w:t>
            </w:r>
          </w:p>
        </w:tc>
        <w:tc>
          <w:tcPr>
            <w:tcW w:w="1400" w:type="dxa"/>
            <w:vAlign w:val="bottom"/>
          </w:tcPr>
          <w:p>
            <w:pPr>
              <w:jc w:val="right"/>
              <w:ind w:right="290"/>
              <w:spacing w:after="0" w:line="183" w:lineRule="exact"/>
              <w:rPr>
                <w:sz w:val="20"/>
                <w:szCs w:val="20"/>
                <w:color w:val="auto"/>
              </w:rPr>
            </w:pPr>
            <w:r>
              <w:rPr>
                <w:rFonts w:ascii="Arial" w:cs="Arial" w:eastAsia="Arial" w:hAnsi="Arial"/>
                <w:sz w:val="18"/>
                <w:szCs w:val="18"/>
                <w:color w:val="auto"/>
              </w:rPr>
              <w:t>5,820</w:t>
            </w:r>
          </w:p>
        </w:tc>
        <w:tc>
          <w:tcPr>
            <w:tcW w:w="1380" w:type="dxa"/>
            <w:vAlign w:val="bottom"/>
          </w:tcPr>
          <w:p>
            <w:pPr>
              <w:jc w:val="right"/>
              <w:ind w:right="270"/>
              <w:spacing w:after="0" w:line="183" w:lineRule="exact"/>
              <w:rPr>
                <w:sz w:val="20"/>
                <w:szCs w:val="20"/>
                <w:color w:val="auto"/>
              </w:rPr>
            </w:pPr>
            <w:r>
              <w:rPr>
                <w:rFonts w:ascii="Arial" w:cs="Arial" w:eastAsia="Arial" w:hAnsi="Arial"/>
                <w:sz w:val="18"/>
                <w:szCs w:val="18"/>
                <w:color w:val="auto"/>
              </w:rPr>
              <w:t>5,867</w:t>
            </w:r>
          </w:p>
        </w:tc>
        <w:tc>
          <w:tcPr>
            <w:tcW w:w="108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15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(156)</w:t>
            </w:r>
          </w:p>
        </w:tc>
        <w:tc>
          <w:tcPr>
            <w:tcW w:w="14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(156)</w:t>
            </w:r>
          </w:p>
        </w:tc>
        <w:tc>
          <w:tcPr>
            <w:tcW w:w="13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(155)</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158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5,725</w:t>
            </w:r>
          </w:p>
        </w:tc>
        <w:tc>
          <w:tcPr>
            <w:tcW w:w="140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5,664</w:t>
            </w:r>
          </w:p>
        </w:tc>
        <w:tc>
          <w:tcPr>
            <w:tcW w:w="13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5,712</w:t>
            </w: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15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123</w:t>
            </w:r>
          </w:p>
        </w:tc>
        <w:tc>
          <w:tcPr>
            <w:tcW w:w="140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102</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15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5,848</w:t>
            </w:r>
          </w:p>
        </w:tc>
        <w:tc>
          <w:tcPr>
            <w:tcW w:w="14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5,664</w:t>
            </w:r>
          </w:p>
        </w:tc>
        <w:tc>
          <w:tcPr>
            <w:tcW w:w="13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5,814</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5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5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0.56</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(0.23)</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3.15</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2"/>
        </w:trPr>
        <w:tc>
          <w:tcPr>
            <w:tcW w:w="52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0.55</w:t>
            </w:r>
          </w:p>
        </w:tc>
        <w:tc>
          <w:tcPr>
            <w:tcW w:w="14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(0.23)</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3.10</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For the 13 and 39 weeks ended June 27, 2021, 600,000 shares were not considered in the computation of diluted earnings per common share because the exercise prices of the related stock options and Warrants were in excess of the fair market value of our Common Stock. For the 13 and 39 weeks ended June 28, 2020, 813,497 and 737,200 shares, respectively, were not considered in the computation of diluted earnings per common share because the Company recorded net losses.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20" w:lineRule="exact"/>
        <w:rPr>
          <w:rFonts w:ascii="Arial" w:cs="Arial" w:eastAsia="Arial" w:hAnsi="Arial"/>
          <w:sz w:val="18"/>
          <w:szCs w:val="18"/>
          <w:b w:val="1"/>
          <w:bCs w:val="1"/>
          <w:color w:val="auto"/>
        </w:rPr>
      </w:pPr>
    </w:p>
    <w:p>
      <w:pPr>
        <w:ind w:left="660" w:right="2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39 weeks ended June 27, 2021 follows, as adjusted to give effect to the reverse stock split:</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0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Weighted</w:t>
            </w:r>
          </w:p>
        </w:tc>
        <w:tc>
          <w:tcPr>
            <w:tcW w:w="1320" w:type="dxa"/>
            <w:vAlign w:val="bottom"/>
            <w:tcBorders>
              <w:top w:val="single" w:sz="8" w:color="auto"/>
            </w:tcBorders>
          </w:tcPr>
          <w:p>
            <w:pPr>
              <w:spacing w:after="0"/>
              <w:rPr>
                <w:sz w:val="18"/>
                <w:szCs w:val="18"/>
                <w:color w:val="auto"/>
              </w:rPr>
            </w:pPr>
          </w:p>
        </w:tc>
      </w:tr>
      <w:tr>
        <w:trPr>
          <w:trHeight w:val="203"/>
        </w:trPr>
        <w:tc>
          <w:tcPr>
            <w:tcW w:w="5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Average</w:t>
            </w:r>
          </w:p>
        </w:tc>
        <w:tc>
          <w:tcPr>
            <w:tcW w:w="132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Weighted</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Remaining</w:t>
            </w:r>
          </w:p>
        </w:tc>
        <w:tc>
          <w:tcPr>
            <w:tcW w:w="132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Average</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Contractual</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Aggregate</w:t>
            </w:r>
          </w:p>
        </w:tc>
      </w:tr>
      <w:tr>
        <w:trPr>
          <w:trHeight w:val="20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5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Shares</w:t>
            </w:r>
          </w:p>
        </w:tc>
        <w:tc>
          <w:tcPr>
            <w:tcW w:w="14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Exercise Price</w:t>
            </w:r>
          </w:p>
        </w:tc>
        <w:tc>
          <w:tcPr>
            <w:tcW w:w="1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Term (Years)</w:t>
            </w: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Intrinsic Value</w:t>
            </w:r>
          </w:p>
        </w:tc>
      </w:tr>
      <w:tr>
        <w:trPr>
          <w:trHeight w:val="196"/>
        </w:trPr>
        <w:tc>
          <w:tcPr>
            <w:tcW w:w="5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27, 2020</w:t>
            </w:r>
          </w:p>
        </w:tc>
        <w:tc>
          <w:tcPr>
            <w:tcW w:w="15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41</w:t>
            </w:r>
          </w:p>
        </w:tc>
        <w:tc>
          <w:tcPr>
            <w:tcW w:w="1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11.40</w:t>
            </w: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11.30</w:t>
            </w: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15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142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11.30</w:t>
            </w:r>
          </w:p>
        </w:tc>
        <w:tc>
          <w:tcPr>
            <w:tcW w:w="1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r>
      <w:tr>
        <w:trPr>
          <w:trHeight w:val="196"/>
        </w:trPr>
        <w:tc>
          <w:tcPr>
            <w:tcW w:w="5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June 27, 2021</w:t>
            </w:r>
          </w:p>
        </w:tc>
        <w:tc>
          <w:tcPr>
            <w:tcW w:w="1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36</w:t>
            </w:r>
          </w:p>
        </w:tc>
        <w:tc>
          <w:tcPr>
            <w:tcW w:w="1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11.40</w:t>
            </w: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0.95</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604</w:t>
            </w:r>
          </w:p>
        </w:tc>
      </w:tr>
      <w:tr>
        <w:trPr>
          <w:trHeight w:val="236"/>
        </w:trPr>
        <w:tc>
          <w:tcPr>
            <w:tcW w:w="5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June 27, 2021</w:t>
            </w:r>
          </w:p>
        </w:tc>
        <w:tc>
          <w:tcPr>
            <w:tcW w:w="15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36</w:t>
            </w:r>
          </w:p>
        </w:tc>
        <w:tc>
          <w:tcPr>
            <w:tcW w:w="14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11.40</w:t>
            </w:r>
          </w:p>
        </w:tc>
        <w:tc>
          <w:tcPr>
            <w:tcW w:w="1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0.95</w:t>
            </w:r>
          </w:p>
        </w:tc>
        <w:tc>
          <w:tcPr>
            <w:tcW w:w="1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604</w:t>
            </w: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Common Stock</w:t>
      </w:r>
    </w:p>
    <w:p>
      <w:pPr>
        <w:spacing w:after="0" w:line="220" w:lineRule="exact"/>
        <w:rPr>
          <w:sz w:val="20"/>
          <w:szCs w:val="20"/>
          <w:color w:val="auto"/>
        </w:rPr>
      </w:pPr>
    </w:p>
    <w:p>
      <w:pPr>
        <w:ind w:left="660" w:right="220"/>
        <w:spacing w:after="0" w:line="246" w:lineRule="auto"/>
        <w:rPr>
          <w:sz w:val="20"/>
          <w:szCs w:val="20"/>
          <w:color w:val="auto"/>
        </w:rPr>
      </w:pPr>
      <w:r>
        <w:rPr>
          <w:rFonts w:ascii="Arial" w:cs="Arial" w:eastAsia="Arial" w:hAnsi="Arial"/>
          <w:sz w:val="18"/>
          <w:szCs w:val="18"/>
          <w:color w:val="auto"/>
        </w:rPr>
        <w:t>The table below summarizes restricted Common Stock activity during the 39 weeks ended June 27, 2021, as adjusted to give effect to the reverse stock split:</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00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Weighted</w:t>
            </w:r>
          </w:p>
        </w:tc>
      </w:tr>
      <w:tr>
        <w:trPr>
          <w:trHeight w:val="203"/>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r>
      <w:tr>
        <w:trPr>
          <w:trHeight w:val="202"/>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Grant Date</w:t>
            </w:r>
          </w:p>
        </w:tc>
      </w:tr>
      <w:tr>
        <w:trPr>
          <w:trHeight w:val="203"/>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 Except Per Share Data)</w:t>
            </w:r>
          </w:p>
        </w:tc>
        <w:tc>
          <w:tcPr>
            <w:tcW w:w="34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Shares</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Fair Value</w:t>
            </w:r>
          </w:p>
        </w:tc>
      </w:tr>
      <w:tr>
        <w:trPr>
          <w:trHeight w:val="196"/>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27, 2020</w:t>
            </w:r>
          </w:p>
        </w:tc>
        <w:tc>
          <w:tcPr>
            <w:tcW w:w="3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155</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21.50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34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27.70</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3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46</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11.20</w:t>
            </w:r>
          </w:p>
        </w:tc>
      </w:tr>
      <w:tr>
        <w:trPr>
          <w:trHeight w:val="203"/>
        </w:trPr>
        <w:tc>
          <w:tcPr>
            <w:tcW w:w="6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34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6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June 27, 2021</w:t>
            </w:r>
          </w:p>
        </w:tc>
        <w:tc>
          <w:tcPr>
            <w:tcW w:w="34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156</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16.70</w:t>
            </w: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June 27, 2021 is $1,115,000, which will be recognized over a weighted average period of 1.4 years.</w:t>
      </w:r>
    </w:p>
    <w:p>
      <w:pPr>
        <w:sectPr>
          <w:pgSz w:w="11900" w:h="16838" w:orient="portrait"/>
          <w:cols w:equalWidth="0" w:num="1">
            <w:col w:w="11320"/>
          </w:cols>
          <w:pgMar w:left="320" w:top="125" w:right="259" w:bottom="77" w:gutter="0" w:footer="0" w:header="0"/>
        </w:sectPr>
      </w:pP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77"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jc w:val="both"/>
        <w:ind w:left="1140" w:right="50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model-derived valuations in which all significant inputs are observable in active markets.</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$4,226,000, including our 17% ownership of the non-voting common stock of TCT, are carried at cost. Fair value of the remaining investments are carried at cost.</w:t>
      </w:r>
    </w:p>
    <w:p>
      <w:pPr>
        <w:spacing w:after="0" w:line="189"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Our fixed rate debt consists of $485,162,000 principal amount of the Term Loan recorded at carrying value. At June 27, 2021, based on market quotations, the fair value approximates carrying value. This represents a level 2 fair value measurement.</w:t>
      </w:r>
    </w:p>
    <w:p>
      <w:pPr>
        <w:spacing w:after="0" w:line="183"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As discussed more fully in Note 5, we recorded a liability for the Warrants issued in connection with the Warrant Agreement. The liability was initially measured at its fair value and we measure the liability to fair value each reporting period, with changes reported in other non-operating income (expense). The initial fair value of the Warrants was $16,930,000. The fair value of Warrants at June 27, 2021, and September 27, 2020,are $1,317,000 and $363,000, respectively. Fair value is determined using the Black-Scholes option pricing model. These represent level 2 fair value measurements.</w:t>
      </w:r>
    </w:p>
    <w:p>
      <w:pPr>
        <w:spacing w:after="0" w:line="200" w:lineRule="exact"/>
        <w:rPr>
          <w:sz w:val="20"/>
          <w:szCs w:val="20"/>
          <w:color w:val="auto"/>
        </w:rPr>
      </w:pPr>
    </w:p>
    <w:p>
      <w:pPr>
        <w:spacing w:after="0" w:line="210" w:lineRule="exact"/>
        <w:rPr>
          <w:sz w:val="20"/>
          <w:szCs w:val="20"/>
          <w:color w:val="auto"/>
        </w:rPr>
      </w:pPr>
    </w:p>
    <w:p>
      <w:pPr>
        <w:ind w:left="660" w:right="6460" w:hanging="652"/>
        <w:spacing w:after="0" w:line="471"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Income Taxes</w:t>
      </w:r>
    </w:p>
    <w:p>
      <w:pPr>
        <w:spacing w:after="0" w:line="1" w:lineRule="exact"/>
        <w:rPr>
          <w:rFonts w:ascii="Arial" w:cs="Arial" w:eastAsia="Arial" w:hAnsi="Arial"/>
          <w:sz w:val="18"/>
          <w:szCs w:val="18"/>
          <w:b w:val="1"/>
          <w:bCs w:val="1"/>
          <w:color w:val="auto"/>
        </w:rPr>
      </w:pPr>
    </w:p>
    <w:p>
      <w:pPr>
        <w:jc w:val="both"/>
        <w:ind w:left="66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8.</w:t>
      </w:r>
    </w:p>
    <w:p>
      <w:pPr>
        <w:spacing w:after="0" w:line="181" w:lineRule="exact"/>
        <w:rPr>
          <w:rFonts w:ascii="Arial" w:cs="Arial" w:eastAsia="Arial" w:hAnsi="Arial"/>
          <w:sz w:val="18"/>
          <w:szCs w:val="18"/>
          <w:b w:val="1"/>
          <w:bCs w:val="1"/>
          <w:color w:val="auto"/>
        </w:rPr>
      </w:pPr>
    </w:p>
    <w:p>
      <w:pPr>
        <w:jc w:val="both"/>
        <w:ind w:left="6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in the periods in which such matters are ultimately determined. We do not believe the final resolution of such matters will be material to our consolidated financial position or cash flows.</w:t>
      </w:r>
    </w:p>
    <w:p>
      <w:pPr>
        <w:spacing w:after="0" w:line="189" w:lineRule="exact"/>
        <w:rPr>
          <w:rFonts w:ascii="Arial" w:cs="Arial" w:eastAsia="Arial" w:hAnsi="Arial"/>
          <w:sz w:val="18"/>
          <w:szCs w:val="18"/>
          <w:b w:val="1"/>
          <w:bCs w:val="1"/>
          <w:color w:val="auto"/>
        </w:rPr>
      </w:pPr>
    </w:p>
    <w:p>
      <w:pPr>
        <w:ind w:left="6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2013.</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0" w:lineRule="exact"/>
        <w:rPr>
          <w:rFonts w:ascii="Arial" w:cs="Arial" w:eastAsia="Arial" w:hAnsi="Arial"/>
          <w:sz w:val="18"/>
          <w:szCs w:val="18"/>
          <w:b w:val="1"/>
          <w:bCs w:val="1"/>
          <w:color w:val="auto"/>
        </w:rPr>
      </w:pPr>
    </w:p>
    <w:p>
      <w:pPr>
        <w:jc w:val="both"/>
        <w:ind w:left="660"/>
        <w:spacing w:after="0"/>
        <w:rPr>
          <w:rFonts w:ascii="Arial" w:cs="Arial" w:eastAsia="Arial" w:hAnsi="Arial"/>
          <w:sz w:val="18"/>
          <w:szCs w:val="18"/>
          <w:b w:val="1"/>
          <w:bCs w:val="1"/>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Restructuring Costs and Other</w:t>
      </w:r>
    </w:p>
    <w:p>
      <w:pPr>
        <w:spacing w:after="0" w:line="220" w:lineRule="exact"/>
        <w:rPr>
          <w:rFonts w:ascii="Arial" w:cs="Arial" w:eastAsia="Arial" w:hAnsi="Arial"/>
          <w:sz w:val="18"/>
          <w:szCs w:val="18"/>
          <w:b w:val="1"/>
          <w:bCs w:val="1"/>
          <w:color w:val="auto"/>
        </w:rPr>
      </w:pPr>
    </w:p>
    <w:p>
      <w:pPr>
        <w:jc w:val="both"/>
        <w:ind w:left="6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have recognized $1,419,000 and $5,880,000, respectively of expense related to restructuring costs and other for the 13 and 39 weeks ended June 27, 2021 and $2,865,000 and $6,422,000 for the 13 and 39 weeks ended June 28, 2020. The amounts consist of $907,000 and $4,074,000 for June 27, 2021 and $1,484,000 and $2,534,000 for June 28, 2020, respectively of severance expense. We did not have a significant restructuring liability as of June 27, 2021 or June 28, 2020.</w:t>
      </w:r>
    </w:p>
    <w:p>
      <w:pPr>
        <w:spacing w:after="0" w:line="16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0" w:lineRule="exact"/>
        <w:rPr>
          <w:rFonts w:ascii="Arial" w:cs="Arial" w:eastAsia="Arial" w:hAnsi="Arial"/>
          <w:sz w:val="18"/>
          <w:szCs w:val="18"/>
          <w:b w:val="1"/>
          <w:bCs w:val="1"/>
          <w:color w:val="auto"/>
        </w:rPr>
      </w:pPr>
    </w:p>
    <w:p>
      <w:pPr>
        <w:ind w:left="6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We have evaluated subsequent events through August 6, 2021. No events have occurred subsequent to June 27, 2021 that require disclosure or recognition in these financial statements.</w:t>
      </w:r>
    </w:p>
    <w:p>
      <w:pPr>
        <w:sectPr>
          <w:pgSz w:w="11900" w:h="16838" w:orient="portrait"/>
          <w:cols w:equalWidth="0" w:num="1">
            <w:col w:w="11240"/>
          </w:cols>
          <w:pgMar w:left="320" w:top="125"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and 39 weeks ended June 27, 2021. This discussion should be read in conjunction with the Consolidated Financial Statements and related Notes thereto, included herein, and our 2020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this report, we present Adjusted EBITDA, Cash Costs, and Total Operating Revenue Less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included herein, under the caption “Continuing Operations”. Adjusted EBITDA is reconciled to net income, below, its closest comparable number under GAAP.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rPr>
          <w:sz w:val="20"/>
          <w:szCs w:val="20"/>
          <w:color w:val="auto"/>
        </w:rPr>
      </w:pPr>
      <w:r>
        <w:rPr>
          <w:rFonts w:ascii="Arial" w:cs="Arial" w:eastAsia="Arial" w:hAnsi="Arial"/>
          <w:sz w:val="18"/>
          <w:szCs w:val="18"/>
          <w:color w:val="auto"/>
        </w:rPr>
        <w:t>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Borders>
              <w:top w:val="single" w:sz="8" w:color="auto"/>
              <w:bottom w:val="single" w:sz="8" w:color="auto"/>
            </w:tcBorders>
          </w:tcPr>
          <w:p>
            <w:pPr>
              <w:spacing w:after="0"/>
              <w:rPr>
                <w:sz w:val="18"/>
                <w:szCs w:val="18"/>
                <w:color w:val="auto"/>
              </w:rPr>
            </w:pPr>
          </w:p>
        </w:tc>
        <w:tc>
          <w:tcPr>
            <w:tcW w:w="362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13 Weeks Ended</w:t>
            </w:r>
          </w:p>
        </w:tc>
        <w:tc>
          <w:tcPr>
            <w:tcW w:w="24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52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2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June 27,</w:t>
            </w:r>
          </w:p>
        </w:tc>
        <w:tc>
          <w:tcPr>
            <w:tcW w:w="13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28,</w:t>
            </w:r>
          </w:p>
        </w:tc>
        <w:tc>
          <w:tcPr>
            <w:tcW w:w="13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27,</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28,</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3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3,737</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(727)</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19,532</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2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1,366</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368</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7,106</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22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8,680</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12,108</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16,369</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22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(1,689)</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(842)</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(4,902)</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Loss (gain) on sale of assets and other, net</w:t>
            </w:r>
          </w:p>
        </w:tc>
        <w:tc>
          <w:tcPr>
            <w:tcW w:w="22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242</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147</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6,938</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10,836</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11,201</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33,794</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25,196</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2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1,419</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2,865</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5,880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2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205</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228</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639</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22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1,923</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955</w:t>
            </w:r>
          </w:p>
        </w:tc>
        <w:tc>
          <w:tcPr>
            <w:tcW w:w="13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5,421</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2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26,719</w:t>
            </w:r>
          </w:p>
        </w:tc>
        <w:tc>
          <w:tcPr>
            <w:tcW w:w="13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26,303</w:t>
            </w:r>
          </w:p>
        </w:tc>
        <w:tc>
          <w:tcPr>
            <w:tcW w:w="1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90,777</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71,798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Lee Enterprises, Incorporated is a major subscription and advertising platform and a leading provider of high quality, trusted, local news and information in the markets we serve.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operate 77 principally mid-sized local media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reach nearly 70% of all adults in our larger markets through a combination of our print and digital content offerings.</w:t>
      </w:r>
    </w:p>
    <w:p>
      <w:pPr>
        <w:spacing w:after="0" w:line="198" w:lineRule="exact"/>
        <w:rPr>
          <w:sz w:val="20"/>
          <w:szCs w:val="20"/>
          <w:color w:val="auto"/>
        </w:rPr>
      </w:pPr>
    </w:p>
    <w:p>
      <w:pPr>
        <w:ind w:left="660" w:right="20" w:hanging="328"/>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49 million unique visitors, in the month of June 2021 with 400 million page views and 91 million visits.</w:t>
      </w:r>
    </w:p>
    <w:p>
      <w:pPr>
        <w:spacing w:after="0" w:line="183"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approximately one million paid subscribers to our print and digital products, with estimated readership totaling three million. Digital only subscribers totaled approximately 337,000, a 50.5% increase over the prior year.</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w:t>
      </w:r>
      <w:r>
        <w:rPr>
          <w:rFonts w:ascii="Arial" w:cs="Arial" w:eastAsia="Arial" w:hAnsi="Arial"/>
          <w:sz w:val="18"/>
          <w:szCs w:val="18"/>
          <w:color w:val="auto"/>
        </w:rPr>
        <w:t xml:space="preserve"> </w:t>
      </w:r>
      <w:r>
        <w:rPr>
          <w:rFonts w:ascii="Arial" w:cs="Arial" w:eastAsia="Arial" w:hAnsi="Arial"/>
          <w:sz w:val="18"/>
          <w:szCs w:val="18"/>
          <w:i w:val="1"/>
          <w:iCs w:val="1"/>
          <w:color w:val="auto"/>
        </w:rPr>
        <w:t>News</w:t>
      </w:r>
      <w:r>
        <w:rPr>
          <w:rFonts w:ascii="Arial" w:cs="Arial" w:eastAsia="Arial" w:hAnsi="Arial"/>
          <w:sz w:val="18"/>
          <w:szCs w:val="18"/>
          <w:color w:val="auto"/>
        </w:rPr>
        <w:t>, to non-daily newspapers with news websites and digital platforms serving smaller communities.</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also operate TownNews, through our 82.5% owned subsidiary INN Partners, L.C. TownNews provides state-of-the-art web hosting, content management services and video management services to nearly 2,200 other media organizations including broadcast.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 focused marketing solutions company. Our focus is on the local market - including local news and information, local advertising and marketing services to top local accounts and SMBs, and digital services to local content curators. To align with the core strength of our Company, our post-pandemic operating strategy is locally focused around three pillars:</w:t>
      </w:r>
    </w:p>
    <w:p>
      <w:pPr>
        <w:spacing w:after="0" w:line="191" w:lineRule="exact"/>
        <w:rPr>
          <w:sz w:val="20"/>
          <w:szCs w:val="20"/>
          <w:color w:val="auto"/>
        </w:rPr>
      </w:pPr>
    </w:p>
    <w:p>
      <w:pPr>
        <w:ind w:left="460" w:right="940" w:hanging="223"/>
        <w:spacing w:after="0" w:line="23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Transform the presentation of local news and information by providing best-in-class reader and user experiences with digital presentations that emphasize video and other multimedia formats and rich, high-value content.</w:t>
      </w:r>
    </w:p>
    <w:p>
      <w:pPr>
        <w:spacing w:after="0" w:line="1" w:lineRule="exact"/>
        <w:rPr>
          <w:rFonts w:ascii="Arial" w:cs="Arial" w:eastAsia="Arial" w:hAnsi="Arial"/>
          <w:sz w:val="18"/>
          <w:szCs w:val="18"/>
          <w:color w:val="auto"/>
        </w:rPr>
      </w:pPr>
    </w:p>
    <w:p>
      <w:pPr>
        <w:ind w:left="460" w:right="160" w:hanging="223"/>
        <w:spacing w:after="0" w:line="23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Accelerate overall subscription growth by converting more of our vast addressable market to subscribers leveraging cutting-edge data and technology and expanded offerings for paid, niche, content on topics where we have expertise and unique selling positions.</w:t>
      </w:r>
    </w:p>
    <w:p>
      <w:pPr>
        <w:spacing w:after="0" w:line="1" w:lineRule="exact"/>
        <w:rPr>
          <w:rFonts w:ascii="Arial" w:cs="Arial" w:eastAsia="Arial" w:hAnsi="Arial"/>
          <w:sz w:val="18"/>
          <w:szCs w:val="18"/>
          <w:color w:val="auto"/>
        </w:rPr>
      </w:pPr>
    </w:p>
    <w:p>
      <w:pPr>
        <w:jc w:val="both"/>
        <w:ind w:left="460" w:right="18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Diversify and expand offerings for advertisers by launching a portfolio of video advertising initiatives and e-commerce sales strategies through Lee's in-house Amplified Digital Agency that will enable advertisers to leverage our vast data-rich digital audiences and reach consumers in new ways.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 with Berkshire Hathaway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(the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The Transactions were financed pursuant to a credit agreement dated as of January 29, 2020 between the Company and BH Finance LLC, a Delaware limited liability company affiliated with Berkshire (the “Credit Agreement”).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BHMG includes 30 daily newspapers and digital operations, in addition to 49 paid weekly newspapers with websites and 32 other print products. Buffalo News is a provider of local print and digital news to the Buffalo, NY area. Between July 2, 2018 and March 16, 2020, the Company managed the BH Media Newspaper Business pursuant to a Management Agreement between BHMG and the Company dated June 26, 2018 (the “Management Agreement”).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Transactions, the Management Agreement terminated on March 16, 2020. As part of the settlement of the preexisting relationship, the Company received $5,425,000 at closing. This amount represented $1,245,000 in fixed fees pro-rated under the contract and $4,180,000 in variable fees based upon the pro-rated annual target. The Company did not recognize a gain or loss as a result of the settlement of this preexisting relationship.</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Transactions, the Company entered into a lease agreement between BHMG, as Landlord, and the Company, as Tenant, providing for the leasing of 68 properties and related fixtures (including production equipment) used in the BH Media Newspaper Business (the “BH Lease”). The BH Lease was signed and commenced on March 16, 2020. The BH Lease requires the Company to pay annual rent of $8,000,000, payable in equal monthly payments, as well as all operating costs relating to the properties (including maintenance, repairs, property taxes and insurance). Rent payments will be subject to a Rent Credit (as defined in the BH Lease) equal to 8.00% of the net consideration for any leased real estate sold by BHMG during the term of the BH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AFFECTING CURRENT AND FUTURE OPERATING RESULTS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items affect period-over-period comparisons from 2021 to 2020 and will continue to affect period-over-period comparisons for future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198" w:lineRule="exact"/>
        <w:rPr>
          <w:sz w:val="20"/>
          <w:szCs w:val="20"/>
          <w:color w:val="auto"/>
        </w:rPr>
      </w:pPr>
    </w:p>
    <w:p>
      <w:pPr>
        <w:jc w:val="both"/>
        <w:ind w:left="460" w:hanging="223"/>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 March 2020, we completed the acquisition of BHMG and </w:t>
      </w:r>
      <w:r>
        <w:rPr>
          <w:rFonts w:ascii="Arial" w:cs="Arial" w:eastAsia="Arial" w:hAnsi="Arial"/>
          <w:sz w:val="18"/>
          <w:szCs w:val="18"/>
          <w:i w:val="1"/>
          <w:iCs w:val="1"/>
          <w:color w:val="auto"/>
        </w:rPr>
        <w:t>Buffalo News</w:t>
      </w:r>
      <w:r>
        <w:rPr>
          <w:rFonts w:ascii="Arial" w:cs="Arial" w:eastAsia="Arial" w:hAnsi="Arial"/>
          <w:sz w:val="18"/>
          <w:szCs w:val="18"/>
          <w:color w:val="auto"/>
        </w:rPr>
        <w:t xml:space="preserve"> for a purchase price of $140,000,000. The acquisition was funded by the Term Loan, as part of a broader comprehensive refinancing of all of our then outstanding debt, as well as cash on our balance sheet.</w:t>
      </w:r>
    </w:p>
    <w:p>
      <w:pPr>
        <w:spacing w:after="0" w:line="181" w:lineRule="exact"/>
        <w:rPr>
          <w:rFonts w:ascii="Arial" w:cs="Arial" w:eastAsia="Arial" w:hAnsi="Arial"/>
          <w:sz w:val="18"/>
          <w:szCs w:val="18"/>
          <w:color w:val="auto"/>
        </w:rPr>
      </w:pPr>
    </w:p>
    <w:p>
      <w:pPr>
        <w:ind w:left="460" w:hanging="223"/>
        <w:spacing w:after="0" w:line="24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13 weeks ended March 2020, we disposed of substantially all of the assets of certain of our smaller properties, including four daily newspapers and related print and digital publications, for an aggregate sales price of $3,950,000.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ongoing COVID-19 pandemic and related measures to contain its spread have resulted in significant volatility and economic uncertainty, which is expected to continue in the near term. The COVID-19 pandemic has had and the Company currently expects that it will continue to have a significant negative impact on the Company’s business and operating results in the near term. While vaccines have become widely available in the United States, the long-term impact of the COVID-19 pandemic remains uncertain and unpredictable as it will depend on the pace of vaccine distribution, government responses to future outbreaks, the spread of variants, as well as changes in consumer behavior, all of which are highly uncertain. Despite the significant negative impacts on our operating results, we have operated uninterrupted in providing local news, information and advertising in our print and digital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evaluated the current economic environment as of June 27, 2021, and have concluded that there is no event or circumstance that has occurred to trigger an impairment assessment of our long-lived or indefinite-lived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JUNE 27,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June 27,</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June 28,</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r>
      <w:tr>
        <w:trPr>
          <w:trHeight w:val="203"/>
        </w:trPr>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19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color w:val="auto"/>
              </w:rPr>
              <w:t>Advertising and marketing services</w:t>
            </w:r>
          </w:p>
        </w:tc>
        <w:tc>
          <w:tcPr>
            <w:tcW w:w="19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91,122</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77,754</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17.2</w:t>
            </w: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Subscription</w:t>
            </w:r>
          </w:p>
        </w:tc>
        <w:tc>
          <w:tcPr>
            <w:tcW w:w="19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88,792</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89,115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03"/>
        </w:trPr>
        <w:tc>
          <w:tcPr>
            <w:tcW w:w="6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16,576</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15,659</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5.9</w:t>
            </w:r>
          </w:p>
        </w:tc>
      </w:tr>
      <w:tr>
        <w:trPr>
          <w:trHeight w:val="196"/>
        </w:trPr>
        <w:tc>
          <w:tcPr>
            <w:tcW w:w="6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9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196,490</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182,528</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9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82,731</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72,396</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14.3</w:t>
            </w:r>
          </w:p>
        </w:tc>
      </w:tr>
      <w:tr>
        <w:trPr>
          <w:trHeight w:val="203"/>
        </w:trPr>
        <w:tc>
          <w:tcPr>
            <w:tcW w:w="686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9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7,051</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7,572</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68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9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82,117</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77,440</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w:t>
            </w:r>
          </w:p>
        </w:tc>
      </w:tr>
      <w:tr>
        <w:trPr>
          <w:trHeight w:val="196"/>
        </w:trPr>
        <w:tc>
          <w:tcPr>
            <w:tcW w:w="6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costs</w:t>
            </w:r>
          </w:p>
        </w:tc>
        <w:tc>
          <w:tcPr>
            <w:tcW w:w="19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171,899</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157,408</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9.2</w:t>
            </w:r>
          </w:p>
        </w:tc>
      </w:tr>
      <w:tr>
        <w:trPr>
          <w:trHeight w:val="196"/>
        </w:trPr>
        <w:tc>
          <w:tcPr>
            <w:tcW w:w="686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19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24,591</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25,120</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9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10,836</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11,201</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Assets loss (gain) on sales, impairments and other, net</w:t>
            </w:r>
          </w:p>
        </w:tc>
        <w:tc>
          <w:tcPr>
            <w:tcW w:w="1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242</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147</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r>
      <w:tr>
        <w:trPr>
          <w:trHeight w:val="203"/>
        </w:trPr>
        <w:tc>
          <w:tcPr>
            <w:tcW w:w="6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9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1,419</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2,865</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w:t>
            </w:r>
          </w:p>
        </w:tc>
      </w:tr>
      <w:tr>
        <w:trPr>
          <w:trHeight w:val="196"/>
        </w:trPr>
        <w:tc>
          <w:tcPr>
            <w:tcW w:w="6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9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184,396</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171,621</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7.4</w:t>
            </w:r>
          </w:p>
        </w:tc>
      </w:tr>
      <w:tr>
        <w:trPr>
          <w:trHeight w:val="196"/>
        </w:trPr>
        <w:tc>
          <w:tcPr>
            <w:tcW w:w="6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19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1,689</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842</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96"/>
        </w:trPr>
        <w:tc>
          <w:tcPr>
            <w:tcW w:w="6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9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13,783</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11,749</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17.3</w:t>
            </w: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9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(11,010)</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(13,135)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203"/>
        </w:trPr>
        <w:tc>
          <w:tcPr>
            <w:tcW w:w="68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9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2,330</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1,027</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19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(8,680)</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(12,108)</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r>
      <w:tr>
        <w:trPr>
          <w:trHeight w:val="196"/>
        </w:trPr>
        <w:tc>
          <w:tcPr>
            <w:tcW w:w="686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Income (loss) before income taxes</w:t>
            </w:r>
          </w:p>
        </w:tc>
        <w:tc>
          <w:tcPr>
            <w:tcW w:w="19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5,103</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(359)</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96"/>
        </w:trPr>
        <w:tc>
          <w:tcPr>
            <w:tcW w:w="68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tax expense (benefit)</w:t>
            </w:r>
          </w:p>
        </w:tc>
        <w:tc>
          <w:tcPr>
            <w:tcW w:w="19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1,366</w:t>
            </w:r>
          </w:p>
        </w:tc>
        <w:tc>
          <w:tcPr>
            <w:tcW w:w="136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368</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8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19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3,737</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(727)</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non-controlling interests</w:t>
            </w:r>
          </w:p>
        </w:tc>
        <w:tc>
          <w:tcPr>
            <w:tcW w:w="19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(510)</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(548)</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19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3,227</w:t>
            </w:r>
          </w:p>
        </w:tc>
        <w:tc>
          <w:tcPr>
            <w:tcW w:w="13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(1,275)</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2"/>
        </w:trPr>
        <w:tc>
          <w:tcPr>
            <w:tcW w:w="6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net of income taxes</w:t>
            </w:r>
          </w:p>
        </w:tc>
        <w:tc>
          <w:tcPr>
            <w:tcW w:w="19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477</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317</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50.5</w:t>
            </w:r>
          </w:p>
        </w:tc>
      </w:tr>
      <w:tr>
        <w:trPr>
          <w:trHeight w:val="196"/>
        </w:trPr>
        <w:tc>
          <w:tcPr>
            <w:tcW w:w="6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(loss) attributable to Lee Enterprises, Incorporated</w:t>
            </w:r>
          </w:p>
        </w:tc>
        <w:tc>
          <w:tcPr>
            <w:tcW w:w="19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3,704</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(958)</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common share:</w:t>
            </w:r>
          </w:p>
        </w:tc>
        <w:tc>
          <w:tcPr>
            <w:tcW w:w="19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686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9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0.56</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(0.23)</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8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9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0.55</w:t>
            </w:r>
          </w:p>
        </w:tc>
        <w:tc>
          <w:tcPr>
            <w:tcW w:w="13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(0.23)</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-4148455</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References to the “2021 Quarter” refer to the 13 weeks ended June 27, 2021. Similarly, references to the “2020 Quarter” refer to the 13 weeks ended June 28, 2020. Prior period results have been adjusted to reflect the one-for-ten reverse stock split in March 2021. See Note 1 to the financial statements for details.</w:t>
      </w:r>
    </w:p>
    <w:p>
      <w:pPr>
        <w:spacing w:after="0" w:line="16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$196,490,000 in the 2021 Quarter, up $13,962,000, or 7.6%, compared to the prior year.</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$91,122,000 in the 2021 Quarter, up 17.2% compared to the prior year. The increase is due to rapid growth at Amplified Digital Agency ("Amplified") and stabilization of our legacy business as we emerge from the pandemic. Print advertising revenues were $55,401,000 in the 2021 Quarter, up 10.3% compared to the prior year. Digital advertising and marketing services totaled $35,719,000 in the 2021 Quarter, up 30.8% compared to the prior year. The majority of these gains come from an increase in Amplified revenue and an increase in advertising on our owned and operated sites. Digital advertising and marketing services represented 39.2% of the 2021 Quarter total advertising and marketing services revenue, compared to 35% in the same period last year.</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Subscription revenue totaled $88,792,000 in the 2021 Quarter, down 0.4% compared to the 2020 Quarter. The growth in digital only subscribers, digital only revenue, and selective price increases on our full access subscriptions, were partially offset by a decline in full access volume, consistent with historical and industry trends. Digital only subscribers grew 50.5% since the 2020 Quarter and now total 337,000.</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revenue, which primarily consists of digital services revenue from TownNews and commercial printing revenue, increased $917,000, or 5.9%, in the 2021 Quarter compared to the 2020 Quarter. Digital services revenue totaled $4,713,000 in the 2021 Quarter, a 5.9% decrease compared to the 2020 Quarter. On a stand-alone basis, revenue at TownNews increased 8.7% compared to the prior year. Commercial printing revenue totaled $6,333,000 in the 2021 Quarter, a 16.8% increase compared to the 2020 Quarter primarily driven by new customers and improved spending post pandemic.</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$65,627,000 in the 2021 Quarter, an increase of 48.3% over the 2020 Quarter, and represented 33.4% of our total operating revenue in the 2021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$847,000 in the 2021 Quarter.</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operating expenses were $184,396,000 in the 2021 Quarter, a 7.4% increase compared to the 2020 Quarter. Operating expenses include compensation expense, newsprint and ink, other operating expenses, depreciation, amortization, restructuring and other expenses, assets loss (gain) on sales, and impairments. Cash Costs were $171,899,000, a 9.2% increase compared to the 2020 Quarter.</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increased $10,335,000 in the 2021 Quarter, or 14.3%, compared to the 2020 Quarter. The 2020 Quarter experienced a one-time furlough and compensation reduction for all employees driving cost reductions in response to COVID-19.</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decreased $521,000 in the 2021 Quarter, or 6.9%, compared to the 2020 Quarter. The decrease is attributable to declines in newsprint volumes partially offset by higher newsprint prices.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$4,677,000 in the 2021 Quarter, or 6.0%, compared to the 2020 Quarter.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increases in investments to fund our digital growth strategy partially offset by lower delivery and other print-related costs due to lower volumes of our print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$1,419,000 and $2,865,000 in the 2021 Quarter and 2020 Quarter, respectively. Restructuring costs in the 2021 and 2020 Quarters are predominately severance related to our ongoing business transformation.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increased $420,000, or 9.7%, and amortization expense decreased $785,000, or 11.5%, in the 2021 Quarter.</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loss (gain) on sales, impairments and other, was a net loss of $242,000 in the 2021 Quarter compared to a net loss of $147,000 in the 2020 Quarter. The losses in the 2021 Quarter and in the 2020 Quarter were the result of the disposition of non-core assets, including real estate.</w:t>
      </w:r>
    </w:p>
    <w:p>
      <w:pPr>
        <w:spacing w:after="0" w:line="189" w:lineRule="exact"/>
        <w:rPr>
          <w:sz w:val="20"/>
          <w:szCs w:val="20"/>
          <w:color w:val="auto"/>
        </w:rPr>
      </w:pPr>
    </w:p>
    <w:p>
      <w:pPr>
        <w:jc w:val="center"/>
        <w:ind w:right="380"/>
        <w:spacing w:after="0" w:line="469" w:lineRule="auto"/>
        <w:rPr>
          <w:sz w:val="20"/>
          <w:szCs w:val="20"/>
          <w:color w:val="auto"/>
        </w:rPr>
      </w:pPr>
      <w:r>
        <w:rPr>
          <w:rFonts w:ascii="Arial" w:cs="Arial" w:eastAsia="Arial" w:hAnsi="Arial"/>
          <w:sz w:val="18"/>
          <w:szCs w:val="18"/>
          <w:color w:val="auto"/>
        </w:rPr>
        <w:t xml:space="preserve">The factors noted above resulted in operating income of $13,783,000 in the 2021 Quarter compared to $11,749,000 in the 2020 Quarter. </w:t>
      </w:r>
      <w:r>
        <w:rPr>
          <w:rFonts w:ascii="Arial" w:cs="Arial" w:eastAsia="Arial" w:hAnsi="Arial"/>
          <w:sz w:val="18"/>
          <w:szCs w:val="18"/>
          <w:b w:val="1"/>
          <w:bCs w:val="1"/>
          <w:color w:val="auto"/>
        </w:rPr>
        <w:t>Non-operating Income and Expense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decreased $2,125,000, or 16.2%, to $11,010,000 in the 2021 Quarter, compared to the same period last year. The decrease was due to a lower outstanding balance on our Term Loan. Debt has been reduced by $90.8 million since our refinancing in March 2020. Our weighted average cost of debt, excluding amortization of debt financing costs, was 9.0% at the end of the 2021 Quarter.</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$2,228,000 periodic pension and other postretirement benefits in the 2021 Quarter and $1,370,000 in the 2020 Quarter. We recorded non-operating expense of $237,000 in the 2021 Quarter and non-operating expense of $271,000 in the 2020 Quarter, related to the changes in the value of the Warrants.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an income tax expense of $1,366,000, or 26.8% of pretax income in the 2021 Quarter. In the 2020 Quarter, we recognized an income tax expense of $368,000, or 102.5% of pretax income.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(Loss) and Earnings (Losses) Per Share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was $3,737,000 and diluted earnings per share were $ 0.55 for the 2021 Quarter compared to net loss of $727,000 and diluted losses per share of $0.23 for the 2020 Quarter as adjusted for the reverse stock split, described in Note 1 to the financial statements. The change reflects the various items discussed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WEEKS ENDED JUNE 27,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18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June 27,</w:t>
            </w:r>
          </w:p>
        </w:tc>
        <w:tc>
          <w:tcPr>
            <w:tcW w:w="17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June 28,</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170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2020</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Advertising and marketing services</w:t>
            </w:r>
          </w:p>
        </w:tc>
        <w:tc>
          <w:tcPr>
            <w:tcW w:w="180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279,326</w:t>
            </w:r>
          </w:p>
        </w:tc>
        <w:tc>
          <w:tcPr>
            <w:tcW w:w="170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204,426</w:t>
            </w:r>
          </w:p>
        </w:tc>
        <w:tc>
          <w:tcPr>
            <w:tcW w:w="1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269,905</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178,234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51,505</w:t>
            </w:r>
          </w:p>
        </w:tc>
        <w:tc>
          <w:tcPr>
            <w:tcW w:w="17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43,578</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600,736</w:t>
            </w:r>
          </w:p>
        </w:tc>
        <w:tc>
          <w:tcPr>
            <w:tcW w:w="17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426,238</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Compensation</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250,048</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164,330</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8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22,222</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16,629</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8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243,749</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178,744</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18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516,019</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359,703</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84,717</w:t>
            </w:r>
          </w:p>
        </w:tc>
        <w:tc>
          <w:tcPr>
            <w:tcW w:w="17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66,535</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33,794</w:t>
            </w:r>
          </w:p>
        </w:tc>
        <w:tc>
          <w:tcPr>
            <w:tcW w:w="170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25,196</w:t>
            </w:r>
          </w:p>
        </w:tc>
        <w:tc>
          <w:tcPr>
            <w:tcW w:w="1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6,938</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(5,153)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8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5,880</w:t>
            </w:r>
          </w:p>
        </w:tc>
        <w:tc>
          <w:tcPr>
            <w:tcW w:w="17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6,422</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562,631</w:t>
            </w:r>
          </w:p>
        </w:tc>
        <w:tc>
          <w:tcPr>
            <w:tcW w:w="17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386,168</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18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4,902</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3,773</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43,007</w:t>
            </w:r>
          </w:p>
        </w:tc>
        <w:tc>
          <w:tcPr>
            <w:tcW w:w="17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43,843</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(34,129)</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(35,377)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18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(11,865)</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23,830</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8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(12,310)</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8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6,240</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3,309</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18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(16,369)</w:t>
            </w:r>
          </w:p>
        </w:tc>
        <w:tc>
          <w:tcPr>
            <w:tcW w:w="17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(43,933)</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196"/>
        </w:trPr>
        <w:tc>
          <w:tcPr>
            <w:tcW w:w="652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8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26,638</w:t>
            </w:r>
          </w:p>
        </w:tc>
        <w:tc>
          <w:tcPr>
            <w:tcW w:w="170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(90)</w:t>
            </w:r>
          </w:p>
        </w:tc>
        <w:tc>
          <w:tcPr>
            <w:tcW w:w="1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18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7,106</w:t>
            </w:r>
          </w:p>
        </w:tc>
        <w:tc>
          <w:tcPr>
            <w:tcW w:w="17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(92)</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652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8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19,532</w:t>
            </w:r>
          </w:p>
        </w:tc>
        <w:tc>
          <w:tcPr>
            <w:tcW w:w="17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2</w:t>
            </w:r>
          </w:p>
        </w:tc>
        <w:tc>
          <w:tcPr>
            <w:tcW w:w="1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(1,537)</w:t>
            </w:r>
          </w:p>
        </w:tc>
        <w:tc>
          <w:tcPr>
            <w:tcW w:w="17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(1,322)</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6520" w:type="dxa"/>
            <w:vAlign w:val="bottom"/>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18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17,995</w:t>
            </w:r>
          </w:p>
        </w:tc>
        <w:tc>
          <w:tcPr>
            <w:tcW w:w="170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(1,320)</w:t>
            </w:r>
          </w:p>
        </w:tc>
        <w:tc>
          <w:tcPr>
            <w:tcW w:w="1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comprehensive income, net of income taxes</w:t>
            </w:r>
          </w:p>
        </w:tc>
        <w:tc>
          <w:tcPr>
            <w:tcW w:w="18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2,097</w:t>
            </w:r>
          </w:p>
        </w:tc>
        <w:tc>
          <w:tcPr>
            <w:tcW w:w="17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950</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(loss) attributable to Lee Enterprises, Incorporated</w:t>
            </w:r>
          </w:p>
        </w:tc>
        <w:tc>
          <w:tcPr>
            <w:tcW w:w="18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20,092</w:t>
            </w:r>
          </w:p>
        </w:tc>
        <w:tc>
          <w:tcPr>
            <w:tcW w:w="17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(370)</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8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3.15</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(0.23)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3.10</w:t>
            </w:r>
          </w:p>
        </w:tc>
        <w:tc>
          <w:tcPr>
            <w:tcW w:w="17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(0.23)</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References to the “2021 Period” refer to the 39 weeks ended June 27, 2021. Similarly, references to the “2020 Period” refer to the 39 weeks ended June 28, 2020. Prior period results have been adjusted to reflect the one-for-ten reverse stock split in March 2021. See Note 1 to the financial statements for details.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Included in the analysis below are impacts from the Transactions.. The impacts include the revenue and expenses generated from the acquisition in the current year from September 28, 2020 through March 16,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operating revenue was $600,736,000 in the 2021 Period, up $174,498,000, or 40.9%, which included $207,936,000 in revenue from the Transactions. Total operating revenue on a pro forma basis was down 4.7% compared to the 2020 Period.</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and marketing services revenue totaled $279,326,000 in the 2021 Period, up 36.6% compared to the prior year with $87,274,000 attributable to acquisitions. Print advertising revenues were $177,212,000 in the 2021 Period, up $49,188,000 or 38.4% compared to the prior year, with $65,402,000 attributable to acquired print advertising revenue. Digital advertising and marketing services totaled $102,114,000 in the 2021 Period, up 33.7% compared to the prior year, with $21,854,000 attributable to acquired digital advertising and marketing services revenue. Digital advertising and marketing services represented 36.6% of the 2021 Period total advertising and marketing services revenue compared to 37.4% in the 2020 Period. On a pro forma basis, Advertising and marketing services revenue was down 9.3% in the 2021 Period. The decline is due to the secular downward trend in print advertising, partially offset by growth in digital marketing services revenue at Amplified.</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Subscription revenue totaled $269,905,000 in the 2021 Period, up 51.4% compared to the 2020 Period, including $102,601,000 of acquired subscription revenue. The acquired subscription revenue, growth in digital-only subscribers and digital-only revenue and selective price increases on our full access subscriptions, were partially offset by a decline in full access volume, consistent with historical and industry trends.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revenue, which primarily consists of digital services revenue from TownNews and commercial printing revenue, increased $7,927,000, or 18.2%, in the 2021 Period compared to the 2020 Period. Other revenue in the 2021 Period included $18,061,000 of acquired other revenue, primarily from commercial printing. Digital services revenue totaled $14,363,000 in the 2021 Period, a 1.2% decrease compared to the 2020 Period. Commercial printing revenue totaled $19,332,000 in the 2021 Period, a 104.9% increase compared to the 2020 Period, due to $11,060,000 of acquired commercial printing revenue. Prior to the termination of the Management Agreement in connection with the Transactions in March 2020, we earned $5,814,000 in management agreement revenue.</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$187,011,000 in the 2021 Period, an increase of 60.8% over the 2020 Period, and represented 31.1% of our total operating revenue in the 2021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$1,129,000 in the 2021 Period.</w:t>
      </w:r>
    </w:p>
    <w:p>
      <w:pPr>
        <w:sectPr>
          <w:pgSz w:w="11900" w:h="16838" w:orient="portrait"/>
          <w:cols w:equalWidth="0" w:num="1">
            <w:col w:w="11240"/>
          </w:cols>
          <w:pgMar w:left="320" w:top="125" w:right="3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4" w:name="page25"/>
    <w:bookmarkEnd w:id="24"/>
    <w:p>
      <w:pPr>
        <w:spacing w:after="0" w:line="1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expenses were $562,631,000, a 45.7% increase compared to the 2020 Period, which included $185,729,000 in acquired operating expenses. Operating expenses include compensation expense, newsprint and ink, other operating expenses, depreciation, amortization, restructuring and other expenses, assets loss (gain) on sales, and impairments. Cash Costs were $516,019,000, a 43.5% increase compared to the 2020 Period, which included $172,657,000 of acquired Cash Costs. Cash Costs on a pro forma basis were down 4.2% compared to the 2020 Period.</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Compensation expense increased $85,718,000 in the 2021 Period, or 52.2%, compared to the 2020 Period. This increase was primarily attributable to $87,934,000 of acquired compensation expense, partially offset by a reduction in FTEs on a proforma basis and one-time furlough and compensation reduction for all employees driving cost reductions in response to COVID-19 in the 2020 Period.</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increased $5,593,000 in the 2021 Period, or 33.6%, compared to the 2020 Period. The increase is attributable to acquired newsprint and ink expenses of $10,103,000 offset by declines in newsprint volumes and prices.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$65,005,000 in the 2021 Period, or 36.4%, compared to the 2020 Period.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$84,812,000 of acquired other operating expenses and increases in investments to fund our digital growth strategy, partially offset by lower delivery and other print-related costs due to lower volumes of our print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$5,880,000 and $6,422,000 in the 2021 Period and 2020 Period, respectively. Restructuring costs in the 2021 and 2020 Periods is predominately severance related to our ongoing business transformation.</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Depreciation expense increased $4,845,000 or 50.2%, and amortization expense increased $3,753,000, or 24.1%, in the 2021 Period. Increases in both are due to the acquired assets from BHMG and Buffalo News.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loss (gain) on sales, impairments and other, was a net loss of $6,938,000 in the 2021 Period compared to a net gain of $5,153,000 in the 2020 Period. The loss in the 2021 Period and the gains in the 2020 Period were the result of the disposition of non-core assets, including real estate.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$43,007,000 in the 2021 Period compared to $43,843,000 in the 2020 Period.</w:t>
      </w:r>
    </w:p>
    <w:p>
      <w:pPr>
        <w:spacing w:after="0" w:line="17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decreased $1,248,000, or 3.5%, to $ 34,129,000 in the 2021 Period, compared to the same period last year due to lower debt balances and a reduction in the weighted average interest rates on our debt during the 2021 period. Our weighted average cost of debt, excluding amortization of debt financing costs, was 9.0% at the end of the 2021 Period.</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no debt financing and administrative expense in the 2021 Period compared to $11,865,000 in the 2020 Period. Expenses in the prior year are due to writing off unamortized financing costs paid in conjunction with a prior refinancing.</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$6,799,000 in periodic pension and other postretirement benefits in the 2021 Period and $2,458,000 in the 2020 Period. We recorded non-operating expense of $954,000 in the 2021 Period and non-operating income of $765,000 in the 2020 Period, related to the changes in the value of the Warrants.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recognized a non-cash curtailment gain of $23,830,000 and a reduction in our benefit obligation in the 2021 Period by eliminating post-retirement medical coverage for certain employees.</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pension withdrawal costs in the Period of $12,310,000 in connection with the withdrawal from a pension plan that covered certain employees. This withdrawal liability will be paid in equal quarterly installments over the next 20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recorded an income tax expense of $7,106,000, or 26.7% of pretax income in the 2021 Period. In the 2020 Period, we recognized an income tax benefit of $92,000, or 102.2% of pretax income.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(Losses) Per Share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was $19,532,000 and diluted earnings per share were $3.10 for the 2021 Period compared to net income of $2,000 and diluted losses per share of $0.23 for 2020 Period as adjusted for the reverse stock split, described in Note 1 to the financial statements. The change reflects the various items discussed above.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was $42,771,000 in the 2021 Period compared to $38,010,000 in the 2020 Period. Net income for the 2021 Period totaled $19,532,000 compared to $2,000 in the 2020 Period. The increase in cash provided by operating activities in the 2021 Period is mainly attributed to the acquired operations of BHMG and Buffalo News and growth in our digital business.</w:t>
      </w:r>
    </w:p>
    <w:p>
      <w:pPr>
        <w:sectPr>
          <w:pgSz w:w="11900" w:h="16856" w:orient="portrait"/>
          <w:cols w:equalWidth="0" w:num="1">
            <w:col w:w="11240"/>
          </w:cols>
          <w:pgMar w:left="320" w:top="125" w:right="339" w:bottom="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56" w:orient="portrait"/>
          <w:cols w:equalWidth="0" w:num="1">
            <w:col w:w="11240"/>
          </w:cols>
          <w:pgMar w:left="320" w:top="125" w:right="339" w:bottom="0" w:gutter="0" w:footer="0" w:header="0"/>
          <w:type w:val="continuous"/>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520" w:type="dxa"/>
            <w:vAlign w:val="bottom"/>
          </w:tcPr>
          <w:p>
            <w:pPr>
              <w:ind w:left="1500"/>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1"/>
        </w:trPr>
        <w:tc>
          <w:tcPr>
            <w:tcW w:w="1660" w:type="dxa"/>
            <w:vAlign w:val="bottom"/>
            <w:gridSpan w:val="2"/>
          </w:tcPr>
          <w:p>
            <w:pPr>
              <w:spacing w:after="0"/>
              <w:rPr>
                <w:sz w:val="20"/>
                <w:szCs w:val="20"/>
                <w:color w:val="auto"/>
              </w:rPr>
            </w:pPr>
            <w:r>
              <w:rPr>
                <w:rFonts w:ascii="Arial" w:cs="Arial" w:eastAsia="Arial" w:hAnsi="Arial"/>
                <w:sz w:val="18"/>
                <w:szCs w:val="18"/>
                <w:color w:val="auto"/>
              </w:rPr>
              <w:t>Cash  required  by</w:t>
            </w:r>
          </w:p>
        </w:tc>
        <w:tc>
          <w:tcPr>
            <w:tcW w:w="16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520" w:type="dxa"/>
            <w:vAlign w:val="bottom"/>
          </w:tcPr>
          <w:p>
            <w:pPr>
              <w:ind w:left="40"/>
              <w:spacing w:after="0"/>
              <w:rPr>
                <w:sz w:val="20"/>
                <w:szCs w:val="20"/>
                <w:color w:val="auto"/>
              </w:rPr>
            </w:pPr>
            <w:r>
              <w:rPr>
                <w:rFonts w:ascii="Arial" w:cs="Arial" w:eastAsia="Arial" w:hAnsi="Arial"/>
                <w:sz w:val="18"/>
                <w:szCs w:val="18"/>
                <w:color w:val="auto"/>
              </w:rPr>
              <w:t>totaled  $2,465,000  in  the  2021  Period</w:t>
            </w:r>
          </w:p>
        </w:tc>
        <w:tc>
          <w:tcPr>
            <w:tcW w:w="920" w:type="dxa"/>
            <w:vAlign w:val="bottom"/>
          </w:tcPr>
          <w:p>
            <w:pPr>
              <w:ind w:left="60"/>
              <w:spacing w:after="0"/>
              <w:rPr>
                <w:sz w:val="20"/>
                <w:szCs w:val="20"/>
                <w:color w:val="auto"/>
              </w:rPr>
            </w:pPr>
            <w:r>
              <w:rPr>
                <w:rFonts w:ascii="Arial" w:cs="Arial" w:eastAsia="Arial" w:hAnsi="Arial"/>
                <w:sz w:val="18"/>
                <w:szCs w:val="18"/>
                <w:color w:val="auto"/>
              </w:rPr>
              <w:t>compared</w:t>
            </w:r>
          </w:p>
        </w:tc>
        <w:tc>
          <w:tcPr>
            <w:tcW w:w="720" w:type="dxa"/>
            <w:vAlign w:val="bottom"/>
          </w:tcPr>
          <w:p>
            <w:pPr>
              <w:ind w:left="60"/>
              <w:spacing w:after="0"/>
              <w:rPr>
                <w:sz w:val="20"/>
                <w:szCs w:val="20"/>
                <w:color w:val="auto"/>
              </w:rPr>
            </w:pPr>
            <w:r>
              <w:rPr>
                <w:rFonts w:ascii="Arial" w:cs="Arial" w:eastAsia="Arial" w:hAnsi="Arial"/>
                <w:sz w:val="18"/>
                <w:szCs w:val="18"/>
                <w:color w:val="auto"/>
              </w:rPr>
              <w:t>to  cash</w:t>
            </w:r>
          </w:p>
        </w:tc>
        <w:tc>
          <w:tcPr>
            <w:tcW w:w="860" w:type="dxa"/>
            <w:vAlign w:val="bottom"/>
          </w:tcPr>
          <w:p>
            <w:pPr>
              <w:ind w:left="140"/>
              <w:spacing w:after="0"/>
              <w:rPr>
                <w:sz w:val="20"/>
                <w:szCs w:val="20"/>
                <w:color w:val="auto"/>
              </w:rPr>
            </w:pPr>
            <w:r>
              <w:rPr>
                <w:rFonts w:ascii="Arial" w:cs="Arial" w:eastAsia="Arial" w:hAnsi="Arial"/>
                <w:sz w:val="18"/>
                <w:szCs w:val="18"/>
                <w:color w:val="auto"/>
              </w:rPr>
              <w:t>required</w:t>
            </w:r>
          </w:p>
        </w:tc>
        <w:tc>
          <w:tcPr>
            <w:tcW w:w="300" w:type="dxa"/>
            <w:vAlign w:val="bottom"/>
          </w:tcPr>
          <w:p>
            <w:pPr>
              <w:ind w:left="60"/>
              <w:spacing w:after="0"/>
              <w:rPr>
                <w:sz w:val="20"/>
                <w:szCs w:val="20"/>
                <w:color w:val="auto"/>
              </w:rPr>
            </w:pPr>
            <w:r>
              <w:rPr>
                <w:rFonts w:ascii="Arial" w:cs="Arial" w:eastAsia="Arial" w:hAnsi="Arial"/>
                <w:sz w:val="18"/>
                <w:szCs w:val="18"/>
                <w:color w:val="auto"/>
              </w:rPr>
              <w:t>by</w:t>
            </w:r>
          </w:p>
        </w:tc>
        <w:tc>
          <w:tcPr>
            <w:tcW w:w="1620" w:type="dxa"/>
            <w:vAlign w:val="bottom"/>
          </w:tcPr>
          <w:p>
            <w:pPr>
              <w:jc w:val="right"/>
              <w:spacing w:after="0"/>
              <w:rPr>
                <w:sz w:val="20"/>
                <w:szCs w:val="20"/>
                <w:color w:val="auto"/>
              </w:rPr>
            </w:pPr>
            <w:r>
              <w:rPr>
                <w:rFonts w:ascii="Arial" w:cs="Arial" w:eastAsia="Arial" w:hAnsi="Arial"/>
                <w:sz w:val="18"/>
                <w:szCs w:val="18"/>
                <w:color w:val="auto"/>
              </w:rPr>
              <w:t>investing  activities</w:t>
            </w:r>
          </w:p>
        </w:tc>
      </w:tr>
      <w:tr>
        <w:trPr>
          <w:trHeight w:val="203"/>
        </w:trPr>
        <w:tc>
          <w:tcPr>
            <w:tcW w:w="1660" w:type="dxa"/>
            <w:vAlign w:val="bottom"/>
            <w:gridSpan w:val="2"/>
          </w:tcPr>
          <w:p>
            <w:pPr>
              <w:spacing w:after="0" w:line="202" w:lineRule="exact"/>
              <w:rPr>
                <w:sz w:val="20"/>
                <w:szCs w:val="20"/>
                <w:color w:val="auto"/>
              </w:rPr>
            </w:pPr>
            <w:r>
              <w:rPr>
                <w:rFonts w:ascii="Arial" w:cs="Arial" w:eastAsia="Arial" w:hAnsi="Arial"/>
                <w:sz w:val="18"/>
                <w:szCs w:val="18"/>
                <w:color w:val="auto"/>
              </w:rPr>
              <w:t>of  $121,137,000  in</w:t>
            </w:r>
          </w:p>
        </w:tc>
        <w:tc>
          <w:tcPr>
            <w:tcW w:w="1640" w:type="dxa"/>
            <w:vAlign w:val="bottom"/>
          </w:tcPr>
          <w:p>
            <w:pPr>
              <w:ind w:left="120"/>
              <w:spacing w:after="0" w:line="202" w:lineRule="exact"/>
              <w:rPr>
                <w:sz w:val="20"/>
                <w:szCs w:val="20"/>
                <w:color w:val="auto"/>
              </w:rPr>
            </w:pPr>
            <w:r>
              <w:rPr>
                <w:rFonts w:ascii="Arial" w:cs="Arial" w:eastAsia="Arial" w:hAnsi="Arial"/>
                <w:sz w:val="18"/>
                <w:szCs w:val="18"/>
                <w:color w:val="auto"/>
              </w:rPr>
              <w:t>the  2020  Period.</w:t>
            </w: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Capital  spending  totaled  $5,350,000  in</w:t>
            </w:r>
          </w:p>
        </w:tc>
        <w:tc>
          <w:tcPr>
            <w:tcW w:w="920" w:type="dxa"/>
            <w:vAlign w:val="bottom"/>
          </w:tcPr>
          <w:p>
            <w:pPr>
              <w:ind w:left="100"/>
              <w:spacing w:after="0" w:line="202" w:lineRule="exact"/>
              <w:rPr>
                <w:sz w:val="20"/>
                <w:szCs w:val="20"/>
                <w:color w:val="auto"/>
              </w:rPr>
            </w:pPr>
            <w:r>
              <w:rPr>
                <w:rFonts w:ascii="Arial" w:cs="Arial" w:eastAsia="Arial" w:hAnsi="Arial"/>
                <w:sz w:val="18"/>
                <w:szCs w:val="18"/>
                <w:color w:val="auto"/>
              </w:rPr>
              <w:t>the  2021</w:t>
            </w:r>
          </w:p>
        </w:tc>
        <w:tc>
          <w:tcPr>
            <w:tcW w:w="720" w:type="dxa"/>
            <w:vAlign w:val="bottom"/>
          </w:tcPr>
          <w:p>
            <w:pPr>
              <w:ind w:left="80"/>
              <w:spacing w:after="0" w:line="202" w:lineRule="exact"/>
              <w:rPr>
                <w:sz w:val="20"/>
                <w:szCs w:val="20"/>
                <w:color w:val="auto"/>
              </w:rPr>
            </w:pPr>
            <w:r>
              <w:rPr>
                <w:rFonts w:ascii="Arial" w:cs="Arial" w:eastAsia="Arial" w:hAnsi="Arial"/>
                <w:sz w:val="18"/>
                <w:szCs w:val="18"/>
                <w:color w:val="auto"/>
              </w:rPr>
              <w:t>Period</w:t>
            </w:r>
          </w:p>
        </w:tc>
        <w:tc>
          <w:tcPr>
            <w:tcW w:w="860" w:type="dxa"/>
            <w:vAlign w:val="bottom"/>
          </w:tcPr>
          <w:p>
            <w:pPr>
              <w:ind w:left="20"/>
              <w:spacing w:after="0" w:line="202" w:lineRule="exact"/>
              <w:rPr>
                <w:sz w:val="20"/>
                <w:szCs w:val="20"/>
                <w:color w:val="auto"/>
              </w:rPr>
            </w:pPr>
            <w:r>
              <w:rPr>
                <w:rFonts w:ascii="Arial" w:cs="Arial" w:eastAsia="Arial" w:hAnsi="Arial"/>
                <w:sz w:val="18"/>
                <w:szCs w:val="18"/>
                <w:color w:val="auto"/>
              </w:rPr>
              <w:t>compared</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to</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$7,297,000  in  the</w:t>
            </w:r>
          </w:p>
        </w:tc>
      </w:tr>
    </w:tbl>
    <w:p>
      <w:pPr>
        <w:spacing w:after="0" w:line="234" w:lineRule="auto"/>
        <w:rPr>
          <w:sz w:val="20"/>
          <w:szCs w:val="20"/>
          <w:color w:val="auto"/>
        </w:rPr>
      </w:pPr>
      <w:r>
        <w:rPr>
          <w:rFonts w:ascii="Arial" w:cs="Arial" w:eastAsia="Arial" w:hAnsi="Arial"/>
          <w:sz w:val="18"/>
          <w:szCs w:val="18"/>
          <w:color w:val="auto"/>
        </w:rPr>
        <w:t>2020 Period. Cash proceeds from asset sales, mainly real estate, totaled $3,095,000 in the 2021 Period compared to $17,649,000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2020 Period. In the 2020 Period we spent $130,985,000 on the acquisitions, substantially all of which was related to the Transactions.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required for financing activities totaled $52,969,000 in the 2021 Period compared to cash provided by financing activities of $131,192,000 in the 2020 Period. Debt reduction accounted for nearly all of the usage of funds in the 2021 Period and the 2020 Refinancing provided the majority of funds in the 2020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March 2020, in connection with the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completed a comprehensive refinancing of its debt, which consists of a 25-year term loan with BH Finance in an aggregate principal amount of $576,000,000. The Term Loan, which matures March 16, 2045, bears interest at an annual rate of 9.0%.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June 27,</w:t>
            </w:r>
          </w:p>
        </w:tc>
        <w:tc>
          <w:tcPr>
            <w:tcW w:w="17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September 27,</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vMerge w:val="continue"/>
          </w:tcPr>
          <w:p>
            <w:pPr>
              <w:spacing w:after="0"/>
              <w:rPr>
                <w:sz w:val="17"/>
                <w:szCs w:val="17"/>
                <w:color w:val="auto"/>
              </w:rPr>
            </w:pPr>
          </w:p>
        </w:tc>
        <w:tc>
          <w:tcPr>
            <w:tcW w:w="29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2021</w:t>
            </w:r>
          </w:p>
        </w:tc>
        <w:tc>
          <w:tcPr>
            <w:tcW w:w="1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Rates (%)</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29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485,162</w:t>
            </w:r>
          </w:p>
        </w:tc>
        <w:tc>
          <w:tcPr>
            <w:tcW w:w="17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538,290</w:t>
            </w:r>
          </w:p>
        </w:tc>
        <w:tc>
          <w:tcPr>
            <w:tcW w:w="1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9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1,070</w:t>
            </w:r>
          </w:p>
        </w:tc>
        <w:tc>
          <w:tcPr>
            <w:tcW w:w="17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13,733</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29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484,092</w:t>
            </w:r>
          </w:p>
        </w:tc>
        <w:tc>
          <w:tcPr>
            <w:tcW w:w="17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524,557</w:t>
            </w:r>
          </w:p>
        </w:tc>
        <w:tc>
          <w:tcPr>
            <w:tcW w:w="12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Excluding payments required from the Company’s future excess cash flow (as defined in the Credit Agreement), the only required principal payments include payments from net cash proceeds from asset sales (as defined in the Credit Agreement) and payments upon certain instances of change in control. There are no other scheduled mandatory principal payments required under the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Excess cash flow for the 13 weeks ended June 27, 2021 totaled $1,070,000, which was used to repay debt in July 2021.</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 There are no financial performance covenants under our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closing of the transactions, we no longer have access to a Revolving Facility.</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2020, we filed a Form S-3 registration statement ("Shelf"), that gave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 Subject to maintenance of the minimum equity market float and the conditions of our existing debt agreements, the Shelf may enable us to sell securities quickly and efficiently when market conditions are favorable or financing needs arise.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continue to evaluate the effects of the COVID-19 pandemic on our results of operations and cash flows. To combat the negative impacts, we took significant and immediate action to manage cash flow by implementing various initiatives including reductions in force, compensation reductions, furloughs, and reductions in capital investments.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While we currently forecast sufficient near-term liquidity, the ultimate impact of the COVID-19 pandemic could have a material impact on the Company's liquidity and its ability to meet its ongoing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 Among other provisions, the CARES Act allows the Company to defer payments of the employer’s share of social security taxes which shall be paid between December 31, 2021 and December 31, 2022. The CARES Act also provides for an Employee Retention Credit which can be applied to the employer’s share of payroll taxes. The Company has elected to defer the employer’s share of social security tax payments and is currently determining the applicability of the Employee Retention Credit.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ectPr>
          <w:pgSz w:w="11900" w:h="16838" w:orient="portrait"/>
          <w:cols w:equalWidth="0" w:num="1">
            <w:col w:w="11240"/>
          </w:cols>
          <w:pgMar w:left="320" w:top="108" w:right="339" w:bottom="414"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414"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We have no interest rate hedging in place.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All North American newsprint producers announced and implemented price increases in January 2021, February 2021, April 2021, May 2021, and July 2021. An additional August 2021 price increase announcement is expected to also be implemented. Supply capacity utilization has recently been reaching very high levels due to paper machine permanent shutdowns, conversion to paper grades other than newsprint, and improving demand, domestically and exports, for newsprint.</w:t>
      </w:r>
    </w:p>
    <w:p>
      <w:pPr>
        <w:spacing w:after="0" w:line="19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$10 per tonne price increase for 27.7 pound newsprint would result in an annualized reduction in income before taxes of approximately</w:t>
      </w:r>
    </w:p>
    <w:p>
      <w:pPr>
        <w:spacing w:after="0"/>
        <w:rPr>
          <w:sz w:val="20"/>
          <w:szCs w:val="20"/>
          <w:color w:val="auto"/>
        </w:rPr>
      </w:pPr>
      <w:r>
        <w:rPr>
          <w:rFonts w:ascii="Arial" w:cs="Arial" w:eastAsia="Arial" w:hAnsi="Arial"/>
          <w:sz w:val="18"/>
          <w:szCs w:val="18"/>
          <w:color w:val="auto"/>
        </w:rPr>
        <w:t>$514,000 annualized based on anticipated consumption in 2021, excluding consumption of TNI and MNI and the impact of LIFO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fixed rate debt consists of $485,162,000 principal amount of the Term Loan recorded at carrying value. At June 27, 2021, based on market price quotations, the fair value approximates carrying value.</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16, 2020, we concluded the Transactions. The internal controls related to the acquired businesses are now considered in our assessment over internal control over financial reporting following the completion of the 12-month period of evaluation as permitted by the SEC. Other than the internal controls related to the acquired businesses, there have been no changes in our internal control over financial reporting that occurred during the 13 weeks ended June 27, 2021 that have materially affected, or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2020 Form 10-K.</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0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ind w:left="3460"/>
              <w:spacing w:after="0"/>
              <w:rPr>
                <w:sz w:val="20"/>
                <w:szCs w:val="20"/>
                <w:color w:val="auto"/>
              </w:rPr>
            </w:pPr>
            <w:r>
              <w:rPr>
                <w:rFonts w:ascii="Arial" w:cs="Arial" w:eastAsia="Arial" w:hAnsi="Arial"/>
                <w:sz w:val="18"/>
                <w:szCs w:val="18"/>
                <w:color w:val="auto"/>
              </w:rPr>
              <w:t>Description</w:t>
            </w:r>
          </w:p>
        </w:tc>
        <w:tc>
          <w:tcPr>
            <w:tcW w:w="920" w:type="dxa"/>
            <w:vAlign w:val="bottom"/>
            <w:tcBorders>
              <w:bottom w:val="single" w:sz="8" w:color="auto"/>
            </w:tcBorders>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Rule 13a-14(a) Certification of Chief Executive Officer</w:t>
              </w:r>
            </w:hyperlink>
          </w:p>
        </w:tc>
        <w:tc>
          <w:tcPr>
            <w:tcW w:w="456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2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Rule 13a-14(a) Certification of Chief Financial Officer</w:t>
              </w:r>
            </w:hyperlink>
          </w:p>
        </w:tc>
        <w:tc>
          <w:tcPr>
            <w:tcW w:w="4620" w:type="dxa"/>
            <w:vAlign w:val="bottom"/>
            <w:gridSpan w:val="2"/>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8840" w:type="dxa"/>
            <w:vAlign w:val="bottom"/>
            <w:gridSpan w:val="5"/>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Section 1350 Certification of Chief Executive Officer</w:t>
              </w:r>
            </w:hyperlink>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182"/>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12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Section 1350 Certification of Chief Financial Officer</w:t>
              </w:r>
            </w:hyperlink>
          </w:p>
        </w:tc>
        <w:tc>
          <w:tcPr>
            <w:tcW w:w="4720" w:type="dxa"/>
            <w:vAlign w:val="bottom"/>
            <w:gridSpan w:val="3"/>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20"/>
        </w:trPr>
        <w:tc>
          <w:tcPr>
            <w:tcW w:w="148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8840" w:type="dxa"/>
            <w:vAlign w:val="bottom"/>
            <w:gridSpan w:val="5"/>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rPr>
                <w:sz w:val="17"/>
                <w:szCs w:val="17"/>
                <w:color w:val="auto"/>
              </w:rPr>
            </w:pP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because its XBRL tags are embedded within the Inline XBRL document)</w:t>
            </w:r>
          </w:p>
        </w:tc>
        <w:tc>
          <w:tcPr>
            <w:tcW w:w="920" w:type="dxa"/>
            <w:vAlign w:val="bottom"/>
          </w:tcPr>
          <w:p>
            <w:pPr>
              <w:spacing w:after="0"/>
              <w:rPr>
                <w:sz w:val="17"/>
                <w:szCs w:val="17"/>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Borders>
              <w:bottom w:val="single" w:sz="8" w:color="auto"/>
            </w:tcBorders>
          </w:tcPr>
          <w:p>
            <w:pPr>
              <w:spacing w:after="0"/>
              <w:rPr>
                <w:sz w:val="17"/>
                <w:szCs w:val="17"/>
                <w:color w:val="auto"/>
              </w:rPr>
            </w:pPr>
          </w:p>
        </w:tc>
        <w:tc>
          <w:tcPr>
            <w:tcW w:w="8840" w:type="dxa"/>
            <w:vAlign w:val="bottom"/>
            <w:tcBorders>
              <w:bottom w:val="single" w:sz="8" w:color="auto"/>
            </w:tcBorders>
            <w:gridSpan w:val="5"/>
          </w:tcPr>
          <w:p>
            <w:pPr>
              <w:spacing w:after="0" w:line="203" w:lineRule="exact"/>
              <w:rPr>
                <w:sz w:val="20"/>
                <w:szCs w:val="20"/>
                <w:color w:val="auto"/>
              </w:rPr>
            </w:pPr>
            <w:r>
              <w:rPr>
                <w:rFonts w:ascii="Arial" w:cs="Arial" w:eastAsia="Arial" w:hAnsi="Arial"/>
                <w:sz w:val="18"/>
                <w:szCs w:val="18"/>
                <w:color w:val="auto"/>
              </w:rPr>
              <w:t>document)</w:t>
            </w:r>
          </w:p>
        </w:tc>
        <w:tc>
          <w:tcPr>
            <w:tcW w:w="920" w:type="dxa"/>
            <w:vAlign w:val="bottom"/>
            <w:tcBorders>
              <w:bottom w:val="single" w:sz="8" w:color="auto"/>
            </w:tcBorders>
          </w:tcPr>
          <w:p>
            <w:pPr>
              <w:spacing w:after="0"/>
              <w:rPr>
                <w:sz w:val="17"/>
                <w:szCs w:val="17"/>
                <w:color w:val="auto"/>
              </w:rPr>
            </w:pPr>
          </w:p>
        </w:tc>
      </w:tr>
      <w:tr>
        <w:trPr>
          <w:trHeight w:val="412"/>
        </w:trPr>
        <w:tc>
          <w:tcPr>
            <w:tcW w:w="1480" w:type="dxa"/>
            <w:vAlign w:val="bottom"/>
          </w:tcPr>
          <w:p>
            <w:pPr>
              <w:spacing w:after="0"/>
              <w:rPr>
                <w:sz w:val="24"/>
                <w:szCs w:val="24"/>
                <w:color w:val="auto"/>
              </w:rPr>
            </w:pPr>
          </w:p>
        </w:tc>
        <w:tc>
          <w:tcPr>
            <w:tcW w:w="4280" w:type="dxa"/>
            <w:vAlign w:val="bottom"/>
            <w:gridSpan w:val="4"/>
          </w:tcPr>
          <w:p>
            <w:pPr>
              <w:ind w:left="4040"/>
              <w:spacing w:after="0"/>
              <w:rPr>
                <w:sz w:val="20"/>
                <w:szCs w:val="20"/>
                <w:color w:val="auto"/>
              </w:rPr>
            </w:pPr>
            <w:r>
              <w:rPr>
                <w:rFonts w:ascii="Arial" w:cs="Arial" w:eastAsia="Arial" w:hAnsi="Arial"/>
                <w:sz w:val="18"/>
                <w:szCs w:val="18"/>
                <w:color w:val="auto"/>
              </w:rPr>
              <w:t>25</w:t>
            </w:r>
          </w:p>
        </w:tc>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148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LEE ENTERPRISES, INCORPORATED</w:t>
      </w:r>
    </w:p>
    <w:p>
      <w:pPr>
        <w:spacing w:after="0" w:line="194" w:lineRule="exact"/>
        <w:rPr>
          <w:sz w:val="20"/>
          <w:szCs w:val="20"/>
          <w:color w:val="auto"/>
        </w:rPr>
      </w:pPr>
    </w:p>
    <w:p>
      <w:pPr>
        <w:ind w:left="280"/>
        <w:spacing w:after="0"/>
        <w:tabs>
          <w:tab w:leader="none" w:pos="972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8"/>
          <w:szCs w:val="18"/>
          <w:color w:val="auto"/>
        </w:rPr>
        <w:t>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wp:posOffset>
            </wp:positionV>
            <wp:extent cx="32232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Timothy R. Millage</w:t>
      </w:r>
    </w:p>
    <w:p>
      <w:pPr>
        <w:ind w:left="280"/>
        <w:spacing w:after="0" w:line="234"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Financial and Accounting Officer)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98"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1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98"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Timothy R. Millage</w:t>
      </w:r>
    </w:p>
    <w:p>
      <w:pPr>
        <w:ind w:left="48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18" w:right="339" w:bottom="1440" w:gutter="0" w:footer="0" w:header="0"/>
        </w:sectPr>
      </w:pPr>
    </w:p>
    <w:bookmarkStart w:id="32" w:name="page33"/>
    <w:bookmarkEnd w:id="32"/>
    <w:p>
      <w:pPr>
        <w:ind w:left="10240"/>
        <w:spacing w:after="0"/>
        <w:rPr>
          <w:sz w:val="20"/>
          <w:szCs w:val="20"/>
          <w:color w:val="auto"/>
        </w:rPr>
      </w:pPr>
      <w:r>
        <w:rPr>
          <w:rFonts w:ascii="Arial" w:cs="Arial" w:eastAsia="Arial" w:hAnsi="Arial"/>
          <w:sz w:val="17"/>
          <w:szCs w:val="17"/>
          <w:b w:val="1"/>
          <w:bCs w:val="1"/>
          <w:color w:val="auto"/>
        </w:rPr>
        <w:t>Exhibit 32.1</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83" w:lineRule="exact"/>
        <w:rPr>
          <w:sz w:val="20"/>
          <w:szCs w:val="20"/>
          <w:color w:val="auto"/>
        </w:rPr>
      </w:pPr>
    </w:p>
    <w:p>
      <w:pPr>
        <w:ind w:left="920" w:right="140" w:hanging="912"/>
        <w:spacing w:after="0" w:line="246"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27, 2021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380" w:hanging="912"/>
        <w:spacing w:after="0" w:line="246"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D. Mowbray</w:t>
      </w:r>
    </w:p>
    <w:p>
      <w:pPr>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8" w:right="339" w:bottom="1440" w:gutter="0" w:footer="0" w:header="0"/>
        </w:sectPr>
      </w:pPr>
    </w:p>
    <w:bookmarkStart w:id="33" w:name="page34"/>
    <w:bookmarkEnd w:id="33"/>
    <w:p>
      <w:pPr>
        <w:ind w:left="10240"/>
        <w:spacing w:after="0"/>
        <w:rPr>
          <w:sz w:val="20"/>
          <w:szCs w:val="20"/>
          <w:color w:val="auto"/>
        </w:rPr>
      </w:pPr>
      <w:r>
        <w:rPr>
          <w:rFonts w:ascii="Arial" w:cs="Arial" w:eastAsia="Arial" w:hAnsi="Arial"/>
          <w:sz w:val="17"/>
          <w:szCs w:val="17"/>
          <w:b w:val="1"/>
          <w:bCs w:val="1"/>
          <w:color w:val="auto"/>
        </w:rPr>
        <w:t>Exhibit 32.2</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83" w:lineRule="exact"/>
        <w:rPr>
          <w:sz w:val="20"/>
          <w:szCs w:val="20"/>
          <w:color w:val="auto"/>
        </w:rPr>
      </w:pPr>
    </w:p>
    <w:p>
      <w:pPr>
        <w:ind w:left="580" w:right="280" w:hanging="572"/>
        <w:spacing w:after="0" w:line="246"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27, 2021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580" w:right="720" w:hanging="572"/>
        <w:spacing w:after="0" w:line="246"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bullet"/>
      <w:start w:val="1"/>
    </w:lvl>
  </w:abstractNum>
  <w:abstractNum w:abstractNumId="4">
    <w:nsid w:val="519B500D"/>
    <w:multiLevelType w:val="hybridMultilevel"/>
    <w:lvl w:ilvl="0">
      <w:lvlJc w:val="left"/>
      <w:lvlText w:val="2"/>
      <w:numFmt w:val="bullet"/>
      <w:start w:val="1"/>
    </w:lvl>
  </w:abstractNum>
  <w:abstractNum w:abstractNumId="5">
    <w:nsid w:val="431BD7B7"/>
    <w:multiLevelType w:val="hybridMultilevel"/>
    <w:lvl w:ilvl="0">
      <w:lvlJc w:val="left"/>
      <w:lvlText w:val="3"/>
      <w:numFmt w:val="bullet"/>
      <w:start w:val="1"/>
    </w:lvl>
  </w:abstractNum>
  <w:abstractNum w:abstractNumId="6">
    <w:nsid w:val="3F2DBA31"/>
    <w:multiLevelType w:val="hybridMultilevel"/>
    <w:lvl w:ilvl="0">
      <w:lvlJc w:val="left"/>
      <w:lvlText w:val="4"/>
      <w:numFmt w:val="bullet"/>
      <w:start w:val="1"/>
    </w:lvl>
  </w:abstractNum>
  <w:abstractNum w:abstractNumId="7">
    <w:nsid w:val="7C83E458"/>
    <w:multiLevelType w:val="hybridMultilevel"/>
    <w:lvl w:ilvl="0">
      <w:lvlJc w:val="left"/>
      <w:lvlText w:val="5"/>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6"/>
      <w:numFmt w:val="bullet"/>
      <w:start w:val="1"/>
    </w:lvl>
  </w:abstractNum>
  <w:abstractNum w:abstractNumId="10">
    <w:nsid w:val="436C6125"/>
    <w:multiLevelType w:val="hybridMultilevel"/>
    <w:lvl w:ilvl="0">
      <w:lvlJc w:val="left"/>
      <w:lvlText w:val="7"/>
      <w:numFmt w:val="bullet"/>
      <w:start w:val="1"/>
    </w:lvl>
  </w:abstractNum>
  <w:abstractNum w:abstractNumId="11">
    <w:nsid w:val="628C895D"/>
    <w:multiLevelType w:val="hybridMultilevel"/>
    <w:lvl w:ilvl="0">
      <w:lvlJc w:val="left"/>
      <w:lvlText w:val="8"/>
      <w:numFmt w:val="bullet"/>
      <w:start w:val="1"/>
    </w:lvl>
  </w:abstractNum>
  <w:abstractNum w:abstractNumId="12">
    <w:nsid w:val="333AB105"/>
    <w:multiLevelType w:val="hybridMultilevel"/>
    <w:lvl w:ilvl="0">
      <w:lvlJc w:val="left"/>
      <w:lvlText w:val="9"/>
      <w:numFmt w:val="bullet"/>
      <w:start w:val="1"/>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2"/>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bullet"/>
      <w:start w:val="1"/>
    </w:lvl>
  </w:abstractNum>
  <w:abstractNum w:abstractNumId="19">
    <w:nsid w:val="79838CB2"/>
    <w:multiLevelType w:val="hybridMultilevel"/>
    <w:lvl w:ilvl="0">
      <w:lvlJc w:val="left"/>
      <w:lvlText w:val="2"/>
      <w:numFmt w:val="bullet"/>
      <w:start w:val="1"/>
    </w:lvl>
  </w:abstractNum>
  <w:abstractNum w:abstractNumId="20">
    <w:nsid w:val="4353D0CD"/>
    <w:multiLevelType w:val="hybridMultilevel"/>
    <w:lvl w:ilvl="0">
      <w:lvlJc w:val="left"/>
      <w:lvlText w:val="3"/>
      <w:numFmt w:val="bullet"/>
      <w:start w:val="1"/>
    </w:lvl>
  </w:abstractNum>
  <w:abstractNum w:abstractNumId="21">
    <w:nsid w:val="B03E0C6"/>
    <w:multiLevelType w:val="hybridMultilevel"/>
    <w:lvl w:ilvl="0">
      <w:lvlJc w:val="left"/>
      <w:lvlText w:val="4"/>
      <w:numFmt w:val="bullet"/>
      <w:start w:val="1"/>
    </w:lvl>
    <w:lvl w:ilvl="1">
      <w:lvlJc w:val="left"/>
      <w:lvlText w:val="%2)"/>
      <w:numFmt w:val="lowerLetter"/>
      <w:start w:val="1"/>
    </w:lvl>
  </w:abstractNum>
  <w:abstractNum w:abstractNumId="22">
    <w:nsid w:val="189A769B"/>
    <w:multiLevelType w:val="hybridMultilevel"/>
    <w:lvl w:ilvl="0">
      <w:lvlJc w:val="left"/>
      <w:lvlText w:val="5"/>
      <w:numFmt w:val="bullet"/>
      <w:start w:val="1"/>
    </w:lvl>
    <w:lvl w:ilvl="1">
      <w:lvlJc w:val="left"/>
      <w:lvlText w:val="%2)"/>
      <w:numFmt w:val="lowerLetter"/>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2"/>
      <w:numFmt w:val="bullet"/>
      <w:start w:val="1"/>
    </w:lvl>
  </w:abstractNum>
  <w:abstractNum w:abstractNumId="25">
    <w:nsid w:val="2CA88611"/>
    <w:multiLevelType w:val="hybridMultilevel"/>
    <w:lvl w:ilvl="0">
      <w:lvlJc w:val="left"/>
      <w:lvlText w:val="3"/>
      <w:numFmt w:val="bullet"/>
      <w:start w:val="1"/>
    </w:lvl>
  </w:abstractNum>
  <w:abstractNum w:abstractNumId="26">
    <w:nsid w:val="836C40E"/>
    <w:multiLevelType w:val="hybridMultilevel"/>
    <w:lvl w:ilvl="0">
      <w:lvlJc w:val="left"/>
      <w:lvlText w:val="4"/>
      <w:numFmt w:val="bullet"/>
      <w:start w:val="1"/>
    </w:lvl>
    <w:lvl w:ilvl="1">
      <w:lvlJc w:val="left"/>
      <w:lvlText w:val="%2)"/>
      <w:numFmt w:val="lowerLetter"/>
      <w:start w:val="1"/>
    </w:lvl>
  </w:abstractNum>
  <w:abstractNum w:abstractNumId="27">
    <w:nsid w:val="2901D82"/>
    <w:multiLevelType w:val="hybridMultilevel"/>
    <w:lvl w:ilvl="0">
      <w:lvlJc w:val="left"/>
      <w:lvlText w:val="5"/>
      <w:numFmt w:val="bullet"/>
      <w:start w:val="1"/>
    </w:lvl>
    <w:lvl w:ilvl="1">
      <w:lvlJc w:val="left"/>
      <w:lvlText w:val="%2)"/>
      <w:numFmt w:val="lowerLetter"/>
      <w:start w:val="1"/>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2021-08-06T13:35:08Z</dcterms:created>
  <dcterms:modified xsi:type="dcterms:W3CDTF">2021-08-06T13:35:08Z</dcterms:modified>
</cp:coreProperties>
</file>