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600" w:hanging="1370"/>
        <w:spacing w:after="0" w:line="246"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46"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7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7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ind w:right="21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2021, 5,876,835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102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680" w:type="dxa"/>
            <w:vAlign w:val="bottom"/>
            <w:gridSpan w:val="4"/>
          </w:tcPr>
          <w:p>
            <w:pPr>
              <w:jc w:val="center"/>
              <w:ind w:left="3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200" w:type="dxa"/>
            <w:vAlign w:val="bottom"/>
            <w:gridSpan w:val="12"/>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Balance Sheets - March 28, 2021 and September 27, </w:t>
              </w:r>
            </w:hyperlink>
            <w:r>
              <w:rPr>
                <w:rFonts w:ascii="Arial" w:cs="Arial" w:eastAsia="Arial" w:hAnsi="Arial"/>
                <w:sz w:val="18"/>
                <w:szCs w:val="18"/>
                <w:color w:val="0000EE"/>
              </w:rPr>
              <w:t>2020</w:t>
            </w:r>
          </w:p>
        </w:tc>
        <w:tc>
          <w:tcPr>
            <w:tcW w:w="680" w:type="dxa"/>
            <w:vAlign w:val="bottom"/>
            <w:gridSpan w:val="4"/>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2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Income (Loss) and Comprehensive Income (Loss) - 13 and 26 weeks ended</w:t>
              </w:r>
            </w:hyperlink>
          </w:p>
        </w:tc>
        <w:tc>
          <w:tcPr>
            <w:tcW w:w="34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March 28, 2021 and March 29, 2020</w:t>
              </w:r>
            </w:hyperlink>
          </w:p>
        </w:tc>
        <w:tc>
          <w:tcPr>
            <w:tcW w:w="5420" w:type="dxa"/>
            <w:vAlign w:val="bottom"/>
            <w:tcBorders>
              <w:top w:val="single" w:sz="8" w:color="0000EE"/>
            </w:tcBorders>
            <w:gridSpan w:val="7"/>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80" w:type="dxa"/>
            <w:vAlign w:val="bottom"/>
            <w:gridSpan w:val="16"/>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Stockholder's Equity (Deficit) - 13 and 26 weeks ended March 28, 2021 and</w:t>
              </w:r>
            </w:hyperlink>
          </w:p>
        </w:tc>
        <w:tc>
          <w:tcPr>
            <w:tcW w:w="380" w:type="dxa"/>
            <w:vAlign w:val="bottom"/>
            <w:gridSpan w:val="2"/>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March 29, 2020</w:t>
              </w:r>
            </w:hyperlink>
          </w:p>
        </w:tc>
        <w:tc>
          <w:tcPr>
            <w:tcW w:w="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- 26 weeks ended March 28, 2021 and March 29, 2020</w:t>
              </w:r>
            </w:hyperlink>
          </w:p>
        </w:tc>
        <w:tc>
          <w:tcPr>
            <w:tcW w:w="680" w:type="dxa"/>
            <w:vAlign w:val="bottom"/>
            <w:gridSpan w:val="4"/>
          </w:tcPr>
          <w:p>
            <w:pPr>
              <w:jc w:val="center"/>
              <w:ind w:left="3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gridSpan w:val="11"/>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Consolidated Financial Statements</w:t>
              </w:r>
            </w:hyperlink>
          </w:p>
        </w:tc>
        <w:tc>
          <w:tcPr>
            <w:tcW w:w="4120" w:type="dxa"/>
            <w:vAlign w:val="bottom"/>
            <w:gridSpan w:val="4"/>
          </w:tcPr>
          <w:p>
            <w:pPr>
              <w:spacing w:after="0"/>
              <w:rPr>
                <w:sz w:val="24"/>
                <w:szCs w:val="24"/>
                <w:color w:val="auto"/>
              </w:rPr>
            </w:pPr>
          </w:p>
        </w:tc>
        <w:tc>
          <w:tcPr>
            <w:tcW w:w="1040" w:type="dxa"/>
            <w:vAlign w:val="bottom"/>
            <w:gridSpan w:val="3"/>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Management's Discussion and Analysis of Financial Condition and Results of Operations</w:t>
              </w:r>
            </w:hyperlink>
          </w:p>
        </w:tc>
        <w:tc>
          <w:tcPr>
            <w:tcW w:w="1580" w:type="dxa"/>
            <w:vAlign w:val="bottom"/>
            <w:gridSpan w:val="4"/>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16</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580" w:type="dxa"/>
            <w:vAlign w:val="bottom"/>
            <w:gridSpan w:val="4"/>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960" w:type="dxa"/>
            <w:vAlign w:val="bottom"/>
            <w:gridSpan w:val="6"/>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44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960" w:type="dxa"/>
            <w:vAlign w:val="bottom"/>
            <w:gridSpan w:val="5"/>
          </w:tcPr>
          <w:p>
            <w:pPr>
              <w:jc w:val="center"/>
              <w:ind w:left="110"/>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960" w:type="dxa"/>
            <w:vAlign w:val="bottom"/>
            <w:gridSpan w:val="5"/>
          </w:tcPr>
          <w:p>
            <w:pPr>
              <w:jc w:val="center"/>
              <w:ind w:left="110"/>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Risk Factors</w:t>
              </w:r>
            </w:hyperlink>
          </w:p>
        </w:tc>
        <w:tc>
          <w:tcPr>
            <w:tcW w:w="480" w:type="dxa"/>
            <w:vAlign w:val="bottom"/>
            <w:gridSpan w:val="5"/>
          </w:tcPr>
          <w:p>
            <w:pPr>
              <w:spacing w:after="0"/>
              <w:rPr>
                <w:sz w:val="24"/>
                <w:szCs w:val="24"/>
                <w:color w:val="auto"/>
              </w:rPr>
            </w:pPr>
          </w:p>
        </w:tc>
        <w:tc>
          <w:tcPr>
            <w:tcW w:w="7180" w:type="dxa"/>
            <w:vAlign w:val="bottom"/>
            <w:gridSpan w:val="11"/>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660" w:type="dxa"/>
            <w:vAlign w:val="bottom"/>
            <w:gridSpan w:val="16"/>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25</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5"/>
          </w:tcPr>
          <w:p>
            <w:pPr>
              <w:jc w:val="center"/>
              <w:ind w:left="110"/>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26</w:t>
              </w:r>
            </w:hyperlink>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53"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“2021”, “2020”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the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59"/>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189"/>
        </w:trPr>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March 28,</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128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33,753</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60,151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52,598</w:t>
            </w: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6,777</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7,534</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Prepaids and other</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11,495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112,176</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108,753</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26,838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27,624</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6,178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33,016</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33,879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17,128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18,711</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110,486</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128,475</w:t>
            </w:r>
          </w:p>
        </w:tc>
      </w:tr>
      <w:tr>
        <w:trPr>
          <w:trHeight w:val="202"/>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232,574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245,117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3,625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363,813</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394,626</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274,449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289,017</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89,364</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105,609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68,742</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70,933</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330,204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328,445</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168,997</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182,680</w:t>
            </w:r>
          </w:p>
        </w:tc>
      </w:tr>
      <w:tr>
        <w:trPr>
          <w:trHeight w:val="203"/>
        </w:trPr>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5,936</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4,147</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15,898</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15,912</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10,758</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13,699</w:t>
            </w:r>
          </w:p>
        </w:tc>
      </w:tr>
      <w:tr>
        <w:trPr>
          <w:trHeight w:val="236"/>
        </w:trPr>
        <w:tc>
          <w:tcPr>
            <w:tcW w:w="38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835,091</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95"/>
        </w:trPr>
        <w:tc>
          <w:tcPr>
            <w:tcW w:w="7580" w:type="dxa"/>
            <w:vAlign w:val="bottom"/>
          </w:tcPr>
          <w:p>
            <w:pPr>
              <w:spacing w:after="0"/>
              <w:rPr>
                <w:sz w:val="16"/>
                <w:szCs w:val="16"/>
                <w:color w:val="auto"/>
              </w:rPr>
            </w:pPr>
          </w:p>
        </w:tc>
        <w:tc>
          <w:tcPr>
            <w:tcW w:w="20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March 28,</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5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LIABILITIES AND EQUITY</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8,262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8,577</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13,753</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13,733</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17,483</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17,163</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47,767</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44,278</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521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63,870</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60,271</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151,656</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144,022</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485,162</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524,557</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60,987</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62,374</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71,969</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75,656</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14,726</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39,543</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14,499</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15,208</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18,767</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18,048</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 and other</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30,089</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14,282</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847,855</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893,690</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 shares; issued and outstanding:</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580" w:type="dxa"/>
            <w:vAlign w:val="bottom"/>
          </w:tcPr>
          <w:p>
            <w:pPr>
              <w:ind w:left="500"/>
              <w:spacing w:after="0" w:line="202" w:lineRule="exact"/>
              <w:rPr>
                <w:sz w:val="20"/>
                <w:szCs w:val="20"/>
                <w:color w:val="auto"/>
              </w:rPr>
            </w:pPr>
            <w:r>
              <w:rPr>
                <w:rFonts w:ascii="Arial" w:cs="Arial" w:eastAsia="Arial" w:hAnsi="Arial"/>
                <w:sz w:val="18"/>
                <w:szCs w:val="18"/>
                <w:color w:val="auto"/>
              </w:rPr>
              <w:t>March 28, 2021; 5,877 shares; $0.01 par value</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27, 2020; 5,835 shares; $0.01 par value</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257,328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256,957</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(253,761)</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(268,529)</w:t>
            </w:r>
          </w:p>
        </w:tc>
      </w:tr>
      <w:tr>
        <w:trPr>
          <w:trHeight w:val="203"/>
        </w:trPr>
        <w:tc>
          <w:tcPr>
            <w:tcW w:w="7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(18,430)</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(20,050)</w:t>
            </w:r>
          </w:p>
        </w:tc>
      </w:tr>
      <w:tr>
        <w:trPr>
          <w:trHeight w:val="196"/>
        </w:trPr>
        <w:tc>
          <w:tcPr>
            <w:tcW w:w="758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20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(14,804)</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(31,564)</w:t>
            </w:r>
          </w:p>
        </w:tc>
      </w:tr>
      <w:tr>
        <w:trPr>
          <w:trHeight w:val="216"/>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2,040</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r>
      <w:tr>
        <w:trPr>
          <w:trHeight w:val="196"/>
        </w:trPr>
        <w:tc>
          <w:tcPr>
            <w:tcW w:w="7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0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(12,764)</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(29,633)</w:t>
            </w:r>
          </w:p>
        </w:tc>
      </w:tr>
      <w:tr>
        <w:trPr>
          <w:trHeight w:val="23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835,091</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13 Weeks Ended</w:t>
            </w:r>
          </w:p>
        </w:tc>
        <w:tc>
          <w:tcPr>
            <w:tcW w:w="2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6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March 28,</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29,</w:t>
            </w:r>
          </w:p>
        </w:tc>
        <w:tc>
          <w:tcPr>
            <w:tcW w:w="13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28,</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85,575</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60,945</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188,204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126,672</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89,777</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46,943</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181,080</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89,113</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17,078</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13,479</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34,964</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27,925</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192,430</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121,367</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404,248</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243,710</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83,154</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48,691</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167,317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91,934</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7,179</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4,321</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15,171</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79,865</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52,842</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161,632</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101,304</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12,517</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7,276</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22,958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1,474</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(6,113)</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6,696</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1,294</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1,925</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4,461</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185,483</w:t>
            </w:r>
          </w:p>
        </w:tc>
        <w:tc>
          <w:tcPr>
            <w:tcW w:w="13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108,942</w:t>
            </w:r>
          </w:p>
        </w:tc>
        <w:tc>
          <w:tcPr>
            <w:tcW w:w="13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378,235</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214,548</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1,471</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1,362</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3,213</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8,418</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13,787</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29,226</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32,093</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(11,237)</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(11,127)</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(23,119)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(10,670)</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23,830</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(12,310)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8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1,640</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689</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3,908</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income (expense), net</w:t>
            </w:r>
          </w:p>
        </w:tc>
        <w:tc>
          <w:tcPr>
            <w:tcW w:w="18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(9,597)</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(21,108)</w:t>
            </w:r>
          </w:p>
        </w:tc>
        <w:tc>
          <w:tcPr>
            <w:tcW w:w="13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(7,691)</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(1,179)</w:t>
            </w:r>
          </w:p>
        </w:tc>
        <w:tc>
          <w:tcPr>
            <w:tcW w:w="13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(7,321)</w:t>
            </w:r>
          </w:p>
        </w:tc>
        <w:tc>
          <w:tcPr>
            <w:tcW w:w="13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21,535</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18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(571)</w:t>
            </w:r>
          </w:p>
        </w:tc>
        <w:tc>
          <w:tcPr>
            <w:tcW w:w="13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(2,331)</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5,740</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2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(608)</w:t>
            </w:r>
          </w:p>
        </w:tc>
        <w:tc>
          <w:tcPr>
            <w:tcW w:w="13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(4,990)</w:t>
            </w:r>
          </w:p>
        </w:tc>
        <w:tc>
          <w:tcPr>
            <w:tcW w:w="13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15,795</w:t>
            </w:r>
          </w:p>
        </w:tc>
        <w:tc>
          <w:tcPr>
            <w:tcW w:w="11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(526)</w:t>
            </w:r>
          </w:p>
        </w:tc>
        <w:tc>
          <w:tcPr>
            <w:tcW w:w="13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(377)</w:t>
            </w:r>
          </w:p>
        </w:tc>
        <w:tc>
          <w:tcPr>
            <w:tcW w:w="13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(1,027)</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Income attributable to Lee Enterprises, Incorporated</w:t>
            </w:r>
          </w:p>
        </w:tc>
        <w:tc>
          <w:tcPr>
            <w:tcW w:w="182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(1,134)</w:t>
            </w:r>
          </w:p>
        </w:tc>
        <w:tc>
          <w:tcPr>
            <w:tcW w:w="13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(5,367)</w:t>
            </w:r>
          </w:p>
        </w:tc>
        <w:tc>
          <w:tcPr>
            <w:tcW w:w="13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14,768</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1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478</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316</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1,620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95"/>
        </w:trPr>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(loss) income attributable to Lee Enterprises,</w:t>
            </w:r>
          </w:p>
        </w:tc>
        <w:tc>
          <w:tcPr>
            <w:tcW w:w="18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Incorporated</w:t>
            </w:r>
          </w:p>
        </w:tc>
        <w:tc>
          <w:tcPr>
            <w:tcW w:w="1820" w:type="dxa"/>
            <w:vAlign w:val="bottom"/>
            <w:tcBorders>
              <w:bottom w:val="single" w:sz="8" w:color="auto"/>
            </w:tcBorders>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(656)</w:t>
            </w:r>
          </w:p>
        </w:tc>
        <w:tc>
          <w:tcPr>
            <w:tcW w:w="1360" w:type="dxa"/>
            <w:vAlign w:val="bottom"/>
            <w:tcBorders>
              <w:bottom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(5,051)</w:t>
            </w:r>
          </w:p>
        </w:tc>
        <w:tc>
          <w:tcPr>
            <w:tcW w:w="1320" w:type="dxa"/>
            <w:vAlign w:val="bottom"/>
            <w:tcBorders>
              <w:bottom w:val="single" w:sz="8" w:color="auto"/>
            </w:tcBorders>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16,388</w:t>
            </w:r>
          </w:p>
        </w:tc>
        <w:tc>
          <w:tcPr>
            <w:tcW w:w="114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183"/>
        </w:trPr>
        <w:tc>
          <w:tcPr>
            <w:tcW w:w="56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(0.20)</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(0.95)</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2.59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(0.19)</w:t>
            </w:r>
          </w:p>
        </w:tc>
        <w:tc>
          <w:tcPr>
            <w:tcW w:w="13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(0.94)</w:t>
            </w:r>
          </w:p>
        </w:tc>
        <w:tc>
          <w:tcPr>
            <w:tcW w:w="13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2.55</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(268,529)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256,957</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(20,050)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15,902</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(252,627)</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257,122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(18,908)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214</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28, 2021</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(253,761)</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257,328</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(18,430)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(265,423)</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255,996</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(29,114)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5,320</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(260,103)</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256,165</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(28,797)</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(5,367)</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269</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451</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29, 2020</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(265,470)</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256,235</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(28,481)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26 Weeks Ended</w:t>
            </w:r>
          </w:p>
        </w:tc>
        <w:tc>
          <w:tcPr>
            <w:tcW w:w="0" w:type="dxa"/>
            <w:vAlign w:val="bottom"/>
          </w:tcPr>
          <w:p>
            <w:pPr>
              <w:spacing w:after="0"/>
              <w:rPr>
                <w:sz w:val="1"/>
                <w:szCs w:val="1"/>
                <w:color w:val="auto"/>
              </w:rPr>
            </w:pPr>
          </w:p>
        </w:tc>
      </w:tr>
      <w:tr>
        <w:trPr>
          <w:trHeight w:val="195"/>
        </w:trPr>
        <w:tc>
          <w:tcPr>
            <w:tcW w:w="80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720" w:type="dxa"/>
            <w:vAlign w:val="bottom"/>
          </w:tcPr>
          <w:p>
            <w:pPr>
              <w:jc w:val="right"/>
              <w:spacing w:after="0" w:line="195" w:lineRule="exact"/>
              <w:rPr>
                <w:sz w:val="20"/>
                <w:szCs w:val="20"/>
                <w:color w:val="auto"/>
              </w:rPr>
            </w:pPr>
            <w:r>
              <w:rPr>
                <w:rFonts w:ascii="Arial" w:cs="Arial" w:eastAsia="Arial" w:hAnsi="Arial"/>
                <w:sz w:val="18"/>
                <w:szCs w:val="18"/>
                <w:color w:val="auto"/>
              </w:rPr>
              <w:t>March 28,</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15,795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22,958</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12,310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6,696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Return of collateral on (Payments to collateralize) letters of credit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assets</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782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(3,291)</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5,563</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39,253</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10,698</w:t>
            </w:r>
          </w:p>
        </w:tc>
        <w:tc>
          <w:tcPr>
            <w:tcW w:w="0" w:type="dxa"/>
            <w:vAlign w:val="bottom"/>
          </w:tcPr>
          <w:p>
            <w:pPr>
              <w:spacing w:after="0"/>
              <w:rPr>
                <w:sz w:val="1"/>
                <w:szCs w:val="1"/>
                <w:color w:val="auto"/>
              </w:rPr>
            </w:pPr>
          </w:p>
        </w:tc>
      </w:tr>
      <w:tr>
        <w:trPr>
          <w:trHeight w:val="196"/>
        </w:trPr>
        <w:tc>
          <w:tcPr>
            <w:tcW w:w="8040" w:type="dxa"/>
            <w:vAlign w:val="bottom"/>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2,751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17,637</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(130,985)</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TNI and MNI</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(required for) investing activities</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(119,711)</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long term debt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576,000</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(39,375)</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(443,627)</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(required for) financing activities</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(39,534)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131,192</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22,179</w:t>
            </w:r>
          </w:p>
        </w:tc>
        <w:tc>
          <w:tcPr>
            <w:tcW w:w="0" w:type="dxa"/>
            <w:vAlign w:val="bottom"/>
          </w:tcPr>
          <w:p>
            <w:pPr>
              <w:spacing w:after="0"/>
              <w:rPr>
                <w:sz w:val="1"/>
                <w:szCs w:val="1"/>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1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33,733</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period</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33,753</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700" w:right="3220" w:hanging="4692"/>
        <w:spacing w:after="0" w:line="482"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28, 2021 and our results of operations and cash flows for the periods presented. The Consolidated Financial Statements should be read in conjunction with the Consolidated Financial Statements and Notes thereto included in the Company's 2020 Annual Report on Form 10-K.</w:t>
      </w:r>
    </w:p>
    <w:p>
      <w:pPr>
        <w:spacing w:after="0" w:line="19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and 26 weeks ended March 28, 2021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“2021”, “2020”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83"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Certain amounts in prior period Consolidated Financial Statements have been reclassified to conform to the current year presentation. Pursuant to our acquisition of BHMG and the Buffalo News, we realigned the presentation of certain home delivery print revenue and certain other Subscription revenue from Other revenue to Subscription revenue on the Consolidated Statements of Income (loss) and Comprehensive Income (loss). As a result of this updated presentation, Subscription revenue increased and Other revenue decreased for the 13 weeks ended March 29, 2020 by $500,000, the 26 weeks ended March 29, 2020 by $975,000 and the 13 weeks ended December 27, 2020 by $794,000. Operating revenues, net income (loss), accumulated deficit, and earnings per share remained unchanged.</w:t>
      </w:r>
    </w:p>
    <w:p>
      <w:pPr>
        <w:spacing w:after="0" w:line="18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On February 25, 2021, our Board of Directors declared a one-for-ten split of the Company's common stock effected (the "Reverse Stock Split"). Effective March 15, 2021 the Company's shares began trading on a post reverse split basis. Prior period results have been adjusted to reflect the one-for-ten reverse stock split in March 2021. The split did not change the Company's Common Stock Par value but changed opening Common Stock and Additional Paid in Capital balances by offsetting amounts. Additionally, in March 29, 2020, we had outstanding shares of 58,135,910 which were adjusted to 5,813,591 to give effect to the Reverse Stock Split.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the acquisition.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in the near term,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ectPr>
          <w:pgSz w:w="11900" w:h="16838" w:orient="portrait"/>
          <w:cols w:equalWidth="0" w:num="1">
            <w:col w:w="11240"/>
          </w:cols>
          <w:pgMar w:left="320" w:top="125" w:right="339" w:bottom="684"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84"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June 2016, the FASB issued a new standard to replace the incurred loss impairment methodology with a methodology that reflects expected credit losses and requires consideration of a wider array of reasonable and supportable information to inform and develop credit loss estimates ("ASC 326"). We are required to use a forward-looking expected credit loss model for both accounts receivables and other financial instruments. The new standard was adopted on September 28, 2020 using a modified retrospective approach. This standard did not have a material impact on our Consolidated Financial Statements.</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August 2018, the FASB issued new guidance that changes disclosure requirements related to fair value measurements as part of the disclosure framework project. The disclosure framework project aims to improve the effectiveness of disclosures in the notes to the financial statements by focusing on requirements that clearly communicate the most important information to users of the financial statements ("ASU 2018-14"). The new guidance was adopted on September 28, 2020 and did not have a material impact on our Consolidated Financial Statements.</w:t>
      </w:r>
    </w:p>
    <w:p>
      <w:pPr>
        <w:spacing w:after="0" w:line="189"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December 2019, the FASB issued new guidance that simplifies the accounting for income taxes by eliminating certain exceptions to the guidance in Accounting Standards Codification ("ASC") 740 related to the approach for intraperiod tax allocation, the methodology for calculating income taxes in an interim period and the recognition for deferred tax liabilities for outside basis differences. The standard also simplifies aspects of the accounting for franchise taxes and enacted changes in tax laws or rates and clarifies the accounting for transactions that result in a step-up in the tax basis of goodwill. This new guidance was adopted September 28, 2020 and did not have a material impact on our Consolidated Financial Statements.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August 2018, FASB issued a new standard to amend disclosure requirements for employers that sponsor defined benefit pension or other postretirement plans ("ASU 2018-13"). The new standard will be adopted beginning September 27, 2021 using a retrospective approach. The Company is still evaluating the impacts to our financial statement disclosures.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October 2020, FASB issued new guidance containing amendments that improve consistency of the Codification. Many of the amendments arose because the FASB provided an option to give certain information either on the face of the financial statements or in the notes to financial statements. The Company is still evaluating the impacts to our financial statement disclosures.</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2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13 Weeks Ended</w:t>
            </w:r>
          </w:p>
        </w:tc>
        <w:tc>
          <w:tcPr>
            <w:tcW w:w="25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6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tcPr>
          <w:p>
            <w:pPr>
              <w:jc w:val="right"/>
              <w:spacing w:after="0" w:line="195" w:lineRule="exact"/>
              <w:rPr>
                <w:sz w:val="20"/>
                <w:szCs w:val="20"/>
                <w:color w:val="auto"/>
              </w:rPr>
            </w:pPr>
            <w:r>
              <w:rPr>
                <w:rFonts w:ascii="Arial" w:cs="Arial" w:eastAsia="Arial" w:hAnsi="Arial"/>
                <w:sz w:val="18"/>
                <w:szCs w:val="18"/>
                <w:color w:val="auto"/>
              </w:rPr>
              <w:t>March 28,</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29,</w:t>
            </w:r>
          </w:p>
        </w:tc>
        <w:tc>
          <w:tcPr>
            <w:tcW w:w="13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28,</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6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85,575</w:t>
            </w:r>
          </w:p>
        </w:tc>
        <w:tc>
          <w:tcPr>
            <w:tcW w:w="1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60,945</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188,204</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126,672</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89,777</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46,943</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181,080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89,113</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4,820</w:t>
            </w:r>
          </w:p>
        </w:tc>
        <w:tc>
          <w:tcPr>
            <w:tcW w:w="1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4,905</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9,966</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12,258</w:t>
            </w:r>
          </w:p>
        </w:tc>
        <w:tc>
          <w:tcPr>
            <w:tcW w:w="16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8,574</w:t>
            </w:r>
          </w:p>
        </w:tc>
        <w:tc>
          <w:tcPr>
            <w:tcW w:w="1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24,998</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192,430</w:t>
            </w:r>
          </w:p>
        </w:tc>
        <w:tc>
          <w:tcPr>
            <w:tcW w:w="16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121,367</w:t>
            </w:r>
          </w:p>
        </w:tc>
        <w:tc>
          <w:tcPr>
            <w:tcW w:w="1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404,248</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243,710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3"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ind w:left="660" w:right="8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$63,870,000 as of March 28, 2021 and $60,271,000 as of September 27, 2020. Revenue recognized in the 13 and 26 weeks ended March 28, 2021 that was included in the contract liability as of September 27, 2020 was $12,548,000 and $48,562,000, respectively.</w:t>
      </w:r>
    </w:p>
    <w:p>
      <w:pPr>
        <w:spacing w:after="0" w:line="18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Accounts receivable, excluding allowance for credit losses was $69,289,000 and $66,029,000 as of March 28, 2021 and September 27, 2020, respectively. Allowance for credit losses was $9,138,000 and $13,431,000 as of March 28, 2021 and September 27, 2020, respectively.</w:t>
      </w:r>
    </w:p>
    <w:p>
      <w:pPr>
        <w:spacing w:after="0" w:line="171"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are recorded within compensation. The vast majority of our contracts have original expected lengths of one year or less and revenue is earned at a rate and amount that corresponds directly with the value to the customer.</w:t>
      </w:r>
    </w:p>
    <w:p>
      <w:pPr>
        <w:sectPr>
          <w:pgSz w:w="11900" w:h="16838" w:orient="portrait"/>
          <w:cols w:equalWidth="0" w:num="1">
            <w:col w:w="11320"/>
          </w:cols>
          <w:pgMar w:left="320" w:top="125" w:right="259" w:bottom="1440" w:gutter="0" w:footer="0" w:header="0"/>
        </w:sectPr>
      </w:pP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right="6820" w:hanging="652"/>
        <w:spacing w:after="0" w:line="4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8"/>
        </w:trPr>
        <w:tc>
          <w:tcPr>
            <w:tcW w:w="452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210"/>
              <w:spacing w:after="0" w:line="198" w:lineRule="exact"/>
              <w:rPr>
                <w:sz w:val="20"/>
                <w:szCs w:val="20"/>
                <w:color w:val="auto"/>
              </w:rPr>
            </w:pPr>
            <w:r>
              <w:rPr>
                <w:rFonts w:ascii="Arial" w:cs="Arial" w:eastAsia="Arial" w:hAnsi="Arial"/>
                <w:sz w:val="18"/>
                <w:szCs w:val="18"/>
                <w:color w:val="auto"/>
                <w:w w:val="99"/>
              </w:rPr>
              <w:t>13 Weeks Ended</w:t>
            </w:r>
          </w:p>
        </w:tc>
        <w:tc>
          <w:tcPr>
            <w:tcW w:w="2540" w:type="dxa"/>
            <w:vAlign w:val="bottom"/>
            <w:tcBorders>
              <w:top w:val="single" w:sz="8" w:color="auto"/>
              <w:bottom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20" w:type="dxa"/>
            <w:vAlign w:val="bottom"/>
          </w:tcPr>
          <w:p>
            <w:pPr>
              <w:jc w:val="right"/>
              <w:spacing w:after="0" w:line="195" w:lineRule="exact"/>
              <w:rPr>
                <w:sz w:val="20"/>
                <w:szCs w:val="20"/>
                <w:color w:val="auto"/>
              </w:rPr>
            </w:pPr>
            <w:r>
              <w:rPr>
                <w:rFonts w:ascii="Arial" w:cs="Arial" w:eastAsia="Arial" w:hAnsi="Arial"/>
                <w:sz w:val="18"/>
                <w:szCs w:val="18"/>
                <w:color w:val="auto"/>
              </w:rPr>
              <w:t>March 28,</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29,</w:t>
            </w:r>
          </w:p>
        </w:tc>
        <w:tc>
          <w:tcPr>
            <w:tcW w:w="13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28,</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6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8,759</w:t>
            </w:r>
          </w:p>
        </w:tc>
        <w:tc>
          <w:tcPr>
            <w:tcW w:w="1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10,185</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18,159</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6,424</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7,766</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13,429</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15,931</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2,335</w:t>
            </w:r>
          </w:p>
        </w:tc>
        <w:tc>
          <w:tcPr>
            <w:tcW w:w="16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2,419</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4,730</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183"/>
        </w:trPr>
        <w:tc>
          <w:tcPr>
            <w:tcW w:w="452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1920" w:type="dxa"/>
            <w:vAlign w:val="bottom"/>
          </w:tcPr>
          <w:p>
            <w:pPr>
              <w:jc w:val="right"/>
              <w:spacing w:after="0" w:line="183" w:lineRule="exact"/>
              <w:rPr>
                <w:sz w:val="20"/>
                <w:szCs w:val="20"/>
                <w:color w:val="auto"/>
              </w:rPr>
            </w:pPr>
            <w:r>
              <w:rPr>
                <w:rFonts w:ascii="Arial" w:cs="Arial" w:eastAsia="Arial" w:hAnsi="Arial"/>
                <w:sz w:val="18"/>
                <w:szCs w:val="18"/>
                <w:color w:val="auto"/>
              </w:rPr>
              <w:t>1,168</w:t>
            </w:r>
          </w:p>
        </w:tc>
        <w:tc>
          <w:tcPr>
            <w:tcW w:w="168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1,210</w:t>
            </w:r>
          </w:p>
        </w:tc>
        <w:tc>
          <w:tcPr>
            <w:tcW w:w="13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2,365</w:t>
            </w:r>
          </w:p>
        </w:tc>
        <w:tc>
          <w:tcPr>
            <w:tcW w:w="11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1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105</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1,168</w:t>
            </w:r>
          </w:p>
        </w:tc>
        <w:tc>
          <w:tcPr>
            <w:tcW w:w="1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1,105</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2,365</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TNI makes weekly distributions of its earnings and for the 13 weeks ended March 28, 2021 and March 29, 2020 we received $1,561,000 and $953,000 in distributions, respectively. In the 26 weeks ended March 28, 2021 and March 29, 2020, we received $2,617,000 and $1,691,000 in distributions,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13 Weeks Ended</w:t>
            </w:r>
          </w:p>
        </w:tc>
        <w:tc>
          <w:tcPr>
            <w:tcW w:w="25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March 28,</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29,</w:t>
            </w:r>
          </w:p>
        </w:tc>
        <w:tc>
          <w:tcPr>
            <w:tcW w:w="13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March 28,</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6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11,024</w:t>
            </w:r>
          </w:p>
        </w:tc>
        <w:tc>
          <w:tcPr>
            <w:tcW w:w="1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12,325</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22,946</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w:t>
            </w:r>
          </w:p>
        </w:tc>
        <w:tc>
          <w:tcPr>
            <w:tcW w:w="1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Arial" w:cs="Arial" w:eastAsia="Arial" w:hAnsi="Arial"/>
                <w:sz w:val="18"/>
                <w:szCs w:val="18"/>
                <w:color w:val="auto"/>
              </w:rPr>
              <w:t>and amortization</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10,237</w:t>
            </w:r>
          </w:p>
        </w:tc>
        <w:tc>
          <w:tcPr>
            <w:tcW w:w="16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11,561</w:t>
            </w:r>
          </w:p>
        </w:tc>
        <w:tc>
          <w:tcPr>
            <w:tcW w:w="138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20,667</w:t>
            </w:r>
          </w:p>
        </w:tc>
        <w:tc>
          <w:tcPr>
            <w:tcW w:w="11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106</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197</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292</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16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567</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1,881</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183"/>
        </w:trPr>
        <w:tc>
          <w:tcPr>
            <w:tcW w:w="534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605</w:t>
            </w:r>
          </w:p>
        </w:tc>
        <w:tc>
          <w:tcPr>
            <w:tcW w:w="168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514</w:t>
            </w:r>
          </w:p>
        </w:tc>
        <w:tc>
          <w:tcPr>
            <w:tcW w:w="1380" w:type="dxa"/>
            <w:vAlign w:val="bottom"/>
          </w:tcPr>
          <w:p>
            <w:pPr>
              <w:jc w:val="right"/>
              <w:ind w:right="190"/>
              <w:spacing w:after="0" w:line="183" w:lineRule="exact"/>
              <w:rPr>
                <w:sz w:val="20"/>
                <w:szCs w:val="20"/>
                <w:color w:val="auto"/>
              </w:rPr>
            </w:pPr>
            <w:r>
              <w:rPr>
                <w:rFonts w:ascii="Arial" w:cs="Arial" w:eastAsia="Arial" w:hAnsi="Arial"/>
                <w:sz w:val="18"/>
                <w:szCs w:val="18"/>
                <w:color w:val="auto"/>
              </w:rPr>
              <w:t>1,694</w:t>
            </w:r>
          </w:p>
        </w:tc>
        <w:tc>
          <w:tcPr>
            <w:tcW w:w="11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MNI</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16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257</w:t>
            </w:r>
          </w:p>
        </w:tc>
        <w:tc>
          <w:tcPr>
            <w:tcW w:w="1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847</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MNI makes quarterly distributions of its earnings and in the 13 weeks ended March 28, 2021 and March 29, 2020, we received dividends of $1,150,000 and $1,000,000, respectively. In the 26 weeks ended March 28, 2021 and March 29, 2020, we received dividends of $1,150,000 and $1,000,000 respectively.</w:t>
      </w:r>
    </w:p>
    <w:p>
      <w:pPr>
        <w:spacing w:after="0" w:line="200" w:lineRule="exact"/>
        <w:rPr>
          <w:sz w:val="20"/>
          <w:szCs w:val="20"/>
          <w:color w:val="auto"/>
        </w:rPr>
      </w:pPr>
    </w:p>
    <w:p>
      <w:pPr>
        <w:spacing w:after="0" w:line="210" w:lineRule="exact"/>
        <w:rPr>
          <w:sz w:val="20"/>
          <w:szCs w:val="20"/>
          <w:color w:val="auto"/>
        </w:rPr>
      </w:pPr>
    </w:p>
    <w:p>
      <w:pPr>
        <w:ind w:left="660" w:right="6020" w:hanging="652"/>
        <w:spacing w:after="0" w:line="511"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660" w:type="dxa"/>
        <w:tblCellMar>
          <w:top w:w="0" w:type="dxa"/>
          <w:left w:w="0" w:type="dxa"/>
          <w:bottom w:w="0" w:type="dxa"/>
          <w:right w:w="0" w:type="dxa"/>
        </w:tblCellMar>
      </w:tblPr>
      <w:tr>
        <w:trPr>
          <w:trHeight w:val="196"/>
        </w:trPr>
        <w:tc>
          <w:tcPr>
            <w:tcW w:w="6280" w:type="dxa"/>
            <w:vAlign w:val="bottom"/>
            <w:tcBorders>
              <w:top w:val="single" w:sz="8" w:color="auto"/>
            </w:tcBorders>
          </w:tcPr>
          <w:p>
            <w:pPr>
              <w:spacing w:after="0"/>
              <w:rPr>
                <w:sz w:val="17"/>
                <w:szCs w:val="17"/>
                <w:color w:val="auto"/>
              </w:rPr>
            </w:pPr>
          </w:p>
        </w:tc>
        <w:tc>
          <w:tcPr>
            <w:tcW w:w="43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26 Weeks</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95"/>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vMerge w:val="continue"/>
          </w:tcPr>
          <w:p>
            <w:pPr>
              <w:spacing w:after="0"/>
              <w:rPr>
                <w:sz w:val="17"/>
                <w:szCs w:val="17"/>
                <w:color w:val="auto"/>
              </w:rPr>
            </w:pPr>
          </w:p>
        </w:tc>
        <w:tc>
          <w:tcPr>
            <w:tcW w:w="4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4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1,617,174</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4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as of September 27, 2020</w:t>
            </w:r>
          </w:p>
        </w:tc>
        <w:tc>
          <w:tcPr>
            <w:tcW w:w="43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328,445</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43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4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330,204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630"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63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7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March 28,</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auto"/>
            </w:tcBorders>
            <w:vMerge w:val="continue"/>
          </w:tcPr>
          <w:p>
            <w:pPr>
              <w:spacing w:after="0"/>
              <w:rPr>
                <w:sz w:val="17"/>
                <w:szCs w:val="17"/>
                <w:color w:val="auto"/>
              </w:rPr>
            </w:pPr>
          </w:p>
        </w:tc>
        <w:tc>
          <w:tcPr>
            <w:tcW w:w="3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Mastheads</w:t>
            </w:r>
          </w:p>
        </w:tc>
        <w:tc>
          <w:tcPr>
            <w:tcW w:w="3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40,459</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40,459</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774,155</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774,604</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3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645,653</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632,457</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128,502</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142,147</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28,656</w:t>
            </w:r>
          </w:p>
        </w:tc>
        <w:tc>
          <w:tcPr>
            <w:tcW w:w="15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28,656</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28,620</w:t>
            </w:r>
          </w:p>
        </w:tc>
        <w:tc>
          <w:tcPr>
            <w:tcW w:w="15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shd w:val="clear" w:color="auto" w:fill="CCEEFF"/>
          </w:tcPr>
          <w:p>
            <w:pPr>
              <w:spacing w:after="0"/>
              <w:rPr>
                <w:sz w:val="17"/>
                <w:szCs w:val="17"/>
                <w:color w:val="auto"/>
              </w:rPr>
            </w:pPr>
          </w:p>
        </w:tc>
        <w:tc>
          <w:tcPr>
            <w:tcW w:w="3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36</w:t>
            </w:r>
          </w:p>
        </w:tc>
        <w:tc>
          <w:tcPr>
            <w:tcW w:w="15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168,997</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182,680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recognized $ 27,620,000 of advertiser relationships, $27,850,000 of subscriber relationships, $19,560,000 of commercial print relationships and $20,390,000 of indefinite-lived masthead assets as part of the Transactions as defined in Note 7.</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Annual amortization of intangible assets for the five years ending December 2022 to December 2026 is estimated to be $22,250,000, $20,427,000, $18,738,000, $14,745,000, and $7,651,000, respectively. The weighted average amortization period for those amortizable assets acquired as part of the Transactions is 14.0 years.</w:t>
      </w:r>
    </w:p>
    <w:p>
      <w:pPr>
        <w:spacing w:after="0" w:line="20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 recognized $79,896,000 of Goodwill as part of the Transactions as defined in Note 7. The value of the acquired Goodwill is primarily related to an assembled workforce and expected synergies from combining operations. For tax purposes, the amount of Goodwill that is expected to be deductible is $42,442,000. Refer to Note 7 for more information regarding final purchase accounting for the Transactions.</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2020 in connection with the closing of the Transactions as defined in Note 7,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used, along with cash on hand, to repay the Company's $431,502,000 in existing debt as well as to fund the acquisition of the BH Media Newspaper Business assets and the stock of the Buffalo News for $140,000,000 in cash. With the closing of this refinancing, BH Finance became Lee's sole lender. The Credit Agreement documents the primary terms of the Term Loan. The Term Loan matures on March 16, 2045.</w:t>
      </w:r>
    </w:p>
    <w:p>
      <w:pPr>
        <w:spacing w:after="0" w:line="189"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As of March 28, 2021, the Company had $498,915,000 in aggregate principal outstanding under the Term Loan. The weighted average cost of debt at March 28, 2021 is 9.0%. During the 13 weeks ended March 28, 2021 the Company made a voluntary prepayment on the Term Loan of $7,500,000.</w:t>
      </w:r>
    </w:p>
    <w:p>
      <w:pPr>
        <w:spacing w:after="0" w:line="189"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For the 13-weeks ended March 28, 2021 excess cash flow (as such term is defined in the Term Loan) totaled $13,753,000 and was used to pay debt in April 2021. This balance was recognized in current maturities of long-term debt as of March 28, 2021 in the Consolidated Balance Sheets. Future payments are contingent on the Company's ability to generate future excess cash flow, as defined in the Credit Agreement.</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88" w:lineRule="exact"/>
        <w:rPr>
          <w:rFonts w:ascii="Arial" w:cs="Arial" w:eastAsia="Arial" w:hAnsi="Arial"/>
          <w:sz w:val="18"/>
          <w:szCs w:val="18"/>
          <w:b w:val="1"/>
          <w:bCs w:val="1"/>
          <w:color w:val="auto"/>
        </w:rPr>
      </w:pPr>
    </w:p>
    <w:p>
      <w:pPr>
        <w:jc w:val="both"/>
        <w:ind w:left="660" w:right="8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 (ii) 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Credit Agreement are not subject to call premiums and are payable at par.</w:t>
      </w:r>
    </w:p>
    <w:p>
      <w:pPr>
        <w:spacing w:after="0" w:line="19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1180" w:right="26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lease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1180" w:hanging="33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1180" w:hanging="335"/>
        <w:spacing w:after="0" w:line="246"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prepayments of the Term Loan shall be accompanied by payment of all accrued interest on the amount of principal prepaid to the date of prepayment.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 shares of Common Stock, subject to adjustment pursuant to anti -dilution provisions (the “Warrants”). The Warrants represent, when fully exercised, approximately 10.4% of shares of Common Stock outstanding at March 30, 2014 on a fully diluted basis. The exercise price of the Warrants is $ 41.90 per share. The Warrants are set to expire in March 2022. Shares and exercise price have been adjusted to reflect the reverse stock split as defined in Note 1.</w:t>
      </w:r>
    </w:p>
    <w:p>
      <w:pPr>
        <w:spacing w:after="0" w:line="20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11.</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including plans established under collective bargaining agreements.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88"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provide retiree medical and life insurance benefits under postretirement plans at several of our operating locations.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With the exception of defined benefit plans acquired in the Transactions as defined in Note 7, effective in 2012, substantially all benefits are frozen. Our liability and related expenses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the 13 weeks ended December 27, 2020 we notified certain participants in our post-employment benefit plans of changes to be made to the plans, including elimination of coverage for certain participants. The changes resulted in a non-cash curtailment gain of $23,830,000 and a reduction in our benefit obligation liability by $23,830,000. This is recorded within Curtailment gain and Postretirement and postemployment benefit obligations.</w:t>
      </w:r>
    </w:p>
    <w:p>
      <w:pPr>
        <w:sectPr>
          <w:pgSz w:w="11900" w:h="16838" w:orient="portrait"/>
          <w:cols w:equalWidth="0" w:num="1">
            <w:col w:w="11320"/>
          </w:cols>
          <w:pgMar w:left="320" w:top="125" w:right="259" w:bottom="1440"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a fiscal year end measurement date for all of our Pension and postretirement medical plan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PENSION PLANS</w:t>
            </w:r>
          </w:p>
        </w:tc>
        <w:tc>
          <w:tcPr>
            <w:tcW w:w="338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13 Weeks Ended</w:t>
            </w:r>
          </w:p>
        </w:tc>
        <w:tc>
          <w:tcPr>
            <w:tcW w:w="25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8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28,</w:t>
            </w:r>
          </w:p>
        </w:tc>
        <w:tc>
          <w:tcPr>
            <w:tcW w:w="14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29,</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28,</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19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633</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103</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1,266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1,787</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1,420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3,574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(4,672)</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(2,321)</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(9,344)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1,005</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792</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2,009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9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19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(1,248)</w:t>
            </w:r>
          </w:p>
        </w:tc>
        <w:tc>
          <w:tcPr>
            <w:tcW w:w="1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(8)</w:t>
            </w:r>
          </w:p>
        </w:tc>
        <w:tc>
          <w:tcPr>
            <w:tcW w:w="1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(2,496)</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gridSpan w:val="2"/>
          </w:tcPr>
          <w:p>
            <w:pPr>
              <w:spacing w:after="0" w:line="20" w:lineRule="exact"/>
              <w:rPr>
                <w:sz w:val="1"/>
                <w:szCs w:val="1"/>
                <w:color w:val="auto"/>
              </w:rPr>
            </w:pPr>
          </w:p>
        </w:tc>
        <w:tc>
          <w:tcPr>
            <w:tcW w:w="2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2"/>
          </w:tcPr>
          <w:p>
            <w:pPr>
              <w:spacing w:after="0"/>
              <w:rPr>
                <w:sz w:val="15"/>
                <w:szCs w:val="15"/>
                <w:color w:val="auto"/>
              </w:rPr>
            </w:pPr>
          </w:p>
        </w:tc>
        <w:tc>
          <w:tcPr>
            <w:tcW w:w="25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80" w:type="dxa"/>
            <w:vAlign w:val="bottom"/>
            <w:tcBorders>
              <w:bottom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color w:val="auto"/>
              </w:rPr>
              <w:t>13 Weeks Ended</w:t>
            </w:r>
          </w:p>
        </w:tc>
        <w:tc>
          <w:tcPr>
            <w:tcW w:w="25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8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28,</w:t>
            </w:r>
          </w:p>
        </w:tc>
        <w:tc>
          <w:tcPr>
            <w:tcW w:w="14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29,</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28,</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19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240</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450</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239</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110</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(252)</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(265)</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(504)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19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(172)</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(186)</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(344)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9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(162)</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(161)</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(323)</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19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(23,830)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19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(107)</w:t>
            </w:r>
          </w:p>
        </w:tc>
        <w:tc>
          <w:tcPr>
            <w:tcW w:w="1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(466)</w:t>
            </w:r>
          </w:p>
        </w:tc>
        <w:tc>
          <w:tcPr>
            <w:tcW w:w="1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(24,189)</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the 26 weeks ended March 28, 2021 we contributed $965,000 to our pension plans. In March 2021, The American Rescue Plan Act was signed into law. Among other things, the law changed how companies compute minimum required pension contributions. As a result we expect to make no additional contributions to our pension trust during the remainder of fiscal 2021.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During the 13 weeks ended December 27, 2020, we withdrew from a multiemployer pension plan and recorded a $12,310,000 liability reflecting an estimate of the withdrawal from the fund. The withdrawal liability is recorded in Warrants and other and the expense is included within Pension withdrawal cost. The liability will be paid over 20 years.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660" w:right="80"/>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BHMG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92"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allocation of the purchase price is final. As part of the Transactions, the Company also entered into the Credit Agreement and the BH Lease, as described below. The Company concluded that these agreements were not separate from the Transactions and evaluated these agreements for off-market terms and no such terms were identified. As such, the consideration for the acquisitions was limited to cash consideration, as shown below. The accounting for the Credit Agreement is described in Note 5 and the BH Lease in the following paragraph:</w:t>
      </w:r>
    </w:p>
    <w:p>
      <w:pPr>
        <w:spacing w:after="0" w:line="202"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BHMG,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ectPr>
          <w:pgSz w:w="11900" w:h="16838" w:orient="portrait"/>
          <w:cols w:equalWidth="0" w:num="1">
            <w:col w:w="11320"/>
          </w:cols>
          <w:pgMar w:left="320" w:top="125" w:right="259" w:bottom="1440" w:gutter="0" w:footer="0" w:header="0"/>
        </w:sectPr>
      </w:pP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final determination of fair values of the assets and liabilities for the Transactions.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Thousands)</w:t>
            </w:r>
          </w:p>
        </w:tc>
        <w:tc>
          <w:tcPr>
            <w:tcW w:w="2680" w:type="dxa"/>
            <w:vAlign w:val="bottom"/>
            <w:tcBorders>
              <w:top w:val="single" w:sz="8" w:color="auto"/>
            </w:tcBorders>
          </w:tcPr>
          <w:p>
            <w:pPr>
              <w:jc w:val="right"/>
              <w:ind w:right="410"/>
              <w:spacing w:after="0" w:line="193" w:lineRule="exact"/>
              <w:rPr>
                <w:sz w:val="20"/>
                <w:szCs w:val="20"/>
                <w:color w:val="auto"/>
              </w:rPr>
            </w:pPr>
            <w:r>
              <w:rPr>
                <w:rFonts w:ascii="Arial" w:cs="Arial" w:eastAsia="Arial" w:hAnsi="Arial"/>
                <w:sz w:val="18"/>
                <w:szCs w:val="18"/>
                <w:b w:val="1"/>
                <w:bCs w:val="1"/>
                <w:color w:val="auto"/>
              </w:rPr>
              <w:t>Estimated fair value as</w:t>
            </w:r>
          </w:p>
        </w:tc>
        <w:tc>
          <w:tcPr>
            <w:tcW w:w="2420" w:type="dxa"/>
            <w:vAlign w:val="bottom"/>
            <w:tcBorders>
              <w:top w:val="single" w:sz="8" w:color="auto"/>
            </w:tcBorders>
          </w:tcPr>
          <w:p>
            <w:pPr>
              <w:jc w:val="right"/>
              <w:ind w:right="350"/>
              <w:spacing w:after="0" w:line="193" w:lineRule="exact"/>
              <w:rPr>
                <w:sz w:val="20"/>
                <w:szCs w:val="20"/>
                <w:color w:val="auto"/>
              </w:rPr>
            </w:pPr>
            <w:r>
              <w:rPr>
                <w:rFonts w:ascii="Arial" w:cs="Arial" w:eastAsia="Arial" w:hAnsi="Arial"/>
                <w:sz w:val="18"/>
                <w:szCs w:val="18"/>
                <w:b w:val="1"/>
                <w:bCs w:val="1"/>
                <w:color w:val="auto"/>
              </w:rPr>
              <w:t>Measurement period</w:t>
            </w:r>
          </w:p>
        </w:tc>
        <w:tc>
          <w:tcPr>
            <w:tcW w:w="22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Fair value as adjusted</w:t>
            </w:r>
          </w:p>
        </w:tc>
        <w:tc>
          <w:tcPr>
            <w:tcW w:w="0" w:type="dxa"/>
            <w:vAlign w:val="bottom"/>
          </w:tcPr>
          <w:p>
            <w:pPr>
              <w:spacing w:after="0"/>
              <w:rPr>
                <w:sz w:val="1"/>
                <w:szCs w:val="1"/>
                <w:color w:val="auto"/>
              </w:rPr>
            </w:pPr>
          </w:p>
        </w:tc>
      </w:tr>
      <w:tr>
        <w:trPr>
          <w:trHeight w:val="131"/>
        </w:trPr>
        <w:tc>
          <w:tcPr>
            <w:tcW w:w="3280" w:type="dxa"/>
            <w:vAlign w:val="bottom"/>
            <w:vMerge w:val="continue"/>
          </w:tcPr>
          <w:p>
            <w:pPr>
              <w:spacing w:after="0"/>
              <w:rPr>
                <w:sz w:val="11"/>
                <w:szCs w:val="11"/>
                <w:color w:val="auto"/>
              </w:rPr>
            </w:pPr>
          </w:p>
        </w:tc>
        <w:tc>
          <w:tcPr>
            <w:tcW w:w="26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previously reported (a)</w:t>
            </w:r>
          </w:p>
        </w:tc>
        <w:tc>
          <w:tcPr>
            <w:tcW w:w="24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adjustments</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28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vMerge w:val="continue"/>
          </w:tcPr>
          <w:p>
            <w:pPr>
              <w:spacing w:after="0"/>
              <w:rPr>
                <w:sz w:val="8"/>
                <w:szCs w:val="8"/>
                <w:color w:val="auto"/>
              </w:rPr>
            </w:pPr>
          </w:p>
        </w:tc>
        <w:tc>
          <w:tcPr>
            <w:tcW w:w="2420" w:type="dxa"/>
            <w:vAlign w:val="bottom"/>
            <w:tcBorders>
              <w:bottom w:val="single" w:sz="8" w:color="auto"/>
            </w:tcBorders>
            <w:vMerge w:val="continue"/>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Cash and Cash equivalents</w:t>
            </w:r>
          </w:p>
        </w:tc>
        <w:tc>
          <w:tcPr>
            <w:tcW w:w="26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22,293</w:t>
            </w:r>
          </w:p>
        </w:tc>
        <w:tc>
          <w:tcPr>
            <w:tcW w:w="242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2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52,559</w:t>
            </w:r>
          </w:p>
        </w:tc>
        <w:tc>
          <w:tcPr>
            <w:tcW w:w="2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(855)</w:t>
            </w:r>
          </w:p>
        </w:tc>
        <w:tc>
          <w:tcPr>
            <w:tcW w:w="2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assets</w:t>
            </w:r>
          </w:p>
        </w:tc>
        <w:tc>
          <w:tcPr>
            <w:tcW w:w="2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12,167</w:t>
            </w:r>
          </w:p>
        </w:tc>
        <w:tc>
          <w:tcPr>
            <w:tcW w:w="24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4,343</w:t>
            </w:r>
          </w:p>
        </w:tc>
        <w:tc>
          <w:tcPr>
            <w:tcW w:w="2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2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42,952</w:t>
            </w:r>
          </w:p>
        </w:tc>
        <w:tc>
          <w:tcPr>
            <w:tcW w:w="2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w:t>
            </w:r>
          </w:p>
        </w:tc>
        <w:tc>
          <w:tcPr>
            <w:tcW w:w="2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42,985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assets</w:t>
            </w:r>
          </w:p>
        </w:tc>
        <w:tc>
          <w:tcPr>
            <w:tcW w:w="2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7,445</w:t>
            </w:r>
          </w:p>
        </w:tc>
        <w:tc>
          <w:tcPr>
            <w:tcW w:w="24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101</w:t>
            </w:r>
          </w:p>
        </w:tc>
        <w:tc>
          <w:tcPr>
            <w:tcW w:w="2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Advertiser relationships</w:t>
            </w:r>
          </w:p>
        </w:tc>
        <w:tc>
          <w:tcPr>
            <w:tcW w:w="2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38,780</w:t>
            </w:r>
          </w:p>
        </w:tc>
        <w:tc>
          <w:tcPr>
            <w:tcW w:w="2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(11,160)</w:t>
            </w:r>
          </w:p>
        </w:tc>
        <w:tc>
          <w:tcPr>
            <w:tcW w:w="2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27,620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Subscriber relationships</w:t>
            </w:r>
          </w:p>
        </w:tc>
        <w:tc>
          <w:tcPr>
            <w:tcW w:w="2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36,060</w:t>
            </w:r>
          </w:p>
        </w:tc>
        <w:tc>
          <w:tcPr>
            <w:tcW w:w="2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(8,210)</w:t>
            </w:r>
          </w:p>
        </w:tc>
        <w:tc>
          <w:tcPr>
            <w:tcW w:w="2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Commercial print relationships</w:t>
            </w:r>
          </w:p>
        </w:tc>
        <w:tc>
          <w:tcPr>
            <w:tcW w:w="2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17,130</w:t>
            </w:r>
          </w:p>
        </w:tc>
        <w:tc>
          <w:tcPr>
            <w:tcW w:w="2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2,430</w:t>
            </w:r>
          </w:p>
        </w:tc>
        <w:tc>
          <w:tcPr>
            <w:tcW w:w="2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19,560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26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21,680</w:t>
            </w:r>
          </w:p>
        </w:tc>
        <w:tc>
          <w:tcPr>
            <w:tcW w:w="2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(1,290)</w:t>
            </w:r>
          </w:p>
        </w:tc>
        <w:tc>
          <w:tcPr>
            <w:tcW w:w="2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Goodwill</w:t>
            </w:r>
          </w:p>
        </w:tc>
        <w:tc>
          <w:tcPr>
            <w:tcW w:w="26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63,559</w:t>
            </w:r>
          </w:p>
        </w:tc>
        <w:tc>
          <w:tcPr>
            <w:tcW w:w="24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16,337</w:t>
            </w:r>
          </w:p>
        </w:tc>
        <w:tc>
          <w:tcPr>
            <w:tcW w:w="2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79,896</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6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314,625</w:t>
            </w:r>
          </w:p>
        </w:tc>
        <w:tc>
          <w:tcPr>
            <w:tcW w:w="24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1,729</w:t>
            </w:r>
          </w:p>
        </w:tc>
        <w:tc>
          <w:tcPr>
            <w:tcW w:w="2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316,354</w:t>
            </w: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line="196" w:lineRule="exact"/>
              <w:rPr>
                <w:sz w:val="20"/>
                <w:szCs w:val="20"/>
                <w:color w:val="auto"/>
              </w:rPr>
            </w:pPr>
            <w:r>
              <w:rPr>
                <w:rFonts w:ascii="Arial" w:cs="Arial" w:eastAsia="Arial" w:hAnsi="Arial"/>
                <w:sz w:val="18"/>
                <w:szCs w:val="18"/>
                <w:color w:val="auto"/>
              </w:rPr>
              <w:t>Current liabilities assumed</w:t>
            </w:r>
          </w:p>
        </w:tc>
        <w:tc>
          <w:tcPr>
            <w:tcW w:w="2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(73,451)</w:t>
            </w:r>
          </w:p>
        </w:tc>
        <w:tc>
          <w:tcPr>
            <w:tcW w:w="24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1,074</w:t>
            </w: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(72,377)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liabilities</w:t>
            </w:r>
          </w:p>
        </w:tc>
        <w:tc>
          <w:tcPr>
            <w:tcW w:w="26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(6,625)</w:t>
            </w:r>
          </w:p>
        </w:tc>
        <w:tc>
          <w:tcPr>
            <w:tcW w:w="2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(921)</w:t>
            </w:r>
          </w:p>
        </w:tc>
        <w:tc>
          <w:tcPr>
            <w:tcW w:w="2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assumed</w:t>
            </w:r>
          </w:p>
        </w:tc>
        <w:tc>
          <w:tcPr>
            <w:tcW w:w="2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(2,246)</w:t>
            </w:r>
          </w:p>
        </w:tc>
        <w:tc>
          <w:tcPr>
            <w:tcW w:w="2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(1,882)</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obligations</w:t>
            </w:r>
          </w:p>
        </w:tc>
        <w:tc>
          <w:tcPr>
            <w:tcW w:w="26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(43,503)</w:t>
            </w:r>
          </w:p>
        </w:tc>
        <w:tc>
          <w:tcPr>
            <w:tcW w:w="24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Postemployment benefit obligations</w:t>
            </w:r>
          </w:p>
        </w:tc>
        <w:tc>
          <w:tcPr>
            <w:tcW w:w="26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(36,800)</w:t>
            </w:r>
          </w:p>
        </w:tc>
        <w:tc>
          <w:tcPr>
            <w:tcW w:w="24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6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(162,625)</w:t>
            </w:r>
          </w:p>
        </w:tc>
        <w:tc>
          <w:tcPr>
            <w:tcW w:w="24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(1,729)</w:t>
            </w:r>
          </w:p>
        </w:tc>
        <w:tc>
          <w:tcPr>
            <w:tcW w:w="2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(164,354)</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2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152,000</w:t>
            </w:r>
          </w:p>
        </w:tc>
        <w:tc>
          <w:tcPr>
            <w:tcW w:w="2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26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(22,293)</w:t>
            </w:r>
          </w:p>
        </w:tc>
        <w:tc>
          <w:tcPr>
            <w:tcW w:w="24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26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129,707</w:t>
            </w:r>
          </w:p>
        </w:tc>
        <w:tc>
          <w:tcPr>
            <w:tcW w:w="2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129,707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As previously reported in the Company's Quarterly Report on Form 10-Q for the period ended March 29,2020.</w:t>
      </w:r>
    </w:p>
    <w:p>
      <w:pPr>
        <w:spacing w:after="0" w:line="185"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recorded several adjustments in the 13-week period ended March 28, 2021 related to IRS penalties of $634,000, FIN 48 of $138,000, and decreasing customer relationships for $710,000 resulting from changes in the valuation.</w:t>
      </w:r>
    </w:p>
    <w:p>
      <w:pPr>
        <w:spacing w:after="0" w:line="156"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For the 13 weeks ended March 28, 2021, the revenue and net loss included in the Consolidated Income Statement related to the acquirees was $97,770,000 and $7,181,000, respectively. For the 26 weeks ended March 28, 2021, the revenue and net income in the Consolidated Income Statement related to the acquirees was $206,831,000 and $15,951,000, respectively.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Information</w:t>
      </w:r>
    </w:p>
    <w:p>
      <w:pPr>
        <w:spacing w:after="0" w:line="207"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September 30, 2019, the first day of fiscal year 2020.</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rPr>
              <w:t>Unaudited</w:t>
            </w:r>
          </w:p>
        </w:tc>
        <w:tc>
          <w:tcPr>
            <w:tcW w:w="24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rPr>
              <w:t>13 Weeks Ended</w:t>
            </w:r>
          </w:p>
        </w:tc>
        <w:tc>
          <w:tcPr>
            <w:tcW w:w="2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2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960" w:type="dxa"/>
            <w:vAlign w:val="bottom"/>
          </w:tcPr>
          <w:p>
            <w:pPr>
              <w:jc w:val="right"/>
              <w:ind w:right="930"/>
              <w:spacing w:after="0" w:line="195" w:lineRule="exact"/>
              <w:rPr>
                <w:sz w:val="20"/>
                <w:szCs w:val="20"/>
                <w:color w:val="auto"/>
              </w:rPr>
            </w:pPr>
            <w:r>
              <w:rPr>
                <w:rFonts w:ascii="Arial" w:cs="Arial" w:eastAsia="Arial" w:hAnsi="Arial"/>
                <w:sz w:val="18"/>
                <w:szCs w:val="18"/>
                <w:color w:val="auto"/>
              </w:rPr>
              <w:t>March 29,</w:t>
            </w:r>
          </w:p>
        </w:tc>
        <w:tc>
          <w:tcPr>
            <w:tcW w:w="2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vMerge w:val="continue"/>
          </w:tcPr>
          <w:p>
            <w:pPr>
              <w:spacing w:after="0"/>
              <w:rPr>
                <w:sz w:val="17"/>
                <w:szCs w:val="17"/>
                <w:color w:val="auto"/>
              </w:rPr>
            </w:pPr>
          </w:p>
        </w:tc>
        <w:tc>
          <w:tcPr>
            <w:tcW w:w="296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rPr>
              <w:t>2020</w:t>
            </w:r>
          </w:p>
        </w:tc>
        <w:tc>
          <w:tcPr>
            <w:tcW w:w="2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2960" w:type="dxa"/>
            <w:vAlign w:val="bottom"/>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rPr>
              <w:t>207,329</w:t>
            </w:r>
          </w:p>
        </w:tc>
        <w:tc>
          <w:tcPr>
            <w:tcW w:w="2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442,025</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296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4,053</w:t>
            </w:r>
          </w:p>
        </w:tc>
        <w:tc>
          <w:tcPr>
            <w:tcW w:w="2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2960" w:type="dxa"/>
            <w:vAlign w:val="bottom"/>
            <w:tcBorders>
              <w:bottom w:val="single" w:sz="8" w:color="auto"/>
            </w:tcBorders>
            <w:shd w:val="clear" w:color="auto" w:fill="CCEEFF"/>
          </w:tcPr>
          <w:p>
            <w:pPr>
              <w:jc w:val="right"/>
              <w:ind w:right="930"/>
              <w:spacing w:after="0" w:line="202" w:lineRule="exact"/>
              <w:rPr>
                <w:sz w:val="20"/>
                <w:szCs w:val="20"/>
                <w:color w:val="auto"/>
              </w:rPr>
            </w:pPr>
            <w:r>
              <w:rPr>
                <w:rFonts w:ascii="Arial" w:cs="Arial" w:eastAsia="Arial" w:hAnsi="Arial"/>
                <w:sz w:val="18"/>
                <w:szCs w:val="18"/>
                <w:color w:val="auto"/>
              </w:rPr>
              <w:t>0.70</w:t>
            </w:r>
          </w:p>
        </w:tc>
        <w:tc>
          <w:tcPr>
            <w:tcW w:w="2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212"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only material, nonrecurring adjustment made relates to the write-off of previously unamortized debt-issuance costs as of October 1, 2019 which resulted in an $8,002,000 increase to net income for the 13 weeks ended March 29, 2020 and a $8,900,000 increase to net income for the 26 weeks ended March 29, 2020.</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benefit of $571,000 related to a loss before taxes of $1,179,000 for the 13 weeks ended March 28, 2021, and income tax expense of $5,740,000 related to income before taxes of $21,535,000 for the 26 weeks ended March 28, 2021. We recorded an income tax benefit of $2,331,000 related to a loss before taxes of $7,321,000 for the 13 weeks ended March 29, 2020, and income tax benefit of $460,000 related to income before taxes of $268,000 for the 26 weeks ended March 29, 2020. The effective income tax rates for the 13 weeks and 26 weeks ended March 28, 2021 was 48.4% and 26.7%, respectively. The effective income tax rate for the 13 and 26 weeks ended March 29</w:t>
      </w:r>
      <w:r>
        <w:rPr>
          <w:rFonts w:ascii="Arial" w:cs="Arial" w:eastAsia="Arial" w:hAnsi="Arial"/>
          <w:sz w:val="14"/>
          <w:szCs w:val="14"/>
          <w:color w:val="auto"/>
        </w:rPr>
        <w:t>th</w:t>
      </w:r>
      <w:r>
        <w:rPr>
          <w:rFonts w:ascii="Arial" w:cs="Arial" w:eastAsia="Arial" w:hAnsi="Arial"/>
          <w:sz w:val="18"/>
          <w:szCs w:val="18"/>
          <w:color w:val="auto"/>
        </w:rPr>
        <w:t>, 2020 was 31.8% and negative 171.6%.</w:t>
      </w:r>
    </w:p>
    <w:p>
      <w:pPr>
        <w:sectPr>
          <w:pgSz w:w="11900" w:h="16838" w:orient="portrait"/>
          <w:cols w:equalWidth="0" w:num="1">
            <w:col w:w="11320"/>
          </w:cols>
          <w:pgMar w:left="320" w:top="125" w:right="259" w:bottom="927" w:gutter="0" w:footer="0" w:header="0"/>
        </w:sectPr>
      </w:pP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927"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stock warrants.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27, 2020, we had approximately $46,066,000 of state net operating loss benefits.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13 Weeks Ended</w:t>
            </w:r>
          </w:p>
        </w:tc>
        <w:tc>
          <w:tcPr>
            <w:tcW w:w="25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1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58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28,</w:t>
            </w:r>
          </w:p>
        </w:tc>
        <w:tc>
          <w:tcPr>
            <w:tcW w:w="14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March 29,</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28,</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(1,134)</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(5,367)</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14,768</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518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5,877</w:t>
            </w:r>
          </w:p>
        </w:tc>
        <w:tc>
          <w:tcPr>
            <w:tcW w:w="1400" w:type="dxa"/>
            <w:vAlign w:val="bottom"/>
          </w:tcPr>
          <w:p>
            <w:pPr>
              <w:jc w:val="right"/>
              <w:ind w:right="250"/>
              <w:spacing w:after="0" w:line="183" w:lineRule="exact"/>
              <w:rPr>
                <w:sz w:val="20"/>
                <w:szCs w:val="20"/>
                <w:color w:val="auto"/>
              </w:rPr>
            </w:pPr>
            <w:r>
              <w:rPr>
                <w:rFonts w:ascii="Arial" w:cs="Arial" w:eastAsia="Arial" w:hAnsi="Arial"/>
                <w:sz w:val="18"/>
                <w:szCs w:val="18"/>
                <w:color w:val="auto"/>
              </w:rPr>
              <w:t>5,814</w:t>
            </w:r>
          </w:p>
        </w:tc>
        <w:tc>
          <w:tcPr>
            <w:tcW w:w="136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5,861</w:t>
            </w:r>
          </w:p>
        </w:tc>
        <w:tc>
          <w:tcPr>
            <w:tcW w:w="11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(156)</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(157)</w:t>
            </w:r>
          </w:p>
        </w:tc>
        <w:tc>
          <w:tcPr>
            <w:tcW w:w="1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(155)</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5,721</w:t>
            </w: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5,657</w:t>
            </w:r>
          </w:p>
        </w:tc>
        <w:tc>
          <w:tcPr>
            <w:tcW w:w="13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5,706</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5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98</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38</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75</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5,819</w:t>
            </w:r>
          </w:p>
        </w:tc>
        <w:tc>
          <w:tcPr>
            <w:tcW w:w="14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5,695</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5,781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5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(0.20)</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(0.95)</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2.59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51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(0.19)</w:t>
            </w:r>
          </w:p>
        </w:tc>
        <w:tc>
          <w:tcPr>
            <w:tcW w:w="1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(0.94)</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2.55</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 and 26 weeks ended March 28, 2021, 600,000 shares were not considered in the computation of diluted earnings per common share because the exercise prices of the related stock options and Warrants were in excess of the fair market value of our Common Stock. For the 13 and 26 weeks ended March 29, 2020, 695,430 and 639,397 shares, respectively, were not considered in the computation of diluted earnings per common share because the Company recorded net losses.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period results have been adjusted to reflect the one-for-ten reverse stock split in March 2021. See Note 1 for details.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right="1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26 weeks ended March 28, 2021 follows,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Weighted Average</w:t>
            </w:r>
          </w:p>
        </w:tc>
        <w:tc>
          <w:tcPr>
            <w:tcW w:w="940" w:type="dxa"/>
            <w:vAlign w:val="bottom"/>
            <w:tcBorders>
              <w:top w:val="single" w:sz="8" w:color="auto"/>
            </w:tcBorders>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Weighted</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Remaining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Average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Contractual Term</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Intrinsic</w:t>
            </w:r>
          </w:p>
        </w:tc>
      </w:tr>
      <w:tr>
        <w:trPr>
          <w:trHeight w:val="210"/>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Shares</w:t>
            </w:r>
          </w:p>
        </w:tc>
        <w:tc>
          <w:tcPr>
            <w:tcW w:w="15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Exercise Price</w:t>
            </w: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(Years)</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Value</w:t>
            </w:r>
          </w:p>
        </w:tc>
      </w:tr>
      <w:tr>
        <w:trPr>
          <w:trHeight w:val="203"/>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1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1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11.40</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196"/>
        </w:trPr>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March 28, 2021</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w:t>
            </w:r>
          </w:p>
        </w:tc>
        <w:tc>
          <w:tcPr>
            <w:tcW w:w="15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11.40</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w:t>
            </w:r>
          </w:p>
        </w:tc>
      </w:tr>
      <w:tr>
        <w:trPr>
          <w:trHeight w:val="236"/>
        </w:trPr>
        <w:tc>
          <w:tcPr>
            <w:tcW w:w="5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March 28, 2021</w:t>
            </w: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41</w:t>
            </w:r>
          </w:p>
        </w:tc>
        <w:tc>
          <w:tcPr>
            <w:tcW w:w="15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11.40</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w:t>
            </w:r>
          </w:p>
        </w:tc>
      </w:tr>
      <w:tr>
        <w:trPr>
          <w:trHeight w:val="399"/>
        </w:trPr>
        <w:tc>
          <w:tcPr>
            <w:tcW w:w="5020" w:type="dxa"/>
            <w:vAlign w:val="bottom"/>
          </w:tcPr>
          <w:p>
            <w:pPr>
              <w:spacing w:after="0"/>
              <w:rPr>
                <w:sz w:val="20"/>
                <w:szCs w:val="20"/>
                <w:color w:val="auto"/>
              </w:rPr>
            </w:pPr>
            <w:r>
              <w:rPr>
                <w:rFonts w:ascii="Arial" w:cs="Arial" w:eastAsia="Arial" w:hAnsi="Arial"/>
                <w:sz w:val="18"/>
                <w:szCs w:val="18"/>
                <w:b w:val="1"/>
                <w:bCs w:val="1"/>
                <w:color w:val="auto"/>
              </w:rPr>
              <w:t>Restricted Common Stock</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8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The table below summarizes restricted Common Stock activity during the 26 weeks ended March 28, 2021, as adjusted to give effect to the reverse stock split:</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80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Shares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14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right"/>
              <w:ind w:right="10"/>
              <w:spacing w:after="0" w:line="190"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155</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2"/>
        </w:trPr>
        <w:tc>
          <w:tcPr>
            <w:tcW w:w="80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4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46</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3"/>
        </w:trPr>
        <w:tc>
          <w:tcPr>
            <w:tcW w:w="8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14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March 28, 2021</w:t>
            </w:r>
          </w:p>
        </w:tc>
        <w:tc>
          <w:tcPr>
            <w:tcW w:w="14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156</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10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March 28, 2021 is $1,320,000, which will be recognized over a weighted average period of 1.7 years.</w:t>
      </w:r>
    </w:p>
    <w:p>
      <w:pPr>
        <w:sectPr>
          <w:pgSz w:w="11900" w:h="16838" w:orient="portrait"/>
          <w:cols w:equalWidth="0" w:num="1">
            <w:col w:w="11320"/>
          </w:cols>
          <w:pgMar w:left="320" w:top="125" w:right="259" w:bottom="266" w:gutter="0" w:footer="0" w:header="0"/>
        </w:sectPr>
      </w:pP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266"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1140" w:right="50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$4,226,000, including our 17% ownership of the non-voting common stock of TCT, are carried at cost. Fair value of the remaining investments are carried at cost.</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Our fixed rate debt consists of $498,915,000 principal amount of the Term Loan recorded at carrying value. At March 28, 2021, based on market quotations, the fair value approximates carrying value. This represents a level 2 fair value measurement.</w:t>
      </w:r>
    </w:p>
    <w:p>
      <w:pPr>
        <w:spacing w:after="0" w:line="183"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measure the liability to fair value each reporting period, with changes reported in other non-operating income (expense). The initial fair value of the Warrants was $ 16,930,000. The fair value of Warrants at March 28, 2021 and September 27, 2020 are $1,080,000 and $363,000,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8.</w:t>
      </w:r>
    </w:p>
    <w:p>
      <w:pPr>
        <w:spacing w:after="0" w:line="18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2013.</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have recognized $1,294,000 and $4,461,000 of expense related to restructuring costs and other for the 13 and 26 weeks ended March 28, 2021. The amounts consist of $671,000 and $3,167,000 of severance expense. We did not have a significant restructuring liability as of March 28, 2021.</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Subsequent events</w:t>
      </w:r>
    </w:p>
    <w:p>
      <w:pPr>
        <w:spacing w:after="0" w:line="220"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We have evaluated subsequent events through May 7, 2021. No events have occurred subsequent to March 28, 2021 that require disclosure or recognition in these financial statements.</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and 26 weeks ended March 28, 2021. This discussion should be read in conjunction with the Consolidated Financial Statements and related Notes thereto, included herein, and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cash costs, and total operating revenue less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 Adjusted EBITDA is reconciled to net income, below, its closest comparable number under GAAP.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13 Weeks Ended</w:t>
            </w:r>
          </w:p>
        </w:tc>
        <w:tc>
          <w:tcPr>
            <w:tcW w:w="2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 Weeks Ended</w:t>
            </w:r>
          </w:p>
        </w:tc>
        <w:tc>
          <w:tcPr>
            <w:tcW w:w="0" w:type="dxa"/>
            <w:vAlign w:val="bottom"/>
          </w:tcPr>
          <w:p>
            <w:pPr>
              <w:spacing w:after="0"/>
              <w:rPr>
                <w:sz w:val="1"/>
                <w:szCs w:val="1"/>
                <w:color w:val="auto"/>
              </w:rPr>
            </w:pPr>
          </w:p>
        </w:tc>
      </w:tr>
      <w:tr>
        <w:trPr>
          <w:trHeight w:val="195"/>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2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March 28,</w:t>
            </w:r>
          </w:p>
        </w:tc>
        <w:tc>
          <w:tcPr>
            <w:tcW w:w="13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29,</w:t>
            </w:r>
          </w:p>
        </w:tc>
        <w:tc>
          <w:tcPr>
            <w:tcW w:w="13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March 28,</w:t>
            </w:r>
          </w:p>
        </w:tc>
        <w:tc>
          <w:tcPr>
            <w:tcW w:w="11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March 29,</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(608)</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(4,990)</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15,795</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(571)</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(2,331)</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5,740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9,597</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21,108</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7,691</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2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(1,471)</w:t>
            </w:r>
          </w:p>
        </w:tc>
        <w:tc>
          <w:tcPr>
            <w:tcW w:w="13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(1,362)</w:t>
            </w:r>
          </w:p>
        </w:tc>
        <w:tc>
          <w:tcPr>
            <w:tcW w:w="13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(3,213)</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1,474</w:t>
            </w: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(6,113)</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6,696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12,517</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7,276</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22,958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2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1,294</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1,925</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4,461</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214</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269</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434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2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1,608</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1,591</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3,498</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2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24,054</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17,373</w:t>
            </w:r>
          </w:p>
        </w:tc>
        <w:tc>
          <w:tcPr>
            <w:tcW w:w="13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64,060</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45,495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Lee Enterprises, Incorporated is a major subscription and advertising platform and a leading provider of high quality, trusted, local news and information in the markets we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recently completed acquisition of BHMG and Buffalo News, 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98" w:lineRule="exact"/>
        <w:rPr>
          <w:sz w:val="20"/>
          <w:szCs w:val="20"/>
          <w:color w:val="auto"/>
        </w:rPr>
      </w:pPr>
    </w:p>
    <w:p>
      <w:pPr>
        <w:ind w:left="660" w:right="2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54 million unique visitors, in the month of March 2021 with 448 million page views and 114 million visits.</w:t>
      </w:r>
    </w:p>
    <w:p>
      <w:pPr>
        <w:spacing w:after="0" w:line="183"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with estimated readership totaling three million. Digital only subscribers totaled approximately 309,000, a 57.6% increase over the prior year.</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2,200 other media organizations including broadcast.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 focused marketing solutions company. Our focus is on the local market - including local news and information, local advertising and marketing services to top local accounts and SMBs, and digital services to local content curators. To align with the core strength of our Company, our post-pandemic operating strategy is locally focused around three pillars:</w:t>
      </w:r>
    </w:p>
    <w:p>
      <w:pPr>
        <w:spacing w:after="0" w:line="191" w:lineRule="exact"/>
        <w:rPr>
          <w:sz w:val="20"/>
          <w:szCs w:val="20"/>
          <w:color w:val="auto"/>
        </w:rPr>
      </w:pPr>
    </w:p>
    <w:p>
      <w:pPr>
        <w:ind w:left="460" w:right="94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Transform the presentation of local news and information by providing best-in-class reader and user experiences with digital presentations that emphasize video and other multimedia formats and rich, high-value content.</w:t>
      </w:r>
    </w:p>
    <w:p>
      <w:pPr>
        <w:spacing w:after="0" w:line="1" w:lineRule="exact"/>
        <w:rPr>
          <w:rFonts w:ascii="Arial" w:cs="Arial" w:eastAsia="Arial" w:hAnsi="Arial"/>
          <w:sz w:val="18"/>
          <w:szCs w:val="18"/>
          <w:color w:val="auto"/>
        </w:rPr>
      </w:pPr>
    </w:p>
    <w:p>
      <w:pPr>
        <w:ind w:left="460" w:right="1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 overall subscription growth by converting more of our vast addressable market to subscribers leveraging cutting-edge data and technology and expanded offerings for paid, niche, content on topics where Lee has expertise and unique selling positions.</w:t>
      </w:r>
    </w:p>
    <w:p>
      <w:pPr>
        <w:spacing w:after="0" w:line="1" w:lineRule="exact"/>
        <w:rPr>
          <w:rFonts w:ascii="Arial" w:cs="Arial" w:eastAsia="Arial" w:hAnsi="Arial"/>
          <w:sz w:val="18"/>
          <w:szCs w:val="18"/>
          <w:color w:val="auto"/>
        </w:rPr>
      </w:pPr>
    </w:p>
    <w:p>
      <w:pPr>
        <w:ind w:left="460" w:right="2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Lee's in-house Amplified Digital Agency that will enable advertisers to leverage Lee's vast data-rich digital audiences and reach consumers in new ways.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 with Berkshire Hathaway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The Transactions were financed pursuant to a credit agreement dated as of January 29, 2020 between the Company and BH Finance LLC, a Delaware limited liability company affiliated with Berkshire (the “Credit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BHMG includes 30 daily newspapers and digital operations, in addition to 49 paid weekly newspapers with websites and 32 other print products. Buffalo News is a provider of local print and digital news to the Buffalo, NY area. Between July 2, 2018 and March 16, 2020, the Company managed the BH Media Newspaper Business pursuant to a Management Agreement between BHMG and the Company dated June 26, 2018 (the “Management Agreement”).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represented $1,245,000 in fixed fees pro-rated under the contract and $4,180,000 in variable fees based upon the pro-rated annual target. The Company did not recognize a gain or loss as a result of the settlement of this preexisting relationship.</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BHMG,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2021 to 2020 and will continue to affect period-over-period comparisons for future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98" w:lineRule="exact"/>
        <w:rPr>
          <w:sz w:val="20"/>
          <w:szCs w:val="20"/>
          <w:color w:val="auto"/>
        </w:rPr>
      </w:pPr>
    </w:p>
    <w:p>
      <w:pPr>
        <w:jc w:val="both"/>
        <w:ind w:left="460" w:hanging="223"/>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March 2020, we completed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xml:space="preserve"> for a purchase price of $140,000,000. The acquisition was funded by the Term Loan, as part of a broader comprehensive refinancing of all of our then outstanding debt, as well as cash on our balance sheet.</w:t>
      </w:r>
    </w:p>
    <w:p>
      <w:pPr>
        <w:spacing w:after="0" w:line="181" w:lineRule="exact"/>
        <w:rPr>
          <w:rFonts w:ascii="Arial" w:cs="Arial" w:eastAsia="Arial" w:hAnsi="Arial"/>
          <w:sz w:val="18"/>
          <w:szCs w:val="18"/>
          <w:color w:val="auto"/>
        </w:rPr>
      </w:pPr>
    </w:p>
    <w:p>
      <w:pPr>
        <w:ind w:left="460" w:hanging="223"/>
        <w:spacing w:after="0" w:line="24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in the near term,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combination with our acquisition integration, ongoing business transformation and addressing the continued effects of COVID-19 on our operating results, we continued to implement measures to solidify our relationship with our local advertisers, reduce our cost structure and preserve liquidity, and as a result we achieved $100 million in cost reductions from December 2019 through December 2020 on a proforma basis. These reductions were achieved by centralizing certain business functions and systems and reducing duplicate cost structures across the combined organization. The Company believes these initiatives will allow us to meet our commitments; however, they may not be sufficient to fully offset the negative impact of the COVID-19 pandemic on the Company’s business and results of operations.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evaluated the current economic environment as of March 28, 2021 and have concluded that there is no event or circumstance that has occurred to trigger an impairment assessment of our long-lived or indefinite-lived assets. We will continue to monitor the environment to determine whether the impacts to the Company represent an event or change in circumstances that may trigger a need to reassess for useful life revision or impairment.</w:t>
      </w:r>
    </w:p>
    <w:p>
      <w:pPr>
        <w:sectPr>
          <w:pgSz w:w="11900" w:h="16838" w:orient="portrait"/>
          <w:cols w:equalWidth="0" w:num="1">
            <w:col w:w="11240"/>
          </w:cols>
          <w:pgMar w:left="320" w:top="125"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MARCH 28,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March 28,</w:t>
            </w:r>
          </w:p>
        </w:tc>
        <w:tc>
          <w:tcPr>
            <w:tcW w:w="14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29,</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2021</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Advertising and marketing services</w:t>
            </w:r>
          </w:p>
        </w:tc>
        <w:tc>
          <w:tcPr>
            <w:tcW w:w="234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85,575</w:t>
            </w:r>
          </w:p>
        </w:tc>
        <w:tc>
          <w:tcPr>
            <w:tcW w:w="14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60,945</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40.4</w:t>
            </w: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w:t>
            </w:r>
          </w:p>
        </w:tc>
        <w:tc>
          <w:tcPr>
            <w:tcW w:w="2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89,777</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46,943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91.2</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17,078</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13,479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26.7</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192,430</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121,367</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58.6</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83,154</w:t>
            </w:r>
          </w:p>
        </w:tc>
        <w:tc>
          <w:tcPr>
            <w:tcW w:w="14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48,691</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70.8</w:t>
            </w: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7,179</w:t>
            </w:r>
          </w:p>
        </w:tc>
        <w:tc>
          <w:tcPr>
            <w:tcW w:w="14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4,321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66.1</w:t>
            </w:r>
          </w:p>
        </w:tc>
      </w:tr>
      <w:tr>
        <w:trPr>
          <w:trHeight w:val="203"/>
        </w:trPr>
        <w:tc>
          <w:tcPr>
            <w:tcW w:w="6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79,865</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52,842</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51.1</w:t>
            </w:r>
          </w:p>
        </w:tc>
      </w:tr>
      <w:tr>
        <w:trPr>
          <w:trHeight w:val="196"/>
        </w:trPr>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2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170,198</w:t>
            </w:r>
          </w:p>
        </w:tc>
        <w:tc>
          <w:tcPr>
            <w:tcW w:w="14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105,854</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60.8</w:t>
            </w:r>
          </w:p>
        </w:tc>
      </w:tr>
      <w:tr>
        <w:trPr>
          <w:trHeight w:val="196"/>
        </w:trPr>
        <w:tc>
          <w:tcPr>
            <w:tcW w:w="642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22,232</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15,513</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43.3</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34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12,517</w:t>
            </w:r>
          </w:p>
        </w:tc>
        <w:tc>
          <w:tcPr>
            <w:tcW w:w="14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7,276</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72.0</w:t>
            </w: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1,474</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(6,113)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2"/>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1,294</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1,925</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185,483</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108,942</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70.3</w:t>
            </w:r>
          </w:p>
        </w:tc>
      </w:tr>
      <w:tr>
        <w:trPr>
          <w:trHeight w:val="209"/>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2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1,471</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1,362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19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8,418</w:t>
            </w:r>
          </w:p>
        </w:tc>
        <w:tc>
          <w:tcPr>
            <w:tcW w:w="1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13,787</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(11,237)</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(11,127)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42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2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(10,670)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3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1,640</w:t>
            </w:r>
          </w:p>
        </w:tc>
        <w:tc>
          <w:tcPr>
            <w:tcW w:w="14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689</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Non-operating expenses, net</w:t>
            </w:r>
          </w:p>
        </w:tc>
        <w:tc>
          <w:tcPr>
            <w:tcW w:w="2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(9,597)</w:t>
            </w:r>
          </w:p>
        </w:tc>
        <w:tc>
          <w:tcPr>
            <w:tcW w:w="1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(21,108)</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54.5</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(1,179)</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(7,321)</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83.9</w:t>
            </w:r>
          </w:p>
        </w:tc>
      </w:tr>
      <w:tr>
        <w:trPr>
          <w:trHeight w:val="202"/>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(571)</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(2,331)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75.5</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(608)</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(4,990)</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87.8</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(526)</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(377)</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39.5</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attributable to Lee Enterprises, Incorporated</w:t>
            </w:r>
          </w:p>
        </w:tc>
        <w:tc>
          <w:tcPr>
            <w:tcW w:w="2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(1,134)</w:t>
            </w:r>
          </w:p>
        </w:tc>
        <w:tc>
          <w:tcPr>
            <w:tcW w:w="1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(5,367)</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78.9</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2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478</w:t>
            </w:r>
          </w:p>
        </w:tc>
        <w:tc>
          <w:tcPr>
            <w:tcW w:w="14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316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51.3</w:t>
            </w:r>
          </w:p>
        </w:tc>
      </w:tr>
      <w:tr>
        <w:trPr>
          <w:trHeight w:val="236"/>
        </w:trPr>
        <w:tc>
          <w:tcPr>
            <w:tcW w:w="6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 attributable to Lee Enterprises, Incorporated</w:t>
            </w:r>
          </w:p>
        </w:tc>
        <w:tc>
          <w:tcPr>
            <w:tcW w:w="2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(656)</w:t>
            </w:r>
          </w:p>
        </w:tc>
        <w:tc>
          <w:tcPr>
            <w:tcW w:w="1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(5,051)</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87.0</w:t>
            </w:r>
          </w:p>
        </w:tc>
      </w:tr>
      <w:tr>
        <w:trPr>
          <w:trHeight w:val="183"/>
        </w:trPr>
        <w:tc>
          <w:tcPr>
            <w:tcW w:w="642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6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(0.20)</w:t>
            </w:r>
          </w:p>
        </w:tc>
        <w:tc>
          <w:tcPr>
            <w:tcW w:w="1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(0.95)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w:t>
            </w:r>
          </w:p>
        </w:tc>
      </w:tr>
      <w:tr>
        <w:trPr>
          <w:trHeight w:val="202"/>
        </w:trPr>
        <w:tc>
          <w:tcPr>
            <w:tcW w:w="64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(0.19)</w:t>
            </w:r>
          </w:p>
        </w:tc>
        <w:tc>
          <w:tcPr>
            <w:tcW w:w="14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(0.94)</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-4285615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the “2021 Quarter” refer to the 13 weeks ended March 28, 2021. Similarly, references to the “2020 Quarter” refer to the 13 weeks ended March 29, 2020. Prior period results have been adjusted to reflect the one-for-ten reverse stock split in March 2021. See Note 1 for details.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$192,430,000 in the 2021 Quarter, up $71,063,000, or 58.6%, which included $97,676,000 in revenue from the acquisitions. Total operating revenue on a proforma basis was down 8.1% compared to the 2020 Quarter.</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$ 85,575,000 in the 2021 Quarter, up 40.4% compared to the prior year with $39,424,000 attributable to acquisitions. Print advertising revenues were $54,169,000 in the 2021 Quarter, up 49.4% compared to the prior year, with $30,533,000 attributable to acquired print advertising revenue. Digital advertising and marketing services totaled $31,406,000 in the 2021 Quarter, up 27.2% compared to the prior year, with $ 8,873,000 attributable to acquired digital advertising and marketing services revenue. Digital advertising and marketing services represented 36.7% of the 2021 Quarter total advertising and marketing services revenue. The impact of acquisitions and growth in digital marketing services revenue at Amplified were partially offset by the continued downward trend in print advertising demand in the 2021 Quarter.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$89,777,000 in the 2021 Quarter, up 91.2% compared to the 2020 Quarter, including $50,998,000 of acquired subscription revenue. The acquired subscription revenue, growth in digital only subscribers and revenue and selective price increases on our full access subscriptions, were partially offset by a decline in full access volume, consistent with historical and industry trends.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$3,599,000, or 26.7%, in the 2021 Quarter compared to the 2020 Quarter. Other revenue in the 2021 Quarter included $8,458,000 of acquired other revenue, primarily from commercial printing. Digital services revenue totaled $4,820,000 in the 2021 Quarter, a 1.7% decrease compared to the 2020 Quarter. Digital only subscribers grew 57.6% in the 2021 Quarter and now total 309,000 due to continued growth at TownNews. Commercial printing revenue totaled $ 6,504,000 in the 2021 Quarter, a 63% increase compared to the 2020 Quarter, due to $4,967,000 of acquired commercial printing revenue. Prior to the termination of the Management Agreement in connection with the Transactions in March 2020, we earned $1,836,000 in management agreement revenue.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$59,516,000 in the 2021 Quarter, an increase of 62.0% over the 2020 Quarter, and represented 30.9% of our total operating revenue in the 2021 Quarter. On a pro forma basis, total digital revenue increased 29.7% in the 2021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$109,000 in the 2021 Quarter.</w:t>
      </w:r>
    </w:p>
    <w:p>
      <w:pPr>
        <w:sectPr>
          <w:pgSz w:w="11900" w:h="16838" w:orient="portrait"/>
          <w:cols w:equalWidth="0" w:num="1">
            <w:col w:w="11240"/>
          </w:cols>
          <w:pgMar w:left="320" w:top="125" w:right="339" w:bottom="414"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4"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$185,483,000, a 70.3% increase compared to the 2020 Quarter, which included $86,648,000 in acquired operating expenses. Operating expenses include compensation expense, newsprint and ink, other operating expenses, depreciation, amortization, restructuring and other expenses, assets loss (gain) on sales, and impairments. Cash costs were $170,198,000, an 60.8% increase compared to the 2020 Quarter, which included $79,938,000 of acquired Cash Costs. Cash costs on a proforma basis were down 9.1% compared to the 2020 Quarter.</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$34,463,000 in the 2021 Quarter, or 70.8%, compared to the 2020 Quarter. This increase was attributable to $43,666,000 of acquired compensation expense, partially offset by a 14.7% reduction in full time employees on a proforma basis.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increased $2,858,000 in the 2021 Quarter, or 66.1%, compared to the 2020 Quarter. The increase is attributable to acquired newsprint and ink expenses of $4,947,000 offset by declines in newsprint volumes.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$27,023,000 in the 2021 Quarter, or 51.1%, compared to the 2020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$41,518,000 of acquired other operating expenses and increases in investments to fund our digital growth strategy,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$1,294,000 and $1,925,000 in the 2021 Quarter and 2020 Quarter, respectively. Restructuring costs in the 2021 and 2020 Quarters are predominately severance.</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Depreciation expense increased $2,494,000, or 48%, and amortization expense increased $2,747,000, or 37.5%, in the 2021 Quarter. Increases in both are due to the acquired assets from BHMG and Buffalo News.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loss (gain) on sales, impairments and other, was a net loss of $1,474,000 in the 2021 Quarter compared to a net gain of $6,113,000 in the 2020 Quarter. The loss in the 2021 Quarter and the gains in the 2020 Quarter were the result of the disposition of non-core assets, including real estate.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$8,418,000 in the 2021 Quarter compared to $13,787,000 in the 2020 Quarter.</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expense increased $110,000, or 1.0%, to $11,237,000 in the 2021 Quarter, compared to the same period last year due to the increase in debt from the acquisitions, partially offset by lower interest rates throughout the 2021 Quarter compared to interest rates in effect throughout the 2020 Quarter. Our weighted average cost of debt, excluding amortization of debt financing costs, was 9.0% at the end of the 2021 Quarter.</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no debt financing and administrative expense in the 2021 Quarter compared to $10,670,000 in the 2020 Quarter. The expense in the 2020 Quarter is primarily driven by expensing previously unamortized financing costs of $9,583,000 as a result of the 2020 Refinancing.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$2,228,000 periodic pension and other postretirement benefits in the 2021 Quarter and $613,000 in the 2020 Quarter. We recorded non-operating expense of $833,000 in the 2021 Quarter and non-operating income of $20,000 in the 2020 Quarter, related to the changes in the value of the Warrants.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benefit of $571,000, or 48.4% of pretax income in the 2021 Quarter. In the 2020 Quarter, we recognized an income tax benefit of $2,331,000, or 31.8%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Earnings (Losses) Per Share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loss was $608,000 and diluted losses per share was $0.19 for the 2021 Quarter compared to net loss of $4,990,000 and diluted losses per share of $0.94 for the 2020 Quarter as adjusted for the reverse stock split, see Note 1. The change reflects the various items discussed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WEEKS ENDED MARCH 28,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March 28,</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March 29,</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2021</w:t>
            </w:r>
          </w:p>
        </w:tc>
        <w:tc>
          <w:tcPr>
            <w:tcW w:w="17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w:t>
            </w:r>
          </w:p>
        </w:tc>
        <w:tc>
          <w:tcPr>
            <w:tcW w:w="204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188,204</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126,672</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20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181,080</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89,113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34,964</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27,925</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2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404,248</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243,710</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20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167,317</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91,934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04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15,171</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9,057</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0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161,632</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101,304</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204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344,120</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202,295</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2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60,128</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41,415</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22,958</w:t>
            </w:r>
          </w:p>
        </w:tc>
        <w:tc>
          <w:tcPr>
            <w:tcW w:w="17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13,995</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0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6,696</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(5,299)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0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4,461</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3,557</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2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378,235</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214,548</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04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3,213</w:t>
            </w:r>
          </w:p>
        </w:tc>
        <w:tc>
          <w:tcPr>
            <w:tcW w:w="176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2,931</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29,226</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32,093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0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(23,119)</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(22,242)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204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(11,865)</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0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23,830</w:t>
            </w:r>
          </w:p>
        </w:tc>
        <w:tc>
          <w:tcPr>
            <w:tcW w:w="17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0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(12,310)</w:t>
            </w:r>
          </w:p>
        </w:tc>
        <w:tc>
          <w:tcPr>
            <w:tcW w:w="17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0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3,908</w:t>
            </w:r>
          </w:p>
        </w:tc>
        <w:tc>
          <w:tcPr>
            <w:tcW w:w="17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2,282</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0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(7,691)</w:t>
            </w:r>
          </w:p>
        </w:tc>
        <w:tc>
          <w:tcPr>
            <w:tcW w:w="176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(31,825)</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96"/>
        </w:trPr>
        <w:tc>
          <w:tcPr>
            <w:tcW w:w="622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04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21,535</w:t>
            </w:r>
          </w:p>
        </w:tc>
        <w:tc>
          <w:tcPr>
            <w:tcW w:w="176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268</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0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5,740</w:t>
            </w:r>
          </w:p>
        </w:tc>
        <w:tc>
          <w:tcPr>
            <w:tcW w:w="17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(460)</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2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04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15,795</w:t>
            </w:r>
          </w:p>
        </w:tc>
        <w:tc>
          <w:tcPr>
            <w:tcW w:w="176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728</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(1,027)</w:t>
            </w:r>
          </w:p>
        </w:tc>
        <w:tc>
          <w:tcPr>
            <w:tcW w:w="17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(774)</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96"/>
        </w:trPr>
        <w:tc>
          <w:tcPr>
            <w:tcW w:w="6220" w:type="dxa"/>
            <w:vAlign w:val="bottom"/>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204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14,768</w:t>
            </w:r>
          </w:p>
        </w:tc>
        <w:tc>
          <w:tcPr>
            <w:tcW w:w="176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(46)</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20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1,620</w:t>
            </w:r>
          </w:p>
        </w:tc>
        <w:tc>
          <w:tcPr>
            <w:tcW w:w="17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633</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16,388</w:t>
            </w:r>
          </w:p>
        </w:tc>
        <w:tc>
          <w:tcPr>
            <w:tcW w:w="17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587</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0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04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2.59</w:t>
            </w:r>
          </w:p>
        </w:tc>
        <w:tc>
          <w:tcPr>
            <w:tcW w:w="17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(0.01)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04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2.55</w:t>
            </w:r>
          </w:p>
        </w:tc>
        <w:tc>
          <w:tcPr>
            <w:tcW w:w="17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(0.01)</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the “2021 Period” refer to the 26 weeks ended March 28, 2021. Similarly, references to the “2020 Period” refer to the 26 weeks ended March 29, 2020. Prior period results have been adjusted to reflect the one-for-ten reverse stock split in March 2021. See Note 1 for details.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operating revenue was $404,248,000 in the 2021 Period, up $160,538,000, or 65.9%, which included $207,936,000 in revenue from the acquisitions. Total operating revenue on a proforma basis was down 9.6% compared to the 2020 period.</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$ 188,204,000 in the 2021 Period, up 48.6% compared to the prior year with $87,274,000 attributable to acquisitions. Print advertising revenues were $121,785,000 in the 2021 Period, up 60.2% compared to the prior year, with $65,402,000 attributable to acquired print advertising revenue. Digital advertising and marketing services totaled $66,419,000 in the 2021 Period, up 31.2% compared to the prior year, with $21,854,000 attributable to acquired digital advertising and marketing services revenue. Digital advertising and marketing services represented 35.3% of the 2021 Period total advertising and marketing services revenue. The impact of acquisitions and growth in digital marketing services revenue at Amplified were partially offset by the continued downward trend in print advertising demand in the 2021 Quarter.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$181,080,000 in the 2021 Period, up 103.2% compared to the 2020 Period, including $102,601,000 of acquired subscription revenue. The acquired subscription revenue, growth in digital only subscribers and revenue and selective price increases on our full access subscriptions, were partially offset by a decline in full access volume, consistent with historical and industry trends.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$7,039,000, or 25.2%, in the 2021 Period compared to the 2020 Period. Other revenue in the 2021 Period included $18,061,000 of acquired other revenue, primarily from commercial printing. Digital services revenue totaled $9,966,000 in the 2021 Period, a 0.8% increase compared to the 2020 Period. Commercial printing revenue totaled $13,253,000 in the 2021 Period, a 232.1% increase compared to the 2020 Period, due to $11,060,000 of acquired commercial printing revenue. Prior to the termination of the Management Agreement in connection with the Transactions in March 2020, we earned $5,814,000 in management agreement revenue.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$122,050,000 in the 2021 Period, an increase of 65.1% over the 2020 Period, and represented 30.2% of our total operating revenue in the 2021 Period. On a proforma basis, total digital revenue increased 28.1% in the 2021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$282,000 in the 2021 Period.</w:t>
      </w:r>
    </w:p>
    <w:p>
      <w:pPr>
        <w:sectPr>
          <w:pgSz w:w="11900" w:h="16838" w:orient="portrait"/>
          <w:cols w:equalWidth="0" w:num="1">
            <w:col w:w="11240"/>
          </w:cols>
          <w:pgMar w:left="320" w:top="125" w:right="339" w:bottom="239"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39" w:gutter="0" w:footer="0" w:header="0"/>
          <w:type w:val="continuous"/>
        </w:sectPr>
      </w:pPr>
    </w:p>
    <w:bookmarkStart w:id="23" w:name="page24"/>
    <w:bookmarkEnd w:id="23"/>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$378,235,000, a 76.3% increase compared to the 2020 Period, which included $185,729,000 in acquired operating expenses. Operating expenses include compensation expense, newsprint and ink, other operating expenses, depreciation, amortization, restructuring and other expenses, assets loss (gain) on sales, and impairments. Cash costs were $344,120,000, a 70.1% increase compared to the 2020 Period, which included $172,657,000 of acquired Cash Costs. Cash costs on a proforma basis were down 9.6% compared to the 2020 period.</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$75,383,000 in the 2021 Period, or 82.0%, compared to the 2020 Period. This increase was attributable to $87,934,000 of acquired compensation expense, partially offset by a reduction in FTEs on a proforma basis.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increased $6,114,000 in the 2021 Period, or 67.5%, compared to the 2020 Period. The increase is attributable to acquired newsprint and ink expenses of $10,103,000 offset by declines in newsprint volumes and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$60,328,000 in the 2021 Period, or 59.6%, compared to the 2020 Period.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$84,812,000 of acquired other operating expenses and increases in investments to fund our digital growth strategy,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$4,461,000 and $3,557,000 in the 2021 Period and 2020 Period, respectively. Restructuring costs in the 2021 and 2020 Periods is predominately severance.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increased $4,425,000, or 45.5%, and amortization expense increased $4,538,000, or 34.3%, in the 2021 Period. Increases in both are due to the acquired assets from BHMG and Buffalo News.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loss (gain) on sales, impairments and other, was a net loss of $6,696,000 in the 2021 Period compared to a net gain of $5,299,000 in the 2020 Period. The loss in the 2021 Period and the gains in the 2020 Period were the result of the disposition of non-core assets, including real estate.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$29,226,000 in the 2021 Period compared to $32,093,000 in the 2020 Period.</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expense increased $877,000, or 3.9%, to $23,119,000 in the 2021 Period, compared to the same period last year due to the increase in debt from the acquisitions, partially offset by lower interest rates throughout the 2021 Period compared to interest rates in effect throughout the 2020 Period. Our weighted average cost of debt, excluding amortization of debt financing costs, was 9.0% at the end of the 2021 Period.</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no debt financing and administrative expense in the 2021 Period compared to $11,865,000 in the 2020 Period. Expenses in the prior year are due to writing off unamortized financing costs paid in conjunction with a prior refinancing.</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$4,571,000 periodic pension and other postretirement benefits in the 2021 Period and $1,088,000 in the 2020 Period. We recorded non-operating expense of $717,000 in the 2021 Period and non-operating income of $1,037,000 in the 2020 Period, related to the changes in the value of the Warrants.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recognized a non-cash curtailment gain of $23,830,000 and a reduction in our benefit obligation in the 2021 Period by eliminating post-retirement medical coverage for certain employees.</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pension withdrawal costs in the Period of $12,310,000 in connection with the withdrawal from a pension plan that covered certain employees. This withdrawal liability will be paid in equal quarterly installments over the next 20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recorded an income tax expense of $ 5,740,000, or 26.7% of pretax income in the 2021 Period. In the 2020 Period, we recognized an income tax benefit of $460,000, or 171.6%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(Losses) Per Share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was $15,795,000 and diluted earnings per share was $2.55 for the 2021 Period compared to net income of $728,000 and diluted losses per share of $0.01 for 2020 Period as adjusted for the reverse stock split, see Note 1. The change reflects the various items discussed above.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$39,253,000 in the 2021 Period compared to $10,698,000 in the 2020 Period. Net income for the 2021 Period totaled $15,795,000 compared to $728,000 in the 2020 Period. The increase in cash provided by operating activities in the 2021 Period is mainly attributed to the acquired operations of BH Media and Buffalo.</w:t>
      </w:r>
    </w:p>
    <w:p>
      <w:pPr>
        <w:sectPr>
          <w:pgSz w:w="11900" w:h="16856" w:orient="portrait"/>
          <w:cols w:equalWidth="0" w:num="1">
            <w:col w:w="11240"/>
          </w:cols>
          <w:pgMar w:left="320" w:top="125" w:right="339" w:bottom="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56" w:orient="portrait"/>
          <w:cols w:equalWidth="0" w:num="1">
            <w:col w:w="11240"/>
          </w:cols>
          <w:pgMar w:left="320" w:top="125" w:right="339" w:bottom="0" w:gutter="0" w:footer="0" w:header="0"/>
          <w:type w:val="continuous"/>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20" w:type="dxa"/>
            <w:vAlign w:val="bottom"/>
          </w:tcPr>
          <w:p>
            <w:pPr>
              <w:jc w:val="right"/>
              <w:ind w:right="4710"/>
              <w:spacing w:after="0"/>
              <w:rPr>
                <w:sz w:val="20"/>
                <w:szCs w:val="20"/>
                <w:color w:val="auto"/>
              </w:rPr>
            </w:pPr>
            <w:r>
              <w:rPr>
                <w:rFonts w:ascii="Arial" w:cs="Arial" w:eastAsia="Arial" w:hAnsi="Arial"/>
                <w:sz w:val="18"/>
                <w:szCs w:val="18"/>
                <w:b w:val="1"/>
                <w:bCs w:val="1"/>
                <w:color w:val="auto"/>
              </w:rPr>
              <w:t>Investing Activities</w:t>
            </w:r>
          </w:p>
        </w:tc>
      </w:tr>
      <w:tr>
        <w:trPr>
          <w:trHeight w:val="391"/>
        </w:trPr>
        <w:tc>
          <w:tcPr>
            <w:tcW w:w="1400" w:type="dxa"/>
            <w:vAlign w:val="bottom"/>
            <w:gridSpan w:val="2"/>
          </w:tcPr>
          <w:p>
            <w:pPr>
              <w:spacing w:after="0"/>
              <w:rPr>
                <w:sz w:val="20"/>
                <w:szCs w:val="20"/>
                <w:color w:val="auto"/>
              </w:rPr>
            </w:pPr>
            <w:r>
              <w:rPr>
                <w:rFonts w:ascii="Arial" w:cs="Arial" w:eastAsia="Arial" w:hAnsi="Arial"/>
                <w:sz w:val="18"/>
                <w:szCs w:val="18"/>
                <w:color w:val="auto"/>
              </w:rPr>
              <w:t>Cash  provided</w:t>
            </w:r>
          </w:p>
        </w:tc>
        <w:tc>
          <w:tcPr>
            <w:tcW w:w="300" w:type="dxa"/>
            <w:vAlign w:val="bottom"/>
          </w:tcPr>
          <w:p>
            <w:pPr>
              <w:spacing w:after="0"/>
              <w:rPr>
                <w:sz w:val="20"/>
                <w:szCs w:val="20"/>
                <w:color w:val="auto"/>
              </w:rPr>
            </w:pPr>
            <w:r>
              <w:rPr>
                <w:rFonts w:ascii="Arial" w:cs="Arial" w:eastAsia="Arial" w:hAnsi="Arial"/>
                <w:sz w:val="18"/>
                <w:szCs w:val="18"/>
                <w:color w:val="auto"/>
              </w:rPr>
              <w:t>by</w:t>
            </w:r>
          </w:p>
        </w:tc>
        <w:tc>
          <w:tcPr>
            <w:tcW w:w="860" w:type="dxa"/>
            <w:vAlign w:val="bottom"/>
          </w:tcPr>
          <w:p>
            <w:pPr>
              <w:ind w:left="20"/>
              <w:spacing w:after="0"/>
              <w:rPr>
                <w:sz w:val="20"/>
                <w:szCs w:val="20"/>
                <w:color w:val="auto"/>
              </w:rPr>
            </w:pPr>
            <w:r>
              <w:rPr>
                <w:rFonts w:ascii="Arial" w:cs="Arial" w:eastAsia="Arial" w:hAnsi="Arial"/>
                <w:sz w:val="18"/>
                <w:szCs w:val="18"/>
                <w:color w:val="auto"/>
              </w:rPr>
              <w:t>investing</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activities</w:t>
            </w:r>
          </w:p>
        </w:tc>
        <w:tc>
          <w:tcPr>
            <w:tcW w:w="680" w:type="dxa"/>
            <w:vAlign w:val="bottom"/>
          </w:tcPr>
          <w:p>
            <w:pPr>
              <w:ind w:left="60"/>
              <w:spacing w:after="0"/>
              <w:rPr>
                <w:sz w:val="20"/>
                <w:szCs w:val="20"/>
                <w:color w:val="auto"/>
              </w:rPr>
            </w:pPr>
            <w:r>
              <w:rPr>
                <w:rFonts w:ascii="Arial" w:cs="Arial" w:eastAsia="Arial" w:hAnsi="Arial"/>
                <w:sz w:val="18"/>
                <w:szCs w:val="18"/>
                <w:color w:val="auto"/>
              </w:rPr>
              <w:t>totaled</w:t>
            </w:r>
          </w:p>
        </w:tc>
        <w:tc>
          <w:tcPr>
            <w:tcW w:w="7220" w:type="dxa"/>
            <w:vAlign w:val="bottom"/>
          </w:tcPr>
          <w:p>
            <w:pPr>
              <w:jc w:val="right"/>
              <w:spacing w:after="0"/>
              <w:rPr>
                <w:sz w:val="20"/>
                <w:szCs w:val="20"/>
                <w:color w:val="auto"/>
              </w:rPr>
            </w:pPr>
            <w:r>
              <w:rPr>
                <w:rFonts w:ascii="Arial" w:cs="Arial" w:eastAsia="Arial" w:hAnsi="Arial"/>
                <w:sz w:val="18"/>
                <w:szCs w:val="18"/>
                <w:color w:val="auto"/>
              </w:rPr>
              <w:t>$301,000  in  the  2021  Period  compared  to  cash  required  by  investing  activities</w:t>
            </w: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of  $119,711,000</w:t>
            </w:r>
          </w:p>
        </w:tc>
        <w:tc>
          <w:tcPr>
            <w:tcW w:w="300" w:type="dxa"/>
            <w:vAlign w:val="bottom"/>
          </w:tcPr>
          <w:p>
            <w:pPr>
              <w:ind w:left="120"/>
              <w:spacing w:after="0" w:line="202" w:lineRule="exact"/>
              <w:rPr>
                <w:sz w:val="20"/>
                <w:szCs w:val="20"/>
                <w:color w:val="auto"/>
              </w:rPr>
            </w:pPr>
            <w:r>
              <w:rPr>
                <w:rFonts w:ascii="Arial" w:cs="Arial" w:eastAsia="Arial" w:hAnsi="Arial"/>
                <w:sz w:val="18"/>
                <w:szCs w:val="18"/>
                <w:color w:val="auto"/>
              </w:rPr>
              <w:t>in</w:t>
            </w:r>
          </w:p>
        </w:tc>
        <w:tc>
          <w:tcPr>
            <w:tcW w:w="860" w:type="dxa"/>
            <w:vAlign w:val="bottom"/>
          </w:tcPr>
          <w:p>
            <w:pPr>
              <w:ind w:left="80"/>
              <w:spacing w:after="0" w:line="202" w:lineRule="exact"/>
              <w:rPr>
                <w:sz w:val="20"/>
                <w:szCs w:val="20"/>
                <w:color w:val="auto"/>
              </w:rPr>
            </w:pPr>
            <w:r>
              <w:rPr>
                <w:rFonts w:ascii="Arial" w:cs="Arial" w:eastAsia="Arial" w:hAnsi="Arial"/>
                <w:sz w:val="18"/>
                <w:szCs w:val="18"/>
                <w:color w:val="auto"/>
              </w:rPr>
              <w:t>the  2020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Period.</w:t>
            </w:r>
          </w:p>
        </w:tc>
        <w:tc>
          <w:tcPr>
            <w:tcW w:w="680" w:type="dxa"/>
            <w:vAlign w:val="bottom"/>
          </w:tcPr>
          <w:p>
            <w:pPr>
              <w:ind w:left="60"/>
              <w:spacing w:after="0" w:line="202" w:lineRule="exact"/>
              <w:rPr>
                <w:sz w:val="20"/>
                <w:szCs w:val="20"/>
                <w:color w:val="auto"/>
              </w:rPr>
            </w:pPr>
            <w:r>
              <w:rPr>
                <w:rFonts w:ascii="Arial" w:cs="Arial" w:eastAsia="Arial" w:hAnsi="Arial"/>
                <w:sz w:val="18"/>
                <w:szCs w:val="18"/>
                <w:color w:val="auto"/>
              </w:rPr>
              <w:t>Capital</w:t>
            </w:r>
          </w:p>
        </w:tc>
        <w:tc>
          <w:tcPr>
            <w:tcW w:w="7220" w:type="dxa"/>
            <w:vAlign w:val="bottom"/>
          </w:tcPr>
          <w:p>
            <w:pPr>
              <w:jc w:val="right"/>
              <w:spacing w:after="0" w:line="202" w:lineRule="exact"/>
              <w:rPr>
                <w:sz w:val="20"/>
                <w:szCs w:val="20"/>
                <w:color w:val="auto"/>
              </w:rPr>
            </w:pPr>
            <w:r>
              <w:rPr>
                <w:rFonts w:ascii="Arial" w:cs="Arial" w:eastAsia="Arial" w:hAnsi="Arial"/>
                <w:sz w:val="18"/>
                <w:szCs w:val="18"/>
                <w:color w:val="auto"/>
              </w:rPr>
              <w:t>spending  totaled  $2,927,000  in  the  2021  Period  compared  to  $5,809,000  in  the</w:t>
            </w:r>
          </w:p>
        </w:tc>
      </w:tr>
    </w:tbl>
    <w:p>
      <w:pPr>
        <w:spacing w:after="0" w:line="234" w:lineRule="auto"/>
        <w:rPr>
          <w:sz w:val="20"/>
          <w:szCs w:val="20"/>
          <w:color w:val="auto"/>
        </w:rPr>
      </w:pPr>
      <w:r>
        <w:rPr>
          <w:rFonts w:ascii="Arial" w:cs="Arial" w:eastAsia="Arial" w:hAnsi="Arial"/>
          <w:sz w:val="18"/>
          <w:szCs w:val="18"/>
          <w:color w:val="auto"/>
        </w:rPr>
        <w:t>2020 Period. Cash proceeds from asset sales, mainly real estate, totaled $2,751,000 in the 2021 Period compared to $17,637,000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 Period. In the 2020 Period we spent $130,985,000 on acquisitions.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financing activities totaled $39,534,000 in the 2021 period compared to cash provided by financing activities of $131,192,000 in the 2020 Period. Debt reduction accounted for all of the usage of funds in the 2021 Period and the 2020 Refinancing provided the majority of funds in the 2020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2020, in connection with the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completed a comprehensive refinancing of its debt, which consists of a 25-year term loan with BH Finance in an aggregate principal amount of $576,000,000. The Term Loan, which matures March 16, 2045, bears interest at an annual rate of 9.0%.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March 28,</w:t>
            </w:r>
          </w:p>
        </w:tc>
        <w:tc>
          <w:tcPr>
            <w:tcW w:w="1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September 27,</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vMerge w:val="continue"/>
          </w:tcPr>
          <w:p>
            <w:pPr>
              <w:spacing w:after="0"/>
              <w:rPr>
                <w:sz w:val="17"/>
                <w:szCs w:val="17"/>
                <w:color w:val="auto"/>
              </w:rPr>
            </w:pPr>
          </w:p>
        </w:tc>
        <w:tc>
          <w:tcPr>
            <w:tcW w:w="29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2021</w:t>
            </w:r>
          </w:p>
        </w:tc>
        <w:tc>
          <w:tcPr>
            <w:tcW w:w="1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29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498,915</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538,290</w:t>
            </w: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9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13,753</w:t>
            </w:r>
          </w:p>
        </w:tc>
        <w:tc>
          <w:tcPr>
            <w:tcW w:w="17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13,733</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29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485,162</w:t>
            </w:r>
          </w:p>
        </w:tc>
        <w:tc>
          <w:tcPr>
            <w:tcW w:w="17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524,557</w:t>
            </w: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 instances of change in control. There are no other scheduled mandatory principal payments required under the Credit Agreement.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Excess cash flow for the 13 weeks ended March 28, 2021 totaled $13,753,000, which was used to repay debt in April 2021. In addition, during the quarter the Company made an additional voluntary payment of $7,500,000 as provided for in the agreement.</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 There are no financial performance covenants under our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closing of the transactions, we no longer have access to a Revolving Facility.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2020, we filed a Form S-3 registration statement ("Shelf"), that gave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Upon the filing of our Annual Report on Form 10-K, however, as a result of SEC issuer eligibility rules, we were not eligible to utilize an S-3 registration statement or the Shelf. We expect to be eligible to use the Shelf on and after June 1,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evaluate the effects of the COVID-19 pandemic on our results of operations and cash flows. To combat the negative impacts, we have taken significant and immediate action to manage cash flow by implementing various initiatives including reductions in force, compensation reductions, furloughs, and reductions in capital investments. We are also working with our large vendors to evaluate the amount and timing of significant expenses.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we currently forecast sufficient near-term liquidity, the ultimate impact of the COVID-19 pandemic could have a material impact on the Company's liquidity and its ability to meet its ongoing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ectPr>
          <w:pgSz w:w="11900" w:h="16838" w:orient="portrait"/>
          <w:cols w:equalWidth="0" w:num="1">
            <w:col w:w="11240"/>
          </w:cols>
          <w:pgMar w:left="320" w:top="108" w:right="339" w:bottom="212"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212"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North American newsprint producers announced price increases for implementation in January 2021 and February 2021 with additional price increase announcements for March 2021 and April 2021 as supply capacity utilization improved due to paper machine permanent shutdowns, conversion to paper grades other than newsprint, and improving export demand for newsprint.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tonne price increase for 27.7 pound newsprint would result in an annualized reduction in income before taxes of approximately $487,000 annualized based on anticipated consumption in 2021,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 rate debt consists of $498,915,000 principal amount of the Term Loan recorded at carrying value. At March 28, 2021, based on market price quotations, the fair value approximates carrying value.</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have not been considered in our assessment over internal control over financial reporting during the 12 month measurement adjustment period as allotted for in ASC 805. Other than the Transactions, there have been no changes in our internal control over financial reporting that occurred during the 26 weeks ended March 28, 2021 that have materially affected, or are reasonably likely to materially affect, our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2020 Form 10-K.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0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c>
          <w:tcPr>
            <w:tcW w:w="920" w:type="dxa"/>
            <w:vAlign w:val="bottom"/>
            <w:tcBorders>
              <w:bottom w:val="single" w:sz="8" w:color="auto"/>
            </w:tcBorders>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Rule 13a-14(a) Certification of Chief Executive Officer</w:t>
              </w:r>
            </w:hyperlink>
          </w:p>
        </w:tc>
        <w:tc>
          <w:tcPr>
            <w:tcW w:w="456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182"/>
        </w:trPr>
        <w:tc>
          <w:tcPr>
            <w:tcW w:w="14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Rule 13a-14(a) Certification of Chief Financial Officer</w:t>
              </w:r>
            </w:hyperlink>
          </w:p>
        </w:tc>
        <w:tc>
          <w:tcPr>
            <w:tcW w:w="4620" w:type="dxa"/>
            <w:vAlign w:val="bottom"/>
            <w:gridSpan w:val="2"/>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840" w:type="dxa"/>
            <w:vAlign w:val="bottom"/>
            <w:gridSpan w:val="5"/>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Section 1350 Certification of Chief Executive Officer</w:t>
              </w:r>
            </w:hyperlink>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1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Section 1350 Certification of Chief Financial Officer</w:t>
              </w:r>
            </w:hyperlink>
          </w:p>
        </w:tc>
        <w:tc>
          <w:tcPr>
            <w:tcW w:w="4720" w:type="dxa"/>
            <w:vAlign w:val="bottom"/>
            <w:gridSpan w:val="3"/>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20"/>
        </w:trPr>
        <w:tc>
          <w:tcPr>
            <w:tcW w:w="148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8840" w:type="dxa"/>
            <w:vAlign w:val="bottom"/>
            <w:gridSpan w:val="5"/>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rPr>
                <w:sz w:val="17"/>
                <w:szCs w:val="17"/>
                <w:color w:val="auto"/>
              </w:rPr>
            </w:pP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Borders>
              <w:bottom w:val="single" w:sz="8" w:color="auto"/>
            </w:tcBorders>
          </w:tcPr>
          <w:p>
            <w:pPr>
              <w:spacing w:after="0"/>
              <w:rPr>
                <w:sz w:val="17"/>
                <w:szCs w:val="17"/>
                <w:color w:val="auto"/>
              </w:rPr>
            </w:pPr>
          </w:p>
        </w:tc>
        <w:tc>
          <w:tcPr>
            <w:tcW w:w="8840" w:type="dxa"/>
            <w:vAlign w:val="bottom"/>
            <w:tcBorders>
              <w:bottom w:val="single" w:sz="8" w:color="auto"/>
            </w:tcBorders>
            <w:gridSpan w:val="5"/>
          </w:tcPr>
          <w:p>
            <w:pPr>
              <w:spacing w:after="0" w:line="203" w:lineRule="exact"/>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7"/>
                <w:szCs w:val="17"/>
                <w:color w:val="auto"/>
              </w:rPr>
            </w:pPr>
          </w:p>
        </w:tc>
      </w:tr>
      <w:tr>
        <w:trPr>
          <w:trHeight w:val="412"/>
        </w:trPr>
        <w:tc>
          <w:tcPr>
            <w:tcW w:w="1480" w:type="dxa"/>
            <w:vAlign w:val="bottom"/>
          </w:tcPr>
          <w:p>
            <w:pPr>
              <w:spacing w:after="0"/>
              <w:rPr>
                <w:sz w:val="24"/>
                <w:szCs w:val="24"/>
                <w:color w:val="auto"/>
              </w:rPr>
            </w:pPr>
          </w:p>
        </w:tc>
        <w:tc>
          <w:tcPr>
            <w:tcW w:w="4280" w:type="dxa"/>
            <w:vAlign w:val="bottom"/>
            <w:gridSpan w:val="4"/>
          </w:tcPr>
          <w:p>
            <w:pPr>
              <w:ind w:left="4040"/>
              <w:spacing w:after="0"/>
              <w:rPr>
                <w:sz w:val="20"/>
                <w:szCs w:val="20"/>
                <w:color w:val="auto"/>
              </w:rPr>
            </w:pPr>
            <w:r>
              <w:rPr>
                <w:rFonts w:ascii="Arial" w:cs="Arial" w:eastAsia="Arial" w:hAnsi="Arial"/>
                <w:sz w:val="18"/>
                <w:szCs w:val="18"/>
                <w:color w:val="auto"/>
              </w:rPr>
              <w:t>25</w:t>
            </w:r>
          </w:p>
        </w:tc>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14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644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240" w:type="dxa"/>
            <w:vAlign w:val="bottom"/>
          </w:tcPr>
          <w:p>
            <w:pPr>
              <w:spacing w:after="0"/>
              <w:rPr>
                <w:sz w:val="18"/>
                <w:szCs w:val="18"/>
                <w:color w:val="auto"/>
              </w:rPr>
            </w:pPr>
          </w:p>
        </w:tc>
      </w:tr>
      <w:tr>
        <w:trPr>
          <w:trHeight w:val="404"/>
        </w:trPr>
        <w:tc>
          <w:tcPr>
            <w:tcW w:w="6440" w:type="dxa"/>
            <w:vAlign w:val="bottom"/>
          </w:tcPr>
          <w:p>
            <w:pPr>
              <w:spacing w:after="0"/>
              <w:rPr>
                <w:sz w:val="20"/>
                <w:szCs w:val="20"/>
                <w:color w:val="auto"/>
              </w:rPr>
            </w:pPr>
            <w:r>
              <w:rPr>
                <w:rFonts w:ascii="Arial" w:cs="Arial" w:eastAsia="Arial" w:hAnsi="Arial"/>
                <w:sz w:val="18"/>
                <w:szCs w:val="18"/>
                <w:color w:val="auto"/>
              </w:rPr>
              <w:t>/s/ Timothy R. Millage</w:t>
            </w:r>
          </w:p>
        </w:tc>
        <w:tc>
          <w:tcPr>
            <w:tcW w:w="4240" w:type="dxa"/>
            <w:vAlign w:val="bottom"/>
          </w:tcPr>
          <w:p>
            <w:pPr>
              <w:ind w:left="3240"/>
              <w:spacing w:after="0"/>
              <w:rPr>
                <w:sz w:val="20"/>
                <w:szCs w:val="20"/>
                <w:color w:val="auto"/>
              </w:rPr>
            </w:pPr>
            <w:r>
              <w:rPr>
                <w:rFonts w:ascii="Arial" w:cs="Arial" w:eastAsia="Arial" w:hAnsi="Arial"/>
                <w:sz w:val="18"/>
                <w:szCs w:val="18"/>
                <w:color w:val="auto"/>
                <w:w w:val="98"/>
              </w:rPr>
              <w:t>May 7,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-7620</wp:posOffset>
            </wp:positionV>
            <wp:extent cx="3223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280"/>
        <w:spacing w:after="0" w:line="234" w:lineRule="auto"/>
        <w:rPr>
          <w:sz w:val="20"/>
          <w:szCs w:val="20"/>
          <w:color w:val="auto"/>
        </w:rPr>
      </w:pPr>
      <w:r>
        <w:rPr>
          <w:rFonts w:ascii="Arial" w:cs="Arial" w:eastAsia="Arial" w:hAnsi="Arial"/>
          <w:sz w:val="18"/>
          <w:szCs w:val="18"/>
          <w:color w:val="auto"/>
        </w:rPr>
        <w:t>Timothy R. Millage</w:t>
      </w:r>
    </w:p>
    <w:p>
      <w:pPr>
        <w:ind w:left="280"/>
        <w:spacing w:after="0" w:line="235"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31" w:name="page32"/>
    <w:bookmarkEnd w:id="31"/>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920" w:right="20" w:hanging="912"/>
        <w:spacing w:after="0" w:line="246"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28,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32" w:name="page33"/>
    <w:bookmarkEnd w:id="32"/>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580" w:right="160" w:hanging="572"/>
        <w:spacing w:after="0" w:line="246"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28,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580" w:right="720" w:hanging="572"/>
        <w:spacing w:after="0" w:line="246"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bullet"/>
      <w:start w:val="1"/>
    </w:lvl>
  </w:abstractNum>
  <w:abstractNum w:abstractNumId="4">
    <w:nsid w:val="519B500D"/>
    <w:multiLevelType w:val="hybridMultilevel"/>
    <w:lvl w:ilvl="0">
      <w:lvlJc w:val="left"/>
      <w:lvlText w:val="2"/>
      <w:numFmt w:val="bullet"/>
      <w:start w:val="1"/>
    </w:lvl>
  </w:abstractNum>
  <w:abstractNum w:abstractNumId="5">
    <w:nsid w:val="431BD7B7"/>
    <w:multiLevelType w:val="hybridMultilevel"/>
    <w:lvl w:ilvl="0">
      <w:lvlJc w:val="left"/>
      <w:lvlText w:val="3"/>
      <w:numFmt w:val="bullet"/>
      <w:start w:val="1"/>
    </w:lvl>
  </w:abstractNum>
  <w:abstractNum w:abstractNumId="6">
    <w:nsid w:val="3F2DBA31"/>
    <w:multiLevelType w:val="hybridMultilevel"/>
    <w:lvl w:ilvl="0">
      <w:lvlJc w:val="left"/>
      <w:lvlText w:val="4"/>
      <w:numFmt w:val="bullet"/>
      <w:start w:val="1"/>
    </w:lvl>
  </w:abstractNum>
  <w:abstractNum w:abstractNumId="7">
    <w:nsid w:val="7C83E458"/>
    <w:multiLevelType w:val="hybridMultilevel"/>
    <w:lvl w:ilvl="0">
      <w:lvlJc w:val="left"/>
      <w:lvlText w:val="5"/>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6"/>
      <w:numFmt w:val="bullet"/>
      <w:start w:val="1"/>
    </w:lvl>
  </w:abstractNum>
  <w:abstractNum w:abstractNumId="10">
    <w:nsid w:val="436C6125"/>
    <w:multiLevelType w:val="hybridMultilevel"/>
    <w:lvl w:ilvl="0">
      <w:lvlJc w:val="left"/>
      <w:lvlText w:val="7"/>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8"/>
      <w:numFmt w:val="bullet"/>
      <w:start w:val="1"/>
    </w:lvl>
  </w:abstractNum>
  <w:abstractNum w:abstractNumId="13">
    <w:nsid w:val="721DA317"/>
    <w:multiLevelType w:val="hybridMultilevel"/>
    <w:lvl w:ilvl="0">
      <w:lvlJc w:val="left"/>
      <w:lvlText w:val="9"/>
      <w:numFmt w:val="bullet"/>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2"/>
      <w:numFmt w:val="bullet"/>
      <w:start w:val="1"/>
    </w:lvl>
  </w:abstractNum>
  <w:abstractNum w:abstractNumId="20">
    <w:nsid w:val="4353D0CD"/>
    <w:multiLevelType w:val="hybridMultilevel"/>
    <w:lvl w:ilvl="0">
      <w:lvlJc w:val="left"/>
      <w:lvlText w:val="3"/>
      <w:numFmt w:val="bullet"/>
      <w:start w:val="1"/>
    </w:lvl>
  </w:abstractNum>
  <w:abstractNum w:abstractNumId="21">
    <w:nsid w:val="B03E0C6"/>
    <w:multiLevelType w:val="hybridMultilevel"/>
    <w:lvl w:ilvl="0">
      <w:lvlJc w:val="left"/>
      <w:lvlText w:val="4"/>
      <w:numFmt w:val="bullet"/>
      <w:start w:val="1"/>
    </w:lvl>
    <w:lvl w:ilvl="1">
      <w:lvlJc w:val="left"/>
      <w:lvlText w:val="%2)"/>
      <w:numFmt w:val="lowerLetter"/>
      <w:start w:val="1"/>
    </w:lvl>
  </w:abstractNum>
  <w:abstractNum w:abstractNumId="22">
    <w:nsid w:val="189A769B"/>
    <w:multiLevelType w:val="hybridMultilevel"/>
    <w:lvl w:ilvl="0">
      <w:lvlJc w:val="left"/>
      <w:lvlText w:val="5"/>
      <w:numFmt w:val="bullet"/>
      <w:start w:val="1"/>
    </w:lvl>
    <w:lvl w:ilvl="1">
      <w:lvlJc w:val="left"/>
      <w:lvlText w:val="%2)"/>
      <w:numFmt w:val="lowerLetter"/>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3"/>
      <w:numFmt w:val="bullet"/>
      <w:start w:val="1"/>
    </w:lvl>
  </w:abstractNum>
  <w:abstractNum w:abstractNumId="26">
    <w:nsid w:val="836C40E"/>
    <w:multiLevelType w:val="hybridMultilevel"/>
    <w:lvl w:ilvl="0">
      <w:lvlJc w:val="left"/>
      <w:lvlText w:val="4"/>
      <w:numFmt w:val="bullet"/>
      <w:start w:val="1"/>
    </w:lvl>
    <w:lvl w:ilvl="1">
      <w:lvlJc w:val="left"/>
      <w:lvlText w:val="%2)"/>
      <w:numFmt w:val="lowerLetter"/>
      <w:start w:val="1"/>
    </w:lvl>
  </w:abstractNum>
  <w:abstractNum w:abstractNumId="27">
    <w:nsid w:val="2901D82"/>
    <w:multiLevelType w:val="hybridMultilevel"/>
    <w:lvl w:ilvl="0">
      <w:lvlJc w:val="left"/>
      <w:lvlText w:val="5"/>
      <w:numFmt w:val="bullet"/>
      <w:start w:val="1"/>
    </w:lvl>
    <w:lvl w:ilvl="1">
      <w:lvlJc w:val="left"/>
      <w:lvlText w:val="%2)"/>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2021-05-07T14:36:03Z</dcterms:created>
  <dcterms:modified xsi:type="dcterms:W3CDTF">2021-05-07T14:36:03Z</dcterms:modified>
</cp:coreProperties>
</file>