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4060" w:right="2660" w:hanging="1390"/>
        <w:spacing w:after="0" w:line="262" w:lineRule="auto"/>
        <w:tabs>
          <w:tab w:leader="none" w:pos="293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 The Quarterly Period Ended December 30, 2018</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31" w:lineRule="exact"/>
        <w:rPr>
          <w:sz w:val="24"/>
          <w:szCs w:val="24"/>
          <w:color w:val="auto"/>
        </w:rPr>
      </w:pPr>
    </w:p>
    <w:p>
      <w:pPr>
        <w:ind w:left="4060" w:right="2660" w:hanging="1383"/>
        <w:spacing w:after="0" w:line="262" w:lineRule="auto"/>
        <w:tabs>
          <w:tab w:leader="none" w:pos="2823"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1-6227</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LEE ENTERPRISES, INCORPORATED</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ectPr>
          <w:pgSz w:w="11900" w:h="16838" w:orient="portrait"/>
          <w:cols w:equalWidth="0" w:num="1">
            <w:col w:w="11420"/>
          </w:cols>
          <w:pgMar w:left="240" w:top="584" w:right="239" w:bottom="1440" w:gutter="0" w:footer="0" w:header="0"/>
        </w:sectPr>
      </w:pPr>
    </w:p>
    <w:p>
      <w:pPr>
        <w:spacing w:after="0" w:line="317"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Delaware</w:t>
      </w:r>
    </w:p>
    <w:p>
      <w:pPr>
        <w:spacing w:after="0" w:line="45" w:lineRule="exact"/>
        <w:rPr>
          <w:sz w:val="24"/>
          <w:szCs w:val="24"/>
          <w:color w:val="auto"/>
        </w:rPr>
      </w:pPr>
    </w:p>
    <w:p>
      <w:pPr>
        <w:ind w:left="1760"/>
        <w:spacing w:after="0"/>
        <w:rPr>
          <w:sz w:val="20"/>
          <w:szCs w:val="20"/>
          <w:color w:val="auto"/>
        </w:rPr>
      </w:pPr>
      <w:r>
        <w:rPr>
          <w:rFonts w:ascii="Arial" w:cs="Arial" w:eastAsia="Arial" w:hAnsi="Arial"/>
          <w:sz w:val="18"/>
          <w:szCs w:val="18"/>
          <w:color w:val="auto"/>
        </w:rPr>
        <w:t>(State or other jurisdiction of</w:t>
      </w:r>
    </w:p>
    <w:p>
      <w:pPr>
        <w:ind w:left="170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jc w:val="center"/>
        <w:ind w:right="1480"/>
        <w:spacing w:after="0"/>
        <w:rPr>
          <w:sz w:val="20"/>
          <w:szCs w:val="20"/>
          <w:color w:val="auto"/>
        </w:rPr>
      </w:pPr>
      <w:r>
        <w:rPr>
          <w:rFonts w:ascii="Arial" w:cs="Arial" w:eastAsia="Arial" w:hAnsi="Arial"/>
          <w:sz w:val="18"/>
          <w:szCs w:val="18"/>
          <w:color w:val="auto"/>
        </w:rPr>
        <w:t>42-0823980</w:t>
      </w:r>
    </w:p>
    <w:p>
      <w:pPr>
        <w:spacing w:after="0" w:line="50"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36" w:lineRule="exact"/>
        <w:rPr>
          <w:sz w:val="24"/>
          <w:szCs w:val="24"/>
          <w:color w:val="auto"/>
        </w:rPr>
      </w:pPr>
    </w:p>
    <w:p>
      <w:pPr>
        <w:sectPr>
          <w:pgSz w:w="11900" w:h="16838" w:orient="portrait"/>
          <w:cols w:equalWidth="0" w:num="2">
            <w:col w:w="6460" w:space="720"/>
            <w:col w:w="4240"/>
          </w:cols>
          <w:pgMar w:left="240" w:top="58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201 N. Harrison Street, Suite 600, Davenport, Iowa 52801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(563) 383-2100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 1934 during the preceding 12 months (or for such shorter period that the Registrant was required to file such reports), and (2) has been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subject to such filing requirements for the past 90 days.</w:t>
      </w:r>
    </w:p>
    <w:p>
      <w:pPr>
        <w:spacing w:after="0" w:line="9"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[X]</w:t>
        <w:tab/>
        <w:t>No [ ]</w:t>
      </w:r>
    </w:p>
    <w:p>
      <w:pPr>
        <w:spacing w:after="0" w:line="13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pursuant to Rule 405 of Regulation S-T (232.405 of this chapter) during the preceding 12 months (or for such shorter period that the registrant was required to submit and post such files). Yes [X] No [ ]</w:t>
      </w:r>
    </w:p>
    <w:p>
      <w:pPr>
        <w:spacing w:after="0" w:line="107"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 large accelerated filer", "accelerated filer", "small reporting company” and "emerging growth company" in Rule 12b-2 of the Exchange Act.</w:t>
      </w:r>
    </w:p>
    <w:p>
      <w:pPr>
        <w:spacing w:after="0" w:line="148" w:lineRule="exact"/>
        <w:rPr>
          <w:sz w:val="24"/>
          <w:szCs w:val="24"/>
          <w:color w:val="auto"/>
        </w:rPr>
      </w:pPr>
    </w:p>
    <w:tbl>
      <w:tblPr>
        <w:tblLayout w:type="fixed"/>
        <w:tblInd w:w="26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140" w:type="dxa"/>
            <w:vAlign w:val="bottom"/>
          </w:tcPr>
          <w:p>
            <w:pPr>
              <w:ind w:left="360"/>
              <w:spacing w:after="0"/>
              <w:rPr>
                <w:sz w:val="20"/>
                <w:szCs w:val="20"/>
                <w:color w:val="auto"/>
              </w:rPr>
            </w:pPr>
            <w:r>
              <w:rPr>
                <w:rFonts w:ascii="Arial" w:cs="Arial" w:eastAsia="Arial" w:hAnsi="Arial"/>
                <w:sz w:val="18"/>
                <w:szCs w:val="18"/>
                <w:color w:val="auto"/>
              </w:rPr>
              <w:t>[ ]</w:t>
            </w:r>
          </w:p>
        </w:tc>
        <w:tc>
          <w:tcPr>
            <w:tcW w:w="324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[X]</w:t>
            </w:r>
          </w:p>
        </w:tc>
      </w:tr>
      <w:tr>
        <w:trPr>
          <w:trHeight w:val="257"/>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4140" w:type="dxa"/>
            <w:vAlign w:val="bottom"/>
          </w:tcPr>
          <w:p>
            <w:pPr>
              <w:ind w:left="3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4"/>
                <w:szCs w:val="14"/>
                <w:color w:val="auto"/>
              </w:rPr>
              <w:t>(Do not check if a smaller reporting company)</w:t>
            </w:r>
          </w:p>
        </w:tc>
        <w:tc>
          <w:tcPr>
            <w:tcW w:w="324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16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324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9" w:lineRule="exact"/>
        <w:rPr>
          <w:sz w:val="24"/>
          <w:szCs w:val="24"/>
          <w:color w:val="auto"/>
        </w:rPr>
      </w:pPr>
    </w:p>
    <w:p>
      <w:pPr>
        <w:spacing w:after="0"/>
        <w:tabs>
          <w:tab w:leader="none" w:pos="78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7"/>
          <w:szCs w:val="17"/>
          <w:color w:val="auto"/>
        </w:rPr>
        <w:t>No [X]</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As of January 31, 2019 57,690,431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4"/>
        </w:trPr>
        <w:tc>
          <w:tcPr>
            <w:tcW w:w="1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Table Of Contents</w:t>
            </w:r>
          </w:p>
        </w:tc>
        <w:tc>
          <w:tcPr>
            <w:tcW w:w="8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9"/>
              </w:rPr>
              <w:t>PAGE</w:t>
            </w:r>
          </w:p>
        </w:tc>
      </w:tr>
      <w:tr>
        <w:trPr>
          <w:trHeight w:val="419"/>
        </w:trPr>
        <w:tc>
          <w:tcPr>
            <w:tcW w:w="10580" w:type="dxa"/>
            <w:vAlign w:val="bottom"/>
            <w:gridSpan w:val="4"/>
          </w:tcPr>
          <w:p>
            <w:pPr>
              <w:ind w:left="20"/>
              <w:spacing w:after="0"/>
              <w:rPr>
                <w:sz w:val="20"/>
                <w:szCs w:val="20"/>
                <w:color w:val="auto"/>
              </w:rPr>
            </w:pPr>
            <w:r>
              <w:rPr>
                <w:rFonts w:ascii="Arial" w:cs="Arial" w:eastAsia="Arial" w:hAnsi="Arial"/>
                <w:sz w:val="18"/>
                <w:szCs w:val="18"/>
                <w:color w:val="auto"/>
              </w:rPr>
              <w:t>FORWARD LOOKING STATEMENTS</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9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840" w:type="dxa"/>
            <w:vAlign w:val="bottom"/>
          </w:tcPr>
          <w:p>
            <w:pPr>
              <w:ind w:left="20"/>
              <w:spacing w:after="0"/>
              <w:rPr>
                <w:sz w:val="20"/>
                <w:szCs w:val="20"/>
                <w:color w:val="auto"/>
              </w:rPr>
            </w:pPr>
            <w:r>
              <w:rPr>
                <w:rFonts w:ascii="Arial" w:cs="Arial" w:eastAsia="Arial" w:hAnsi="Arial"/>
                <w:sz w:val="18"/>
                <w:szCs w:val="18"/>
                <w:color w:val="auto"/>
              </w:rPr>
              <w:t>PART I</w:t>
            </w:r>
          </w:p>
        </w:tc>
        <w:tc>
          <w:tcPr>
            <w:tcW w:w="9740" w:type="dxa"/>
            <w:vAlign w:val="bottom"/>
            <w:gridSpan w:val="3"/>
          </w:tcPr>
          <w:p>
            <w:pPr>
              <w:ind w:left="220"/>
              <w:spacing w:after="0"/>
              <w:rPr>
                <w:sz w:val="20"/>
                <w:szCs w:val="20"/>
                <w:color w:val="auto"/>
              </w:rPr>
            </w:pPr>
            <w:r>
              <w:rPr>
                <w:rFonts w:ascii="Arial" w:cs="Arial" w:eastAsia="Arial" w:hAnsi="Arial"/>
                <w:sz w:val="18"/>
                <w:szCs w:val="18"/>
                <w:color w:val="auto"/>
              </w:rPr>
              <w:t>FINANCIAL INFORMATION</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84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1.</w:t>
            </w: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Financial Statements (Unaudited)</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Consolidated Balance Sheets - December 30, 2018 and September 30, 2018</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Consolidated Statements of Income and Comprehensive Income - 13 weeks ended December 30,</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3"/>
        </w:trPr>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2018 and December 24, 2017</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2"/>
        </w:trPr>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Consolidated Statement of Stockholders' Equity - 13 weeks ended December 30, 2018 and December</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3"/>
        </w:trPr>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24, 2017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540"/>
        </w:trPr>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Consolidated Statements of Cash Flows - 13 weeks ended December 30, 2018 and December 24,</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3"/>
        </w:trPr>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2"/>
        </w:trPr>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7</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84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2.</w:t>
            </w: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20</w:t>
              </w:r>
            </w:hyperlink>
          </w:p>
        </w:tc>
        <w:tc>
          <w:tcPr>
            <w:tcW w:w="300" w:type="dxa"/>
            <w:vAlign w:val="bottom"/>
          </w:tcPr>
          <w:p>
            <w:pPr>
              <w:spacing w:after="0"/>
              <w:rPr>
                <w:sz w:val="24"/>
                <w:szCs w:val="24"/>
                <w:color w:val="auto"/>
              </w:rPr>
            </w:pPr>
          </w:p>
        </w:tc>
      </w:tr>
      <w:tr>
        <w:trPr>
          <w:trHeight w:val="466"/>
        </w:trPr>
        <w:tc>
          <w:tcPr>
            <w:tcW w:w="84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3.</w:t>
            </w: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Quantitative and Qualitative Disclosures About Market Risk</w:t>
            </w: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29</w:t>
              </w:r>
            </w:hyperlink>
          </w:p>
        </w:tc>
        <w:tc>
          <w:tcPr>
            <w:tcW w:w="300" w:type="dxa"/>
            <w:vAlign w:val="bottom"/>
          </w:tcPr>
          <w:p>
            <w:pPr>
              <w:spacing w:after="0"/>
              <w:rPr>
                <w:sz w:val="24"/>
                <w:szCs w:val="24"/>
                <w:color w:val="auto"/>
              </w:rPr>
            </w:pPr>
          </w:p>
        </w:tc>
      </w:tr>
      <w:tr>
        <w:trPr>
          <w:trHeight w:val="466"/>
        </w:trPr>
        <w:tc>
          <w:tcPr>
            <w:tcW w:w="84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4.</w:t>
            </w: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Controls and Procedures</w:t>
            </w: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30</w:t>
              </w:r>
            </w:hyperlink>
          </w:p>
        </w:tc>
        <w:tc>
          <w:tcPr>
            <w:tcW w:w="300" w:type="dxa"/>
            <w:vAlign w:val="bottom"/>
          </w:tcPr>
          <w:p>
            <w:pPr>
              <w:spacing w:after="0"/>
              <w:rPr>
                <w:sz w:val="24"/>
                <w:szCs w:val="24"/>
                <w:color w:val="auto"/>
              </w:rPr>
            </w:pPr>
          </w:p>
        </w:tc>
      </w:tr>
      <w:tr>
        <w:trPr>
          <w:trHeight w:val="466"/>
        </w:trPr>
        <w:tc>
          <w:tcPr>
            <w:tcW w:w="840" w:type="dxa"/>
            <w:vAlign w:val="bottom"/>
          </w:tcPr>
          <w:p>
            <w:pPr>
              <w:ind w:left="20"/>
              <w:spacing w:after="0"/>
              <w:rPr>
                <w:sz w:val="20"/>
                <w:szCs w:val="20"/>
                <w:color w:val="auto"/>
              </w:rPr>
            </w:pPr>
            <w:r>
              <w:rPr>
                <w:rFonts w:ascii="Arial" w:cs="Arial" w:eastAsia="Arial" w:hAnsi="Arial"/>
                <w:sz w:val="18"/>
                <w:szCs w:val="18"/>
                <w:color w:val="auto"/>
              </w:rPr>
              <w:t>PART II</w:t>
            </w:r>
          </w:p>
        </w:tc>
        <w:tc>
          <w:tcPr>
            <w:tcW w:w="9740" w:type="dxa"/>
            <w:vAlign w:val="bottom"/>
            <w:gridSpan w:val="3"/>
          </w:tcPr>
          <w:p>
            <w:pPr>
              <w:ind w:left="220"/>
              <w:spacing w:after="0"/>
              <w:rPr>
                <w:sz w:val="20"/>
                <w:szCs w:val="20"/>
                <w:color w:val="auto"/>
              </w:rPr>
            </w:pPr>
            <w:r>
              <w:rPr>
                <w:rFonts w:ascii="Arial" w:cs="Arial" w:eastAsia="Arial" w:hAnsi="Arial"/>
                <w:sz w:val="18"/>
                <w:szCs w:val="18"/>
                <w:color w:val="auto"/>
              </w:rPr>
              <w:t>OTHER INFORMATION</w:t>
            </w: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31</w:t>
              </w:r>
            </w:hyperlink>
          </w:p>
        </w:tc>
        <w:tc>
          <w:tcPr>
            <w:tcW w:w="300" w:type="dxa"/>
            <w:vAlign w:val="bottom"/>
          </w:tcPr>
          <w:p>
            <w:pPr>
              <w:spacing w:after="0"/>
              <w:rPr>
                <w:sz w:val="24"/>
                <w:szCs w:val="24"/>
                <w:color w:val="auto"/>
              </w:rPr>
            </w:pPr>
          </w:p>
        </w:tc>
      </w:tr>
      <w:tr>
        <w:trPr>
          <w:trHeight w:val="466"/>
        </w:trPr>
        <w:tc>
          <w:tcPr>
            <w:tcW w:w="84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1.</w:t>
            </w: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Legal Proceedings</w:t>
            </w: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31</w:t>
              </w:r>
            </w:hyperlink>
          </w:p>
        </w:tc>
        <w:tc>
          <w:tcPr>
            <w:tcW w:w="300" w:type="dxa"/>
            <w:vAlign w:val="bottom"/>
          </w:tcPr>
          <w:p>
            <w:pPr>
              <w:spacing w:after="0"/>
              <w:rPr>
                <w:sz w:val="24"/>
                <w:szCs w:val="24"/>
                <w:color w:val="auto"/>
              </w:rPr>
            </w:pPr>
          </w:p>
        </w:tc>
      </w:tr>
      <w:tr>
        <w:trPr>
          <w:trHeight w:val="466"/>
        </w:trPr>
        <w:tc>
          <w:tcPr>
            <w:tcW w:w="84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6.</w:t>
            </w: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Exhibits</w:t>
            </w: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31</w:t>
              </w:r>
            </w:hyperlink>
          </w:p>
        </w:tc>
        <w:tc>
          <w:tcPr>
            <w:tcW w:w="300" w:type="dxa"/>
            <w:vAlign w:val="bottom"/>
          </w:tcPr>
          <w:p>
            <w:pPr>
              <w:spacing w:after="0"/>
              <w:rPr>
                <w:sz w:val="24"/>
                <w:szCs w:val="24"/>
                <w:color w:val="auto"/>
              </w:rPr>
            </w:pPr>
          </w:p>
        </w:tc>
      </w:tr>
      <w:tr>
        <w:trPr>
          <w:trHeight w:val="466"/>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SIGNATURES</w:t>
            </w:r>
          </w:p>
        </w:tc>
        <w:tc>
          <w:tcPr>
            <w:tcW w:w="8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31</w:t>
              </w:r>
            </w:hyperlink>
          </w:p>
        </w:tc>
        <w:tc>
          <w:tcPr>
            <w:tcW w:w="300" w:type="dxa"/>
            <w:vAlign w:val="bottom"/>
          </w:tcPr>
          <w:p>
            <w:pPr>
              <w:spacing w:after="0"/>
              <w:rPr>
                <w:sz w:val="24"/>
                <w:szCs w:val="24"/>
                <w:color w:val="auto"/>
              </w:rPr>
            </w:pPr>
          </w:p>
        </w:tc>
      </w:tr>
    </w:tbl>
    <w:p>
      <w:pPr>
        <w:sectPr>
          <w:pgSz w:w="11900" w:h="16838" w:orient="portrait"/>
          <w:cols w:equalWidth="0" w:num="1">
            <w:col w:w="11380"/>
          </w:cols>
          <w:pgMar w:left="260" w:top="557"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"2019", "2018" and the like refer to the fiscal years ended the last Sunday in September.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231" w:lineRule="exact"/>
        <w:rPr>
          <w:sz w:val="20"/>
          <w:szCs w:val="20"/>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cash flows and maintain liquidity sufficient to service our debt;</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the financial covenants in our credit facilities;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refinance our debt as it comes due;</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warrants issued in our refinancing will not be exercised;</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and regulatory rulings, including the 2017 Tax Act;</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planned expense reductions;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listing status on the NYSE;</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39" w:lineRule="exact"/>
        <w:rPr>
          <w:sz w:val="20"/>
          <w:szCs w:val="20"/>
          <w:color w:val="auto"/>
        </w:rPr>
      </w:pPr>
    </w:p>
    <w:p>
      <w:pPr>
        <w:jc w:val="right"/>
        <w:ind w:right="4100"/>
        <w:spacing w:after="0"/>
        <w:rPr>
          <w:sz w:val="20"/>
          <w:szCs w:val="20"/>
          <w:color w:val="auto"/>
        </w:rPr>
      </w:pPr>
      <w:r>
        <w:rPr>
          <w:rFonts w:ascii="Arial" w:cs="Arial" w:eastAsia="Arial" w:hAnsi="Arial"/>
          <w:sz w:val="18"/>
          <w:szCs w:val="18"/>
          <w:b w:val="1"/>
          <w:bCs w:val="1"/>
          <w:color w:val="auto"/>
        </w:rPr>
        <w:t>LEE ENTERPRISES, INCORPORATED</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(Thousands of Dollars)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December 30</w:t>
      </w:r>
      <w:r>
        <w:rPr>
          <w:sz w:val="20"/>
          <w:szCs w:val="20"/>
          <w:color w:val="auto"/>
        </w:rPr>
        <w:tab/>
      </w:r>
      <w:r>
        <w:rPr>
          <w:rFonts w:ascii="Arial" w:cs="Arial" w:eastAsia="Arial" w:hAnsi="Arial"/>
          <w:sz w:val="17"/>
          <w:szCs w:val="17"/>
          <w:color w:val="auto"/>
        </w:rPr>
        <w:t>September 30</w:t>
      </w:r>
    </w:p>
    <w:p>
      <w:pPr>
        <w:jc w:val="both"/>
        <w:ind w:left="720"/>
        <w:spacing w:after="0"/>
        <w:tabs>
          <w:tab w:leader="none" w:pos="254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640" w:space="720"/>
            <w:col w:w="306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6340" w:type="dxa"/>
            <w:vAlign w:val="bottom"/>
          </w:tcPr>
          <w:p>
            <w:pPr>
              <w:ind w:left="40"/>
              <w:spacing w:after="0"/>
              <w:rPr>
                <w:sz w:val="20"/>
                <w:szCs w:val="20"/>
                <w:color w:val="auto"/>
              </w:rPr>
            </w:pPr>
            <w:r>
              <w:rPr>
                <w:rFonts w:ascii="Arial" w:cs="Arial" w:eastAsia="Arial" w:hAnsi="Arial"/>
                <w:sz w:val="18"/>
                <w:szCs w:val="18"/>
                <w:color w:val="auto"/>
              </w:rPr>
              <w:t>ASSETS</w:t>
            </w:r>
          </w:p>
        </w:tc>
        <w:tc>
          <w:tcPr>
            <w:tcW w:w="3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98"/>
        </w:trPr>
        <w:tc>
          <w:tcPr>
            <w:tcW w:w="6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3"/>
        </w:trPr>
        <w:tc>
          <w:tcPr>
            <w:tcW w:w="6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15,909</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5,380</w:t>
            </w:r>
          </w:p>
        </w:tc>
      </w:tr>
      <w:tr>
        <w:trPr>
          <w:trHeight w:val="250"/>
        </w:trPr>
        <w:tc>
          <w:tcPr>
            <w:tcW w:w="6340" w:type="dxa"/>
            <w:vAlign w:val="bottom"/>
          </w:tcPr>
          <w:p>
            <w:pPr>
              <w:ind w:left="280"/>
              <w:spacing w:after="0"/>
              <w:rPr>
                <w:sz w:val="20"/>
                <w:szCs w:val="20"/>
                <w:color w:val="auto"/>
              </w:rPr>
            </w:pPr>
            <w:r>
              <w:rPr>
                <w:rFonts w:ascii="Arial" w:cs="Arial" w:eastAsia="Arial" w:hAnsi="Arial"/>
                <w:sz w:val="18"/>
                <w:szCs w:val="18"/>
                <w:color w:val="auto"/>
              </w:rPr>
              <w:t>Accounts receivable and contract assets, net</w:t>
            </w:r>
          </w:p>
        </w:tc>
        <w:tc>
          <w:tcPr>
            <w:tcW w:w="3740" w:type="dxa"/>
            <w:vAlign w:val="bottom"/>
          </w:tcPr>
          <w:p>
            <w:pPr>
              <w:jc w:val="right"/>
              <w:ind w:right="510"/>
              <w:spacing w:after="0"/>
              <w:rPr>
                <w:sz w:val="20"/>
                <w:szCs w:val="20"/>
                <w:color w:val="auto"/>
              </w:rPr>
            </w:pPr>
            <w:r>
              <w:rPr>
                <w:rFonts w:ascii="Arial" w:cs="Arial" w:eastAsia="Arial" w:hAnsi="Arial"/>
                <w:sz w:val="18"/>
                <w:szCs w:val="18"/>
                <w:color w:val="auto"/>
              </w:rPr>
              <w:t>51,037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43,711</w:t>
            </w:r>
          </w:p>
        </w:tc>
      </w:tr>
      <w:tr>
        <w:trPr>
          <w:trHeight w:val="263"/>
        </w:trPr>
        <w:tc>
          <w:tcPr>
            <w:tcW w:w="6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5,385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5,684</w:t>
            </w:r>
          </w:p>
        </w:tc>
      </w:tr>
      <w:tr>
        <w:trPr>
          <w:trHeight w:val="250"/>
        </w:trPr>
        <w:tc>
          <w:tcPr>
            <w:tcW w:w="63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w:t>
            </w:r>
          </w:p>
        </w:tc>
        <w:tc>
          <w:tcPr>
            <w:tcW w:w="3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4,233</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4,567</w:t>
            </w:r>
          </w:p>
        </w:tc>
      </w:tr>
      <w:tr>
        <w:trPr>
          <w:trHeight w:val="250"/>
        </w:trPr>
        <w:tc>
          <w:tcPr>
            <w:tcW w:w="6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76,564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59,342</w:t>
            </w:r>
          </w:p>
        </w:tc>
      </w:tr>
      <w:tr>
        <w:trPr>
          <w:trHeight w:val="263"/>
        </w:trPr>
        <w:tc>
          <w:tcPr>
            <w:tcW w:w="6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7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63"/>
        </w:trPr>
        <w:tc>
          <w:tcPr>
            <w:tcW w:w="6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Associated companies</w:t>
            </w: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30,046</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29,216</w:t>
            </w:r>
          </w:p>
        </w:tc>
      </w:tr>
      <w:tr>
        <w:trPr>
          <w:trHeight w:val="250"/>
        </w:trPr>
        <w:tc>
          <w:tcPr>
            <w:tcW w:w="63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w:t>
            </w:r>
          </w:p>
        </w:tc>
        <w:tc>
          <w:tcPr>
            <w:tcW w:w="3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11,034</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10,958</w:t>
            </w:r>
          </w:p>
        </w:tc>
      </w:tr>
      <w:tr>
        <w:trPr>
          <w:trHeight w:val="250"/>
        </w:trPr>
        <w:tc>
          <w:tcPr>
            <w:tcW w:w="6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41,080</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40,174</w:t>
            </w:r>
          </w:p>
        </w:tc>
      </w:tr>
      <w:tr>
        <w:trPr>
          <w:trHeight w:val="263"/>
        </w:trPr>
        <w:tc>
          <w:tcPr>
            <w:tcW w:w="63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7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63"/>
        </w:trPr>
        <w:tc>
          <w:tcPr>
            <w:tcW w:w="6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Land and improvements</w:t>
            </w: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17,250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17,432</w:t>
            </w:r>
          </w:p>
        </w:tc>
      </w:tr>
      <w:tr>
        <w:trPr>
          <w:trHeight w:val="250"/>
        </w:trPr>
        <w:tc>
          <w:tcPr>
            <w:tcW w:w="6340" w:type="dxa"/>
            <w:vAlign w:val="bottom"/>
          </w:tcPr>
          <w:p>
            <w:pPr>
              <w:ind w:left="280"/>
              <w:spacing w:after="0"/>
              <w:rPr>
                <w:sz w:val="20"/>
                <w:szCs w:val="20"/>
                <w:color w:val="auto"/>
              </w:rPr>
            </w:pPr>
            <w:r>
              <w:rPr>
                <w:rFonts w:ascii="Arial" w:cs="Arial" w:eastAsia="Arial" w:hAnsi="Arial"/>
                <w:sz w:val="18"/>
                <w:szCs w:val="18"/>
                <w:color w:val="auto"/>
              </w:rPr>
              <w:t>Buildings and improvements</w:t>
            </w:r>
          </w:p>
        </w:tc>
        <w:tc>
          <w:tcPr>
            <w:tcW w:w="3740" w:type="dxa"/>
            <w:vAlign w:val="bottom"/>
          </w:tcPr>
          <w:p>
            <w:pPr>
              <w:jc w:val="right"/>
              <w:ind w:right="510"/>
              <w:spacing w:after="0"/>
              <w:rPr>
                <w:sz w:val="20"/>
                <w:szCs w:val="20"/>
                <w:color w:val="auto"/>
              </w:rPr>
            </w:pPr>
            <w:r>
              <w:rPr>
                <w:rFonts w:ascii="Arial" w:cs="Arial" w:eastAsia="Arial" w:hAnsi="Arial"/>
                <w:sz w:val="18"/>
                <w:szCs w:val="18"/>
                <w:color w:val="auto"/>
              </w:rPr>
              <w:t>149,869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150,376</w:t>
            </w:r>
          </w:p>
        </w:tc>
      </w:tr>
      <w:tr>
        <w:trPr>
          <w:trHeight w:val="263"/>
        </w:trPr>
        <w:tc>
          <w:tcPr>
            <w:tcW w:w="6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Equipment</w:t>
            </w: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273,284</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276,332</w:t>
            </w:r>
          </w:p>
        </w:tc>
      </w:tr>
      <w:tr>
        <w:trPr>
          <w:trHeight w:val="250"/>
        </w:trPr>
        <w:tc>
          <w:tcPr>
            <w:tcW w:w="63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Construction in process</w:t>
            </w:r>
          </w:p>
        </w:tc>
        <w:tc>
          <w:tcPr>
            <w:tcW w:w="3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2,079</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r>
      <w:tr>
        <w:trPr>
          <w:trHeight w:val="270"/>
        </w:trPr>
        <w:tc>
          <w:tcPr>
            <w:tcW w:w="6340" w:type="dxa"/>
            <w:vAlign w:val="bottom"/>
            <w:shd w:val="clear" w:color="auto" w:fill="CCEEFF"/>
          </w:tcPr>
          <w:p>
            <w:pPr>
              <w:spacing w:after="0"/>
              <w:rPr>
                <w:sz w:val="23"/>
                <w:szCs w:val="23"/>
                <w:color w:val="auto"/>
              </w:rPr>
            </w:pP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442,482</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445,850</w:t>
            </w:r>
          </w:p>
        </w:tc>
      </w:tr>
      <w:tr>
        <w:trPr>
          <w:trHeight w:val="250"/>
        </w:trPr>
        <w:tc>
          <w:tcPr>
            <w:tcW w:w="63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Less accumulated depreciation</w:t>
            </w:r>
          </w:p>
        </w:tc>
        <w:tc>
          <w:tcPr>
            <w:tcW w:w="3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352,839</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353,522</w:t>
            </w:r>
          </w:p>
        </w:tc>
      </w:tr>
      <w:tr>
        <w:trPr>
          <w:trHeight w:val="250"/>
        </w:trPr>
        <w:tc>
          <w:tcPr>
            <w:tcW w:w="6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89,643</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92,328</w:t>
            </w:r>
          </w:p>
        </w:tc>
      </w:tr>
      <w:tr>
        <w:trPr>
          <w:trHeight w:val="250"/>
        </w:trPr>
        <w:tc>
          <w:tcPr>
            <w:tcW w:w="6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740" w:type="dxa"/>
            <w:vAlign w:val="bottom"/>
          </w:tcPr>
          <w:p>
            <w:pPr>
              <w:jc w:val="right"/>
              <w:ind w:right="510"/>
              <w:spacing w:after="0"/>
              <w:rPr>
                <w:sz w:val="20"/>
                <w:szCs w:val="20"/>
                <w:color w:val="auto"/>
              </w:rPr>
            </w:pPr>
            <w:r>
              <w:rPr>
                <w:rFonts w:ascii="Arial" w:cs="Arial" w:eastAsia="Arial" w:hAnsi="Arial"/>
                <w:sz w:val="18"/>
                <w:szCs w:val="18"/>
                <w:color w:val="auto"/>
              </w:rPr>
              <w:t>246,176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246,176</w:t>
            </w:r>
          </w:p>
        </w:tc>
      </w:tr>
      <w:tr>
        <w:trPr>
          <w:trHeight w:val="263"/>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115,582</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119,819</w:t>
            </w:r>
          </w:p>
        </w:tc>
      </w:tr>
      <w:tr>
        <w:trPr>
          <w:trHeight w:val="250"/>
        </w:trPr>
        <w:tc>
          <w:tcPr>
            <w:tcW w:w="6340" w:type="dxa"/>
            <w:vAlign w:val="bottom"/>
          </w:tcPr>
          <w:p>
            <w:pPr>
              <w:ind w:left="40"/>
              <w:spacing w:after="0"/>
              <w:rPr>
                <w:sz w:val="20"/>
                <w:szCs w:val="20"/>
                <w:color w:val="auto"/>
              </w:rPr>
            </w:pPr>
            <w:r>
              <w:rPr>
                <w:rFonts w:ascii="Arial" w:cs="Arial" w:eastAsia="Arial" w:hAnsi="Arial"/>
                <w:sz w:val="18"/>
                <w:szCs w:val="18"/>
                <w:color w:val="auto"/>
              </w:rPr>
              <w:t>Medical plan assets, net</w:t>
            </w:r>
          </w:p>
        </w:tc>
        <w:tc>
          <w:tcPr>
            <w:tcW w:w="3740" w:type="dxa"/>
            <w:vAlign w:val="bottom"/>
          </w:tcPr>
          <w:p>
            <w:pPr>
              <w:jc w:val="right"/>
              <w:ind w:right="510"/>
              <w:spacing w:after="0"/>
              <w:rPr>
                <w:sz w:val="20"/>
                <w:szCs w:val="20"/>
                <w:color w:val="auto"/>
              </w:rPr>
            </w:pPr>
            <w:r>
              <w:rPr>
                <w:rFonts w:ascii="Arial" w:cs="Arial" w:eastAsia="Arial" w:hAnsi="Arial"/>
                <w:sz w:val="18"/>
                <w:szCs w:val="18"/>
                <w:color w:val="auto"/>
              </w:rPr>
              <w:t>16,357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16,157</w:t>
            </w:r>
          </w:p>
        </w:tc>
      </w:tr>
      <w:tr>
        <w:trPr>
          <w:trHeight w:val="263"/>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1,457</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1,415</w:t>
            </w:r>
          </w:p>
        </w:tc>
      </w:tr>
      <w:tr>
        <w:trPr>
          <w:trHeight w:val="284"/>
        </w:trPr>
        <w:tc>
          <w:tcPr>
            <w:tcW w:w="6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4"/>
        </w:trPr>
        <w:tc>
          <w:tcPr>
            <w:tcW w:w="6340" w:type="dxa"/>
            <w:vAlign w:val="bottom"/>
            <w:shd w:val="clear" w:color="auto" w:fill="CCEEFF"/>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4"/>
        </w:trPr>
        <w:tc>
          <w:tcPr>
            <w:tcW w:w="6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4"/>
        </w:trPr>
        <w:tc>
          <w:tcPr>
            <w:tcW w:w="6340" w:type="dxa"/>
            <w:vAlign w:val="bottom"/>
            <w:shd w:val="clear" w:color="auto" w:fill="CCEEFF"/>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4"/>
        </w:trPr>
        <w:tc>
          <w:tcPr>
            <w:tcW w:w="6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4"/>
        </w:trPr>
        <w:tc>
          <w:tcPr>
            <w:tcW w:w="6340" w:type="dxa"/>
            <w:vAlign w:val="bottom"/>
            <w:shd w:val="clear" w:color="auto" w:fill="CCEEFF"/>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4"/>
        </w:trPr>
        <w:tc>
          <w:tcPr>
            <w:tcW w:w="6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4"/>
        </w:trPr>
        <w:tc>
          <w:tcPr>
            <w:tcW w:w="6340" w:type="dxa"/>
            <w:vAlign w:val="bottom"/>
            <w:tcBorders>
              <w:bottom w:val="single" w:sz="8" w:color="auto"/>
            </w:tcBorders>
            <w:shd w:val="clear" w:color="auto" w:fill="CCEEFF"/>
          </w:tcPr>
          <w:p>
            <w:pPr>
              <w:spacing w:after="0"/>
              <w:rPr>
                <w:sz w:val="24"/>
                <w:szCs w:val="24"/>
                <w:color w:val="auto"/>
              </w:rPr>
            </w:pPr>
          </w:p>
        </w:tc>
        <w:tc>
          <w:tcPr>
            <w:tcW w:w="37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5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586,859</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575,411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40" w:right="239" w:bottom="1440" w:gutter="0" w:footer="0" w:header="0"/>
          <w:type w:val="continuous"/>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1591310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(Thousands of Dollars and Shares,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December 30</w:t>
      </w:r>
      <w:r>
        <w:rPr>
          <w:sz w:val="20"/>
          <w:szCs w:val="20"/>
          <w:color w:val="auto"/>
        </w:rPr>
        <w:tab/>
      </w:r>
      <w:r>
        <w:rPr>
          <w:rFonts w:ascii="Arial" w:cs="Arial" w:eastAsia="Arial" w:hAnsi="Arial"/>
          <w:sz w:val="17"/>
          <w:szCs w:val="17"/>
          <w:color w:val="auto"/>
        </w:rPr>
        <w:t>September 30</w:t>
      </w:r>
    </w:p>
    <w:p>
      <w:pPr>
        <w:jc w:val="both"/>
        <w:ind w:left="720"/>
        <w:spacing w:after="0"/>
        <w:tabs>
          <w:tab w:leader="none" w:pos="254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2018</w:t>
      </w:r>
    </w:p>
    <w:p>
      <w:pPr>
        <w:spacing w:after="0" w:line="198" w:lineRule="exact"/>
        <w:rPr>
          <w:sz w:val="20"/>
          <w:szCs w:val="20"/>
          <w:color w:val="auto"/>
        </w:rPr>
      </w:pPr>
    </w:p>
    <w:p>
      <w:pPr>
        <w:sectPr>
          <w:pgSz w:w="11900" w:h="16838" w:orient="portrait"/>
          <w:cols w:equalWidth="0" w:num="2">
            <w:col w:w="7640" w:space="720"/>
            <w:col w:w="306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8020" w:type="dxa"/>
            <w:vAlign w:val="bottom"/>
          </w:tcPr>
          <w:p>
            <w:pPr>
              <w:ind w:left="40"/>
              <w:spacing w:after="0"/>
              <w:rPr>
                <w:sz w:val="20"/>
                <w:szCs w:val="20"/>
                <w:color w:val="auto"/>
              </w:rPr>
            </w:pPr>
            <w:r>
              <w:rPr>
                <w:rFonts w:ascii="Arial" w:cs="Arial" w:eastAsia="Arial" w:hAnsi="Arial"/>
                <w:sz w:val="18"/>
                <w:szCs w:val="18"/>
                <w:color w:val="auto"/>
              </w:rPr>
              <w:t>LIABILITIES AND EQUITY</w:t>
            </w: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98"/>
        </w:trPr>
        <w:tc>
          <w:tcPr>
            <w:tcW w:w="80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maturities of long-term debt</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1,377</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7,027</w:t>
            </w:r>
          </w:p>
        </w:tc>
      </w:tr>
      <w:tr>
        <w:trPr>
          <w:trHeight w:val="25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12,087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12,747</w:t>
            </w:r>
          </w:p>
        </w:tc>
      </w:tr>
      <w:tr>
        <w:trPr>
          <w:trHeight w:val="26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other accrued liabilities</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15,550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19,641</w:t>
            </w:r>
          </w:p>
        </w:tc>
      </w:tr>
      <w:tr>
        <w:trPr>
          <w:trHeight w:val="250"/>
        </w:trPr>
        <w:tc>
          <w:tcPr>
            <w:tcW w:w="8020" w:type="dxa"/>
            <w:vAlign w:val="bottom"/>
          </w:tcPr>
          <w:p>
            <w:pPr>
              <w:ind w:left="240"/>
              <w:spacing w:after="0"/>
              <w:rPr>
                <w:sz w:val="20"/>
                <w:szCs w:val="20"/>
                <w:color w:val="auto"/>
              </w:rPr>
            </w:pPr>
            <w:r>
              <w:rPr>
                <w:rFonts w:ascii="Arial" w:cs="Arial" w:eastAsia="Arial" w:hAnsi="Arial"/>
                <w:sz w:val="18"/>
                <w:szCs w:val="18"/>
                <w:color w:val="auto"/>
              </w:rPr>
              <w:t>Accrued interest</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11,264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2,031</w:t>
            </w:r>
          </w:p>
        </w:tc>
      </w:tr>
      <w:tr>
        <w:trPr>
          <w:trHeight w:val="26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3,690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0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Unearned revenue</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23,430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23,895</w:t>
            </w:r>
          </w:p>
        </w:tc>
      </w:tr>
      <w:tr>
        <w:trPr>
          <w:trHeight w:val="250"/>
        </w:trPr>
        <w:tc>
          <w:tcPr>
            <w:tcW w:w="8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0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67,398</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65,341</w:t>
            </w:r>
          </w:p>
        </w:tc>
      </w:tr>
      <w:tr>
        <w:trPr>
          <w:trHeight w:val="250"/>
        </w:trPr>
        <w:tc>
          <w:tcPr>
            <w:tcW w:w="8020" w:type="dxa"/>
            <w:vAlign w:val="bottom"/>
          </w:tcPr>
          <w:p>
            <w:pPr>
              <w:ind w:left="40"/>
              <w:spacing w:after="0"/>
              <w:rPr>
                <w:sz w:val="20"/>
                <w:szCs w:val="20"/>
                <w:color w:val="auto"/>
              </w:rPr>
            </w:pPr>
            <w:r>
              <w:rPr>
                <w:rFonts w:ascii="Arial" w:cs="Arial" w:eastAsia="Arial" w:hAnsi="Arial"/>
                <w:sz w:val="18"/>
                <w:szCs w:val="18"/>
                <w:color w:val="auto"/>
              </w:rPr>
              <w:t>Long-term debt, net of current maturities</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460,124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460,777</w:t>
            </w:r>
          </w:p>
        </w:tc>
      </w:tr>
      <w:tr>
        <w:trPr>
          <w:trHeight w:val="263"/>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obligations</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25,713</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26,745</w:t>
            </w:r>
          </w:p>
        </w:tc>
      </w:tr>
      <w:tr>
        <w:trPr>
          <w:trHeight w:val="250"/>
        </w:trPr>
        <w:tc>
          <w:tcPr>
            <w:tcW w:w="8020" w:type="dxa"/>
            <w:vAlign w:val="bottom"/>
          </w:tcPr>
          <w:p>
            <w:pPr>
              <w:ind w:left="40"/>
              <w:spacing w:after="0"/>
              <w:rPr>
                <w:sz w:val="20"/>
                <w:szCs w:val="20"/>
                <w:color w:val="auto"/>
              </w:rPr>
            </w:pPr>
            <w:r>
              <w:rPr>
                <w:rFonts w:ascii="Arial" w:cs="Arial" w:eastAsia="Arial" w:hAnsi="Arial"/>
                <w:sz w:val="18"/>
                <w:szCs w:val="18"/>
                <w:color w:val="auto"/>
              </w:rPr>
              <w:t>Postretirement and postemployment benefit obligations</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2,570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2,580</w:t>
            </w:r>
          </w:p>
        </w:tc>
      </w:tr>
      <w:tr>
        <w:trPr>
          <w:trHeight w:val="263"/>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39,271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39,108</w:t>
            </w:r>
          </w:p>
        </w:tc>
      </w:tr>
      <w:tr>
        <w:trPr>
          <w:trHeight w:val="250"/>
        </w:trPr>
        <w:tc>
          <w:tcPr>
            <w:tcW w:w="802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6,964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6,559</w:t>
            </w:r>
          </w:p>
        </w:tc>
      </w:tr>
      <w:tr>
        <w:trPr>
          <w:trHeight w:val="257"/>
        </w:trPr>
        <w:tc>
          <w:tcPr>
            <w:tcW w:w="8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Warrants and other</w:t>
            </w:r>
          </w:p>
        </w:tc>
        <w:tc>
          <w:tcPr>
            <w:tcW w:w="20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10,912</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10,561</w:t>
            </w:r>
          </w:p>
        </w:tc>
      </w:tr>
      <w:tr>
        <w:trPr>
          <w:trHeight w:val="250"/>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612,952</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611,671</w:t>
            </w:r>
          </w:p>
        </w:tc>
      </w:tr>
      <w:tr>
        <w:trPr>
          <w:trHeight w:val="270"/>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(deficit):</w:t>
            </w:r>
          </w:p>
        </w:tc>
        <w:tc>
          <w:tcPr>
            <w:tcW w:w="20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8020" w:type="dxa"/>
            <w:vAlign w:val="bottom"/>
          </w:tcPr>
          <w:p>
            <w:pPr>
              <w:ind w:left="280"/>
              <w:spacing w:after="0"/>
              <w:rPr>
                <w:sz w:val="20"/>
                <w:szCs w:val="20"/>
                <w:color w:val="auto"/>
              </w:rPr>
            </w:pPr>
            <w:r>
              <w:rPr>
                <w:rFonts w:ascii="Arial" w:cs="Arial" w:eastAsia="Arial" w:hAnsi="Arial"/>
                <w:sz w:val="18"/>
                <w:szCs w:val="18"/>
                <w:color w:val="auto"/>
              </w:rPr>
              <w:t>Stockholders' equity (deficit):</w:t>
            </w:r>
          </w:p>
        </w:tc>
        <w:tc>
          <w:tcPr>
            <w:tcW w:w="20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6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020" w:type="dxa"/>
            <w:vAlign w:val="bottom"/>
          </w:tcPr>
          <w:p>
            <w:pPr>
              <w:ind w:left="460"/>
              <w:spacing w:after="0"/>
              <w:rPr>
                <w:sz w:val="20"/>
                <w:szCs w:val="20"/>
                <w:color w:val="auto"/>
              </w:rPr>
            </w:pPr>
            <w:r>
              <w:rPr>
                <w:rFonts w:ascii="Arial" w:cs="Arial" w:eastAsia="Arial" w:hAnsi="Arial"/>
                <w:sz w:val="18"/>
                <w:szCs w:val="18"/>
                <w:color w:val="auto"/>
              </w:rPr>
              <w:t>Common Stock, $0.01 par value; authorized 120,000 shares; issued and outstanding:</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577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572</w:t>
            </w:r>
          </w:p>
        </w:tc>
      </w:tr>
      <w:tr>
        <w:trPr>
          <w:trHeight w:val="277"/>
        </w:trPr>
        <w:tc>
          <w:tcPr>
            <w:tcW w:w="8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December 30, 2018: 57,691 shares;</w:t>
            </w:r>
          </w:p>
        </w:tc>
        <w:tc>
          <w:tcPr>
            <w:tcW w:w="2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8020" w:type="dxa"/>
            <w:vAlign w:val="bottom"/>
          </w:tcPr>
          <w:p>
            <w:pPr>
              <w:ind w:left="620"/>
              <w:spacing w:after="0"/>
              <w:rPr>
                <w:sz w:val="20"/>
                <w:szCs w:val="20"/>
                <w:color w:val="auto"/>
              </w:rPr>
            </w:pPr>
            <w:r>
              <w:rPr>
                <w:rFonts w:ascii="Arial" w:cs="Arial" w:eastAsia="Arial" w:hAnsi="Arial"/>
                <w:sz w:val="18"/>
                <w:szCs w:val="18"/>
                <w:color w:val="auto"/>
              </w:rPr>
              <w:t>September 30, 2018: 57,141 shares</w:t>
            </w:r>
          </w:p>
        </w:tc>
        <w:tc>
          <w:tcPr>
            <w:tcW w:w="20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6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Class B Common Stock, $2 par value; authorized 30,000 shares; none issued</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02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253,443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253,511</w:t>
            </w:r>
          </w:p>
        </w:tc>
      </w:tr>
      <w:tr>
        <w:trPr>
          <w:trHeight w:val="26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deficit</w:t>
            </w:r>
          </w:p>
        </w:tc>
        <w:tc>
          <w:tcPr>
            <w:tcW w:w="20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(269,330)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(279,691)</w:t>
            </w:r>
          </w:p>
        </w:tc>
      </w:tr>
      <w:tr>
        <w:trPr>
          <w:trHeight w:val="250"/>
        </w:trPr>
        <w:tc>
          <w:tcPr>
            <w:tcW w:w="8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Accumulated other comprehensive loss</w:t>
            </w:r>
          </w:p>
        </w:tc>
        <w:tc>
          <w:tcPr>
            <w:tcW w:w="2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(11,868)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(11,746)</w:t>
            </w:r>
          </w:p>
        </w:tc>
      </w:tr>
      <w:tr>
        <w:trPr>
          <w:trHeight w:val="257"/>
        </w:trPr>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stockholders' deficit</w:t>
            </w:r>
          </w:p>
        </w:tc>
        <w:tc>
          <w:tcPr>
            <w:tcW w:w="20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(27,178)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w:t>
            </w:r>
          </w:p>
        </w:tc>
      </w:tr>
      <w:tr>
        <w:trPr>
          <w:trHeight w:val="250"/>
        </w:trPr>
        <w:tc>
          <w:tcPr>
            <w:tcW w:w="8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Non-controlling interests</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1,085</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1,094</w:t>
            </w:r>
          </w:p>
        </w:tc>
      </w:tr>
      <w:tr>
        <w:trPr>
          <w:trHeight w:val="250"/>
        </w:trPr>
        <w:tc>
          <w:tcPr>
            <w:tcW w:w="8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deficit</w:t>
            </w:r>
          </w:p>
        </w:tc>
        <w:tc>
          <w:tcPr>
            <w:tcW w:w="20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(26,093)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r>
      <w:tr>
        <w:trPr>
          <w:trHeight w:val="264"/>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and deficit</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586,859</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575,411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0"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 Weeks Ended</w:t>
            </w:r>
          </w:p>
        </w:tc>
      </w:tr>
      <w:tr>
        <w:trPr>
          <w:trHeight w:val="218"/>
        </w:trPr>
        <w:tc>
          <w:tcPr>
            <w:tcW w:w="6880" w:type="dxa"/>
            <w:vAlign w:val="bottom"/>
          </w:tcPr>
          <w:p>
            <w:pPr>
              <w:spacing w:after="0"/>
              <w:rPr>
                <w:sz w:val="18"/>
                <w:szCs w:val="18"/>
                <w:color w:val="auto"/>
              </w:rPr>
            </w:pPr>
          </w:p>
        </w:tc>
        <w:tc>
          <w:tcPr>
            <w:tcW w:w="3100" w:type="dxa"/>
            <w:vAlign w:val="bottom"/>
          </w:tcPr>
          <w:p>
            <w:pPr>
              <w:jc w:val="right"/>
              <w:ind w:right="99"/>
              <w:spacing w:after="0"/>
              <w:rPr>
                <w:sz w:val="20"/>
                <w:szCs w:val="20"/>
                <w:color w:val="auto"/>
              </w:rPr>
            </w:pPr>
            <w:r>
              <w:rPr>
                <w:rFonts w:ascii="Arial" w:cs="Arial" w:eastAsia="Arial" w:hAnsi="Arial"/>
                <w:sz w:val="16"/>
                <w:szCs w:val="16"/>
                <w:color w:val="auto"/>
              </w:rPr>
              <w:t>December 30</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December 24</w:t>
            </w:r>
          </w:p>
        </w:tc>
      </w:tr>
      <w:tr>
        <w:trPr>
          <w:trHeight w:val="208"/>
        </w:trPr>
        <w:tc>
          <w:tcPr>
            <w:tcW w:w="68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(Thousands of Dollars, Except Per Common Share Data)</w:t>
            </w:r>
          </w:p>
        </w:tc>
        <w:tc>
          <w:tcPr>
            <w:tcW w:w="3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2018</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2017</w:t>
            </w:r>
          </w:p>
        </w:tc>
      </w:tr>
      <w:tr>
        <w:trPr>
          <w:trHeight w:val="381"/>
        </w:trPr>
        <w:tc>
          <w:tcPr>
            <w:tcW w:w="6880" w:type="dxa"/>
            <w:vAlign w:val="bottom"/>
          </w:tcPr>
          <w:p>
            <w:pPr>
              <w:ind w:left="40"/>
              <w:spacing w:after="0"/>
              <w:rPr>
                <w:sz w:val="20"/>
                <w:szCs w:val="20"/>
                <w:color w:val="auto"/>
              </w:rPr>
            </w:pPr>
            <w:r>
              <w:rPr>
                <w:rFonts w:ascii="Arial" w:cs="Arial" w:eastAsia="Arial" w:hAnsi="Arial"/>
                <w:sz w:val="16"/>
                <w:szCs w:val="16"/>
                <w:color w:val="auto"/>
              </w:rPr>
              <w:t>Operating revenue:</w:t>
            </w:r>
          </w:p>
        </w:tc>
        <w:tc>
          <w:tcPr>
            <w:tcW w:w="3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3"/>
        </w:trPr>
        <w:tc>
          <w:tcPr>
            <w:tcW w:w="6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Advertising and marketing services</w:t>
            </w:r>
          </w:p>
        </w:tc>
        <w:tc>
          <w:tcPr>
            <w:tcW w:w="3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75,962</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84,661</w:t>
            </w:r>
          </w:p>
        </w:tc>
      </w:tr>
      <w:tr>
        <w:trPr>
          <w:trHeight w:val="233"/>
        </w:trPr>
        <w:tc>
          <w:tcPr>
            <w:tcW w:w="6880" w:type="dxa"/>
            <w:vAlign w:val="bottom"/>
          </w:tcPr>
          <w:p>
            <w:pPr>
              <w:ind w:left="240"/>
              <w:spacing w:after="0"/>
              <w:rPr>
                <w:sz w:val="20"/>
                <w:szCs w:val="20"/>
                <w:color w:val="auto"/>
              </w:rPr>
            </w:pPr>
            <w:r>
              <w:rPr>
                <w:rFonts w:ascii="Arial" w:cs="Arial" w:eastAsia="Arial" w:hAnsi="Arial"/>
                <w:sz w:val="16"/>
                <w:szCs w:val="16"/>
                <w:color w:val="auto"/>
              </w:rPr>
              <w:t>Subscription</w:t>
            </w:r>
          </w:p>
        </w:tc>
        <w:tc>
          <w:tcPr>
            <w:tcW w:w="3100" w:type="dxa"/>
            <w:vAlign w:val="bottom"/>
          </w:tcPr>
          <w:p>
            <w:pPr>
              <w:jc w:val="right"/>
              <w:ind w:right="59"/>
              <w:spacing w:after="0"/>
              <w:rPr>
                <w:sz w:val="20"/>
                <w:szCs w:val="20"/>
                <w:color w:val="auto"/>
              </w:rPr>
            </w:pPr>
            <w:r>
              <w:rPr>
                <w:rFonts w:ascii="Arial" w:cs="Arial" w:eastAsia="Arial" w:hAnsi="Arial"/>
                <w:sz w:val="16"/>
                <w:szCs w:val="16"/>
                <w:color w:val="auto"/>
              </w:rPr>
              <w:t>46,268</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48,269</w:t>
            </w:r>
          </w:p>
        </w:tc>
      </w:tr>
      <w:tr>
        <w:trPr>
          <w:trHeight w:val="246"/>
        </w:trPr>
        <w:tc>
          <w:tcPr>
            <w:tcW w:w="68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13,971</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10,856</w:t>
            </w:r>
          </w:p>
        </w:tc>
      </w:tr>
      <w:tr>
        <w:trPr>
          <w:trHeight w:val="237"/>
        </w:trPr>
        <w:tc>
          <w:tcPr>
            <w:tcW w:w="6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operating revenue</w:t>
            </w:r>
          </w:p>
        </w:tc>
        <w:tc>
          <w:tcPr>
            <w:tcW w:w="3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136,201</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143,786</w:t>
            </w:r>
          </w:p>
        </w:tc>
      </w:tr>
      <w:tr>
        <w:trPr>
          <w:trHeight w:val="243"/>
        </w:trPr>
        <w:tc>
          <w:tcPr>
            <w:tcW w:w="6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3"/>
        </w:trPr>
        <w:tc>
          <w:tcPr>
            <w:tcW w:w="6880" w:type="dxa"/>
            <w:vAlign w:val="bottom"/>
          </w:tcPr>
          <w:p>
            <w:pPr>
              <w:ind w:left="240"/>
              <w:spacing w:after="0"/>
              <w:rPr>
                <w:sz w:val="20"/>
                <w:szCs w:val="20"/>
                <w:color w:val="auto"/>
              </w:rPr>
            </w:pPr>
            <w:r>
              <w:rPr>
                <w:rFonts w:ascii="Arial" w:cs="Arial" w:eastAsia="Arial" w:hAnsi="Arial"/>
                <w:sz w:val="16"/>
                <w:szCs w:val="16"/>
                <w:color w:val="auto"/>
              </w:rPr>
              <w:t>Compensation</w:t>
            </w:r>
          </w:p>
        </w:tc>
        <w:tc>
          <w:tcPr>
            <w:tcW w:w="3100" w:type="dxa"/>
            <w:vAlign w:val="bottom"/>
          </w:tcPr>
          <w:p>
            <w:pPr>
              <w:jc w:val="right"/>
              <w:ind w:right="59"/>
              <w:spacing w:after="0"/>
              <w:rPr>
                <w:sz w:val="20"/>
                <w:szCs w:val="20"/>
                <w:color w:val="auto"/>
              </w:rPr>
            </w:pPr>
            <w:r>
              <w:rPr>
                <w:rFonts w:ascii="Arial" w:cs="Arial" w:eastAsia="Arial" w:hAnsi="Arial"/>
                <w:sz w:val="16"/>
                <w:szCs w:val="16"/>
                <w:color w:val="auto"/>
              </w:rPr>
              <w:t>47,038</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51,619</w:t>
            </w:r>
          </w:p>
        </w:tc>
      </w:tr>
      <w:tr>
        <w:trPr>
          <w:trHeight w:val="253"/>
        </w:trPr>
        <w:tc>
          <w:tcPr>
            <w:tcW w:w="6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Newsprint and ink</w:t>
            </w:r>
          </w:p>
        </w:tc>
        <w:tc>
          <w:tcPr>
            <w:tcW w:w="3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6,339</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5,838</w:t>
            </w:r>
          </w:p>
        </w:tc>
      </w:tr>
      <w:tr>
        <w:trPr>
          <w:trHeight w:val="233"/>
        </w:trPr>
        <w:tc>
          <w:tcPr>
            <w:tcW w:w="6880" w:type="dxa"/>
            <w:vAlign w:val="bottom"/>
          </w:tcPr>
          <w:p>
            <w:pPr>
              <w:ind w:left="240"/>
              <w:spacing w:after="0"/>
              <w:rPr>
                <w:sz w:val="20"/>
                <w:szCs w:val="20"/>
                <w:color w:val="auto"/>
              </w:rPr>
            </w:pPr>
            <w:r>
              <w:rPr>
                <w:rFonts w:ascii="Arial" w:cs="Arial" w:eastAsia="Arial" w:hAnsi="Arial"/>
                <w:sz w:val="16"/>
                <w:szCs w:val="16"/>
                <w:color w:val="auto"/>
              </w:rPr>
              <w:t>Other operating expenses</w:t>
            </w:r>
          </w:p>
        </w:tc>
        <w:tc>
          <w:tcPr>
            <w:tcW w:w="3100" w:type="dxa"/>
            <w:vAlign w:val="bottom"/>
          </w:tcPr>
          <w:p>
            <w:pPr>
              <w:jc w:val="right"/>
              <w:ind w:right="59"/>
              <w:spacing w:after="0"/>
              <w:rPr>
                <w:sz w:val="20"/>
                <w:szCs w:val="20"/>
                <w:color w:val="auto"/>
              </w:rPr>
            </w:pPr>
            <w:r>
              <w:rPr>
                <w:rFonts w:ascii="Arial" w:cs="Arial" w:eastAsia="Arial" w:hAnsi="Arial"/>
                <w:sz w:val="16"/>
                <w:szCs w:val="16"/>
                <w:color w:val="auto"/>
              </w:rPr>
              <w:t>49,743</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50,357</w:t>
            </w:r>
          </w:p>
        </w:tc>
      </w:tr>
      <w:tr>
        <w:trPr>
          <w:trHeight w:val="253"/>
        </w:trPr>
        <w:tc>
          <w:tcPr>
            <w:tcW w:w="6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3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7,529</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8,053</w:t>
            </w:r>
          </w:p>
        </w:tc>
      </w:tr>
      <w:tr>
        <w:trPr>
          <w:trHeight w:val="233"/>
        </w:trPr>
        <w:tc>
          <w:tcPr>
            <w:tcW w:w="6880" w:type="dxa"/>
            <w:vAlign w:val="bottom"/>
          </w:tcPr>
          <w:p>
            <w:pPr>
              <w:ind w:left="240"/>
              <w:spacing w:after="0"/>
              <w:rPr>
                <w:sz w:val="20"/>
                <w:szCs w:val="20"/>
                <w:color w:val="auto"/>
              </w:rPr>
            </w:pPr>
            <w:r>
              <w:rPr>
                <w:rFonts w:ascii="Arial" w:cs="Arial" w:eastAsia="Arial" w:hAnsi="Arial"/>
                <w:sz w:val="16"/>
                <w:szCs w:val="16"/>
                <w:color w:val="auto"/>
              </w:rPr>
              <w:t>Assets loss (gain) on sales, impairments and other, net</w:t>
            </w:r>
          </w:p>
        </w:tc>
        <w:tc>
          <w:tcPr>
            <w:tcW w:w="3100" w:type="dxa"/>
            <w:vAlign w:val="bottom"/>
          </w:tcPr>
          <w:p>
            <w:pPr>
              <w:jc w:val="right"/>
              <w:spacing w:after="0"/>
              <w:rPr>
                <w:sz w:val="20"/>
                <w:szCs w:val="20"/>
                <w:color w:val="auto"/>
              </w:rPr>
            </w:pPr>
            <w:r>
              <w:rPr>
                <w:rFonts w:ascii="Arial" w:cs="Arial" w:eastAsia="Arial" w:hAnsi="Arial"/>
                <w:sz w:val="16"/>
                <w:szCs w:val="16"/>
                <w:color w:val="auto"/>
              </w:rPr>
              <w:t>(100)</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46"/>
        </w:trPr>
        <w:tc>
          <w:tcPr>
            <w:tcW w:w="68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Restructuring costs and other</w:t>
            </w:r>
          </w:p>
        </w:tc>
        <w:tc>
          <w:tcPr>
            <w:tcW w:w="3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62</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r>
      <w:tr>
        <w:trPr>
          <w:trHeight w:val="233"/>
        </w:trPr>
        <w:tc>
          <w:tcPr>
            <w:tcW w:w="688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3100" w:type="dxa"/>
            <w:vAlign w:val="bottom"/>
          </w:tcPr>
          <w:p>
            <w:pPr>
              <w:jc w:val="right"/>
              <w:ind w:right="59"/>
              <w:spacing w:after="0"/>
              <w:rPr>
                <w:sz w:val="20"/>
                <w:szCs w:val="20"/>
                <w:color w:val="auto"/>
              </w:rPr>
            </w:pPr>
            <w:r>
              <w:rPr>
                <w:rFonts w:ascii="Arial" w:cs="Arial" w:eastAsia="Arial" w:hAnsi="Arial"/>
                <w:sz w:val="16"/>
                <w:szCs w:val="16"/>
                <w:color w:val="auto"/>
              </w:rPr>
              <w:t>110,611</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116,337</w:t>
            </w:r>
          </w:p>
        </w:tc>
      </w:tr>
      <w:tr>
        <w:trPr>
          <w:trHeight w:val="246"/>
        </w:trPr>
        <w:tc>
          <w:tcPr>
            <w:tcW w:w="6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associated companies</w:t>
            </w:r>
          </w:p>
        </w:tc>
        <w:tc>
          <w:tcPr>
            <w:tcW w:w="3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2,129</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2,383</w:t>
            </w:r>
          </w:p>
        </w:tc>
      </w:tr>
      <w:tr>
        <w:trPr>
          <w:trHeight w:val="237"/>
        </w:trPr>
        <w:tc>
          <w:tcPr>
            <w:tcW w:w="6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Operating income</w:t>
            </w:r>
          </w:p>
        </w:tc>
        <w:tc>
          <w:tcPr>
            <w:tcW w:w="3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27,719</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29,832</w:t>
            </w:r>
          </w:p>
        </w:tc>
      </w:tr>
      <w:tr>
        <w:trPr>
          <w:trHeight w:val="270"/>
        </w:trPr>
        <w:tc>
          <w:tcPr>
            <w:tcW w:w="6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 (expense):</w:t>
            </w:r>
          </w:p>
        </w:tc>
        <w:tc>
          <w:tcPr>
            <w:tcW w:w="3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3"/>
        </w:trPr>
        <w:tc>
          <w:tcPr>
            <w:tcW w:w="68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3100" w:type="dxa"/>
            <w:vAlign w:val="bottom"/>
          </w:tcPr>
          <w:p>
            <w:pPr>
              <w:jc w:val="right"/>
              <w:spacing w:after="0"/>
              <w:rPr>
                <w:sz w:val="20"/>
                <w:szCs w:val="20"/>
                <w:color w:val="auto"/>
              </w:rPr>
            </w:pPr>
            <w:r>
              <w:rPr>
                <w:rFonts w:ascii="Arial" w:cs="Arial" w:eastAsia="Arial" w:hAnsi="Arial"/>
                <w:sz w:val="16"/>
                <w:szCs w:val="16"/>
                <w:color w:val="auto"/>
              </w:rPr>
              <w:t>(12,256)</w:t>
            </w:r>
          </w:p>
        </w:tc>
        <w:tc>
          <w:tcPr>
            <w:tcW w:w="1440" w:type="dxa"/>
            <w:vAlign w:val="bottom"/>
          </w:tcPr>
          <w:p>
            <w:pPr>
              <w:jc w:val="right"/>
              <w:spacing w:after="0"/>
              <w:rPr>
                <w:sz w:val="20"/>
                <w:szCs w:val="20"/>
                <w:color w:val="auto"/>
              </w:rPr>
            </w:pPr>
            <w:r>
              <w:rPr>
                <w:rFonts w:ascii="Arial" w:cs="Arial" w:eastAsia="Arial" w:hAnsi="Arial"/>
                <w:sz w:val="16"/>
                <w:szCs w:val="16"/>
                <w:color w:val="auto"/>
              </w:rPr>
              <w:t>(13,650)</w:t>
            </w:r>
          </w:p>
        </w:tc>
      </w:tr>
      <w:tr>
        <w:trPr>
          <w:trHeight w:val="253"/>
        </w:trPr>
        <w:tc>
          <w:tcPr>
            <w:tcW w:w="6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financing and administrative costs</w:t>
            </w:r>
          </w:p>
        </w:tc>
        <w:tc>
          <w:tcPr>
            <w:tcW w:w="3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r>
      <w:tr>
        <w:trPr>
          <w:trHeight w:val="237"/>
        </w:trPr>
        <w:tc>
          <w:tcPr>
            <w:tcW w:w="68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net</w:t>
            </w:r>
          </w:p>
        </w:tc>
        <w:tc>
          <w:tcPr>
            <w:tcW w:w="3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665</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551</w:t>
            </w:r>
          </w:p>
        </w:tc>
      </w:tr>
      <w:tr>
        <w:trPr>
          <w:trHeight w:val="237"/>
        </w:trPr>
        <w:tc>
          <w:tcPr>
            <w:tcW w:w="6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non-operating expense, net</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(14,195)</w:t>
            </w:r>
          </w:p>
        </w:tc>
      </w:tr>
      <w:tr>
        <w:trPr>
          <w:trHeight w:val="233"/>
        </w:trPr>
        <w:tc>
          <w:tcPr>
            <w:tcW w:w="688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100" w:type="dxa"/>
            <w:vAlign w:val="bottom"/>
          </w:tcPr>
          <w:p>
            <w:pPr>
              <w:jc w:val="right"/>
              <w:ind w:right="59"/>
              <w:spacing w:after="0"/>
              <w:rPr>
                <w:sz w:val="20"/>
                <w:szCs w:val="20"/>
                <w:color w:val="auto"/>
              </w:rPr>
            </w:pPr>
            <w:r>
              <w:rPr>
                <w:rFonts w:ascii="Arial" w:cs="Arial" w:eastAsia="Arial" w:hAnsi="Arial"/>
                <w:sz w:val="16"/>
                <w:szCs w:val="16"/>
                <w:color w:val="auto"/>
              </w:rPr>
              <w:t>15,232</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15,637</w:t>
            </w:r>
          </w:p>
        </w:tc>
      </w:tr>
      <w:tr>
        <w:trPr>
          <w:trHeight w:val="246"/>
        </w:trPr>
        <w:tc>
          <w:tcPr>
            <w:tcW w:w="6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4,513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(19,690)</w:t>
            </w:r>
          </w:p>
        </w:tc>
      </w:tr>
      <w:tr>
        <w:trPr>
          <w:trHeight w:val="233"/>
        </w:trPr>
        <w:tc>
          <w:tcPr>
            <w:tcW w:w="6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100" w:type="dxa"/>
            <w:vAlign w:val="bottom"/>
          </w:tcPr>
          <w:p>
            <w:pPr>
              <w:jc w:val="right"/>
              <w:ind w:right="59"/>
              <w:spacing w:after="0"/>
              <w:rPr>
                <w:sz w:val="20"/>
                <w:szCs w:val="20"/>
                <w:color w:val="auto"/>
              </w:rPr>
            </w:pPr>
            <w:r>
              <w:rPr>
                <w:rFonts w:ascii="Arial" w:cs="Arial" w:eastAsia="Arial" w:hAnsi="Arial"/>
                <w:sz w:val="16"/>
                <w:szCs w:val="16"/>
                <w:color w:val="auto"/>
              </w:rPr>
              <w:t>10,719</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35,327</w:t>
            </w:r>
          </w:p>
        </w:tc>
      </w:tr>
      <w:tr>
        <w:trPr>
          <w:trHeight w:val="246"/>
        </w:trPr>
        <w:tc>
          <w:tcPr>
            <w:tcW w:w="6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33"/>
        </w:trPr>
        <w:tc>
          <w:tcPr>
            <w:tcW w:w="6880" w:type="dxa"/>
            <w:vAlign w:val="bottom"/>
          </w:tcPr>
          <w:p>
            <w:pPr>
              <w:ind w:left="40"/>
              <w:spacing w:after="0"/>
              <w:rPr>
                <w:sz w:val="20"/>
                <w:szCs w:val="20"/>
                <w:color w:val="auto"/>
              </w:rPr>
            </w:pPr>
            <w:r>
              <w:rPr>
                <w:rFonts w:ascii="Arial" w:cs="Arial" w:eastAsia="Arial" w:hAnsi="Arial"/>
                <w:sz w:val="16"/>
                <w:szCs w:val="16"/>
                <w:color w:val="auto"/>
              </w:rPr>
              <w:t>Income attributable to Lee Enterprises, Incorporated</w:t>
            </w:r>
          </w:p>
        </w:tc>
        <w:tc>
          <w:tcPr>
            <w:tcW w:w="3100" w:type="dxa"/>
            <w:vAlign w:val="bottom"/>
          </w:tcPr>
          <w:p>
            <w:pPr>
              <w:jc w:val="right"/>
              <w:ind w:right="59"/>
              <w:spacing w:after="0"/>
              <w:rPr>
                <w:sz w:val="20"/>
                <w:szCs w:val="20"/>
                <w:color w:val="auto"/>
              </w:rPr>
            </w:pPr>
            <w:r>
              <w:rPr>
                <w:rFonts w:ascii="Arial" w:cs="Arial" w:eastAsia="Arial" w:hAnsi="Arial"/>
                <w:sz w:val="16"/>
                <w:szCs w:val="16"/>
                <w:color w:val="auto"/>
              </w:rPr>
              <w:t>10,361</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35,003</w:t>
            </w:r>
          </w:p>
        </w:tc>
      </w:tr>
      <w:tr>
        <w:trPr>
          <w:trHeight w:val="246"/>
        </w:trPr>
        <w:tc>
          <w:tcPr>
            <w:tcW w:w="6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income taxes</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50"/>
        </w:trPr>
        <w:tc>
          <w:tcPr>
            <w:tcW w:w="6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Comprehensive income attributable to Lee Enterprises, Incorporated</w:t>
            </w:r>
          </w:p>
        </w:tc>
        <w:tc>
          <w:tcPr>
            <w:tcW w:w="3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10,239</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35,030</w:t>
            </w:r>
          </w:p>
        </w:tc>
      </w:tr>
      <w:tr>
        <w:trPr>
          <w:trHeight w:val="270"/>
        </w:trPr>
        <w:tc>
          <w:tcPr>
            <w:tcW w:w="6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common share:</w:t>
            </w:r>
          </w:p>
        </w:tc>
        <w:tc>
          <w:tcPr>
            <w:tcW w:w="3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3"/>
        </w:trPr>
        <w:tc>
          <w:tcPr>
            <w:tcW w:w="6880" w:type="dxa"/>
            <w:vAlign w:val="bottom"/>
          </w:tcPr>
          <w:p>
            <w:pPr>
              <w:ind w:left="280"/>
              <w:spacing w:after="0"/>
              <w:rPr>
                <w:sz w:val="20"/>
                <w:szCs w:val="20"/>
                <w:color w:val="auto"/>
              </w:rPr>
            </w:pPr>
            <w:r>
              <w:rPr>
                <w:rFonts w:ascii="Arial" w:cs="Arial" w:eastAsia="Arial" w:hAnsi="Arial"/>
                <w:sz w:val="16"/>
                <w:szCs w:val="16"/>
                <w:color w:val="auto"/>
              </w:rPr>
              <w:t>Basic:</w:t>
            </w:r>
          </w:p>
        </w:tc>
        <w:tc>
          <w:tcPr>
            <w:tcW w:w="3100" w:type="dxa"/>
            <w:vAlign w:val="bottom"/>
          </w:tcPr>
          <w:p>
            <w:pPr>
              <w:jc w:val="right"/>
              <w:ind w:right="59"/>
              <w:spacing w:after="0"/>
              <w:rPr>
                <w:sz w:val="20"/>
                <w:szCs w:val="20"/>
                <w:color w:val="auto"/>
              </w:rPr>
            </w:pPr>
            <w:r>
              <w:rPr>
                <w:rFonts w:ascii="Arial" w:cs="Arial" w:eastAsia="Arial" w:hAnsi="Arial"/>
                <w:sz w:val="16"/>
                <w:szCs w:val="16"/>
                <w:color w:val="auto"/>
              </w:rPr>
              <w:t>0.19</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0.64</w:t>
            </w:r>
          </w:p>
        </w:tc>
      </w:tr>
      <w:tr>
        <w:trPr>
          <w:trHeight w:val="260"/>
        </w:trPr>
        <w:tc>
          <w:tcPr>
            <w:tcW w:w="6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0.18</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r>
      <w:tr>
        <w:trPr>
          <w:trHeight w:val="264"/>
        </w:trPr>
        <w:tc>
          <w:tcPr>
            <w:tcW w:w="42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c>
          <w:tcPr>
            <w:tcW w:w="1340" w:type="dxa"/>
            <w:vAlign w:val="bottom"/>
            <w:tcBorders>
              <w:bottom w:val="single" w:sz="8" w:color="auto"/>
            </w:tcBorders>
          </w:tcPr>
          <w:p>
            <w:pPr>
              <w:spacing w:after="0"/>
              <w:rPr>
                <w:sz w:val="22"/>
                <w:szCs w:val="22"/>
                <w:color w:val="auto"/>
              </w:rPr>
            </w:pPr>
          </w:p>
        </w:tc>
        <w:tc>
          <w:tcPr>
            <w:tcW w:w="3620" w:type="dxa"/>
            <w:vAlign w:val="bottom"/>
            <w:tcBorders>
              <w:bottom w:val="single" w:sz="8" w:color="auto"/>
            </w:tcBorders>
            <w:gridSpan w:val="2"/>
          </w:tcPr>
          <w:p>
            <w:pPr>
              <w:jc w:val="right"/>
              <w:ind w:right="1370"/>
              <w:spacing w:after="0"/>
              <w:rPr>
                <w:sz w:val="20"/>
                <w:szCs w:val="20"/>
                <w:color w:val="auto"/>
              </w:rPr>
            </w:pPr>
            <w:r>
              <w:rPr>
                <w:rFonts w:ascii="Arial" w:cs="Arial" w:eastAsia="Arial" w:hAnsi="Arial"/>
                <w:sz w:val="18"/>
                <w:szCs w:val="18"/>
                <w:color w:val="auto"/>
              </w:rPr>
              <w:t>Shares</w:t>
            </w:r>
          </w:p>
        </w:tc>
      </w:tr>
      <w:tr>
        <w:trPr>
          <w:trHeight w:val="229"/>
        </w:trPr>
        <w:tc>
          <w:tcPr>
            <w:tcW w:w="4240" w:type="dxa"/>
            <w:vAlign w:val="bottom"/>
          </w:tcPr>
          <w:p>
            <w:pPr>
              <w:spacing w:after="0"/>
              <w:rPr>
                <w:sz w:val="19"/>
                <w:szCs w:val="19"/>
                <w:color w:val="auto"/>
              </w:rPr>
            </w:pPr>
          </w:p>
        </w:tc>
        <w:tc>
          <w:tcPr>
            <w:tcW w:w="2220" w:type="dxa"/>
            <w:vAlign w:val="bottom"/>
          </w:tcPr>
          <w:p>
            <w:pPr>
              <w:jc w:val="right"/>
              <w:ind w:right="570"/>
              <w:spacing w:after="0"/>
              <w:rPr>
                <w:sz w:val="20"/>
                <w:szCs w:val="20"/>
                <w:color w:val="auto"/>
              </w:rPr>
            </w:pPr>
            <w:r>
              <w:rPr>
                <w:rFonts w:ascii="Arial" w:cs="Arial" w:eastAsia="Arial" w:hAnsi="Arial"/>
                <w:sz w:val="18"/>
                <w:szCs w:val="18"/>
                <w:color w:val="auto"/>
              </w:rPr>
              <w:t>December 30</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December 24</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December 30</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December 24</w:t>
            </w:r>
          </w:p>
        </w:tc>
      </w:tr>
      <w:tr>
        <w:trPr>
          <w:trHeight w:val="224"/>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(Thousands of Dollars and Shares)</w:t>
            </w:r>
          </w:p>
        </w:tc>
        <w:tc>
          <w:tcPr>
            <w:tcW w:w="2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r>
      <w:tr>
        <w:trPr>
          <w:trHeight w:val="527"/>
        </w:trPr>
        <w:tc>
          <w:tcPr>
            <w:tcW w:w="42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7"/>
        </w:trPr>
        <w:tc>
          <w:tcPr>
            <w:tcW w:w="4240" w:type="dxa"/>
            <w:vAlign w:val="bottom"/>
          </w:tcPr>
          <w:p>
            <w:pPr>
              <w:ind w:left="280"/>
              <w:spacing w:after="0"/>
              <w:rPr>
                <w:sz w:val="20"/>
                <w:szCs w:val="20"/>
                <w:color w:val="auto"/>
              </w:rPr>
            </w:pPr>
            <w:r>
              <w:rPr>
                <w:rFonts w:ascii="Arial" w:cs="Arial" w:eastAsia="Arial" w:hAnsi="Arial"/>
                <w:sz w:val="18"/>
                <w:szCs w:val="18"/>
                <w:color w:val="auto"/>
              </w:rPr>
              <w:t>Balance, beginning of quarter</w:t>
            </w:r>
          </w:p>
        </w:tc>
        <w:tc>
          <w:tcPr>
            <w:tcW w:w="2220" w:type="dxa"/>
            <w:vAlign w:val="bottom"/>
          </w:tcPr>
          <w:p>
            <w:pPr>
              <w:jc w:val="right"/>
              <w:ind w:right="530"/>
              <w:spacing w:after="0"/>
              <w:rPr>
                <w:sz w:val="20"/>
                <w:szCs w:val="20"/>
                <w:color w:val="auto"/>
              </w:rPr>
            </w:pPr>
            <w:r>
              <w:rPr>
                <w:rFonts w:ascii="Arial" w:cs="Arial" w:eastAsia="Arial" w:hAnsi="Arial"/>
                <w:sz w:val="18"/>
                <w:szCs w:val="18"/>
                <w:color w:val="auto"/>
              </w:rPr>
              <w:t>572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920" w:type="dxa"/>
            <w:vAlign w:val="bottom"/>
          </w:tcPr>
          <w:p>
            <w:pPr>
              <w:jc w:val="right"/>
              <w:ind w:right="130"/>
              <w:spacing w:after="0"/>
              <w:rPr>
                <w:sz w:val="20"/>
                <w:szCs w:val="20"/>
                <w:color w:val="auto"/>
              </w:rPr>
            </w:pPr>
            <w:r>
              <w:rPr>
                <w:rFonts w:ascii="Arial" w:cs="Arial" w:eastAsia="Arial" w:hAnsi="Arial"/>
                <w:sz w:val="18"/>
                <w:szCs w:val="18"/>
                <w:color w:val="auto"/>
              </w:rPr>
              <w:t>57,141</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56,712</w:t>
            </w:r>
          </w:p>
        </w:tc>
      </w:tr>
      <w:tr>
        <w:trPr>
          <w:trHeight w:val="270"/>
        </w:trPr>
        <w:tc>
          <w:tcPr>
            <w:tcW w:w="4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Shares issued</w:t>
            </w:r>
          </w:p>
        </w:tc>
        <w:tc>
          <w:tcPr>
            <w:tcW w:w="22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5</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550</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64"/>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Balance, end of quarter</w:t>
            </w:r>
          </w:p>
        </w:tc>
        <w:tc>
          <w:tcPr>
            <w:tcW w:w="2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577</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571</w:t>
            </w: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57,691</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57,069</w:t>
            </w: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3"/>
        </w:trPr>
        <w:tc>
          <w:tcPr>
            <w:tcW w:w="4240" w:type="dxa"/>
            <w:vAlign w:val="bottom"/>
          </w:tcPr>
          <w:p>
            <w:pPr>
              <w:ind w:left="280"/>
              <w:spacing w:after="0"/>
              <w:rPr>
                <w:sz w:val="20"/>
                <w:szCs w:val="20"/>
                <w:color w:val="auto"/>
              </w:rPr>
            </w:pPr>
            <w:r>
              <w:rPr>
                <w:rFonts w:ascii="Arial" w:cs="Arial" w:eastAsia="Arial" w:hAnsi="Arial"/>
                <w:sz w:val="18"/>
                <w:szCs w:val="18"/>
                <w:color w:val="auto"/>
              </w:rPr>
              <w:t>Balance, beginning of quarter</w:t>
            </w:r>
          </w:p>
        </w:tc>
        <w:tc>
          <w:tcPr>
            <w:tcW w:w="2220" w:type="dxa"/>
            <w:vAlign w:val="bottom"/>
          </w:tcPr>
          <w:p>
            <w:pPr>
              <w:jc w:val="right"/>
              <w:ind w:right="530"/>
              <w:spacing w:after="0"/>
              <w:rPr>
                <w:sz w:val="20"/>
                <w:szCs w:val="20"/>
                <w:color w:val="auto"/>
              </w:rPr>
            </w:pPr>
            <w:r>
              <w:rPr>
                <w:rFonts w:ascii="Arial" w:cs="Arial" w:eastAsia="Arial" w:hAnsi="Arial"/>
                <w:sz w:val="18"/>
                <w:szCs w:val="18"/>
                <w:color w:val="auto"/>
              </w:rPr>
              <w:t>253,511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251,790</w:t>
            </w:r>
          </w:p>
        </w:tc>
        <w:tc>
          <w:tcPr>
            <w:tcW w:w="19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7"/>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22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385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9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4"/>
        </w:trPr>
        <w:tc>
          <w:tcPr>
            <w:tcW w:w="42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Shares issued (redeemed)</w:t>
            </w:r>
          </w:p>
        </w:tc>
        <w:tc>
          <w:tcPr>
            <w:tcW w:w="2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(453)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9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r>
      <w:tr>
        <w:trPr>
          <w:trHeight w:val="264"/>
        </w:trPr>
        <w:tc>
          <w:tcPr>
            <w:tcW w:w="4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end of quarter</w:t>
            </w:r>
          </w:p>
        </w:tc>
        <w:tc>
          <w:tcPr>
            <w:tcW w:w="22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253,443</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251,844</w:t>
            </w:r>
          </w:p>
        </w:tc>
        <w:tc>
          <w:tcPr>
            <w:tcW w:w="19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3"/>
        </w:trPr>
        <w:tc>
          <w:tcPr>
            <w:tcW w:w="424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7"/>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Balance, beginning of quarter</w:t>
            </w:r>
          </w:p>
        </w:tc>
        <w:tc>
          <w:tcPr>
            <w:tcW w:w="2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(279,691)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(328,524)</w:t>
            </w:r>
          </w:p>
        </w:tc>
        <w:tc>
          <w:tcPr>
            <w:tcW w:w="19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3"/>
        </w:trPr>
        <w:tc>
          <w:tcPr>
            <w:tcW w:w="42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220" w:type="dxa"/>
            <w:vAlign w:val="bottom"/>
          </w:tcPr>
          <w:p>
            <w:pPr>
              <w:jc w:val="right"/>
              <w:ind w:right="530"/>
              <w:spacing w:after="0"/>
              <w:rPr>
                <w:sz w:val="20"/>
                <w:szCs w:val="20"/>
                <w:color w:val="auto"/>
              </w:rPr>
            </w:pPr>
            <w:r>
              <w:rPr>
                <w:rFonts w:ascii="Arial" w:cs="Arial" w:eastAsia="Arial" w:hAnsi="Arial"/>
                <w:sz w:val="18"/>
                <w:szCs w:val="18"/>
                <w:color w:val="auto"/>
              </w:rPr>
              <w:t>10,719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35,327</w:t>
            </w:r>
          </w:p>
        </w:tc>
        <w:tc>
          <w:tcPr>
            <w:tcW w:w="19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35"/>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w:t>
            </w:r>
          </w:p>
        </w:tc>
        <w:tc>
          <w:tcPr>
            <w:tcW w:w="2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24"/>
        </w:trPr>
        <w:tc>
          <w:tcPr>
            <w:tcW w:w="4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interests</w:t>
            </w:r>
          </w:p>
        </w:tc>
        <w:tc>
          <w:tcPr>
            <w:tcW w:w="22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(358)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9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64"/>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Balance, end of quarter</w:t>
            </w:r>
          </w:p>
        </w:tc>
        <w:tc>
          <w:tcPr>
            <w:tcW w:w="2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(269,330)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(293,521)</w:t>
            </w:r>
          </w:p>
        </w:tc>
        <w:tc>
          <w:tcPr>
            <w:tcW w:w="19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3"/>
        </w:trPr>
        <w:tc>
          <w:tcPr>
            <w:tcW w:w="4240" w:type="dxa"/>
            <w:vAlign w:val="bottom"/>
          </w:tcPr>
          <w:p>
            <w:pPr>
              <w:ind w:left="280"/>
              <w:spacing w:after="0"/>
              <w:rPr>
                <w:sz w:val="20"/>
                <w:szCs w:val="20"/>
                <w:color w:val="auto"/>
              </w:rPr>
            </w:pPr>
            <w:r>
              <w:rPr>
                <w:rFonts w:ascii="Arial" w:cs="Arial" w:eastAsia="Arial" w:hAnsi="Arial"/>
                <w:sz w:val="18"/>
                <w:szCs w:val="18"/>
                <w:color w:val="auto"/>
              </w:rPr>
              <w:t>Balance, beginning of quarter</w:t>
            </w:r>
          </w:p>
        </w:tc>
        <w:tc>
          <w:tcPr>
            <w:tcW w:w="2220" w:type="dxa"/>
            <w:vAlign w:val="bottom"/>
          </w:tcPr>
          <w:p>
            <w:pPr>
              <w:jc w:val="right"/>
              <w:ind w:right="470"/>
              <w:spacing w:after="0"/>
              <w:rPr>
                <w:sz w:val="20"/>
                <w:szCs w:val="20"/>
                <w:color w:val="auto"/>
              </w:rPr>
            </w:pPr>
            <w:r>
              <w:rPr>
                <w:rFonts w:ascii="Arial" w:cs="Arial" w:eastAsia="Arial" w:hAnsi="Arial"/>
                <w:sz w:val="18"/>
                <w:szCs w:val="18"/>
                <w:color w:val="auto"/>
              </w:rPr>
              <w:t>(11,746)</w:t>
            </w:r>
          </w:p>
        </w:tc>
        <w:tc>
          <w:tcPr>
            <w:tcW w:w="1340" w:type="dxa"/>
            <w:vAlign w:val="bottom"/>
          </w:tcPr>
          <w:p>
            <w:pPr>
              <w:jc w:val="right"/>
              <w:spacing w:after="0"/>
              <w:rPr>
                <w:sz w:val="20"/>
                <w:szCs w:val="20"/>
                <w:color w:val="auto"/>
              </w:rPr>
            </w:pPr>
            <w:r>
              <w:rPr>
                <w:rFonts w:ascii="Arial" w:cs="Arial" w:eastAsia="Arial" w:hAnsi="Arial"/>
                <w:sz w:val="18"/>
                <w:szCs w:val="18"/>
                <w:color w:val="auto"/>
              </w:rPr>
              <w:t>(16,068)</w:t>
            </w:r>
          </w:p>
        </w:tc>
        <w:tc>
          <w:tcPr>
            <w:tcW w:w="19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7"/>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 in pension and postretirement benefits</w:t>
            </w:r>
          </w:p>
        </w:tc>
        <w:tc>
          <w:tcPr>
            <w:tcW w:w="2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(163)</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9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4"/>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Deferred income taxes, net</w:t>
            </w:r>
          </w:p>
        </w:tc>
        <w:tc>
          <w:tcPr>
            <w:tcW w:w="2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41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9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r>
      <w:tr>
        <w:trPr>
          <w:trHeight w:val="264"/>
        </w:trPr>
        <w:tc>
          <w:tcPr>
            <w:tcW w:w="4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end of quarter</w:t>
            </w:r>
          </w:p>
        </w:tc>
        <w:tc>
          <w:tcPr>
            <w:tcW w:w="22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(11,868)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(16,041)</w:t>
            </w:r>
          </w:p>
        </w:tc>
        <w:tc>
          <w:tcPr>
            <w:tcW w:w="192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spacing w:after="0"/>
              <w:rPr>
                <w:sz w:val="22"/>
                <w:szCs w:val="22"/>
                <w:color w:val="auto"/>
              </w:rPr>
            </w:pPr>
          </w:p>
        </w:tc>
      </w:tr>
      <w:tr>
        <w:trPr>
          <w:trHeight w:val="277"/>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stockholders' deficit</w:t>
            </w:r>
          </w:p>
        </w:tc>
        <w:tc>
          <w:tcPr>
            <w:tcW w:w="2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(27,178)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(57,147)</w:t>
            </w: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57,691</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57,069</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(Thousands of Dollars)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13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-5518785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December 30</w:t>
      </w:r>
      <w:r>
        <w:rPr>
          <w:sz w:val="20"/>
          <w:szCs w:val="20"/>
          <w:color w:val="auto"/>
        </w:rPr>
        <w:tab/>
      </w:r>
      <w:r>
        <w:rPr>
          <w:rFonts w:ascii="Arial" w:cs="Arial" w:eastAsia="Arial" w:hAnsi="Arial"/>
          <w:sz w:val="17"/>
          <w:szCs w:val="17"/>
          <w:color w:val="auto"/>
        </w:rPr>
        <w:t>December 24</w:t>
      </w:r>
    </w:p>
    <w:p>
      <w:pPr>
        <w:jc w:val="both"/>
        <w:ind w:left="740"/>
        <w:spacing w:after="0"/>
        <w:tabs>
          <w:tab w:leader="none" w:pos="220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-5518785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980" w:space="720"/>
            <w:col w:w="272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8440" w:type="dxa"/>
            <w:vAlign w:val="bottom"/>
          </w:tcPr>
          <w:p>
            <w:pPr>
              <w:ind w:left="40"/>
              <w:spacing w:after="0"/>
              <w:rPr>
                <w:sz w:val="20"/>
                <w:szCs w:val="20"/>
                <w:color w:val="auto"/>
              </w:rPr>
            </w:pPr>
            <w:r>
              <w:rPr>
                <w:rFonts w:ascii="Arial" w:cs="Arial" w:eastAsia="Arial" w:hAnsi="Arial"/>
                <w:sz w:val="18"/>
                <w:szCs w:val="18"/>
                <w:color w:val="auto"/>
              </w:rPr>
              <w:t>Cash provided by (required for) operating activities:</w:t>
            </w:r>
          </w:p>
        </w:tc>
        <w:tc>
          <w:tcPr>
            <w:tcW w:w="18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10,719</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35,327</w:t>
            </w:r>
          </w:p>
        </w:tc>
      </w:tr>
      <w:tr>
        <w:trPr>
          <w:trHeight w:val="263"/>
        </w:trPr>
        <w:tc>
          <w:tcPr>
            <w:tcW w:w="8440" w:type="dxa"/>
            <w:vAlign w:val="bottom"/>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7,529</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8,053</w:t>
            </w:r>
          </w:p>
        </w:tc>
      </w:tr>
      <w:tr>
        <w:trPr>
          <w:trHeight w:val="250"/>
        </w:trPr>
        <w:tc>
          <w:tcPr>
            <w:tcW w:w="8440" w:type="dxa"/>
            <w:vAlign w:val="bottom"/>
          </w:tcPr>
          <w:p>
            <w:pPr>
              <w:ind w:left="500"/>
              <w:spacing w:after="0"/>
              <w:rPr>
                <w:sz w:val="20"/>
                <w:szCs w:val="20"/>
                <w:color w:val="auto"/>
              </w:rPr>
            </w:pPr>
            <w:r>
              <w:rPr>
                <w:rFonts w:ascii="Arial" w:cs="Arial" w:eastAsia="Arial" w:hAnsi="Arial"/>
                <w:sz w:val="18"/>
                <w:szCs w:val="18"/>
                <w:color w:val="auto"/>
              </w:rPr>
              <w:t>Stock compensation expense</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464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63"/>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Distributions greater (less) than earnings of MNI</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50"/>
        </w:trPr>
        <w:tc>
          <w:tcPr>
            <w:tcW w:w="844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204</w:t>
            </w:r>
          </w:p>
        </w:tc>
        <w:tc>
          <w:tcPr>
            <w:tcW w:w="1120" w:type="dxa"/>
            <w:vAlign w:val="bottom"/>
          </w:tcPr>
          <w:p>
            <w:pPr>
              <w:jc w:val="right"/>
              <w:spacing w:after="0"/>
              <w:rPr>
                <w:sz w:val="20"/>
                <w:szCs w:val="20"/>
                <w:color w:val="auto"/>
              </w:rPr>
            </w:pPr>
            <w:r>
              <w:rPr>
                <w:rFonts w:ascii="Arial" w:cs="Arial" w:eastAsia="Arial" w:hAnsi="Arial"/>
                <w:sz w:val="18"/>
                <w:szCs w:val="18"/>
                <w:color w:val="auto"/>
              </w:rPr>
              <w:t>(20,345)</w:t>
            </w:r>
          </w:p>
        </w:tc>
      </w:tr>
      <w:tr>
        <w:trPr>
          <w:trHeight w:val="263"/>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Debt financing and administrative costs</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896</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r>
      <w:tr>
        <w:trPr>
          <w:trHeight w:val="250"/>
        </w:trPr>
        <w:tc>
          <w:tcPr>
            <w:tcW w:w="8440" w:type="dxa"/>
            <w:vAlign w:val="bottom"/>
          </w:tcPr>
          <w:p>
            <w:pPr>
              <w:ind w:left="500"/>
              <w:spacing w:after="0"/>
              <w:rPr>
                <w:sz w:val="20"/>
                <w:szCs w:val="20"/>
                <w:color w:val="auto"/>
              </w:rPr>
            </w:pPr>
            <w:r>
              <w:rPr>
                <w:rFonts w:ascii="Arial" w:cs="Arial" w:eastAsia="Arial" w:hAnsi="Arial"/>
                <w:sz w:val="18"/>
                <w:szCs w:val="18"/>
                <w:color w:val="auto"/>
              </w:rPr>
              <w:t>Pension contributions</w:t>
            </w: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(650)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(468)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63"/>
        </w:trPr>
        <w:tc>
          <w:tcPr>
            <w:tcW w:w="844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8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receivables</w:t>
            </w: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(7,479)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r>
      <w:tr>
        <w:trPr>
          <w:trHeight w:val="250"/>
        </w:trPr>
        <w:tc>
          <w:tcPr>
            <w:tcW w:w="8440" w:type="dxa"/>
            <w:vAlign w:val="bottom"/>
          </w:tcPr>
          <w:p>
            <w:pPr>
              <w:ind w:left="720"/>
              <w:spacing w:after="0"/>
              <w:rPr>
                <w:sz w:val="20"/>
                <w:szCs w:val="20"/>
                <w:color w:val="auto"/>
              </w:rPr>
            </w:pPr>
            <w:r>
              <w:rPr>
                <w:rFonts w:ascii="Arial" w:cs="Arial" w:eastAsia="Arial" w:hAnsi="Arial"/>
                <w:sz w:val="18"/>
                <w:szCs w:val="18"/>
                <w:color w:val="auto"/>
              </w:rPr>
              <w:t>Decrease (increase) in inventories and other</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318</w:t>
            </w: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63"/>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in accounts payable and other accrued liabilities</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4,088</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4,138</w:t>
            </w:r>
          </w:p>
        </w:tc>
      </w:tr>
      <w:tr>
        <w:trPr>
          <w:trHeight w:val="250"/>
        </w:trPr>
        <w:tc>
          <w:tcPr>
            <w:tcW w:w="8440" w:type="dxa"/>
            <w:vAlign w:val="bottom"/>
          </w:tcPr>
          <w:p>
            <w:pPr>
              <w:ind w:left="720"/>
              <w:spacing w:after="0"/>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(741)</w:t>
            </w:r>
          </w:p>
        </w:tc>
        <w:tc>
          <w:tcPr>
            <w:tcW w:w="112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63"/>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income taxes payable</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4,287</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r>
      <w:tr>
        <w:trPr>
          <w:trHeight w:val="250"/>
        </w:trPr>
        <w:tc>
          <w:tcPr>
            <w:tcW w:w="84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Other, including warrants</w:t>
            </w:r>
          </w:p>
        </w:tc>
        <w:tc>
          <w:tcPr>
            <w:tcW w:w="1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189</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w:t>
            </w:r>
          </w:p>
        </w:tc>
      </w:tr>
      <w:tr>
        <w:trPr>
          <w:trHeight w:val="250"/>
        </w:trPr>
        <w:tc>
          <w:tcPr>
            <w:tcW w:w="8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19,407</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21,178</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Cash required for investing activities:</w:t>
            </w:r>
          </w:p>
        </w:tc>
        <w:tc>
          <w:tcPr>
            <w:tcW w:w="18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Purchases of property and equipment</w:t>
            </w: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(1,002)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Proceeds from sales of assets</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585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Distributions greater (less) than earnings of TNI</w:t>
            </w: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(881)</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50"/>
        </w:trPr>
        <w:tc>
          <w:tcPr>
            <w:tcW w:w="84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net</w:t>
            </w: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8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cash required for investing activities</w:t>
            </w:r>
          </w:p>
        </w:tc>
        <w:tc>
          <w:tcPr>
            <w:tcW w:w="18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(1,395)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Cash required for financing activities:</w:t>
            </w:r>
          </w:p>
        </w:tc>
        <w:tc>
          <w:tcPr>
            <w:tcW w:w="18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on long-term debt</w:t>
            </w: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(7,027)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(16,432)</w:t>
            </w: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Debt financing costs paid</w:t>
            </w: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84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Common stock transactions, net</w:t>
            </w:r>
          </w:p>
        </w:tc>
        <w:tc>
          <w:tcPr>
            <w:tcW w:w="18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(448)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50"/>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cash required for financing activities</w:t>
            </w: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(7,483)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(16,897)</w:t>
            </w: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10,529</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3,225</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84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Beginning of period</w:t>
            </w:r>
          </w:p>
        </w:tc>
        <w:tc>
          <w:tcPr>
            <w:tcW w:w="18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5,380</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10,621</w:t>
            </w:r>
          </w:p>
        </w:tc>
      </w:tr>
      <w:tr>
        <w:trPr>
          <w:trHeight w:val="264"/>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End of period</w:t>
            </w:r>
          </w:p>
        </w:tc>
        <w:tc>
          <w:tcPr>
            <w:tcW w:w="1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15,909</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13,846</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p>
      <w:pPr>
        <w:ind w:left="5120" w:right="3400" w:hanging="5112"/>
        <w:spacing w:after="0" w:line="513" w:lineRule="auto"/>
        <w:tabs>
          <w:tab w:leader="none" w:pos="65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subsidiaries (the “Company”) as of December 30, 2018 and our results of operations, changes in stockholder's equity and cash flows for the periods presented. The Consolidated Financial Statements should be read in conjunction with the Consolidated Financial Statements and Notes thereto included in the Company's 2018 Annual Report on Form 10-K.</w:t>
      </w:r>
    </w:p>
    <w:p>
      <w:pPr>
        <w:spacing w:after="0" w:line="20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Because of seasonal and other factors, the results of operations for the 13 weeks ended December 30, 2018 are not necessarily indicative of the results to be expected for the full year.</w:t>
      </w:r>
    </w:p>
    <w:p>
      <w:pPr>
        <w:spacing w:after="0" w:line="19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References to “we”, “our”, “us” and the like throughout the Consolidated Financial Statements refer to the Company. References to “2019”, “2018” and the like refer to the fiscal years ended the last Sunday in September.</w:t>
      </w:r>
    </w:p>
    <w:p>
      <w:pPr>
        <w:spacing w:after="0" w:line="19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50% interest in TNI Partners (“TNI”), 50% interest in Madison Newspapers, Inc. (“MNI”) and 82.5% interest in INN Partners, L.C. ("TownNews").</w:t>
      </w:r>
    </w:p>
    <w:p>
      <w:pPr>
        <w:spacing w:after="0" w:line="20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intangible assets.</w:t>
      </w:r>
    </w:p>
    <w:p>
      <w:pPr>
        <w:spacing w:after="0" w:line="19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On June 26, 2018, in the Company's fourth fiscal quarter, we entered into an agreement with BH Media Group, Inc. ("BH Media") to manage Berkshire Hathaway's newspaper and digital operations in 30 markets, beginning July 2, 2018 (the "Management Agreement"). The Company operates BH Media consistent with how it manages its own newspaper and digital operations. Among other decisions, Berkshire Hathaway is responsible for approving operating and capital budgets. The Management Agreement extends for a term of five years and may be extended thereafter for successive one-year terms on such terms as may be mutually agreed to by the Company and Berkshire Hathaway. The Management Agreement provides for the Company to be paid a fixed annual fee of $5 million, payable quarterly in arrears, and a variable fee based on the financial performance of BH Media. The variable fees are payable annually in arrears.</w:t>
      </w:r>
    </w:p>
    <w:p>
      <w:pPr>
        <w:spacing w:after="0" w:line="18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preparation of the Consolidated Financial Statements in conformity with Generally Accepted Accounting Principles ("GAAP") requires us to make estimates and judgments that affect the reported amounts of assets, liabilities, revenue and expenses, and related disclosure of contingent assets and liabilities. We evaluate these estimates and judgments on an ongoing basis.</w:t>
      </w:r>
    </w:p>
    <w:p>
      <w:pPr>
        <w:spacing w:after="0" w:line="20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New accounting pronouncements</w:t>
      </w:r>
    </w:p>
    <w:p>
      <w:pPr>
        <w:spacing w:after="0" w:line="247"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Between 2014 and 2017, the FASB issued several new standards which collectively comprise ASC Topic 606 “Revenue from Contracts with Customers”. Topic 606 supersedes the revenue recognition requirements in Topic 605 “Revenue Recognition” and is effective fiscal years beginning after December 15, 2017. Topic 606 provides a five-step model in determining when and how revenue is recognized and requires revenue recognition to depict the transfer of promised goods or services to customers in an amount that reflects the consideration a company expects to receive in exchange for those goods or services. Topic 606 also requires new disclosures about the nature, amount, timing, and uncertainty of revenue and cash flows arising from contracts with customers.</w:t>
      </w:r>
    </w:p>
    <w:p>
      <w:pPr>
        <w:spacing w:after="0" w:line="209"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We adopted Topic 606 on October 1, 2018, using the modified retrospective method applied to those contracts which were not completed as of that date. We have completed our assessment and have not identified any significant changes to our revenue recognition policies. We identified similar performance obligations under Topic 606 as compared with the deliverables and separate units of accounting previously identified under Topic 605. As a result, the timing and amount of our revenue recognition were not impacted and we did not make any adjustments under the modified retrospective adoption method.</w:t>
      </w:r>
    </w:p>
    <w:p>
      <w:pPr>
        <w:spacing w:after="0" w:line="20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also assessed the new accounting principles related to the deferral and amortization of contract acquisition costs and due to the short-term nature of such costs, we will utilize the practical expedient to continue to expense these costs as incurred.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11 for more information on our revenues and the application of Topic 606.</w:t>
      </w:r>
    </w:p>
    <w:p>
      <w:pPr>
        <w:spacing w:after="0" w:line="22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In August 2016, the FASB issued a new standard to conform the presentation in the statement of cash flows for certain transactions, including cash distributions from equity method investments, among others. There was no change to the Consolidated Statement of Cash Flows as a result of the adoption of this standard for the quarter ended December 30, 2018. Specifically, distributions received from equity method investees continue to be presented on the Consolidated Statement of Cash Flows utilizing the cumulative earnings approach.</w:t>
      </w:r>
    </w:p>
    <w:p>
      <w:pPr>
        <w:spacing w:after="0" w:line="20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In March 2017, the FASB issued a new standard to improve the presentation of pension and postretirement benefit expense. The new standard requires that the service cost component of pension and postretirement benefits expense is recognized as compensation expense, while the remaining components of the expense (benefit) are presented as non-operating income in other, net. This new standard was adopted for the quarter ended December 30, 2018 and has been retrospectively applied to the Statement of Operations for all comparative periods presented. We recorded benefits of $711,000 in other, net in non-operating income (expense) for the quarter ended December 30, 2018. We reclassified benefits of $708,000 from compensation to other, net in non-operating income (expense) for the quarter ended December 24, 2017.</w:t>
      </w:r>
    </w:p>
    <w:p>
      <w:pPr>
        <w:spacing w:after="0" w:line="207"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In February 2018, FASB issued new guidance to allow a reclassification from accumulated other comprehensive income (“AOCI”) to retained earnings for stranded tax effects resulting from what is commonly referred to as the Tax Cuts and Jobs Act (the "2017 Tax Act"). In the first quarter of fiscal year 2018, we remeasured our deferred taxes related to unrealized gains on our investment balances using the reduced tax rate. As required by GAAP, we recognized the net tax benefit in the provision for income taxes in our consolidated income statements, and we reclassified a $3,067,000 net tax benefit from AOCI to retained earnings in our consolidated balance sheets. Adoption of the standard had no impact to our consolidated income statements or cash flows statements.</w:t>
      </w:r>
    </w:p>
    <w:p>
      <w:pPr>
        <w:spacing w:after="0" w:line="187"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TNI Partners</w:t>
      </w:r>
    </w:p>
    <w:p>
      <w:pPr>
        <w:spacing w:after="0" w:line="18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or loss of TNI (before income taxes) is allocated equally to Star Publishing and Citizen.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TNI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54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80"/>
        <w:spacing w:after="0"/>
        <w:rPr>
          <w:sz w:val="20"/>
          <w:szCs w:val="20"/>
          <w:color w:val="auto"/>
        </w:rPr>
      </w:pPr>
      <w:r>
        <w:rPr>
          <w:rFonts w:ascii="Arial" w:cs="Arial" w:eastAsia="Arial" w:hAnsi="Arial"/>
          <w:sz w:val="12"/>
          <w:szCs w:val="12"/>
          <w:i w:val="1"/>
          <w:iCs w:val="1"/>
          <w:color w:val="auto"/>
        </w:rPr>
        <w:t>(Thousands of Dollars)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13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-4688205</wp:posOffset>
            </wp:positionH>
            <wp:positionV relativeFrom="paragraph">
              <wp:posOffset>14605</wp:posOffset>
            </wp:positionV>
            <wp:extent cx="6354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39" w:lineRule="exact"/>
        <w:rPr>
          <w:sz w:val="20"/>
          <w:szCs w:val="20"/>
          <w:color w:val="auto"/>
        </w:rPr>
      </w:pPr>
    </w:p>
    <w:p>
      <w:pPr>
        <w:jc w:val="right"/>
        <w:ind w:right="900"/>
        <w:spacing w:after="0"/>
        <w:tabs>
          <w:tab w:leader="none" w:pos="1100" w:val="left"/>
        </w:tabs>
        <w:rPr>
          <w:sz w:val="20"/>
          <w:szCs w:val="20"/>
          <w:color w:val="auto"/>
        </w:rPr>
      </w:pPr>
      <w:r>
        <w:rPr>
          <w:rFonts w:ascii="Arial" w:cs="Arial" w:eastAsia="Arial" w:hAnsi="Arial"/>
          <w:sz w:val="18"/>
          <w:szCs w:val="18"/>
          <w:color w:val="auto"/>
        </w:rPr>
        <w:t>December 30</w:t>
      </w:r>
      <w:r>
        <w:rPr>
          <w:sz w:val="20"/>
          <w:szCs w:val="20"/>
          <w:color w:val="auto"/>
        </w:rPr>
        <w:tab/>
      </w:r>
      <w:r>
        <w:rPr>
          <w:rFonts w:ascii="Arial" w:cs="Arial" w:eastAsia="Arial" w:hAnsi="Arial"/>
          <w:sz w:val="17"/>
          <w:szCs w:val="17"/>
          <w:color w:val="auto"/>
        </w:rPr>
        <w:t>December 24</w:t>
      </w:r>
    </w:p>
    <w:p>
      <w:pPr>
        <w:jc w:val="both"/>
        <w:ind w:left="740"/>
        <w:spacing w:after="0"/>
        <w:tabs>
          <w:tab w:leader="none" w:pos="210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-4688205</wp:posOffset>
            </wp:positionH>
            <wp:positionV relativeFrom="paragraph">
              <wp:posOffset>14605</wp:posOffset>
            </wp:positionV>
            <wp:extent cx="6354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7320" w:space="720"/>
            <w:col w:w="3380"/>
          </w:cols>
          <w:pgMar w:left="240" w:top="140" w:right="239" w:bottom="1440" w:gutter="0" w:footer="0" w:header="0"/>
          <w:type w:val="continuous"/>
        </w:sectPr>
      </w:pPr>
    </w:p>
    <w:tbl>
      <w:tblPr>
        <w:tblLayout w:type="fixed"/>
        <w:tblInd w:w="660" w:type="dxa"/>
        <w:tblCellMar>
          <w:top w:w="0" w:type="dxa"/>
          <w:left w:w="0" w:type="dxa"/>
          <w:bottom w:w="0" w:type="dxa"/>
          <w:right w:w="0" w:type="dxa"/>
        </w:tblCellMar>
      </w:tblPr>
      <w:tr>
        <w:trPr>
          <w:trHeight w:val="224"/>
        </w:trPr>
        <w:tc>
          <w:tcPr>
            <w:tcW w:w="572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3220" w:type="dxa"/>
            <w:vAlign w:val="bottom"/>
          </w:tcPr>
          <w:p>
            <w:pPr>
              <w:jc w:val="right"/>
              <w:ind w:right="330"/>
              <w:spacing w:after="0"/>
              <w:rPr>
                <w:sz w:val="20"/>
                <w:szCs w:val="20"/>
                <w:color w:val="auto"/>
              </w:rPr>
            </w:pPr>
            <w:r>
              <w:rPr>
                <w:rFonts w:ascii="Arial" w:cs="Arial" w:eastAsia="Arial" w:hAnsi="Arial"/>
                <w:sz w:val="18"/>
                <w:szCs w:val="18"/>
                <w:color w:val="auto"/>
              </w:rPr>
              <w:t>12,164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13,230</w:t>
            </w:r>
          </w:p>
        </w:tc>
      </w:tr>
      <w:tr>
        <w:trPr>
          <w:trHeight w:val="257"/>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9,095</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9,982</w:t>
            </w:r>
          </w:p>
        </w:tc>
      </w:tr>
      <w:tr>
        <w:trPr>
          <w:trHeight w:val="264"/>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income</w:t>
            </w:r>
          </w:p>
        </w:tc>
        <w:tc>
          <w:tcPr>
            <w:tcW w:w="3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3,069</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3,248</w:t>
            </w: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50% share of operating income</w:t>
            </w:r>
          </w:p>
        </w:tc>
        <w:tc>
          <w:tcPr>
            <w:tcW w:w="3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1,535</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1,624</w:t>
            </w:r>
          </w:p>
        </w:tc>
      </w:tr>
      <w:tr>
        <w:trPr>
          <w:trHeight w:val="25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amortization of intangible assets</w:t>
            </w:r>
          </w:p>
        </w:tc>
        <w:tc>
          <w:tcPr>
            <w:tcW w:w="3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105</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r>
      <w:tr>
        <w:trPr>
          <w:trHeight w:val="264"/>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TNI</w:t>
            </w:r>
          </w:p>
        </w:tc>
        <w:tc>
          <w:tcPr>
            <w:tcW w:w="3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1,430</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1,519</w:t>
            </w:r>
          </w:p>
        </w:tc>
      </w:tr>
    </w:tbl>
    <w:p>
      <w:pPr>
        <w:spacing w:after="0" w:line="21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TNI makes weekly distributions of its earnings and for the 13 weeks ended December 30, 2018 and December 24, 2017 we received $549,000 and $1,567,000 in distributions, respectively.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24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54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68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r>
      <w:tr>
        <w:trPr>
          <w:trHeight w:val="229"/>
        </w:trPr>
        <w:tc>
          <w:tcPr>
            <w:tcW w:w="6840" w:type="dxa"/>
            <w:vAlign w:val="bottom"/>
          </w:tcPr>
          <w:p>
            <w:pPr>
              <w:spacing w:after="0"/>
              <w:rPr>
                <w:sz w:val="19"/>
                <w:szCs w:val="19"/>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December 30</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December 24</w:t>
            </w:r>
          </w:p>
        </w:tc>
      </w:tr>
      <w:tr>
        <w:trPr>
          <w:trHeight w:val="224"/>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r>
      <w:tr>
        <w:trPr>
          <w:trHeight w:val="371"/>
        </w:trPr>
        <w:tc>
          <w:tcPr>
            <w:tcW w:w="684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14,826</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16,065</w:t>
            </w:r>
          </w:p>
        </w:tc>
      </w:tr>
      <w:tr>
        <w:trPr>
          <w:trHeight w:val="26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restructuring costs, depreciation and amortization</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12,663</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12,932</w:t>
            </w:r>
          </w:p>
        </w:tc>
      </w:tr>
      <w:tr>
        <w:trPr>
          <w:trHeight w:val="250"/>
        </w:trPr>
        <w:tc>
          <w:tcPr>
            <w:tcW w:w="684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57"/>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64"/>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income</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1,853</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2,790</w:t>
            </w:r>
          </w:p>
        </w:tc>
      </w:tr>
      <w:tr>
        <w:trPr>
          <w:trHeight w:val="264"/>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1,398</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r>
      <w:tr>
        <w:trPr>
          <w:trHeight w:val="264"/>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MNI</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699</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864</w:t>
            </w:r>
          </w:p>
        </w:tc>
      </w:tr>
    </w:tbl>
    <w:p>
      <w:pPr>
        <w:spacing w:after="0" w:line="215"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MNI makes quarterly distributions of its earnings and in the 13 weeks ended December 30, 2018 and December 24, 2017 we received dividends of $750,000 in both years.</w:t>
      </w:r>
    </w:p>
    <w:p>
      <w:pPr>
        <w:spacing w:after="0" w:line="174" w:lineRule="exact"/>
        <w:rPr>
          <w:sz w:val="20"/>
          <w:szCs w:val="20"/>
          <w:color w:val="auto"/>
        </w:rPr>
      </w:pPr>
    </w:p>
    <w:p>
      <w:pPr>
        <w:ind w:left="660" w:right="6120" w:hanging="652"/>
        <w:spacing w:after="0" w:line="527"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Changes in the carrying amount of goodwill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-32385</wp:posOffset>
            </wp:positionV>
            <wp:extent cx="6354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224"/>
        </w:trPr>
        <w:tc>
          <w:tcPr>
            <w:tcW w:w="3780" w:type="dxa"/>
            <w:vAlign w:val="bottom"/>
            <w:tcBorders>
              <w:bottom w:val="single" w:sz="8" w:color="auto"/>
            </w:tcBorders>
          </w:tcPr>
          <w:p>
            <w:pPr>
              <w:spacing w:after="0"/>
              <w:rPr>
                <w:sz w:val="19"/>
                <w:szCs w:val="19"/>
                <w:color w:val="auto"/>
              </w:rPr>
            </w:pPr>
          </w:p>
        </w:tc>
        <w:tc>
          <w:tcPr>
            <w:tcW w:w="6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r>
      <w:tr>
        <w:trPr>
          <w:trHeight w:val="229"/>
        </w:trPr>
        <w:tc>
          <w:tcPr>
            <w:tcW w:w="3780" w:type="dxa"/>
            <w:vAlign w:val="bottom"/>
          </w:tcPr>
          <w:p>
            <w:pPr>
              <w:spacing w:after="0"/>
              <w:rPr>
                <w:sz w:val="19"/>
                <w:szCs w:val="19"/>
                <w:color w:val="auto"/>
              </w:rPr>
            </w:pPr>
          </w:p>
        </w:tc>
        <w:tc>
          <w:tcPr>
            <w:tcW w:w="6220" w:type="dxa"/>
            <w:vAlign w:val="bottom"/>
          </w:tcPr>
          <w:p>
            <w:pPr>
              <w:jc w:val="right"/>
              <w:ind w:right="50"/>
              <w:spacing w:after="0"/>
              <w:rPr>
                <w:sz w:val="20"/>
                <w:szCs w:val="20"/>
                <w:color w:val="auto"/>
              </w:rPr>
            </w:pPr>
            <w:r>
              <w:rPr>
                <w:rFonts w:ascii="Arial" w:cs="Arial" w:eastAsia="Arial" w:hAnsi="Arial"/>
                <w:sz w:val="18"/>
                <w:szCs w:val="18"/>
                <w:color w:val="auto"/>
              </w:rPr>
              <w:t>December 30</w:t>
            </w:r>
          </w:p>
        </w:tc>
      </w:tr>
      <w:tr>
        <w:trPr>
          <w:trHeight w:val="224"/>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6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371"/>
        </w:trPr>
        <w:tc>
          <w:tcPr>
            <w:tcW w:w="3780" w:type="dxa"/>
            <w:vAlign w:val="bottom"/>
          </w:tcPr>
          <w:p>
            <w:pPr>
              <w:ind w:left="20"/>
              <w:spacing w:after="0"/>
              <w:rPr>
                <w:sz w:val="20"/>
                <w:szCs w:val="20"/>
                <w:color w:val="auto"/>
              </w:rPr>
            </w:pPr>
            <w:r>
              <w:rPr>
                <w:rFonts w:ascii="Arial" w:cs="Arial" w:eastAsia="Arial" w:hAnsi="Arial"/>
                <w:sz w:val="18"/>
                <w:szCs w:val="18"/>
                <w:color w:val="auto"/>
              </w:rPr>
              <w:t>Goodwill, gross amount</w:t>
            </w:r>
          </w:p>
        </w:tc>
        <w:tc>
          <w:tcPr>
            <w:tcW w:w="6220" w:type="dxa"/>
            <w:vAlign w:val="bottom"/>
          </w:tcPr>
          <w:p>
            <w:pPr>
              <w:jc w:val="right"/>
              <w:ind w:right="10"/>
              <w:spacing w:after="0"/>
              <w:rPr>
                <w:sz w:val="20"/>
                <w:szCs w:val="20"/>
                <w:color w:val="auto"/>
              </w:rPr>
            </w:pPr>
            <w:r>
              <w:rPr>
                <w:rFonts w:ascii="Arial" w:cs="Arial" w:eastAsia="Arial" w:hAnsi="Arial"/>
                <w:sz w:val="18"/>
                <w:szCs w:val="18"/>
                <w:color w:val="auto"/>
              </w:rPr>
              <w:t>1,535,155</w:t>
            </w:r>
          </w:p>
        </w:tc>
      </w:tr>
      <w:tr>
        <w:trPr>
          <w:trHeight w:val="257"/>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6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(1,288,979)</w:t>
            </w:r>
          </w:p>
        </w:tc>
      </w:tr>
      <w:tr>
        <w:trPr>
          <w:trHeight w:val="25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beginning of period</w:t>
            </w:r>
          </w:p>
        </w:tc>
        <w:tc>
          <w:tcPr>
            <w:tcW w:w="6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246,176</w:t>
            </w:r>
          </w:p>
        </w:tc>
      </w:tr>
      <w:tr>
        <w:trPr>
          <w:trHeight w:val="264"/>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 end of period</w:t>
            </w:r>
          </w:p>
        </w:tc>
        <w:tc>
          <w:tcPr>
            <w:tcW w:w="6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246,176</w:t>
            </w:r>
          </w:p>
        </w:tc>
      </w:tr>
      <w:tr>
        <w:trPr>
          <w:trHeight w:val="675"/>
        </w:trPr>
        <w:tc>
          <w:tcPr>
            <w:tcW w:w="3780" w:type="dxa"/>
            <w:vAlign w:val="bottom"/>
          </w:tcPr>
          <w:p>
            <w:pPr>
              <w:spacing w:after="0"/>
              <w:rPr>
                <w:sz w:val="24"/>
                <w:szCs w:val="24"/>
                <w:color w:val="auto"/>
              </w:rPr>
            </w:pPr>
          </w:p>
        </w:tc>
        <w:tc>
          <w:tcPr>
            <w:tcW w:w="6220" w:type="dxa"/>
            <w:vAlign w:val="bottom"/>
          </w:tcPr>
          <w:p>
            <w:pPr>
              <w:jc w:val="right"/>
              <w:ind w:right="481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140"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Identified intangible assets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54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3180" w:type="dxa"/>
            <w:vAlign w:val="bottom"/>
          </w:tcPr>
          <w:p>
            <w:pPr>
              <w:jc w:val="right"/>
              <w:ind w:right="210"/>
              <w:spacing w:after="0"/>
              <w:rPr>
                <w:sz w:val="20"/>
                <w:szCs w:val="20"/>
                <w:color w:val="auto"/>
              </w:rPr>
            </w:pPr>
            <w:r>
              <w:rPr>
                <w:rFonts w:ascii="Arial" w:cs="Arial" w:eastAsia="Arial" w:hAnsi="Arial"/>
                <w:sz w:val="18"/>
                <w:szCs w:val="18"/>
                <w:color w:val="auto"/>
              </w:rPr>
              <w:t>December 30</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September 30</w:t>
            </w:r>
          </w:p>
        </w:tc>
      </w:tr>
      <w:tr>
        <w:trPr>
          <w:trHeight w:val="224"/>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3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385"/>
        </w:trPr>
        <w:tc>
          <w:tcPr>
            <w:tcW w:w="530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3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3"/>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Mastheads</w:t>
            </w:r>
          </w:p>
        </w:tc>
        <w:tc>
          <w:tcPr>
            <w:tcW w:w="3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21,883</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21,883</w:t>
            </w:r>
          </w:p>
        </w:tc>
      </w:tr>
      <w:tr>
        <w:trPr>
          <w:trHeight w:val="263"/>
        </w:trPr>
        <w:tc>
          <w:tcPr>
            <w:tcW w:w="530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3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63"/>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and newspaper subscriber lists</w:t>
            </w:r>
          </w:p>
        </w:tc>
        <w:tc>
          <w:tcPr>
            <w:tcW w:w="3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692,982</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692,886</w:t>
            </w:r>
          </w:p>
        </w:tc>
      </w:tr>
      <w:tr>
        <w:trPr>
          <w:trHeight w:val="250"/>
        </w:trPr>
        <w:tc>
          <w:tcPr>
            <w:tcW w:w="5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accumulated amortization</w:t>
            </w:r>
          </w:p>
        </w:tc>
        <w:tc>
          <w:tcPr>
            <w:tcW w:w="3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599,283</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594,950</w:t>
            </w:r>
          </w:p>
        </w:tc>
      </w:tr>
      <w:tr>
        <w:trPr>
          <w:trHeight w:val="264"/>
        </w:trPr>
        <w:tc>
          <w:tcPr>
            <w:tcW w:w="5300" w:type="dxa"/>
            <w:vAlign w:val="bottom"/>
            <w:tcBorders>
              <w:bottom w:val="single" w:sz="8" w:color="auto"/>
            </w:tcBorders>
            <w:shd w:val="clear" w:color="auto" w:fill="CCEEFF"/>
          </w:tcPr>
          <w:p>
            <w:pPr>
              <w:spacing w:after="0"/>
              <w:rPr>
                <w:sz w:val="22"/>
                <w:szCs w:val="22"/>
                <w:color w:val="auto"/>
              </w:rPr>
            </w:pPr>
          </w:p>
        </w:tc>
        <w:tc>
          <w:tcPr>
            <w:tcW w:w="3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93,699</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97,936</w:t>
            </w:r>
          </w:p>
        </w:tc>
      </w:tr>
      <w:tr>
        <w:trPr>
          <w:trHeight w:val="264"/>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intangible assets, net</w:t>
            </w:r>
          </w:p>
        </w:tc>
        <w:tc>
          <w:tcPr>
            <w:tcW w:w="3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115,582</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119,819</w:t>
            </w:r>
          </w:p>
        </w:tc>
      </w:tr>
    </w:tbl>
    <w:p>
      <w:pPr>
        <w:spacing w:after="0" w:line="215"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Annual amortization of intangible assets for the years ending December 2019 to December 2023 is estimated to be $16,069,000, $15,608,000, $13,706,000, $12,164,000 and $11,513,000, respectively.</w:t>
      </w:r>
    </w:p>
    <w:p>
      <w:pPr>
        <w:spacing w:after="0" w:line="16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March 31, 2014, we completed a comprehensive refinancing of our debt (the"2014 Refinancing"), which included the following:</w:t>
      </w:r>
    </w:p>
    <w:p>
      <w:pPr>
        <w:spacing w:after="0" w:line="225" w:lineRule="exact"/>
        <w:rPr>
          <w:rFonts w:ascii="Arial" w:cs="Arial" w:eastAsia="Arial" w:hAnsi="Arial"/>
          <w:sz w:val="18"/>
          <w:szCs w:val="18"/>
          <w:b w:val="1"/>
          <w:bCs w:val="1"/>
          <w:color w:val="auto"/>
        </w:rPr>
      </w:pPr>
    </w:p>
    <w:p>
      <w:pPr>
        <w:ind w:left="1460" w:hanging="318"/>
        <w:spacing w:after="0" w:line="262"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$400,000,000 aggregate principal amount of 9.5% Senior Secured Notes (the “Notes”), pursuant to an Indenture dated as of March 31, 2014 (the “Indenture”).</w:t>
      </w:r>
    </w:p>
    <w:p>
      <w:pPr>
        <w:spacing w:after="0" w:line="193" w:lineRule="exact"/>
        <w:rPr>
          <w:rFonts w:ascii="Arial" w:cs="Arial" w:eastAsia="Arial" w:hAnsi="Arial"/>
          <w:sz w:val="18"/>
          <w:szCs w:val="18"/>
          <w:color w:val="auto"/>
        </w:rPr>
      </w:pPr>
    </w:p>
    <w:p>
      <w:pPr>
        <w:ind w:left="1460" w:right="20" w:hanging="318"/>
        <w:spacing w:after="0" w:line="249"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$250,000,000 first lien term loan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Loan") and $40,000,000 revolving facility (the "Revolving Facility") under a First Lien Credit Agreement dated as of March 31, 2014 (together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w:t>
      </w:r>
    </w:p>
    <w:p>
      <w:pPr>
        <w:spacing w:after="0" w:line="147" w:lineRule="exact"/>
        <w:rPr>
          <w:rFonts w:ascii="Arial" w:cs="Arial" w:eastAsia="Arial" w:hAnsi="Arial"/>
          <w:sz w:val="18"/>
          <w:szCs w:val="18"/>
          <w:color w:val="auto"/>
        </w:rPr>
      </w:pPr>
    </w:p>
    <w:p>
      <w:pPr>
        <w:ind w:left="1460" w:right="20" w:hanging="318"/>
        <w:spacing w:after="0" w:line="233"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$150,000,000 second lien term loan under a Second Lien Loan Agreement dated as of March 31, 2014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w:t>
      </w:r>
    </w:p>
    <w:p>
      <w:pPr>
        <w:spacing w:after="0" w:line="213"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In December 2018 we amended our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to amend and extend our Revolving Facility (the "Amendment"). The Amendment, among other changes, extends the maturity of the revolving loan commitments of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Lenders for twelve months and reduces the revolver loan commitments from $40,000,000 to $27,200,000 with a further 15% reduction to the revolving loan commitments of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Lenders effective as of July 31, 2019.</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92075</wp:posOffset>
            </wp:positionV>
            <wp:extent cx="6354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178" w:lineRule="exact"/>
        <w:rPr>
          <w:sz w:val="20"/>
          <w:szCs w:val="20"/>
          <w:color w:val="auto"/>
        </w:rPr>
      </w:pPr>
    </w:p>
    <w:tbl>
      <w:tblPr>
        <w:tblLayout w:type="fixed"/>
        <w:tblInd w:w="1040" w:type="dxa"/>
        <w:tblCellMar>
          <w:top w:w="0" w:type="dxa"/>
          <w:left w:w="0" w:type="dxa"/>
          <w:bottom w:w="0" w:type="dxa"/>
          <w:right w:w="0" w:type="dxa"/>
        </w:tblCellMar>
      </w:tblPr>
      <w:tr>
        <w:trPr>
          <w:trHeight w:val="224"/>
        </w:trPr>
        <w:tc>
          <w:tcPr>
            <w:tcW w:w="40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Interest Rates </w:t>
            </w:r>
            <w:r>
              <w:rPr>
                <w:rFonts w:ascii="Arial" w:cs="Arial" w:eastAsia="Arial" w:hAnsi="Arial"/>
                <w:sz w:val="12"/>
                <w:szCs w:val="12"/>
                <w:i w:val="1"/>
                <w:iCs w:val="1"/>
                <w:color w:val="auto"/>
              </w:rPr>
              <w:t>(%)</w:t>
            </w:r>
          </w:p>
        </w:tc>
      </w:tr>
      <w:tr>
        <w:trPr>
          <w:trHeight w:val="229"/>
        </w:trPr>
        <w:tc>
          <w:tcPr>
            <w:tcW w:w="4080" w:type="dxa"/>
            <w:vAlign w:val="bottom"/>
          </w:tcPr>
          <w:p>
            <w:pPr>
              <w:spacing w:after="0"/>
              <w:rPr>
                <w:sz w:val="19"/>
                <w:szCs w:val="19"/>
                <w:color w:val="auto"/>
              </w:rPr>
            </w:pPr>
          </w:p>
        </w:tc>
        <w:tc>
          <w:tcPr>
            <w:tcW w:w="2620" w:type="dxa"/>
            <w:vAlign w:val="bottom"/>
          </w:tcPr>
          <w:p>
            <w:pPr>
              <w:jc w:val="right"/>
              <w:ind w:right="250"/>
              <w:spacing w:after="0"/>
              <w:rPr>
                <w:sz w:val="20"/>
                <w:szCs w:val="20"/>
                <w:color w:val="auto"/>
              </w:rPr>
            </w:pPr>
            <w:r>
              <w:rPr>
                <w:rFonts w:ascii="Arial" w:cs="Arial" w:eastAsia="Arial" w:hAnsi="Arial"/>
                <w:sz w:val="18"/>
                <w:szCs w:val="18"/>
                <w:color w:val="auto"/>
              </w:rPr>
              <w:t>December 30</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September 30</w:t>
            </w:r>
          </w:p>
        </w:tc>
        <w:tc>
          <w:tcPr>
            <w:tcW w:w="1600" w:type="dxa"/>
            <w:vAlign w:val="bottom"/>
          </w:tcPr>
          <w:p>
            <w:pPr>
              <w:jc w:val="right"/>
              <w:spacing w:after="0"/>
              <w:rPr>
                <w:sz w:val="20"/>
                <w:szCs w:val="20"/>
                <w:color w:val="auto"/>
              </w:rPr>
            </w:pPr>
            <w:r>
              <w:rPr>
                <w:rFonts w:ascii="Arial" w:cs="Arial" w:eastAsia="Arial" w:hAnsi="Arial"/>
                <w:sz w:val="18"/>
                <w:szCs w:val="18"/>
                <w:color w:val="auto"/>
              </w:rPr>
              <w:t>December 30</w:t>
            </w:r>
          </w:p>
        </w:tc>
      </w:tr>
      <w:tr>
        <w:trPr>
          <w:trHeight w:val="22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2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371"/>
        </w:trPr>
        <w:tc>
          <w:tcPr>
            <w:tcW w:w="4080" w:type="dxa"/>
            <w:vAlign w:val="bottom"/>
          </w:tcPr>
          <w:p>
            <w:pPr>
              <w:ind w:left="20"/>
              <w:spacing w:after="0"/>
              <w:rPr>
                <w:sz w:val="20"/>
                <w:szCs w:val="20"/>
                <w:color w:val="auto"/>
              </w:rPr>
            </w:pPr>
            <w:r>
              <w:rPr>
                <w:rFonts w:ascii="Arial" w:cs="Arial" w:eastAsia="Arial" w:hAnsi="Arial"/>
                <w:sz w:val="18"/>
                <w:szCs w:val="18"/>
                <w:color w:val="auto"/>
              </w:rPr>
              <w:t>Revolving Facility</w:t>
            </w:r>
          </w:p>
        </w:tc>
        <w:tc>
          <w:tcPr>
            <w:tcW w:w="2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6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Loan</w:t>
            </w:r>
          </w:p>
        </w:tc>
        <w:tc>
          <w:tcPr>
            <w:tcW w:w="2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6,303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Notes</w:t>
            </w:r>
          </w:p>
        </w:tc>
        <w:tc>
          <w:tcPr>
            <w:tcW w:w="2620" w:type="dxa"/>
            <w:vAlign w:val="bottom"/>
          </w:tcPr>
          <w:p>
            <w:pPr>
              <w:jc w:val="right"/>
              <w:ind w:right="210"/>
              <w:spacing w:after="0"/>
              <w:rPr>
                <w:sz w:val="20"/>
                <w:szCs w:val="20"/>
                <w:color w:val="auto"/>
              </w:rPr>
            </w:pPr>
            <w:r>
              <w:rPr>
                <w:rFonts w:ascii="Arial" w:cs="Arial" w:eastAsia="Arial" w:hAnsi="Arial"/>
                <w:sz w:val="18"/>
                <w:szCs w:val="18"/>
                <w:color w:val="auto"/>
              </w:rPr>
              <w:t>385,000</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385,000</w:t>
            </w:r>
          </w:p>
        </w:tc>
        <w:tc>
          <w:tcPr>
            <w:tcW w:w="16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63"/>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w:t>
            </w:r>
          </w:p>
        </w:tc>
        <w:tc>
          <w:tcPr>
            <w:tcW w:w="2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92,832</w:t>
            </w:r>
          </w:p>
        </w:tc>
        <w:tc>
          <w:tcPr>
            <w:tcW w:w="1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93,556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57"/>
        </w:trPr>
        <w:tc>
          <w:tcPr>
            <w:tcW w:w="4080" w:type="dxa"/>
            <w:vAlign w:val="bottom"/>
          </w:tcPr>
          <w:p>
            <w:pPr>
              <w:spacing w:after="0"/>
              <w:rPr>
                <w:sz w:val="22"/>
                <w:szCs w:val="22"/>
                <w:color w:val="auto"/>
              </w:rPr>
            </w:pPr>
          </w:p>
        </w:tc>
        <w:tc>
          <w:tcPr>
            <w:tcW w:w="2620" w:type="dxa"/>
            <w:vAlign w:val="bottom"/>
          </w:tcPr>
          <w:p>
            <w:pPr>
              <w:jc w:val="right"/>
              <w:ind w:right="210"/>
              <w:spacing w:after="0"/>
              <w:rPr>
                <w:sz w:val="20"/>
                <w:szCs w:val="20"/>
                <w:color w:val="auto"/>
              </w:rPr>
            </w:pPr>
            <w:r>
              <w:rPr>
                <w:rFonts w:ascii="Arial" w:cs="Arial" w:eastAsia="Arial" w:hAnsi="Arial"/>
                <w:sz w:val="18"/>
                <w:szCs w:val="18"/>
                <w:color w:val="auto"/>
              </w:rPr>
              <w:t>477,832</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484,859</w:t>
            </w:r>
          </w:p>
        </w:tc>
        <w:tc>
          <w:tcPr>
            <w:tcW w:w="1600" w:type="dxa"/>
            <w:vAlign w:val="bottom"/>
          </w:tcPr>
          <w:p>
            <w:pPr>
              <w:spacing w:after="0"/>
              <w:rPr>
                <w:sz w:val="22"/>
                <w:szCs w:val="22"/>
                <w:color w:val="auto"/>
              </w:rPr>
            </w:pPr>
          </w:p>
        </w:tc>
      </w:tr>
      <w:tr>
        <w:trPr>
          <w:trHeight w:val="27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issue costs</w:t>
            </w:r>
          </w:p>
        </w:tc>
        <w:tc>
          <w:tcPr>
            <w:tcW w:w="2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(16,331)</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(17,055)</w:t>
            </w:r>
          </w:p>
        </w:tc>
        <w:tc>
          <w:tcPr>
            <w:tcW w:w="1600" w:type="dxa"/>
            <w:vAlign w:val="bottom"/>
            <w:shd w:val="clear" w:color="auto" w:fill="CCEEFF"/>
          </w:tcPr>
          <w:p>
            <w:pPr>
              <w:spacing w:after="0"/>
              <w:rPr>
                <w:sz w:val="24"/>
                <w:szCs w:val="24"/>
                <w:color w:val="auto"/>
              </w:rPr>
            </w:pPr>
          </w:p>
        </w:tc>
      </w:tr>
      <w:tr>
        <w:trPr>
          <w:trHeight w:val="26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Current maturities of long-term debt</w:t>
            </w:r>
          </w:p>
        </w:tc>
        <w:tc>
          <w:tcPr>
            <w:tcW w:w="2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1,377</w:t>
            </w:r>
          </w:p>
        </w:tc>
        <w:tc>
          <w:tcPr>
            <w:tcW w:w="1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7,027</w:t>
            </w:r>
          </w:p>
        </w:tc>
        <w:tc>
          <w:tcPr>
            <w:tcW w:w="1600" w:type="dxa"/>
            <w:vAlign w:val="bottom"/>
            <w:tcBorders>
              <w:bottom w:val="single" w:sz="8" w:color="auto"/>
            </w:tcBorders>
          </w:tcPr>
          <w:p>
            <w:pPr>
              <w:spacing w:after="0"/>
              <w:rPr>
                <w:sz w:val="22"/>
                <w:szCs w:val="22"/>
                <w:color w:val="auto"/>
              </w:rPr>
            </w:pPr>
          </w:p>
        </w:tc>
      </w:tr>
      <w:tr>
        <w:trPr>
          <w:trHeight w:val="277"/>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460,124</w:t>
            </w:r>
          </w:p>
        </w:tc>
        <w:tc>
          <w:tcPr>
            <w:tcW w:w="1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460,777</w:t>
            </w:r>
          </w:p>
        </w:tc>
        <w:tc>
          <w:tcPr>
            <w:tcW w:w="1600" w:type="dxa"/>
            <w:vAlign w:val="bottom"/>
            <w:tcBorders>
              <w:bottom w:val="single" w:sz="8" w:color="auto"/>
            </w:tcBorders>
            <w:shd w:val="clear" w:color="auto" w:fill="CCEEFF"/>
          </w:tcPr>
          <w:p>
            <w:pPr>
              <w:spacing w:after="0"/>
              <w:rPr>
                <w:sz w:val="24"/>
                <w:szCs w:val="24"/>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weighted average cost of debt, excluding amortization of debt financing costs at December 30, 2018, is 10.0%.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At December 30, 2018, aggregate minimum required maturities of debt excluding amounts required to be paid from future excess cash flow computations total $1,377,000 for the remainder of 2019, $0 in 2020, $0 in 2021, $385,000,000 in 2022 and $91,455,000 in 2023.</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w:t>
      </w:r>
    </w:p>
    <w:p>
      <w:pPr>
        <w:spacing w:after="0" w:line="247"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Notes are senior secured obligations of the Company and mature on March 15, 2022. At December 30, 2018, the principal balance of the Notes totaled $385,000,000.</w:t>
      </w:r>
    </w:p>
    <w:p>
      <w:pPr>
        <w:spacing w:after="0" w:line="17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Interest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require payment of interest semiannually on March 15 and September 15 of each year, at a fixed annual rate of 9.5%.</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380" w:type="dxa"/>
            <w:vAlign w:val="bottom"/>
          </w:tcPr>
          <w:p>
            <w:pPr>
              <w:spacing w:after="0"/>
              <w:rPr>
                <w:sz w:val="20"/>
                <w:szCs w:val="20"/>
                <w:color w:val="auto"/>
              </w:rPr>
            </w:pPr>
          </w:p>
        </w:tc>
        <w:tc>
          <w:tcPr>
            <w:tcW w:w="7060" w:type="dxa"/>
            <w:vAlign w:val="bottom"/>
          </w:tcPr>
          <w:p>
            <w:pPr>
              <w:ind w:left="4480"/>
              <w:spacing w:after="0"/>
              <w:rPr>
                <w:sz w:val="20"/>
                <w:szCs w:val="20"/>
                <w:color w:val="auto"/>
              </w:rPr>
            </w:pPr>
            <w:r>
              <w:rPr>
                <w:rFonts w:ascii="Arial" w:cs="Arial" w:eastAsia="Arial" w:hAnsi="Arial"/>
                <w:sz w:val="18"/>
                <w:szCs w:val="18"/>
                <w:b w:val="1"/>
                <w:bCs w:val="1"/>
                <w:color w:val="auto"/>
              </w:rPr>
              <w:t>Redemption</w:t>
            </w:r>
          </w:p>
        </w:tc>
        <w:tc>
          <w:tcPr>
            <w:tcW w:w="2960" w:type="dxa"/>
            <w:vAlign w:val="bottom"/>
          </w:tcPr>
          <w:p>
            <w:pPr>
              <w:spacing w:after="0"/>
              <w:rPr>
                <w:sz w:val="20"/>
                <w:szCs w:val="20"/>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We may redeem some, or all, of the principal amount of the Notes at any time as follows:</w:t>
            </w:r>
          </w:p>
        </w:tc>
        <w:tc>
          <w:tcPr>
            <w:tcW w:w="2960" w:type="dxa"/>
            <w:vAlign w:val="bottom"/>
          </w:tcPr>
          <w:p>
            <w:pPr>
              <w:spacing w:after="0"/>
              <w:rPr>
                <w:sz w:val="24"/>
                <w:szCs w:val="24"/>
                <w:color w:val="auto"/>
              </w:rPr>
            </w:pPr>
          </w:p>
        </w:tc>
      </w:tr>
      <w:tr>
        <w:trPr>
          <w:trHeight w:val="135"/>
        </w:trPr>
        <w:tc>
          <w:tcPr>
            <w:tcW w:w="380" w:type="dxa"/>
            <w:vAlign w:val="bottom"/>
          </w:tcPr>
          <w:p>
            <w:pPr>
              <w:spacing w:after="0"/>
              <w:rPr>
                <w:sz w:val="11"/>
                <w:szCs w:val="11"/>
                <w:color w:val="auto"/>
              </w:rPr>
            </w:pPr>
          </w:p>
        </w:tc>
        <w:tc>
          <w:tcPr>
            <w:tcW w:w="706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r>
      <w:tr>
        <w:trPr>
          <w:trHeight w:val="244"/>
        </w:trPr>
        <w:tc>
          <w:tcPr>
            <w:tcW w:w="380" w:type="dxa"/>
            <w:vAlign w:val="bottom"/>
          </w:tcPr>
          <w:p>
            <w:pPr>
              <w:spacing w:after="0"/>
              <w:rPr>
                <w:sz w:val="21"/>
                <w:szCs w:val="21"/>
                <w:color w:val="auto"/>
              </w:rPr>
            </w:pPr>
          </w:p>
        </w:tc>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Period Beginning</w:t>
            </w: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Percentage of Principal Amount</w:t>
            </w:r>
          </w:p>
        </w:tc>
      </w:tr>
      <w:tr>
        <w:trPr>
          <w:trHeight w:val="371"/>
        </w:trPr>
        <w:tc>
          <w:tcPr>
            <w:tcW w:w="38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March 15, 2018</w:t>
            </w:r>
          </w:p>
        </w:tc>
        <w:tc>
          <w:tcPr>
            <w:tcW w:w="2960" w:type="dxa"/>
            <w:vAlign w:val="bottom"/>
          </w:tcPr>
          <w:p>
            <w:pPr>
              <w:jc w:val="right"/>
              <w:spacing w:after="0"/>
              <w:rPr>
                <w:sz w:val="20"/>
                <w:szCs w:val="20"/>
                <w:color w:val="auto"/>
              </w:rPr>
            </w:pPr>
            <w:r>
              <w:rPr>
                <w:rFonts w:ascii="Arial" w:cs="Arial" w:eastAsia="Arial" w:hAnsi="Arial"/>
                <w:sz w:val="18"/>
                <w:szCs w:val="18"/>
                <w:color w:val="auto"/>
              </w:rPr>
              <w:t>104.75</w:t>
            </w:r>
          </w:p>
        </w:tc>
      </w:tr>
      <w:tr>
        <w:trPr>
          <w:trHeight w:val="263"/>
        </w:trPr>
        <w:tc>
          <w:tcPr>
            <w:tcW w:w="380" w:type="dxa"/>
            <w:vAlign w:val="bottom"/>
          </w:tcPr>
          <w:p>
            <w:pPr>
              <w:spacing w:after="0"/>
              <w:rPr>
                <w:sz w:val="22"/>
                <w:szCs w:val="22"/>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15, 2019</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w:t>
            </w:r>
          </w:p>
        </w:tc>
      </w:tr>
      <w:tr>
        <w:trPr>
          <w:trHeight w:val="264"/>
        </w:trPr>
        <w:tc>
          <w:tcPr>
            <w:tcW w:w="380" w:type="dxa"/>
            <w:vAlign w:val="bottom"/>
          </w:tcPr>
          <w:p>
            <w:pPr>
              <w:spacing w:after="0"/>
              <w:rPr>
                <w:sz w:val="22"/>
                <w:szCs w:val="22"/>
                <w:color w:val="auto"/>
              </w:rPr>
            </w:pPr>
          </w:p>
        </w:tc>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15, 2020</w:t>
            </w: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bl>
    <w:p>
      <w:pPr>
        <w:spacing w:after="0" w:line="21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If we sell certain of our assets or experience specific kinds of changes of control, we must, subject to certain exceptions, offer to purchase the Notes at 101% of the principal amount. Any redemption of the Notes must also satisfy any accrued and unpaid interest thereon.</w:t>
      </w:r>
    </w:p>
    <w:p>
      <w:pPr>
        <w:spacing w:after="0" w:line="18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Covenants and Other Matters</w:t>
      </w:r>
    </w:p>
    <w:p>
      <w:pPr>
        <w:spacing w:after="0" w:line="245"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 Indenture and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contain restrictive covenants as discussed more fully below. However, certain of these covenants will cease to apply if the Notes are rated investment grade by either Moody’s Investors Service, Inc. or Standard &amp; Poor’s Ratings Group and there is no default or event of default under the Indenture.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21"/>
          <w:szCs w:val="21"/>
          <w:b w:val="1"/>
          <w:bCs w:val="1"/>
          <w:color w:val="auto"/>
          <w:vertAlign w:val="superscript"/>
        </w:rPr>
        <w:t>st</w:t>
      </w:r>
      <w:r>
        <w:rPr>
          <w:rFonts w:ascii="Arial" w:cs="Arial" w:eastAsia="Arial" w:hAnsi="Arial"/>
          <w:sz w:val="18"/>
          <w:szCs w:val="18"/>
          <w:b w:val="1"/>
          <w:bCs w:val="1"/>
          <w:color w:val="auto"/>
        </w:rPr>
        <w:t xml:space="preserve"> Lien Credit Facility</w:t>
      </w:r>
    </w:p>
    <w:p>
      <w:pPr>
        <w:spacing w:after="0" w:line="210" w:lineRule="exact"/>
        <w:rPr>
          <w:sz w:val="20"/>
          <w:szCs w:val="20"/>
          <w:color w:val="auto"/>
        </w:rPr>
      </w:pPr>
    </w:p>
    <w:p>
      <w:pPr>
        <w:jc w:val="both"/>
        <w:ind w:left="660"/>
        <w:spacing w:after="0" w:line="231" w:lineRule="auto"/>
        <w:rPr>
          <w:sz w:val="20"/>
          <w:szCs w:val="20"/>
          <w:color w:val="auto"/>
        </w:rPr>
      </w:pPr>
      <w:r>
        <w:rPr>
          <w:rFonts w:ascii="Arial" w:cs="Arial" w:eastAsia="Arial" w:hAnsi="Arial"/>
          <w:sz w:val="18"/>
          <w:szCs w:val="18"/>
          <w:color w:val="auto"/>
        </w:rPr>
        <w:t>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consists of the $250,000,000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Loan that matures in March 31, 2019 and the $27,200,000 Revolving Facility that matures on December 28, 2019.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documents the primary terms of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Loan and the Revolving Facility. The Revolving Facility may be used for working capital and general corporate purposes (including letters of credit). At December 30, 2018, after consideration of letters of credit, we have approximately $ 21,435,000 available for future use under the Revolving Facility.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Loan was paid in full in November 2018 and has no outstanding balance as of December 30, 2018.</w:t>
      </w:r>
    </w:p>
    <w:p>
      <w:pPr>
        <w:spacing w:after="0" w:line="19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Interest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on the Revolving Facility, which has a principal balance of zero at December 30, 2018, accrues, at our option, at either (A)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LIBOR plus 5.5%, or (B) 4.5% plus the higher of (i) the prime rate at the time, (ii) the federal funds rate plus 0.5%, or (iii) one month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LIBOR plus 1.0%.</w:t>
      </w:r>
    </w:p>
    <w:p>
      <w:pPr>
        <w:spacing w:after="0" w:line="20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Covenants and Other Matters</w:t>
      </w:r>
    </w:p>
    <w:p>
      <w:pPr>
        <w:spacing w:after="0" w:line="245" w:lineRule="exact"/>
        <w:rPr>
          <w:sz w:val="20"/>
          <w:szCs w:val="20"/>
          <w:color w:val="auto"/>
        </w:rPr>
      </w:pPr>
    </w:p>
    <w:p>
      <w:pPr>
        <w:jc w:val="both"/>
        <w:ind w:left="660"/>
        <w:spacing w:after="0" w:line="233" w:lineRule="auto"/>
        <w:rPr>
          <w:sz w:val="20"/>
          <w:szCs w:val="20"/>
          <w:color w:val="auto"/>
        </w:rPr>
      </w:pPr>
      <w:r>
        <w:rPr>
          <w:rFonts w:ascii="Arial" w:cs="Arial" w:eastAsia="Arial" w:hAnsi="Arial"/>
          <w:sz w:val="18"/>
          <w:szCs w:val="18"/>
          <w:color w:val="auto"/>
        </w:rPr>
        <w:t>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requires that we comply with certain affirmative and negative covenants customary for financing of this nature, including a maximum total leverage ratio, which is only applicable to the Revolving Facility.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jc w:val="both"/>
        <w:ind w:left="660"/>
        <w:spacing w:after="0" w:line="232" w:lineRule="auto"/>
        <w:rPr>
          <w:sz w:val="20"/>
          <w:szCs w:val="20"/>
          <w:color w:val="auto"/>
        </w:rPr>
      </w:pPr>
      <w:r>
        <w:rPr>
          <w:rFonts w:ascii="Arial" w:cs="Arial" w:eastAsia="Arial" w:hAnsi="Arial"/>
          <w:sz w:val="18"/>
          <w:szCs w:val="18"/>
          <w:color w:val="auto"/>
        </w:rPr>
        <w:t>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restricts us from paying dividends on our Common Stock. This restriction no longer applies if Lee Legacy leverage is below 3.25x before and after such payments. Lee Legacy leverage as defined is 4.1x at December 30, 2018. Further,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restricts or limits, among other things, subject to certain exceptions, the ability of the Company and its subsidiaries to: (i) incur indebtedness, (ii) enter into mergers, acquisitions and asset sales, (iii) incur or create liens and (iv) enter into transactions with certain affiliates.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contains various representations and warranties and may be terminated upon occurrence of certain events of default.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also contains cross-default provisions tied to the terms of each of the Indenture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1"/>
          <w:szCs w:val="21"/>
          <w:b w:val="1"/>
          <w:bCs w:val="1"/>
          <w:color w:val="auto"/>
          <w:vertAlign w:val="superscript"/>
        </w:rPr>
        <w:t>nd</w:t>
      </w:r>
      <w:r>
        <w:rPr>
          <w:rFonts w:ascii="Arial" w:cs="Arial" w:eastAsia="Arial" w:hAnsi="Arial"/>
          <w:sz w:val="18"/>
          <w:szCs w:val="18"/>
          <w:b w:val="1"/>
          <w:bCs w:val="1"/>
          <w:color w:val="auto"/>
        </w:rPr>
        <w:t xml:space="preserve"> Lien Term Loan</w:t>
      </w:r>
    </w:p>
    <w:p>
      <w:pPr>
        <w:spacing w:after="0" w:line="210" w:lineRule="exact"/>
        <w:rPr>
          <w:sz w:val="20"/>
          <w:szCs w:val="20"/>
          <w:color w:val="auto"/>
        </w:rPr>
      </w:pPr>
    </w:p>
    <w:p>
      <w:pPr>
        <w:jc w:val="both"/>
        <w:ind w:left="660"/>
        <w:spacing w:after="0" w:line="233" w:lineRule="auto"/>
        <w:rPr>
          <w:sz w:val="20"/>
          <w:szCs w:val="20"/>
          <w:color w:val="auto"/>
        </w:rPr>
      </w:pPr>
      <w:r>
        <w:rPr>
          <w:rFonts w:ascii="Arial" w:cs="Arial" w:eastAsia="Arial" w:hAnsi="Arial"/>
          <w:sz w:val="18"/>
          <w:szCs w:val="18"/>
          <w:color w:val="auto"/>
        </w:rPr>
        <w:t>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which has a balance of $92,832,000 at December 30, 2018, bears interest at a fixed annual rate of 12.0%, payable quarterly, and matures in December 2022.</w:t>
      </w:r>
    </w:p>
    <w:p>
      <w:pPr>
        <w:spacing w:after="0" w:line="19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Principal Payments</w:t>
      </w:r>
    </w:p>
    <w:p>
      <w:pPr>
        <w:spacing w:after="0" w:line="245" w:lineRule="exact"/>
        <w:rPr>
          <w:sz w:val="20"/>
          <w:szCs w:val="20"/>
          <w:color w:val="auto"/>
        </w:rPr>
      </w:pPr>
    </w:p>
    <w:p>
      <w:pPr>
        <w:jc w:val="both"/>
        <w:ind w:left="660"/>
        <w:spacing w:after="0" w:line="233" w:lineRule="auto"/>
        <w:rPr>
          <w:sz w:val="20"/>
          <w:szCs w:val="20"/>
          <w:color w:val="auto"/>
        </w:rPr>
      </w:pPr>
      <w:r>
        <w:rPr>
          <w:rFonts w:ascii="Arial" w:cs="Arial" w:eastAsia="Arial" w:hAnsi="Arial"/>
          <w:sz w:val="18"/>
          <w:szCs w:val="18"/>
          <w:color w:val="auto"/>
        </w:rPr>
        <w:t>Excluding excess cash flow payments, there are no scheduled mandatory amortization payments required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w:t>
      </w:r>
    </w:p>
    <w:p>
      <w:pPr>
        <w:spacing w:after="0" w:line="215"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Quarterly, we are required to prepare a calculation of excess cash flow of the Pulitzer Subsidiaries ("Pulitzer Excess Cash Flow"). Pulitzer Excess Cash Flow is generally determined as the cash earnings of the Pulitzer Subsidiaries including adjustments for changes in working capital, capital spending, pension contributions, debt principal payments and income tax payments. Pulitzer Excess Cash Flow also includes a deduction for interest costs incurred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w:t>
      </w:r>
    </w:p>
    <w:p>
      <w:pPr>
        <w:spacing w:after="0" w:line="14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Prior to March 31, 2017, we were required to offer the Pulitzer Excess Cash Flow to the 2nd Lien Lenders to prepay the 2nd Lien Term Loan at par, which payment the 2nd Lien Lenders could accept or reject. After March 31, 2017, Pulitzer Excess Cash Flow is used to prepay the 2nd Lien Term Loan, at par. Pulitzer Excess Cash Flow payments are required to be paid 45 days after the end of the quarter.</w:t>
      </w:r>
    </w:p>
    <w:p>
      <w:pPr>
        <w:spacing w:after="0" w:line="202" w:lineRule="exact"/>
        <w:rPr>
          <w:sz w:val="20"/>
          <w:szCs w:val="20"/>
          <w:color w:val="auto"/>
        </w:rPr>
      </w:pPr>
    </w:p>
    <w:p>
      <w:pPr>
        <w:jc w:val="both"/>
        <w:ind w:left="660" w:right="20"/>
        <w:spacing w:after="0" w:line="233" w:lineRule="auto"/>
        <w:rPr>
          <w:sz w:val="20"/>
          <w:szCs w:val="20"/>
          <w:color w:val="auto"/>
        </w:rPr>
      </w:pPr>
      <w:r>
        <w:rPr>
          <w:rFonts w:ascii="Arial" w:cs="Arial" w:eastAsia="Arial" w:hAnsi="Arial"/>
          <w:sz w:val="18"/>
          <w:szCs w:val="18"/>
          <w:color w:val="auto"/>
        </w:rPr>
        <w:t>Payments will also be made on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at par, with proceeds from asset sales by the Pulitzer Subsidiaries that are not reinvested subject to certain other conditions.</w:t>
      </w:r>
    </w:p>
    <w:p>
      <w:pPr>
        <w:spacing w:after="0" w:line="213"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During the 13 weeks ended December 30, 2018, payments on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totaled $724,000. For the 13 weeks ended December 30, 2018, Pulitzer Excess Cash Flow totaled $1,377,000, which will be used to make a payment on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in February 2019, at par.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Voluntary payments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are subject to call premiums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71755</wp:posOffset>
            </wp:positionV>
            <wp:extent cx="63544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133" w:lineRule="exact"/>
        <w:rPr>
          <w:sz w:val="20"/>
          <w:szCs w:val="20"/>
          <w:color w:val="auto"/>
        </w:rPr>
      </w:pPr>
    </w:p>
    <w:tbl>
      <w:tblPr>
        <w:tblLayout w:type="fixed"/>
        <w:tblInd w:w="1040" w:type="dxa"/>
        <w:tblCellMar>
          <w:top w:w="0" w:type="dxa"/>
          <w:left w:w="0" w:type="dxa"/>
          <w:bottom w:w="0" w:type="dxa"/>
          <w:right w:w="0" w:type="dxa"/>
        </w:tblCellMar>
      </w:tblPr>
      <w:tr>
        <w:trPr>
          <w:trHeight w:val="224"/>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Period Beginning</w:t>
            </w:r>
          </w:p>
        </w:tc>
        <w:tc>
          <w:tcPr>
            <w:tcW w:w="5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Percentage of Principal Amount</w:t>
            </w:r>
          </w:p>
        </w:tc>
      </w:tr>
      <w:tr>
        <w:trPr>
          <w:trHeight w:val="122"/>
        </w:trPr>
        <w:tc>
          <w:tcPr>
            <w:tcW w:w="4420" w:type="dxa"/>
            <w:vAlign w:val="bottom"/>
          </w:tcPr>
          <w:p>
            <w:pPr>
              <w:spacing w:after="0"/>
              <w:rPr>
                <w:sz w:val="10"/>
                <w:szCs w:val="10"/>
                <w:color w:val="auto"/>
              </w:rPr>
            </w:pPr>
          </w:p>
        </w:tc>
        <w:tc>
          <w:tcPr>
            <w:tcW w:w="5580" w:type="dxa"/>
            <w:vAlign w:val="bottom"/>
          </w:tcPr>
          <w:p>
            <w:pPr>
              <w:spacing w:after="0"/>
              <w:rPr>
                <w:sz w:val="10"/>
                <w:szCs w:val="10"/>
                <w:color w:val="auto"/>
              </w:rPr>
            </w:pP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2017</w:t>
            </w:r>
          </w:p>
        </w:tc>
        <w:tc>
          <w:tcPr>
            <w:tcW w:w="5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50"/>
        </w:trPr>
        <w:tc>
          <w:tcPr>
            <w:tcW w:w="4420" w:type="dxa"/>
            <w:vAlign w:val="bottom"/>
          </w:tcPr>
          <w:p>
            <w:pPr>
              <w:ind w:left="20"/>
              <w:spacing w:after="0"/>
              <w:rPr>
                <w:sz w:val="20"/>
                <w:szCs w:val="20"/>
                <w:color w:val="auto"/>
              </w:rPr>
            </w:pPr>
            <w:r>
              <w:rPr>
                <w:rFonts w:ascii="Arial" w:cs="Arial" w:eastAsia="Arial" w:hAnsi="Arial"/>
                <w:sz w:val="18"/>
                <w:szCs w:val="18"/>
                <w:color w:val="auto"/>
              </w:rPr>
              <w:t>March 31, 2018</w:t>
            </w:r>
          </w:p>
        </w:tc>
        <w:tc>
          <w:tcPr>
            <w:tcW w:w="55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5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19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Covenants and Other Matters</w:t>
      </w:r>
    </w:p>
    <w:p>
      <w:pPr>
        <w:spacing w:after="0" w:line="245" w:lineRule="exact"/>
        <w:rPr>
          <w:sz w:val="20"/>
          <w:szCs w:val="20"/>
          <w:color w:val="auto"/>
        </w:rPr>
      </w:pPr>
    </w:p>
    <w:p>
      <w:pPr>
        <w:jc w:val="both"/>
        <w:ind w:left="660"/>
        <w:spacing w:after="0" w:line="229" w:lineRule="auto"/>
        <w:rPr>
          <w:sz w:val="20"/>
          <w:szCs w:val="20"/>
          <w:color w:val="auto"/>
        </w:rPr>
      </w:pPr>
      <w:r>
        <w:rPr>
          <w:rFonts w:ascii="Arial" w:cs="Arial" w:eastAsia="Arial" w:hAnsi="Arial"/>
          <w:sz w:val="18"/>
          <w:szCs w:val="18"/>
          <w:color w:val="auto"/>
        </w:rPr>
        <w:t>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requires that we comply with certain affirmative and negative covenants customary for financing of this nature, including the negative covenants under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discussed above.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contains various representations and warranties and may be terminated upon occurrence of certain events of default.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also contains cross-default provisions tied to the terms of the Indenture and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w:t>
      </w:r>
    </w:p>
    <w:p>
      <w:pPr>
        <w:spacing w:after="0" w:line="159" w:lineRule="exact"/>
        <w:rPr>
          <w:sz w:val="20"/>
          <w:szCs w:val="20"/>
          <w:color w:val="auto"/>
        </w:rPr>
      </w:pPr>
    </w:p>
    <w:p>
      <w:pPr>
        <w:jc w:val="both"/>
        <w:ind w:left="660"/>
        <w:spacing w:after="0" w:line="232"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we entered into a Warrant Agreement dated as of March 31, 2014 (the “Warrant Agreement”). Under the Warrant Agreement, certain affiliates or designees of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Lenders received on March 31, 2014 their pro rata share of warrants to purchase, in cash, an initial aggregate of 6,000,000 shares of Common Stock, subject to adjustment pursuant to anti-dilution provisions (the “Warrants”).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The Warrants represent, when fully exercised, approximately 10.1% of shares of Common Stock outstanding at March 30, 2014 on a fully diluted basis. The exercise price of the Warrants is $4.19 per share.</w:t>
      </w:r>
    </w:p>
    <w:p>
      <w:pPr>
        <w:spacing w:after="0" w:line="196"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18"/>
          <w:szCs w:val="18"/>
          <w:color w:val="auto"/>
        </w:rPr>
        <w:t>The Warrant Agreement contains provisions requiring the Warrants to be measured at fair value and included in other liabilities in our Consolidated Balance Sheets. We re-measure the fair value of the liability each reporting period, with changes reported in other, net non-operating income (expense). The initial fair value of the Warrants was $16,930,000. See Note 9.</w:t>
      </w:r>
    </w:p>
    <w:p>
      <w:pPr>
        <w:spacing w:after="0" w:line="20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connection with the issuance of the Warrants, we entered into a Registration Rights Agreement dated as of March 31, 2014 (the “Registration Rights Agreement”). The Registration Rights Agreement requires, among other matters, that we use our commercially reasonable efforts to maintain the effectiveness for certain specified periods of a shelf registration statement related to the shares of Common Stock to be issued upon exercise of the Warrants.</w:t>
      </w:r>
    </w:p>
    <w:p>
      <w:pPr>
        <w:spacing w:after="0" w:line="182"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Security</w:t>
      </w:r>
    </w:p>
    <w:p>
      <w:pPr>
        <w:spacing w:after="0" w:line="245" w:lineRule="exact"/>
        <w:rPr>
          <w:sz w:val="20"/>
          <w:szCs w:val="20"/>
          <w:color w:val="auto"/>
        </w:rPr>
      </w:pPr>
    </w:p>
    <w:p>
      <w:pPr>
        <w:jc w:val="both"/>
        <w:ind w:left="660"/>
        <w:spacing w:after="0" w:line="232" w:lineRule="auto"/>
        <w:rPr>
          <w:sz w:val="20"/>
          <w:szCs w:val="20"/>
          <w:color w:val="auto"/>
        </w:rPr>
      </w:pPr>
      <w:r>
        <w:rPr>
          <w:rFonts w:ascii="Arial" w:cs="Arial" w:eastAsia="Arial" w:hAnsi="Arial"/>
          <w:sz w:val="18"/>
          <w:szCs w:val="18"/>
          <w:color w:val="auto"/>
        </w:rPr>
        <w:t>The Notes and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are fully and unconditionally guaranteed on a joint and several first-priority basis by each of the Company's material domestic subsidiaries, excluding MNI, the Pulitzer Subsidiaries and TNI (the "Lee Legacy Assignors"), pursuant to a first lien guarantee and collateral agreement dated as of March 31, 2014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Guarantee and Collateral Agreement").</w:t>
      </w:r>
    </w:p>
    <w:p>
      <w:pPr>
        <w:spacing w:after="0" w:line="213" w:lineRule="exact"/>
        <w:rPr>
          <w:sz w:val="20"/>
          <w:szCs w:val="20"/>
          <w:color w:val="auto"/>
        </w:rPr>
      </w:pPr>
    </w:p>
    <w:p>
      <w:pPr>
        <w:jc w:val="both"/>
        <w:ind w:left="660"/>
        <w:spacing w:after="0" w:line="245" w:lineRule="auto"/>
        <w:rPr>
          <w:sz w:val="20"/>
          <w:szCs w:val="20"/>
          <w:color w:val="auto"/>
        </w:rPr>
      </w:pPr>
      <w:r>
        <w:rPr>
          <w:rFonts w:ascii="Arial" w:cs="Arial" w:eastAsia="Arial" w:hAnsi="Arial"/>
          <w:sz w:val="18"/>
          <w:szCs w:val="18"/>
          <w:color w:val="auto"/>
        </w:rPr>
        <w:t>The Notes,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the subsidiary guarantees are secured, subject to certain exceptions, priorities and limitations, by perfected security interests in all property and assets, including certain real estate, of the Lee Legacy Assignors, other than the capital stock of MNI and any property and assets of MNI (the “Lee Legacy Collateral”), on a first-priority basis, equally and ratably with all of the Lee Legacy Assignors' existing and future obligations. The Lee Legacy Collateral includes, among other things, equipment, inventory, accounts receivables, depository accounts, intellectual property and certain of their other tangible and intangible assets.</w:t>
      </w:r>
    </w:p>
    <w:p>
      <w:pPr>
        <w:spacing w:after="0" w:line="210" w:lineRule="exact"/>
        <w:rPr>
          <w:sz w:val="20"/>
          <w:szCs w:val="20"/>
          <w:color w:val="auto"/>
        </w:rPr>
      </w:pPr>
    </w:p>
    <w:p>
      <w:pPr>
        <w:jc w:val="both"/>
        <w:ind w:left="660"/>
        <w:spacing w:after="0" w:line="232" w:lineRule="auto"/>
        <w:rPr>
          <w:sz w:val="20"/>
          <w:szCs w:val="20"/>
          <w:color w:val="auto"/>
        </w:rPr>
      </w:pPr>
      <w:r>
        <w:rPr>
          <w:rFonts w:ascii="Arial" w:cs="Arial" w:eastAsia="Arial" w:hAnsi="Arial"/>
          <w:sz w:val="18"/>
          <w:szCs w:val="18"/>
          <w:color w:val="auto"/>
        </w:rPr>
        <w:t>Also, the Notes and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are secured, subject to certain exceptions, priorities and limitations in the various agreements, by first-priority security interests in the capital stock of, and other equity interests owned by, the Lee Legacy Assignors (excluding the capital stock of MNI). The Notes and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are subject to a Pari Passu Intercreditor Agreement dated March 31, 2014.</w:t>
      </w:r>
    </w:p>
    <w:p>
      <w:pPr>
        <w:spacing w:after="0" w:line="213" w:lineRule="exact"/>
        <w:rPr>
          <w:sz w:val="20"/>
          <w:szCs w:val="20"/>
          <w:color w:val="auto"/>
        </w:rPr>
      </w:pPr>
    </w:p>
    <w:p>
      <w:pPr>
        <w:jc w:val="both"/>
        <w:ind w:left="660"/>
        <w:spacing w:after="0" w:line="249" w:lineRule="auto"/>
        <w:rPr>
          <w:sz w:val="20"/>
          <w:szCs w:val="20"/>
          <w:color w:val="auto"/>
        </w:rPr>
      </w:pPr>
      <w:r>
        <w:rPr>
          <w:rFonts w:ascii="Arial" w:cs="Arial" w:eastAsia="Arial" w:hAnsi="Arial"/>
          <w:sz w:val="18"/>
          <w:szCs w:val="18"/>
          <w:color w:val="auto"/>
        </w:rPr>
        <w:t>The Notes,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the subsidiary guarantees are also secured, subject to permitted liens, by a second-priority security interest in the property and assets of the Pulitzer Subsidiaries that become subsidiary guarantors (the "Pulitzer Assignors") other than assets of or used in the operations or business of TNI (collectively, the “Pulitzer Collateral”). In June 2015 the Pulitzer Assignors became a party to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Guarantee and Collateral Agreement on a second lien basis.</w:t>
      </w:r>
    </w:p>
    <w:p>
      <w:pPr>
        <w:spacing w:after="0" w:line="15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Also, the Notes and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are secured, subject to certain exceptions, priorities, and limitations in the various agreements, by second-priority security interests in the capital stock of, and other equity interests in, the Pulitzer Assignors and Star Publishing’s interest in TNI.</w:t>
      </w:r>
    </w:p>
    <w:p>
      <w:pPr>
        <w:spacing w:after="0" w:line="214" w:lineRule="exact"/>
        <w:rPr>
          <w:sz w:val="20"/>
          <w:szCs w:val="20"/>
          <w:color w:val="auto"/>
        </w:rPr>
      </w:pPr>
    </w:p>
    <w:p>
      <w:pPr>
        <w:jc w:val="both"/>
        <w:ind w:left="660"/>
        <w:spacing w:after="0" w:line="234" w:lineRule="auto"/>
        <w:rPr>
          <w:sz w:val="20"/>
          <w:szCs w:val="20"/>
          <w:color w:val="auto"/>
        </w:rPr>
      </w:pPr>
      <w:r>
        <w:rPr>
          <w:rFonts w:ascii="Arial" w:cs="Arial" w:eastAsia="Arial" w:hAnsi="Arial"/>
          <w:sz w:val="18"/>
          <w:szCs w:val="18"/>
          <w:color w:val="auto"/>
        </w:rPr>
        <w:t>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is fully and unconditionally guaranteed on a joint and several first-priority basis by the Pulitzer Assignors, pursuant to a Second Lien Guarantee and Collateral Agreement dated as of March 31, 2014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Guarantee and Collateral Agreement”) among the Pulitzer Assignors and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collateral agent.</w:t>
      </w:r>
    </w:p>
    <w:p>
      <w:pPr>
        <w:spacing w:after="0" w:line="158" w:lineRule="exact"/>
        <w:rPr>
          <w:sz w:val="20"/>
          <w:szCs w:val="20"/>
          <w:color w:val="auto"/>
        </w:rPr>
      </w:pPr>
    </w:p>
    <w:p>
      <w:pPr>
        <w:jc w:val="both"/>
        <w:ind w:left="660"/>
        <w:spacing w:after="0" w:line="232" w:lineRule="auto"/>
        <w:rPr>
          <w:sz w:val="20"/>
          <w:szCs w:val="20"/>
          <w:color w:val="auto"/>
        </w:rPr>
      </w:pPr>
      <w:r>
        <w:rPr>
          <w:rFonts w:ascii="Arial" w:cs="Arial" w:eastAsia="Arial" w:hAnsi="Arial"/>
          <w:sz w:val="18"/>
          <w:szCs w:val="18"/>
          <w:color w:val="auto"/>
        </w:rPr>
        <w:t>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Guarantee and Collateral Agreement, the Pulitzer Assignors have granted (i) first-priority security interests, subject to certain priorities and limitations in the various agreements, in the Pulitzer Collateral and (ii) have granted first-priority lien mortgages or deeds of trust covering certain real estate, as collateral for the payment and performance of their obligations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w:t>
      </w:r>
    </w:p>
    <w:p>
      <w:pPr>
        <w:spacing w:after="0" w:line="213" w:lineRule="exact"/>
        <w:rPr>
          <w:sz w:val="20"/>
          <w:szCs w:val="20"/>
          <w:color w:val="auto"/>
        </w:rPr>
      </w:pPr>
    </w:p>
    <w:p>
      <w:pPr>
        <w:jc w:val="both"/>
        <w:ind w:left="660"/>
        <w:spacing w:after="0" w:line="249" w:lineRule="auto"/>
        <w:rPr>
          <w:sz w:val="20"/>
          <w:szCs w:val="20"/>
          <w:color w:val="auto"/>
        </w:rPr>
      </w:pPr>
      <w:r>
        <w:rPr>
          <w:rFonts w:ascii="Arial" w:cs="Arial" w:eastAsia="Arial" w:hAnsi="Arial"/>
          <w:sz w:val="18"/>
          <w:szCs w:val="18"/>
          <w:color w:val="auto"/>
        </w:rPr>
        <w:t>Also,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Guarantee and Collateral Agreement, the Lee Legacy Assignors have granted (i) second-priority security interests, subject to certain priorities and limitations in the various agreements, in the Lee Legacy Collateral, and (ii) have granted second-priority lien mortgages or deeds of trust covering certain real estate, as collateral for the payment and performance of their obligations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Assets of, or used in the operations or business of, MNI are excluded.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The rights of each of the collateral agents with respect to the Lee Legacy Collateral and the Pulitzer Collateral are subject to customary intercreditor and intercompany agreements.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w:t>
      </w:r>
    </w:p>
    <w:p>
      <w:pPr>
        <w:spacing w:after="0" w:line="24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connection with the 2014 Refinancing, we capitalized $37,819,000 of debt financing costs. Amortization of debt financing costs totaled $724,000 in the 13 weeks ended December 30, 2018. Amortization of such costs is estimated to total $2,863,000 for the remainder of 2019, $ 3,958,000 in 2020, $4,116,000 in 2021, $4,286,000 in 2022, and $1,108,000 in 2023. At December 30, 2018, we have $16,331,000 of unamortized debt financing costs recorded as a reduction of Long-term debt in our Consolidated Balance Sheets.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w:t>
      </w:r>
    </w:p>
    <w:p>
      <w:pPr>
        <w:spacing w:after="0" w:line="24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At December 30, 2018, after consideration of letters of credit, we have approximately $ 21,435,000 available for future use under our Revolving Facility, which expires on December 28, 2019. Including cash, our liquidity at December 30, 2018 totals $37,344,000. This liquidity amount excludes any future cash flows. We expect all interest and principal payments due in the next twelve months will be satisfied by existing cash and our cash flows, which will allow us to maintain an adequate level of liquidity. The Warrants, if and when exercised, would provide additional liquidity in an amount up to $25,140,000 subject to a reduction for any amounts the Company may elect to use to repay our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Loan and/or the Notes.</w:t>
      </w:r>
    </w:p>
    <w:p>
      <w:pPr>
        <w:spacing w:after="0" w:line="146"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Excluding our Revolving Facility, which is undrawn as of December 30, 2018, final maturities of our debt range from March 2022 through December 2022. Our Revolving Facility expires December 28, 2019.</w:t>
      </w:r>
    </w:p>
    <w:p>
      <w:pPr>
        <w:spacing w:after="0" w:line="194"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There are numerous potential consequences under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if an event of default, as defined, occurs and is not remedied. Many of those consequences are beyond our control. The occurrence of one or more events of default would give rise to the right of the applicable lender(s) to exercise their remedies under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218"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December 30, 2018.</w:t>
      </w:r>
    </w:p>
    <w:p>
      <w:pPr>
        <w:spacing w:after="0" w:line="19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247" w:lineRule="exact"/>
        <w:rPr>
          <w:rFonts w:ascii="Arial" w:cs="Arial" w:eastAsia="Arial" w:hAnsi="Arial"/>
          <w:sz w:val="18"/>
          <w:szCs w:val="18"/>
          <w:b w:val="1"/>
          <w:bCs w:val="1"/>
          <w:color w:val="auto"/>
        </w:rPr>
      </w:pPr>
    </w:p>
    <w:p>
      <w:pPr>
        <w:jc w:val="both"/>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We have several noncontributory defined benefit pension plans that together cover selected employees. Benefits under the plans were generally based on salary and years of service. Effective in 2012, substantially all benefits are frozen and only a small amount of additional benefits are being accrued. Our liability and related expense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208" w:lineRule="exact"/>
        <w:rPr>
          <w:rFonts w:ascii="Arial" w:cs="Arial" w:eastAsia="Arial" w:hAnsi="Arial"/>
          <w:sz w:val="18"/>
          <w:szCs w:val="18"/>
          <w:b w:val="1"/>
          <w:bCs w:val="1"/>
          <w:color w:val="auto"/>
        </w:rPr>
      </w:pPr>
    </w:p>
    <w:p>
      <w:pPr>
        <w:jc w:val="both"/>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addition, we provide retiree medical and life insurance benefits under postretirement plans at several of our operating locations. The level and adjustment of participant contributions vary depending on the specific plan. In addition, St. Louis Post-Dispatch LLC, provides postemployment disability benefits to certain employee groups prior to retirement.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20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use a fiscal year end measurement date for all of our pension and postretirement medical plan obligations.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postretirement cost (benefit) components for our postretirement plans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544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PENSION PLANS</w:t>
            </w:r>
          </w:p>
        </w:tc>
        <w:tc>
          <w:tcPr>
            <w:tcW w:w="29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r>
      <w:tr>
        <w:trPr>
          <w:trHeight w:val="229"/>
        </w:trPr>
        <w:tc>
          <w:tcPr>
            <w:tcW w:w="5460" w:type="dxa"/>
            <w:vAlign w:val="bottom"/>
          </w:tcPr>
          <w:p>
            <w:pPr>
              <w:spacing w:after="0"/>
              <w:rPr>
                <w:sz w:val="19"/>
                <w:szCs w:val="19"/>
                <w:color w:val="auto"/>
              </w:rPr>
            </w:pPr>
          </w:p>
        </w:tc>
        <w:tc>
          <w:tcPr>
            <w:tcW w:w="2900" w:type="dxa"/>
            <w:vAlign w:val="bottom"/>
          </w:tcPr>
          <w:p>
            <w:pPr>
              <w:jc w:val="right"/>
              <w:ind w:right="210"/>
              <w:spacing w:after="0"/>
              <w:rPr>
                <w:sz w:val="20"/>
                <w:szCs w:val="20"/>
                <w:color w:val="auto"/>
              </w:rPr>
            </w:pPr>
            <w:r>
              <w:rPr>
                <w:rFonts w:ascii="Arial" w:cs="Arial" w:eastAsia="Arial" w:hAnsi="Arial"/>
                <w:sz w:val="18"/>
                <w:szCs w:val="18"/>
                <w:color w:val="auto"/>
              </w:rPr>
              <w:t>December 30</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December 24</w:t>
            </w:r>
          </w:p>
        </w:tc>
      </w:tr>
      <w:tr>
        <w:trPr>
          <w:trHeight w:val="224"/>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2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r>
      <w:tr>
        <w:trPr>
          <w:trHeight w:val="371"/>
        </w:trPr>
        <w:tc>
          <w:tcPr>
            <w:tcW w:w="5460" w:type="dxa"/>
            <w:vAlign w:val="bottom"/>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290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2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1,641</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90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640" w:type="dxa"/>
            <w:vAlign w:val="bottom"/>
          </w:tcPr>
          <w:p>
            <w:pPr>
              <w:jc w:val="right"/>
              <w:spacing w:after="0"/>
              <w:rPr>
                <w:sz w:val="20"/>
                <w:szCs w:val="20"/>
                <w:color w:val="auto"/>
              </w:rPr>
            </w:pPr>
            <w:r>
              <w:rPr>
                <w:rFonts w:ascii="Arial" w:cs="Arial" w:eastAsia="Arial" w:hAnsi="Arial"/>
                <w:sz w:val="18"/>
                <w:szCs w:val="18"/>
                <w:color w:val="auto"/>
              </w:rPr>
              <w:t>(1,983)</w:t>
            </w: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w:t>
            </w:r>
          </w:p>
        </w:tc>
        <w:tc>
          <w:tcPr>
            <w:tcW w:w="2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284</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5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prior service benefit</w:t>
            </w:r>
          </w:p>
        </w:tc>
        <w:tc>
          <w:tcPr>
            <w:tcW w:w="2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Pension benefit</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338"/>
        </w:trPr>
        <w:tc>
          <w:tcPr>
            <w:tcW w:w="5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44"/>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PLANS</w:t>
            </w:r>
          </w:p>
        </w:tc>
        <w:tc>
          <w:tcPr>
            <w:tcW w:w="29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r>
      <w:tr>
        <w:trPr>
          <w:trHeight w:val="229"/>
        </w:trPr>
        <w:tc>
          <w:tcPr>
            <w:tcW w:w="5460" w:type="dxa"/>
            <w:vAlign w:val="bottom"/>
          </w:tcPr>
          <w:p>
            <w:pPr>
              <w:spacing w:after="0"/>
              <w:rPr>
                <w:sz w:val="19"/>
                <w:szCs w:val="19"/>
                <w:color w:val="auto"/>
              </w:rPr>
            </w:pPr>
          </w:p>
        </w:tc>
        <w:tc>
          <w:tcPr>
            <w:tcW w:w="2900" w:type="dxa"/>
            <w:vAlign w:val="bottom"/>
          </w:tcPr>
          <w:p>
            <w:pPr>
              <w:jc w:val="right"/>
              <w:ind w:right="210"/>
              <w:spacing w:after="0"/>
              <w:rPr>
                <w:sz w:val="20"/>
                <w:szCs w:val="20"/>
                <w:color w:val="auto"/>
              </w:rPr>
            </w:pPr>
            <w:r>
              <w:rPr>
                <w:rFonts w:ascii="Arial" w:cs="Arial" w:eastAsia="Arial" w:hAnsi="Arial"/>
                <w:sz w:val="18"/>
                <w:szCs w:val="18"/>
                <w:color w:val="auto"/>
              </w:rPr>
              <w:t>December 30</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December 24</w:t>
            </w:r>
          </w:p>
        </w:tc>
      </w:tr>
      <w:tr>
        <w:trPr>
          <w:trHeight w:val="224"/>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2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r>
      <w:tr>
        <w:trPr>
          <w:trHeight w:val="371"/>
        </w:trPr>
        <w:tc>
          <w:tcPr>
            <w:tcW w:w="5460" w:type="dxa"/>
            <w:vAlign w:val="bottom"/>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2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2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103</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900" w:type="dxa"/>
            <w:vAlign w:val="bottom"/>
          </w:tcPr>
          <w:p>
            <w:pPr>
              <w:jc w:val="right"/>
              <w:ind w:right="90"/>
              <w:spacing w:after="0"/>
              <w:rPr>
                <w:sz w:val="20"/>
                <w:szCs w:val="20"/>
                <w:color w:val="auto"/>
              </w:rPr>
            </w:pPr>
            <w:r>
              <w:rPr>
                <w:rFonts w:ascii="Arial" w:cs="Arial" w:eastAsia="Arial" w:hAnsi="Arial"/>
                <w:sz w:val="18"/>
                <w:szCs w:val="18"/>
                <w:color w:val="auto"/>
              </w:rPr>
              <w:t>(270)</w:t>
            </w:r>
          </w:p>
        </w:tc>
        <w:tc>
          <w:tcPr>
            <w:tcW w:w="164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gain</w:t>
            </w:r>
          </w:p>
        </w:tc>
        <w:tc>
          <w:tcPr>
            <w:tcW w:w="2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5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prior service benefit</w:t>
            </w:r>
          </w:p>
        </w:tc>
        <w:tc>
          <w:tcPr>
            <w:tcW w:w="2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64"/>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Postretirement medical benefit</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bl>
    <w:p>
      <w:pPr>
        <w:spacing w:after="0" w:line="21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In the 13 weeks ended December 30, 2018, we adopted the new accounting standard to improve the presentation of pension and postretirement benefit expenses. As a result, the service cost for benefits earned during the period continue to be included as compensation in the Consolidated Statement of Income and Comprehensive income, while the other components of the pension benefit are recorded as non-operating income in other, net. Prior period amounts have been reclassified to conform to current period presentation.</w:t>
      </w:r>
    </w:p>
    <w:p>
      <w:pPr>
        <w:spacing w:after="0" w:line="20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 the 13 weeks ended December 30, 2018, we contributed $650,000 to our pension plans. Based on our forecast at December 30, 2018, we do not expect to make contributions to our pension trust during the remainder of 2019.</w:t>
      </w:r>
    </w:p>
    <w:p>
      <w:pPr>
        <w:spacing w:after="0" w:line="17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recorded income tax expense of $4,513,000 related to income before taxes of $15,232,000 for the 13 weeks ended December 30, 2018. For the 13 weeks ended December 24, 2017, we recorded $19,690,000 in income tax benefit related to income before taxes of $15,637,000. The effective income tax rate for the 13 weeks ended December 30, 2018 and December 24, 2017 was a 29.6% expense and 125.9% benefit, respectively. Excluding the transitional impact from the 2017 Tax Act, the effective income tax rate for the 13 weeks ended December 24, 2017 was 33.1%.</w:t>
      </w:r>
    </w:p>
    <w:p>
      <w:pPr>
        <w:spacing w:after="0" w:line="205" w:lineRule="exact"/>
        <w:rPr>
          <w:rFonts w:ascii="Arial" w:cs="Arial" w:eastAsia="Arial" w:hAnsi="Arial"/>
          <w:sz w:val="18"/>
          <w:szCs w:val="18"/>
          <w:b w:val="1"/>
          <w:bCs w:val="1"/>
          <w:color w:val="auto"/>
        </w:rPr>
      </w:pPr>
    </w:p>
    <w:p>
      <w:pPr>
        <w:jc w:val="both"/>
        <w:ind w:left="6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primary differences between these rates and the U.S. federal statutory rate of 21% are due to the effect of state taxes, non-deductible expenses, adjustments to reserves for uncertain tax positions, including any related interest, and mark-to-market adjustments to value the Warrants.</w:t>
      </w:r>
    </w:p>
    <w:p>
      <w:pPr>
        <w:spacing w:after="0" w:line="201" w:lineRule="exact"/>
        <w:rPr>
          <w:rFonts w:ascii="Arial" w:cs="Arial" w:eastAsia="Arial" w:hAnsi="Arial"/>
          <w:sz w:val="18"/>
          <w:szCs w:val="18"/>
          <w:b w:val="1"/>
          <w:bCs w:val="1"/>
          <w:color w:val="auto"/>
        </w:rPr>
      </w:pPr>
    </w:p>
    <w:p>
      <w:pPr>
        <w:jc w:val="both"/>
        <w:ind w:left="6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state income tax examinations in progress. Our income tax returns have generally been audited or closed to audit through 2012. See Note 10 for a discussion of our tax audits.</w:t>
      </w:r>
    </w:p>
    <w:p>
      <w:pPr>
        <w:spacing w:after="0" w:line="201" w:lineRule="exact"/>
        <w:rPr>
          <w:rFonts w:ascii="Arial" w:cs="Arial" w:eastAsia="Arial" w:hAnsi="Arial"/>
          <w:sz w:val="18"/>
          <w:szCs w:val="18"/>
          <w:b w:val="1"/>
          <w:bCs w:val="1"/>
          <w:color w:val="auto"/>
        </w:rPr>
      </w:pPr>
    </w:p>
    <w:p>
      <w:pPr>
        <w:ind w:left="6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At September 25, 2018, we had approximately $63,048,000 of state net operating loss benefits. The Company consumed its federal net operating losses in the year ended September 30, 2018.</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4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54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57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r>
      <w:tr>
        <w:trPr>
          <w:trHeight w:val="229"/>
        </w:trPr>
        <w:tc>
          <w:tcPr>
            <w:tcW w:w="5760" w:type="dxa"/>
            <w:vAlign w:val="bottom"/>
          </w:tcPr>
          <w:p>
            <w:pPr>
              <w:spacing w:after="0"/>
              <w:rPr>
                <w:sz w:val="19"/>
                <w:szCs w:val="19"/>
                <w:color w:val="auto"/>
              </w:rPr>
            </w:pPr>
          </w:p>
        </w:tc>
        <w:tc>
          <w:tcPr>
            <w:tcW w:w="2740" w:type="dxa"/>
            <w:vAlign w:val="bottom"/>
          </w:tcPr>
          <w:p>
            <w:pPr>
              <w:jc w:val="right"/>
              <w:ind w:right="50"/>
              <w:spacing w:after="0"/>
              <w:rPr>
                <w:sz w:val="20"/>
                <w:szCs w:val="20"/>
                <w:color w:val="auto"/>
              </w:rPr>
            </w:pPr>
            <w:r>
              <w:rPr>
                <w:rFonts w:ascii="Arial" w:cs="Arial" w:eastAsia="Arial" w:hAnsi="Arial"/>
                <w:sz w:val="18"/>
                <w:szCs w:val="18"/>
                <w:color w:val="auto"/>
              </w:rPr>
              <w:t>December 30</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December 24</w:t>
            </w:r>
          </w:p>
        </w:tc>
      </w:tr>
      <w:tr>
        <w:trPr>
          <w:trHeight w:val="224"/>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 and Shares, Except Per Share Data)</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r>
      <w:tr>
        <w:trPr>
          <w:trHeight w:val="38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attributable to Lee Enterprises, Incorporated:</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10,361</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35,003</w:t>
            </w:r>
          </w:p>
        </w:tc>
      </w:tr>
      <w:tr>
        <w:trPr>
          <w:trHeight w:val="257"/>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57,303</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56,782</w:t>
            </w:r>
          </w:p>
        </w:tc>
      </w:tr>
      <w:tr>
        <w:trPr>
          <w:trHeight w:val="25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weighted average restricted Common Stock</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r>
      <w:tr>
        <w:trPr>
          <w:trHeight w:val="257"/>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average common shares</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55,204</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54,329</w:t>
            </w:r>
          </w:p>
        </w:tc>
      </w:tr>
      <w:tr>
        <w:trPr>
          <w:trHeight w:val="25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Dilutive stock options and restricted Common Stock</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1,483</w:t>
            </w:r>
          </w:p>
        </w:tc>
      </w:tr>
      <w:tr>
        <w:trPr>
          <w:trHeight w:val="264"/>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average common shares</w:t>
            </w:r>
          </w:p>
        </w:tc>
        <w:tc>
          <w:tcPr>
            <w:tcW w:w="2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56,701</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55,812</w:t>
            </w:r>
          </w:p>
        </w:tc>
      </w:tr>
      <w:tr>
        <w:trPr>
          <w:trHeight w:val="263"/>
        </w:trPr>
        <w:tc>
          <w:tcPr>
            <w:tcW w:w="576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27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63"/>
        </w:trPr>
        <w:tc>
          <w:tcPr>
            <w:tcW w:w="5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r>
      <w:tr>
        <w:trPr>
          <w:trHeight w:val="264"/>
        </w:trPr>
        <w:tc>
          <w:tcPr>
            <w:tcW w:w="5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Diluted</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0.63</w:t>
            </w:r>
          </w:p>
        </w:tc>
      </w:tr>
    </w:tbl>
    <w:p>
      <w:pPr>
        <w:spacing w:after="0" w:line="16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the 13 weeks ended December 30, 2018, and December 24, 2017, 6,448,000 and 6,707,000 weighted average shares, respectively, were not considered in the computation of diluted earnings per common share because the exercise prices of the related stock options and Warrants were in excess of the fair market value of our Common Stock.</w:t>
      </w:r>
    </w:p>
    <w:p>
      <w:pPr>
        <w:spacing w:after="0" w:line="17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PLANS</w:t>
      </w:r>
    </w:p>
    <w:p>
      <w:pPr>
        <w:spacing w:after="0" w:line="24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stock option activity during the 13 weeks ended December 30, 2018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373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Weighted</w:t>
            </w:r>
          </w:p>
        </w:tc>
        <w:tc>
          <w:tcPr>
            <w:tcW w:w="102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Weighted</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Average</w:t>
            </w:r>
          </w:p>
        </w:tc>
        <w:tc>
          <w:tcPr>
            <w:tcW w:w="102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Average</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Remaining</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Aggregate</w:t>
            </w:r>
          </w:p>
        </w:tc>
      </w:tr>
      <w:tr>
        <w:trPr>
          <w:trHeight w:val="203"/>
        </w:trPr>
        <w:tc>
          <w:tcPr>
            <w:tcW w:w="4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Exercise</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Contractual</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Intrinsic</w:t>
            </w:r>
          </w:p>
        </w:tc>
      </w:tr>
      <w:tr>
        <w:trPr>
          <w:trHeight w:val="224"/>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 and Shares, Except Per Share Data)</w:t>
            </w:r>
          </w:p>
        </w:tc>
        <w:tc>
          <w:tcPr>
            <w:tcW w:w="1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Shares</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Price</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xml:space="preserve">Term </w:t>
            </w:r>
            <w:r>
              <w:rPr>
                <w:rFonts w:ascii="Arial" w:cs="Arial" w:eastAsia="Arial" w:hAnsi="Arial"/>
                <w:sz w:val="12"/>
                <w:szCs w:val="12"/>
                <w:i w:val="1"/>
                <w:iCs w:val="1"/>
                <w:color w:val="auto"/>
              </w:rPr>
              <w:t>(Years)</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Value</w:t>
            </w:r>
          </w:p>
        </w:tc>
      </w:tr>
      <w:tr>
        <w:trPr>
          <w:trHeight w:val="385"/>
        </w:trPr>
        <w:tc>
          <w:tcPr>
            <w:tcW w:w="4340" w:type="dxa"/>
            <w:vAlign w:val="bottom"/>
          </w:tcPr>
          <w:p>
            <w:pPr>
              <w:ind w:left="20"/>
              <w:spacing w:after="0"/>
              <w:rPr>
                <w:sz w:val="20"/>
                <w:szCs w:val="20"/>
                <w:color w:val="auto"/>
              </w:rPr>
            </w:pPr>
            <w:r>
              <w:rPr>
                <w:rFonts w:ascii="Arial" w:cs="Arial" w:eastAsia="Arial" w:hAnsi="Arial"/>
                <w:sz w:val="18"/>
                <w:szCs w:val="18"/>
                <w:color w:val="auto"/>
              </w:rPr>
              <w:t>Outstanding, September 30, 2018</w:t>
            </w:r>
          </w:p>
        </w:tc>
        <w:tc>
          <w:tcPr>
            <w:tcW w:w="1960" w:type="dxa"/>
            <w:vAlign w:val="bottom"/>
          </w:tcPr>
          <w:p>
            <w:pPr>
              <w:jc w:val="right"/>
              <w:ind w:right="310"/>
              <w:spacing w:after="0"/>
              <w:rPr>
                <w:sz w:val="20"/>
                <w:szCs w:val="20"/>
                <w:color w:val="auto"/>
              </w:rPr>
            </w:pPr>
            <w:r>
              <w:rPr>
                <w:rFonts w:ascii="Arial" w:cs="Arial" w:eastAsia="Arial" w:hAnsi="Arial"/>
                <w:sz w:val="18"/>
                <w:szCs w:val="18"/>
                <w:color w:val="auto"/>
              </w:rPr>
              <w:t>1,100</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1.88</w:t>
            </w: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7"/>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1.48</w:t>
            </w:r>
          </w:p>
        </w:tc>
        <w:tc>
          <w:tcPr>
            <w:tcW w:w="1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Cancelled</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(69)</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2.32</w:t>
            </w:r>
          </w:p>
        </w:tc>
        <w:tc>
          <w:tcPr>
            <w:tcW w:w="1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64"/>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30, 2018</w:t>
            </w:r>
          </w:p>
        </w:tc>
        <w:tc>
          <w:tcPr>
            <w:tcW w:w="1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1,023</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1.86</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38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Exercisable, December 30, 2018</w:t>
            </w:r>
          </w:p>
        </w:tc>
        <w:tc>
          <w:tcPr>
            <w:tcW w:w="1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1,023</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1.86</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Common Stock</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restricted Common Stock activity during the 13 weeks ended December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373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Arial" w:cs="Arial" w:eastAsia="Arial" w:hAnsi="Arial"/>
          <w:sz w:val="12"/>
          <w:szCs w:val="12"/>
          <w:i w:val="1"/>
          <w:iCs w:val="1"/>
          <w:color w:val="auto"/>
        </w:rPr>
        <w:t>(Thousands of Shares,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26670</wp:posOffset>
            </wp:positionV>
            <wp:extent cx="63373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Weighted</w:t>
      </w:r>
    </w:p>
    <w:p>
      <w:pPr>
        <w:jc w:val="right"/>
        <w:ind w:right="880"/>
        <w:spacing w:after="0" w:line="234" w:lineRule="auto"/>
        <w:rPr>
          <w:sz w:val="20"/>
          <w:szCs w:val="20"/>
          <w:color w:val="auto"/>
        </w:rPr>
      </w:pPr>
      <w:r>
        <w:rPr>
          <w:rFonts w:ascii="Arial" w:cs="Arial" w:eastAsia="Arial" w:hAnsi="Arial"/>
          <w:sz w:val="18"/>
          <w:szCs w:val="18"/>
          <w:color w:val="auto"/>
        </w:rPr>
        <w:t>Average</w:t>
      </w:r>
    </w:p>
    <w:p>
      <w:pPr>
        <w:jc w:val="right"/>
        <w:ind w:right="880"/>
        <w:spacing w:after="0" w:line="235" w:lineRule="auto"/>
        <w:rPr>
          <w:sz w:val="20"/>
          <w:szCs w:val="20"/>
          <w:color w:val="auto"/>
        </w:rPr>
      </w:pPr>
      <w:r>
        <w:rPr>
          <w:rFonts w:ascii="Arial" w:cs="Arial" w:eastAsia="Arial" w:hAnsi="Arial"/>
          <w:sz w:val="18"/>
          <w:szCs w:val="18"/>
          <w:color w:val="auto"/>
        </w:rPr>
        <w:t>Grant Date</w:t>
      </w:r>
    </w:p>
    <w:p>
      <w:pPr>
        <w:spacing w:after="0" w:line="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Shares</w:t>
      </w:r>
      <w:r>
        <w:rPr>
          <w:sz w:val="20"/>
          <w:szCs w:val="20"/>
          <w:color w:val="auto"/>
        </w:rPr>
        <w:tab/>
      </w:r>
      <w:r>
        <w:rPr>
          <w:rFonts w:ascii="Arial" w:cs="Arial" w:eastAsia="Arial" w:hAnsi="Arial"/>
          <w:sz w:val="17"/>
          <w:szCs w:val="17"/>
          <w:color w:val="auto"/>
        </w:rPr>
        <w:t>Fair Value</w:t>
      </w:r>
    </w:p>
    <w:p>
      <w:pPr>
        <w:spacing w:after="0" w:line="196" w:lineRule="exact"/>
        <w:rPr>
          <w:sz w:val="20"/>
          <w:szCs w:val="20"/>
          <w:color w:val="auto"/>
        </w:rPr>
      </w:pPr>
    </w:p>
    <w:p>
      <w:pPr>
        <w:sectPr>
          <w:pgSz w:w="11900" w:h="16838" w:orient="portrait"/>
          <w:cols w:equalWidth="0" w:num="2">
            <w:col w:w="7560" w:space="720"/>
            <w:col w:w="3140"/>
          </w:cols>
          <w:pgMar w:left="240" w:top="140" w:right="239" w:bottom="1440" w:gutter="0" w:footer="0" w:header="0"/>
          <w:type w:val="continuous"/>
        </w:sectPr>
      </w:pPr>
    </w:p>
    <w:tbl>
      <w:tblPr>
        <w:tblLayout w:type="fixed"/>
        <w:tblInd w:w="660" w:type="dxa"/>
        <w:tblCellMar>
          <w:top w:w="0" w:type="dxa"/>
          <w:left w:w="0" w:type="dxa"/>
          <w:bottom w:w="0" w:type="dxa"/>
          <w:right w:w="0" w:type="dxa"/>
        </w:tblCellMar>
      </w:tblPr>
      <w:tr>
        <w:trPr>
          <w:trHeight w:val="224"/>
        </w:trPr>
        <w:tc>
          <w:tcPr>
            <w:tcW w:w="3840" w:type="dxa"/>
            <w:vAlign w:val="bottom"/>
          </w:tcPr>
          <w:p>
            <w:pPr>
              <w:ind w:left="20"/>
              <w:spacing w:after="0"/>
              <w:rPr>
                <w:sz w:val="20"/>
                <w:szCs w:val="20"/>
                <w:color w:val="auto"/>
              </w:rPr>
            </w:pPr>
            <w:r>
              <w:rPr>
                <w:rFonts w:ascii="Arial" w:cs="Arial" w:eastAsia="Arial" w:hAnsi="Arial"/>
                <w:sz w:val="18"/>
                <w:szCs w:val="18"/>
                <w:color w:val="auto"/>
              </w:rPr>
              <w:t>Outstanding, September 30, 2018</w:t>
            </w:r>
          </w:p>
        </w:tc>
        <w:tc>
          <w:tcPr>
            <w:tcW w:w="5060" w:type="dxa"/>
            <w:vAlign w:val="bottom"/>
          </w:tcPr>
          <w:p>
            <w:pPr>
              <w:jc w:val="right"/>
              <w:ind w:right="610"/>
              <w:spacing w:after="0"/>
              <w:rPr>
                <w:sz w:val="20"/>
                <w:szCs w:val="20"/>
                <w:color w:val="auto"/>
              </w:rPr>
            </w:pPr>
            <w:r>
              <w:rPr>
                <w:rFonts w:ascii="Arial" w:cs="Arial" w:eastAsia="Arial" w:hAnsi="Arial"/>
                <w:sz w:val="18"/>
                <w:szCs w:val="18"/>
                <w:color w:val="auto"/>
              </w:rPr>
              <w:t>2,059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6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(728)</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50"/>
        </w:trPr>
        <w:tc>
          <w:tcPr>
            <w:tcW w:w="3840" w:type="dxa"/>
            <w:vAlign w:val="bottom"/>
          </w:tcPr>
          <w:p>
            <w:pPr>
              <w:ind w:left="20"/>
              <w:spacing w:after="0"/>
              <w:rPr>
                <w:sz w:val="20"/>
                <w:szCs w:val="20"/>
                <w:color w:val="auto"/>
              </w:rPr>
            </w:pPr>
            <w:r>
              <w:rPr>
                <w:rFonts w:ascii="Arial" w:cs="Arial" w:eastAsia="Arial" w:hAnsi="Arial"/>
                <w:sz w:val="18"/>
                <w:szCs w:val="18"/>
                <w:color w:val="auto"/>
              </w:rPr>
              <w:t>Granted</w:t>
            </w:r>
          </w:p>
        </w:tc>
        <w:tc>
          <w:tcPr>
            <w:tcW w:w="5060" w:type="dxa"/>
            <w:vAlign w:val="bottom"/>
          </w:tcPr>
          <w:p>
            <w:pPr>
              <w:jc w:val="right"/>
              <w:ind w:right="610"/>
              <w:spacing w:after="0"/>
              <w:rPr>
                <w:sz w:val="20"/>
                <w:szCs w:val="20"/>
                <w:color w:val="auto"/>
              </w:rPr>
            </w:pPr>
            <w:r>
              <w:rPr>
                <w:rFonts w:ascii="Arial" w:cs="Arial" w:eastAsia="Arial" w:hAnsi="Arial"/>
                <w:sz w:val="18"/>
                <w:szCs w:val="18"/>
                <w:color w:val="auto"/>
              </w:rPr>
              <w:t>788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57"/>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50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(24)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64"/>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December 30, 2018</w:t>
            </w:r>
          </w:p>
        </w:tc>
        <w:tc>
          <w:tcPr>
            <w:tcW w:w="5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2,095</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r>
      <w:tr>
        <w:trPr>
          <w:trHeight w:val="635"/>
        </w:trPr>
        <w:tc>
          <w:tcPr>
            <w:tcW w:w="3840" w:type="dxa"/>
            <w:vAlign w:val="bottom"/>
          </w:tcPr>
          <w:p>
            <w:pPr>
              <w:spacing w:after="0"/>
              <w:rPr>
                <w:sz w:val="24"/>
                <w:szCs w:val="24"/>
                <w:color w:val="auto"/>
              </w:rPr>
            </w:pPr>
          </w:p>
        </w:tc>
        <w:tc>
          <w:tcPr>
            <w:tcW w:w="5060" w:type="dxa"/>
            <w:vAlign w:val="bottom"/>
          </w:tcPr>
          <w:p>
            <w:pPr>
              <w:jc w:val="right"/>
              <w:ind w:right="3650"/>
              <w:spacing w:after="0"/>
              <w:rPr>
                <w:sz w:val="20"/>
                <w:szCs w:val="20"/>
                <w:color w:val="auto"/>
              </w:rPr>
            </w:pPr>
            <w:r>
              <w:rPr>
                <w:rFonts w:ascii="Arial" w:cs="Arial" w:eastAsia="Arial" w:hAnsi="Arial"/>
                <w:sz w:val="18"/>
                <w:szCs w:val="18"/>
                <w:color w:val="auto"/>
              </w:rPr>
              <w:t>16</w:t>
            </w: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Total unrecognized compensation expense for unvested restricted Common Stock at December 30, 2018 is $3,224,000, which will be recognized over a weighted average period of 1.9 years.</w:t>
      </w:r>
    </w:p>
    <w:p>
      <w:pPr>
        <w:spacing w:after="0" w:line="17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jc w:val="both"/>
        <w:ind w:left="6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We utilize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FASB ASC Topic 820 defines fair value, establishes a framework for measuring fair value and expands disclosures about fair value measurements. FASB ASC Topic 820 establishes a three-level hierarchy of fair value measurements based on whether the inputs to those measurements are observable or unobservable, which consists of the following levels:</w:t>
      </w:r>
    </w:p>
    <w:p>
      <w:pPr>
        <w:spacing w:after="0" w:line="113"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225" w:lineRule="exact"/>
        <w:rPr>
          <w:sz w:val="20"/>
          <w:szCs w:val="20"/>
          <w:color w:val="auto"/>
        </w:rPr>
      </w:pPr>
    </w:p>
    <w:p>
      <w:pPr>
        <w:ind w:left="1140"/>
        <w:spacing w:after="0" w:line="282"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active; and model-derived valuations in which all significant inputs are observable in active markets.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17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9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carrying amounts of cash equivalents, accounts receivable, contract assets and accounts payable approximate fair value because of the short maturity of those instruments. Investments totaling $6,068,000, including our 17% ownership of the nonvoting common stock of TCT and a private equity investment, are carried at cost. As of December 30, 2018, based on the most recent data available, the approximate fair value of the private equity investment is $9,118,000, which is a level 3 fair value measurement. Fair value of the remaining investments approximates book value.</w:t>
      </w:r>
    </w:p>
    <w:p>
      <w:pPr>
        <w:spacing w:after="0" w:line="203" w:lineRule="exact"/>
        <w:rPr>
          <w:sz w:val="20"/>
          <w:szCs w:val="20"/>
          <w:color w:val="auto"/>
        </w:rPr>
      </w:pPr>
    </w:p>
    <w:p>
      <w:pPr>
        <w:jc w:val="both"/>
        <w:ind w:left="660"/>
        <w:spacing w:after="0" w:line="249" w:lineRule="auto"/>
        <w:rPr>
          <w:sz w:val="20"/>
          <w:szCs w:val="20"/>
          <w:color w:val="auto"/>
        </w:rPr>
      </w:pPr>
      <w:r>
        <w:rPr>
          <w:rFonts w:ascii="Arial" w:cs="Arial" w:eastAsia="Arial" w:hAnsi="Arial"/>
          <w:sz w:val="18"/>
          <w:szCs w:val="18"/>
          <w:color w:val="auto"/>
        </w:rPr>
        <w:t>Our fixed rate debt consists of $385,000,000 principal amount of the Notes and $ 92,832,000 principal amount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At December 30, 2018, based on private market price quotations, the fair values were $390,293,750 and $91,903,892 for the Notes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respectively. These represent level 2 fair value measurements.</w:t>
      </w:r>
    </w:p>
    <w:p>
      <w:pPr>
        <w:spacing w:after="0" w:line="15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As discussed more fully in Note 4, we recorded a liability for the Warrants issued in connection with the Warrant Agreement. The liability was initially measured at its fair value and we remeasure the liability to fair value each reporting period, with changes reported in other non-operating income (expense). The initial fair value of the Warrants was $16,930,000. The fair value of Warrants at September 2018 and December 2018 are $1,807,000 and $1,726,000, respectively. Fair value is determined using the Black-Scholes option pricing model. These represent level 2 fair value measurements.</w:t>
      </w:r>
    </w:p>
    <w:p>
      <w:pPr>
        <w:spacing w:after="0" w:line="184" w:lineRule="exact"/>
        <w:rPr>
          <w:sz w:val="20"/>
          <w:szCs w:val="20"/>
          <w:color w:val="auto"/>
        </w:rPr>
      </w:pPr>
    </w:p>
    <w:p>
      <w:pPr>
        <w:ind w:left="660" w:right="6640" w:hanging="652"/>
        <w:spacing w:after="0" w:line="503"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Income Taxes</w:t>
      </w:r>
    </w:p>
    <w:p>
      <w:pPr>
        <w:jc w:val="both"/>
        <w:ind w:left="6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Commitments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See Note 6.</w:t>
      </w:r>
    </w:p>
    <w:p>
      <w:pPr>
        <w:spacing w:after="0" w:line="194" w:lineRule="exact"/>
        <w:rPr>
          <w:rFonts w:ascii="Arial" w:cs="Arial" w:eastAsia="Arial" w:hAnsi="Arial"/>
          <w:sz w:val="18"/>
          <w:szCs w:val="18"/>
          <w:b w:val="1"/>
          <w:bCs w:val="1"/>
          <w:color w:val="auto"/>
        </w:rPr>
      </w:pPr>
    </w:p>
    <w:p>
      <w:pPr>
        <w:jc w:val="both"/>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We file income tax returns with the Internal Revenue Service ("IRS")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Operations and Comprehensive Income (Loss) in the periods in which such matters are ultimately determined. We do not believe the final resolution of such matters will be material to our consolidated financial position or cash flows.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2009.</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Proceedings</w:t>
      </w:r>
    </w:p>
    <w:p>
      <w:pPr>
        <w:spacing w:after="0" w:line="247"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24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contributes to three multiemployer pension plans. In June 2017, a union contract covering certain of our employees under a multiemployer pension plan expired resulting in a partial withdrawal from one of the multiemployer plans. In 2017, the Company recorded an estimate of the partial withdrawal liability totaling $2,600,000. Once the multiemployer pension plan's administrators finalize the partial withdrawal liability, it will be paid in equal installments over a twenty year period.</w:t>
      </w:r>
    </w:p>
    <w:p>
      <w:pPr>
        <w:spacing w:after="0" w:line="18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47"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the current quarter, we adopted the new revenue recognition accounting pronouncement related to revenue from contracts with customers, using the modified retrospective method applied to those contracts which were not completed as of the adoption date. Results for reporting periods beginning after October 1, 2018 are presented under the new guidance while prior period amounts are not adjusted and continue to be reported in accordance with legacy accounting under the old guidance. We did not record any adjustments to beginning retained earnings at October 1, 2018 as a result of adopting the new guidance.</w:t>
      </w:r>
    </w:p>
    <w:p>
      <w:pPr>
        <w:spacing w:after="0" w:line="20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our revenues disaggregated by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92075</wp:posOffset>
            </wp:positionV>
            <wp:extent cx="63461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178" w:lineRule="exact"/>
        <w:rPr>
          <w:sz w:val="20"/>
          <w:szCs w:val="20"/>
          <w:color w:val="auto"/>
        </w:rPr>
      </w:pPr>
    </w:p>
    <w:tbl>
      <w:tblPr>
        <w:tblLayout w:type="fixed"/>
        <w:tblInd w:w="1040" w:type="dxa"/>
        <w:tblCellMar>
          <w:top w:w="0" w:type="dxa"/>
          <w:left w:w="0" w:type="dxa"/>
          <w:bottom w:w="0" w:type="dxa"/>
          <w:right w:w="0" w:type="dxa"/>
        </w:tblCellMar>
      </w:tblPr>
      <w:tr>
        <w:trPr>
          <w:trHeight w:val="224"/>
        </w:trPr>
        <w:tc>
          <w:tcPr>
            <w:tcW w:w="5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r>
      <w:tr>
        <w:trPr>
          <w:trHeight w:val="229"/>
        </w:trPr>
        <w:tc>
          <w:tcPr>
            <w:tcW w:w="5300" w:type="dxa"/>
            <w:vAlign w:val="bottom"/>
          </w:tcPr>
          <w:p>
            <w:pPr>
              <w:spacing w:after="0"/>
              <w:rPr>
                <w:sz w:val="19"/>
                <w:szCs w:val="19"/>
                <w:color w:val="auto"/>
              </w:rPr>
            </w:pPr>
          </w:p>
        </w:tc>
        <w:tc>
          <w:tcPr>
            <w:tcW w:w="2980" w:type="dxa"/>
            <w:vAlign w:val="bottom"/>
          </w:tcPr>
          <w:p>
            <w:pPr>
              <w:jc w:val="right"/>
              <w:ind w:right="230"/>
              <w:spacing w:after="0"/>
              <w:rPr>
                <w:sz w:val="20"/>
                <w:szCs w:val="20"/>
                <w:color w:val="auto"/>
              </w:rPr>
            </w:pPr>
            <w:r>
              <w:rPr>
                <w:rFonts w:ascii="Arial" w:cs="Arial" w:eastAsia="Arial" w:hAnsi="Arial"/>
                <w:sz w:val="18"/>
                <w:szCs w:val="18"/>
                <w:color w:val="auto"/>
              </w:rPr>
              <w:t>December 30</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December 24</w:t>
            </w:r>
          </w:p>
        </w:tc>
      </w:tr>
      <w:tr>
        <w:trPr>
          <w:trHeight w:val="224"/>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2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r>
      <w:tr>
        <w:trPr>
          <w:trHeight w:val="371"/>
        </w:trPr>
        <w:tc>
          <w:tcPr>
            <w:tcW w:w="5300" w:type="dxa"/>
            <w:vAlign w:val="bottom"/>
          </w:tcPr>
          <w:p>
            <w:pPr>
              <w:ind w:left="20"/>
              <w:spacing w:after="0"/>
              <w:rPr>
                <w:sz w:val="20"/>
                <w:szCs w:val="20"/>
                <w:color w:val="auto"/>
              </w:rPr>
            </w:pPr>
            <w:r>
              <w:rPr>
                <w:rFonts w:ascii="Arial" w:cs="Arial" w:eastAsia="Arial" w:hAnsi="Arial"/>
                <w:sz w:val="18"/>
                <w:szCs w:val="18"/>
                <w:color w:val="auto"/>
              </w:rPr>
              <w:t>Subscription revenue</w:t>
            </w:r>
          </w:p>
        </w:tc>
        <w:tc>
          <w:tcPr>
            <w:tcW w:w="2980" w:type="dxa"/>
            <w:vAlign w:val="bottom"/>
          </w:tcPr>
          <w:p>
            <w:pPr>
              <w:jc w:val="right"/>
              <w:ind w:right="170"/>
              <w:spacing w:after="0"/>
              <w:rPr>
                <w:sz w:val="20"/>
                <w:szCs w:val="20"/>
                <w:color w:val="auto"/>
              </w:rPr>
            </w:pPr>
            <w:r>
              <w:rPr>
                <w:rFonts w:ascii="Arial" w:cs="Arial" w:eastAsia="Arial" w:hAnsi="Arial"/>
                <w:sz w:val="18"/>
                <w:szCs w:val="18"/>
                <w:color w:val="auto"/>
              </w:rPr>
              <w:t>46,268</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48,269</w:t>
            </w:r>
          </w:p>
        </w:tc>
      </w:tr>
      <w:tr>
        <w:trPr>
          <w:trHeight w:val="26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and marketing services revenues</w:t>
            </w:r>
          </w:p>
        </w:tc>
        <w:tc>
          <w:tcPr>
            <w:tcW w:w="2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75,962</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84,661</w:t>
            </w:r>
          </w:p>
        </w:tc>
      </w:tr>
      <w:tr>
        <w:trPr>
          <w:trHeight w:val="250"/>
        </w:trPr>
        <w:tc>
          <w:tcPr>
            <w:tcW w:w="5300" w:type="dxa"/>
            <w:vAlign w:val="bottom"/>
          </w:tcPr>
          <w:p>
            <w:pPr>
              <w:ind w:left="20"/>
              <w:spacing w:after="0"/>
              <w:rPr>
                <w:sz w:val="20"/>
                <w:szCs w:val="20"/>
                <w:color w:val="auto"/>
              </w:rPr>
            </w:pPr>
            <w:r>
              <w:rPr>
                <w:rFonts w:ascii="Arial" w:cs="Arial" w:eastAsia="Arial" w:hAnsi="Arial"/>
                <w:sz w:val="18"/>
                <w:szCs w:val="18"/>
                <w:color w:val="auto"/>
              </w:rPr>
              <w:t>TownNews and other digital services revenues</w:t>
            </w:r>
          </w:p>
        </w:tc>
        <w:tc>
          <w:tcPr>
            <w:tcW w:w="2980" w:type="dxa"/>
            <w:vAlign w:val="bottom"/>
          </w:tcPr>
          <w:p>
            <w:pPr>
              <w:jc w:val="right"/>
              <w:ind w:right="170"/>
              <w:spacing w:after="0"/>
              <w:rPr>
                <w:sz w:val="20"/>
                <w:szCs w:val="20"/>
                <w:color w:val="auto"/>
              </w:rPr>
            </w:pPr>
            <w:r>
              <w:rPr>
                <w:rFonts w:ascii="Arial" w:cs="Arial" w:eastAsia="Arial" w:hAnsi="Arial"/>
                <w:sz w:val="18"/>
                <w:szCs w:val="18"/>
                <w:color w:val="auto"/>
              </w:rPr>
              <w:t>4,677</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3,661</w:t>
            </w:r>
          </w:p>
        </w:tc>
      </w:tr>
      <w:tr>
        <w:trPr>
          <w:trHeight w:val="257"/>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2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9,294</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7,195</w:t>
            </w:r>
          </w:p>
        </w:tc>
      </w:tr>
      <w:tr>
        <w:trPr>
          <w:trHeight w:val="264"/>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revenue</w:t>
            </w:r>
          </w:p>
        </w:tc>
        <w:tc>
          <w:tcPr>
            <w:tcW w:w="2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136,201</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143,786</w:t>
            </w:r>
          </w:p>
        </w:tc>
      </w:tr>
    </w:tbl>
    <w:p>
      <w:pPr>
        <w:spacing w:after="0" w:line="197"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Revenues are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7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Advertising and marketing services revenues: </w:t>
      </w:r>
      <w:r>
        <w:rPr>
          <w:rFonts w:ascii="Arial" w:cs="Arial" w:eastAsia="Arial" w:hAnsi="Arial"/>
          <w:sz w:val="18"/>
          <w:szCs w:val="18"/>
          <w:color w:val="auto"/>
        </w:rPr>
        <w:t>Advertising and marketing services revenues include amounts charged to customers for</w:t>
      </w:r>
      <w:r>
        <w:rPr>
          <w:rFonts w:ascii="Arial" w:cs="Arial" w:eastAsia="Arial" w:hAnsi="Arial"/>
          <w:sz w:val="18"/>
          <w:szCs w:val="18"/>
          <w:i w:val="1"/>
          <w:iCs w:val="1"/>
          <w:color w:val="auto"/>
        </w:rPr>
        <w:t xml:space="preserve"> </w:t>
      </w:r>
      <w:r>
        <w:rPr>
          <w:rFonts w:ascii="Arial" w:cs="Arial" w:eastAsia="Arial" w:hAnsi="Arial"/>
          <w:sz w:val="18"/>
          <w:szCs w:val="18"/>
          <w:color w:val="auto"/>
        </w:rPr>
        <w:t>retail or classified advertising space purchased in our newspapers, retail or classified advertisements placed on our digital platforms, and other print advertising products such as preprint inserts and direct mail. Advertising and marketing services revenues also include amounts charged to customers for digital marketing services which include: Audience extension, Search Engine Optimization ("SEO"), Search Engine Marketing ("SEM"), web and mobile production, social media services and reputation monitoring and management. The following define the timing of revenue recognition for each general revenue category:</w:t>
      </w:r>
    </w:p>
    <w:p>
      <w:pPr>
        <w:spacing w:after="0" w:line="201" w:lineRule="exact"/>
        <w:rPr>
          <w:sz w:val="20"/>
          <w:szCs w:val="20"/>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Print advertising revenues are recognized at the point in time the associated publication has been delivered.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Digital advertising revenues are recognized at the point in time that impressions are delivered.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Digital marketing services revenues are recognized over the period of time which the service is performed.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Advertising and marketing services contract transaction prices consist of fixed consideration. We recognize revenue when control of the related performance obligation transfers to the customer.</w:t>
      </w:r>
    </w:p>
    <w:p>
      <w:pPr>
        <w:spacing w:after="0" w:line="19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Payments for advertising revenues are due upon completion of our performance obligations at previously agreed upon rates. In instances where the timing of revenue recognition differs from the timing of invoicing, such timing differences are not large. As a result, we have determined that our contracts do not include a significant financing component.</w:t>
      </w:r>
    </w:p>
    <w:p>
      <w:pPr>
        <w:spacing w:after="0" w:line="18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Subscription revenues: </w:t>
      </w:r>
      <w:r>
        <w:rPr>
          <w:rFonts w:ascii="Arial" w:cs="Arial" w:eastAsia="Arial" w:hAnsi="Arial"/>
          <w:sz w:val="18"/>
          <w:szCs w:val="18"/>
          <w:color w:val="auto"/>
        </w:rPr>
        <w:t>Subscription revenues include revenues for content delivered to consumers via print and digital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by readers or distributors. Single copy revenues are also included in subscription revenues. Subscription revenues from single-copy and home delivery subscriptions are recognized at the point in time the publications are delivered. Digital subscription revenues are recognized over time as performance obligations are met via on-demand availability of online content made available to customers throughout the contract term. Payments for subscription revenues are typically collected in advance, are for contract periods of one year or less and result in an unearned revenue liability that is reduced when revenue is recognized.</w:t>
      </w:r>
    </w:p>
    <w:p>
      <w:pPr>
        <w:spacing w:after="0" w:line="183"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are primarily comprised of digital services, Management Agreement revenues, commercial printing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of third party products. Digital services revenues, which are primarily delivered through TownNews, are primarily comprised of contractual agreements to provide webhosting and content management services. As such, digital services revenues are recognized over the contract period. Prices for digital services are agreed upon in advance of the contract beginning and are typically billed in arrears on a monthly basis, with the exception of implementation fees which are recognized as deferred revenue and amortized over the contract period. Management Agreement revenues, consisting of fees collected from our Management Agreement, are recognized based on BH Media financial progress toward contractual performance goals related to certain financial benchmarks. BH Media provides historical and projected financial reports, which serve as the basis for our revenue recognition. Fixed Management Agreement revenues are recognized over time and paid quarterly and variable fees are paid annually. Variable fees are recognized when the fees are deemed earned and it is probable that substantially all of the consideration will be collected. Commercial printing and delivery revenues are recognized when the product is delivered to the customer.</w:t>
      </w:r>
    </w:p>
    <w:p>
      <w:pPr>
        <w:spacing w:after="0" w:line="193"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Revenues from sales agreements that contain multiple performance obligations are allocated to each obligation based on the relative standalone selling price. We determine standalone selling prices based on observable prices charged to customers.</w:t>
      </w:r>
    </w:p>
    <w:p>
      <w:pPr>
        <w:spacing w:after="0" w:line="18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unearned revenue is from subscriptions paid in advance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provided. The Company expects to recognize the revenue related to unsatisfied performance obligations over the next three to twelve months in accordance with the terms of the subscriptions and other contracts with customers. The unearned revenue balances described herein are the Company's only contract liability under ASC 606. Unearned revenues were $23,430,000 as of December 30, 2018 and $ 23,895,000 as of September 30, 2018. Revenues recognized in the quarter that were included in the contract liability as of September 30, 2018 were $15,727,000.</w:t>
      </w:r>
    </w:p>
    <w:p>
      <w:pPr>
        <w:spacing w:after="0" w:line="20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Contract asset balances relate to our Management Agreement revenues and were $1,106,000 as of December 30, 2018 and $0 as of September 30, 2018 and consisted solely of the variable portion of the contract. These contract asset balances are included in accounts receivable and contract assets, net. There are no other contract assets recorded. Accounts receivable, excluding allowance for doubtful accounts and contract assets, was $55,139,000 and $48,517,000 as of December 30, 2018 and September 30, 2018, respectively. Allowance for doubtful accounts was $5,208,000 and $4,806,000 as of December 30, 2018 and September 30, 2018, respectively.</w:t>
      </w:r>
    </w:p>
    <w:p>
      <w:pPr>
        <w:spacing w:after="0" w:line="191"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Sales commissions are expensed as incurred as the associated contractual periods are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or less. These costs are recorded within compensation. Additionally, we do not disclose the value of unsatisfied performance obligations because the vast majority of our contracts have original expected lengths of one year or less and revenue is earned at a rate and amount that corresponds directly with the value to the customer.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13 weeks ended December 30, 2018. This discussion should be read in conjunction with the Consolidated Financial Statements and related Notes thereto, included herein, and our 2018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this report, we present adjusted EBITDA, adjusted income (loss), adjusted earnings (loss) per common share (EPS),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our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207"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(benefit), depreciation and amortization, assets loss (gain) on sales, impairments and other, restructuring costs and other, stock compensation and our 50% share of EBITDA from TNI and MNI, minus equity in earnings of TNI and MNI and curtailment gains.</w:t>
      </w:r>
    </w:p>
    <w:p>
      <w:pPr>
        <w:spacing w:after="0" w:line="193"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Adjusted Income (Loss) and Adjusted Earnings (Loss) Per Common Share </w:t>
      </w:r>
      <w:r>
        <w:rPr>
          <w:rFonts w:ascii="Arial" w:cs="Arial" w:eastAsia="Arial" w:hAnsi="Arial"/>
          <w:sz w:val="18"/>
          <w:szCs w:val="18"/>
          <w:color w:val="auto"/>
        </w:rPr>
        <w:t>are non-GAAP financial performance measures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offer a useful metric to evaluate overall performance of the Company by providing financial statement users the operating performance of the Company excluding the impact of changes in the valuation of the Warrants, which are non-cash transactions, and the impact of the 2017 Tax Act. It is defined as income (loss) attributable to Lee Enterprises, Incorporated and diluted earnings (loss) per common share adjusted to exclude the impact of the valuation of the Warrants, the impact of the 2017 Tax Act, and the gain on insurance settlement.</w:t>
      </w:r>
    </w:p>
    <w:p>
      <w:pPr>
        <w:spacing w:after="0" w:line="183"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paid in cash.</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table reconciling adjusted EBITDA to net income, the most directly comparable measure under GAAP, is set forth below under the caption "Reconciliation of Non-GAAP Financial Measures". Reconciliations of adjusted income (loss) and adjusted earnings (loss) per diluted common share to income (loss) attributable to Lee Enterprises, Incorporated and earnings (loss) per diluted common share, respectively, the most directly comparable measures under GAAP, are set forth in Item 7, included herein, under the caption “Net Income and Earnings Per Share”.</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subtotals of operating expenses representing cash costs can be found in tables in Item 2, included herein, under the captions “13 Weeks Ended December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22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2"/>
          </w:tcPr>
          <w:p>
            <w:pPr>
              <w:jc w:val="right"/>
              <w:ind w:right="1170"/>
              <w:spacing w:after="0"/>
              <w:rPr>
                <w:sz w:val="20"/>
                <w:szCs w:val="20"/>
                <w:color w:val="auto"/>
              </w:rPr>
            </w:pPr>
            <w:r>
              <w:rPr>
                <w:rFonts w:ascii="Arial" w:cs="Arial" w:eastAsia="Arial" w:hAnsi="Arial"/>
                <w:sz w:val="18"/>
                <w:szCs w:val="18"/>
                <w:color w:val="auto"/>
              </w:rPr>
              <w:t>13 Weeks Ended</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 Weeks Ended</w:t>
            </w:r>
          </w:p>
        </w:tc>
      </w:tr>
      <w:tr>
        <w:trPr>
          <w:trHeight w:val="229"/>
        </w:trPr>
        <w:tc>
          <w:tcPr>
            <w:tcW w:w="5220" w:type="dxa"/>
            <w:vAlign w:val="bottom"/>
          </w:tcPr>
          <w:p>
            <w:pPr>
              <w:spacing w:after="0"/>
              <w:rPr>
                <w:sz w:val="19"/>
                <w:szCs w:val="19"/>
                <w:color w:val="auto"/>
              </w:rPr>
            </w:pP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December 30</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December 24</w:t>
            </w:r>
          </w:p>
        </w:tc>
        <w:tc>
          <w:tcPr>
            <w:tcW w:w="1800" w:type="dxa"/>
            <w:vAlign w:val="bottom"/>
          </w:tcPr>
          <w:p>
            <w:pPr>
              <w:spacing w:after="0"/>
              <w:rPr>
                <w:sz w:val="19"/>
                <w:szCs w:val="19"/>
                <w:color w:val="auto"/>
              </w:rPr>
            </w:pPr>
          </w:p>
        </w:tc>
      </w:tr>
      <w:tr>
        <w:trPr>
          <w:trHeight w:val="224"/>
        </w:trPr>
        <w:tc>
          <w:tcPr>
            <w:tcW w:w="5220" w:type="dxa"/>
            <w:vAlign w:val="bottom"/>
          </w:tcPr>
          <w:p>
            <w:pPr>
              <w:ind w:left="40"/>
              <w:spacing w:after="0"/>
              <w:rPr>
                <w:sz w:val="20"/>
                <w:szCs w:val="20"/>
                <w:color w:val="auto"/>
              </w:rPr>
            </w:pPr>
            <w:r>
              <w:rPr>
                <w:rFonts w:ascii="Arial" w:cs="Arial" w:eastAsia="Arial" w:hAnsi="Arial"/>
                <w:sz w:val="13"/>
                <w:szCs w:val="13"/>
                <w:i w:val="1"/>
                <w:iCs w:val="1"/>
                <w:color w:val="auto"/>
              </w:rPr>
              <w:t>(Thousands of Dollars)</w:t>
            </w:r>
          </w:p>
        </w:tc>
        <w:tc>
          <w:tcPr>
            <w:tcW w:w="270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December 30 2018</w:t>
            </w:r>
          </w:p>
        </w:tc>
      </w:tr>
      <w:tr>
        <w:trPr>
          <w:trHeight w:val="263"/>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10,719</w:t>
            </w: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35,327</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19,609</w:t>
            </w: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Adjusted to exclude</w:t>
            </w:r>
          </w:p>
        </w:tc>
        <w:tc>
          <w:tcPr>
            <w:tcW w:w="27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63"/>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4,513</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(19,690)</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7,975</w:t>
            </w:r>
          </w:p>
        </w:tc>
      </w:tr>
      <w:tr>
        <w:trPr>
          <w:trHeight w:val="250"/>
        </w:trPr>
        <w:tc>
          <w:tcPr>
            <w:tcW w:w="5220" w:type="dxa"/>
            <w:vAlign w:val="bottom"/>
          </w:tcPr>
          <w:p>
            <w:pPr>
              <w:ind w:left="180"/>
              <w:spacing w:after="0"/>
              <w:rPr>
                <w:sz w:val="20"/>
                <w:szCs w:val="20"/>
                <w:color w:val="auto"/>
              </w:rPr>
            </w:pPr>
            <w:r>
              <w:rPr>
                <w:rFonts w:ascii="Arial" w:cs="Arial" w:eastAsia="Arial" w:hAnsi="Arial"/>
                <w:sz w:val="18"/>
                <w:szCs w:val="18"/>
                <w:color w:val="auto"/>
              </w:rPr>
              <w:t>Non-operating expenses, net</w:t>
            </w:r>
          </w:p>
        </w:tc>
        <w:tc>
          <w:tcPr>
            <w:tcW w:w="2700" w:type="dxa"/>
            <w:vAlign w:val="bottom"/>
          </w:tcPr>
          <w:p>
            <w:pPr>
              <w:jc w:val="right"/>
              <w:ind w:right="290"/>
              <w:spacing w:after="0"/>
              <w:rPr>
                <w:sz w:val="20"/>
                <w:szCs w:val="20"/>
                <w:color w:val="auto"/>
              </w:rPr>
            </w:pPr>
            <w:r>
              <w:rPr>
                <w:rFonts w:ascii="Arial" w:cs="Arial" w:eastAsia="Arial" w:hAnsi="Arial"/>
                <w:sz w:val="18"/>
                <w:szCs w:val="18"/>
                <w:color w:val="auto"/>
              </w:rPr>
              <w:t>12,487</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14,195</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55,995</w:t>
            </w:r>
          </w:p>
        </w:tc>
      </w:tr>
      <w:tr>
        <w:trPr>
          <w:trHeight w:val="263"/>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TNI and MNI</w:t>
            </w:r>
          </w:p>
        </w:tc>
        <w:tc>
          <w:tcPr>
            <w:tcW w:w="2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(2,129)</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(2,383)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w:t>
            </w:r>
          </w:p>
        </w:tc>
      </w:tr>
      <w:tr>
        <w:trPr>
          <w:trHeight w:val="250"/>
        </w:trPr>
        <w:tc>
          <w:tcPr>
            <w:tcW w:w="5220" w:type="dxa"/>
            <w:vAlign w:val="bottom"/>
          </w:tcPr>
          <w:p>
            <w:pPr>
              <w:ind w:left="180"/>
              <w:spacing w:after="0"/>
              <w:rPr>
                <w:sz w:val="20"/>
                <w:szCs w:val="20"/>
                <w:color w:val="auto"/>
              </w:rPr>
            </w:pPr>
            <w:r>
              <w:rPr>
                <w:rFonts w:ascii="Arial" w:cs="Arial" w:eastAsia="Arial" w:hAnsi="Arial"/>
                <w:sz w:val="18"/>
                <w:szCs w:val="18"/>
                <w:color w:val="auto"/>
              </w:rPr>
              <w:t>Loss (gain) on sale of assets and other, net</w:t>
            </w:r>
          </w:p>
        </w:tc>
        <w:tc>
          <w:tcPr>
            <w:tcW w:w="2700" w:type="dxa"/>
            <w:vAlign w:val="bottom"/>
          </w:tcPr>
          <w:p>
            <w:pPr>
              <w:jc w:val="right"/>
              <w:ind w:right="230"/>
              <w:spacing w:after="0"/>
              <w:rPr>
                <w:sz w:val="20"/>
                <w:szCs w:val="20"/>
                <w:color w:val="auto"/>
              </w:rPr>
            </w:pPr>
            <w:r>
              <w:rPr>
                <w:rFonts w:ascii="Arial" w:cs="Arial" w:eastAsia="Arial" w:hAnsi="Arial"/>
                <w:sz w:val="18"/>
                <w:szCs w:val="18"/>
                <w:color w:val="auto"/>
              </w:rPr>
              <w:t>(100)</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6,327</w:t>
            </w:r>
          </w:p>
        </w:tc>
      </w:tr>
      <w:tr>
        <w:trPr>
          <w:trHeight w:val="263"/>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7,529</w:t>
            </w: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8,053</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31,242</w:t>
            </w:r>
          </w:p>
        </w:tc>
      </w:tr>
      <w:tr>
        <w:trPr>
          <w:trHeight w:val="250"/>
        </w:trPr>
        <w:tc>
          <w:tcPr>
            <w:tcW w:w="52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2700" w:type="dxa"/>
            <w:vAlign w:val="bottom"/>
          </w:tcPr>
          <w:p>
            <w:pPr>
              <w:jc w:val="right"/>
              <w:ind w:right="290"/>
              <w:spacing w:after="0"/>
              <w:rPr>
                <w:sz w:val="20"/>
                <w:szCs w:val="20"/>
                <w:color w:val="auto"/>
              </w:rPr>
            </w:pPr>
            <w:r>
              <w:rPr>
                <w:rFonts w:ascii="Arial" w:cs="Arial" w:eastAsia="Arial" w:hAnsi="Arial"/>
                <w:sz w:val="18"/>
                <w:szCs w:val="18"/>
                <w:color w:val="auto"/>
              </w:rPr>
              <w:t>62</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468</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5,144</w:t>
            </w:r>
          </w:p>
        </w:tc>
      </w:tr>
      <w:tr>
        <w:trPr>
          <w:trHeight w:val="263"/>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463</w:t>
            </w: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519</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Add:</w:t>
            </w:r>
          </w:p>
        </w:tc>
        <w:tc>
          <w:tcPr>
            <w:tcW w:w="27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57"/>
        </w:trPr>
        <w:tc>
          <w:tcPr>
            <w:tcW w:w="5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Ownership share of TNI and MNI EBITDA (50%)</w:t>
            </w:r>
          </w:p>
        </w:tc>
        <w:tc>
          <w:tcPr>
            <w:tcW w:w="27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2,601</w:t>
            </w:r>
          </w:p>
        </w:tc>
        <w:tc>
          <w:tcPr>
            <w:tcW w:w="17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3,159</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9,325</w:t>
            </w:r>
          </w:p>
        </w:tc>
      </w:tr>
      <w:tr>
        <w:trPr>
          <w:trHeight w:val="264"/>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Adjusted EBITDA</w:t>
            </w:r>
          </w:p>
        </w:tc>
        <w:tc>
          <w:tcPr>
            <w:tcW w:w="2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36,145</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39,650</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128,423</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2018, the Financial Accounting Standards Board (“FASB”) issued a new standard which modifies the disclosure requirements for employers that sponsor defined benefit pension or other postretirement plans. The modifications remove disclosures, clarify the specific requirements of disclosures and add disclosure requirements identified as relevant. We are currently in the process of evaluating the impact of this guidance on our Consolidated Financial Statements.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2018, the FASB a new standard which modifies the disclosure requirements on fair value measurements.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are currently in the process of evaluating the impact of this guidance on our Consolidated Financial Statements.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2018, the FASB issued a new standard which provides for an optional transition method that allows issuers to initially apply the new lease standard to all leases that exist as of the adoption date, with the cumulative effect of initially applying the new lease standard recognized as an adjustment to retained earnings as of the adoption date. We intend to adopt the optional transition approach in fiscal year 2020. To date we have made progress in our assessment of the new lease standard. We are currently compiling an inventory of leases, evaluating the provisions of the updated guidance and assessing the impact on our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February 2016, the FASB issued a new standard for the accounting treatment of leases. The new standard is based on the principle that entities should recognize assets and liabilities arising from leases. The new standard does not significantly change the lessees’ recognition, measurement and presentation of expenses and cash flows from the previous accounting standard. Leases are classified as finance or operating. The new standard's primary change is the requirement for entities to recognize a lease liability for payments and a right of use asset representing the right to use the leased asset during the term on most operating lease arrangements. Lessees are permitted to make an accounting policy election to not recognize the asset and liability for leases with a term of twelve months or less. In addition, the new standard expands the disclosure requirements of lease arrangements. Lessees have the option to use a modified retrospective transition approach, which includes a number of practical expedients. We are currently in the process of evaluating the impact of this guidance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include the following:</w:t>
      </w:r>
    </w:p>
    <w:p>
      <w:pPr>
        <w:spacing w:after="0" w:line="252" w:lineRule="exact"/>
        <w:rPr>
          <w:sz w:val="20"/>
          <w:szCs w:val="20"/>
          <w:color w:val="auto"/>
        </w:rPr>
      </w:pPr>
    </w:p>
    <w:p>
      <w:pPr>
        <w:ind w:left="880" w:hanging="386"/>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Intangible assets, other than goodwill;</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Pension, postretirement and postemployment benefit plans; and</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Additional information regarding these critical accounting policies can be found under the caption “Management's Discussion and Analysis of Financial Condition and Results of Operations” in our 2018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Lee Enterprises, Incorporated is a leading provider of high quality, trusted, local news and information, and a major platform for advertising in the markets we serve. We operate 49 principally mid-sized local media operations and manage 30 additional local media operations through the Management Agreement with BH Media.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reach 79% of all adults in our larger markets through a combination of our print and digital content offerings.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more than 29.0 million unique visitors each month with a monthly average of 289.0 million page views. Page views per session, one metric we use to monitor engagement, increased 12.9% in 2018.</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printed newspapers reach more than 0.7 million households daily and more than 1.1 million on Sunday, with estimated readership totaling three million.</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to non-daily newspapers with news websites and digital platforms serving smaller communities.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operate TownNews, through our 82.5% owned subsidiary INN Partners, L.C. ("TownNews"). TownNews provides state-of-the-art web hosting, content management services and video management services to 1,700 other media organizations including broadcast.</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26, 2018, in the Company's fourth fiscal quarter, we entered into the Management Agreement to manage Berkshire Hathaway's newspaper and digital operations in 30 markets, beginning July 2, 2018. The Company operates BH Media consistent with how it manages its own newspaper and digital operations. Among other decisions, Berkshire Hathaway is responsible for approving operating and capital budgets. The Management Agreement extends for a term of five years and may be extended thereafter for successive one-year terms on such terms as may be mutually agreed to by the Company and Berkshire Hathaway. The Management Agreement provides for the Company to be paid a fixed annual fee of $5 million, payable quarterly in arrears, and a variable fee based on the financial performance of BH Media. The variable fees are payable annually in arrears.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OTHER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significant amounts of goodwill and identified intangible assets. Since 2007 we have recorded impairment charges totaling almost $1.3 billion to reduce the value of certain of these assets. Future decreases in our market value, or significant differences in revenue, expenses or cash flows from estimates used to determine fair value, could result in additional impairment charges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LIQUIDITY</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 substantial amount of debt, as discussed more fully in Note 4 of the Notes to Consolidated Financial Statements, included herein. Since February 2009, we have satisfied all interest payments and substantially all principal payments due under our debt facilities with our cash flows and asset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30, 2018, our debt consists of the following:</w:t>
      </w:r>
    </w:p>
    <w:p>
      <w:pPr>
        <w:spacing w:after="0" w:line="225" w:lineRule="exact"/>
        <w:rPr>
          <w:sz w:val="20"/>
          <w:szCs w:val="20"/>
          <w:color w:val="auto"/>
        </w:rPr>
      </w:pPr>
    </w:p>
    <w:p>
      <w:pPr>
        <w:ind w:left="980" w:hanging="324"/>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$400,000,000 aggregate principal amount of 9.5% Senior Secured Notes (the “Notes”), pursuant to an Indenture dated as of March 31, 2014 (the “Indenture”), of which $385,000,000 is outstanding at December 30, 2018;</w:t>
      </w:r>
    </w:p>
    <w:p>
      <w:pPr>
        <w:spacing w:after="0" w:line="196" w:lineRule="exact"/>
        <w:rPr>
          <w:rFonts w:ascii="Arial" w:cs="Arial" w:eastAsia="Arial" w:hAnsi="Arial"/>
          <w:sz w:val="18"/>
          <w:szCs w:val="18"/>
          <w:color w:val="auto"/>
        </w:rPr>
      </w:pPr>
    </w:p>
    <w:p>
      <w:pPr>
        <w:jc w:val="both"/>
        <w:ind w:left="980" w:hanging="324"/>
        <w:spacing w:after="0" w:line="23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$250,000,000 first lien term loan (the "1st Lien Term Loan") and $40,000,000 revolving facility (the "Revolving Facility") under a First Lien Credit Agreement dated as of March 31, 2014 (together,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of which $0 is outstanding at December 30, 2018; and</w:t>
      </w:r>
    </w:p>
    <w:p>
      <w:pPr>
        <w:spacing w:after="0" w:line="214" w:lineRule="exact"/>
        <w:rPr>
          <w:rFonts w:ascii="Arial" w:cs="Arial" w:eastAsia="Arial" w:hAnsi="Arial"/>
          <w:sz w:val="18"/>
          <w:szCs w:val="18"/>
          <w:color w:val="auto"/>
        </w:rPr>
      </w:pPr>
    </w:p>
    <w:p>
      <w:pPr>
        <w:ind w:left="980" w:hanging="324"/>
        <w:spacing w:after="0" w:line="23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$150,000,000 second lien term loan under a Second Lien Loan Agreement dated as of March 31, 2014 (the “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of which $92,832,000 is outstanding at December 30, 2018.</w:t>
      </w:r>
    </w:p>
    <w:p>
      <w:pPr>
        <w:spacing w:after="0" w:line="21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In December 2018 we amended our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to amend and extend our Revolving Facility (the "Amendment"). The Amendment, among other changes, extends the maturity of the revolving loan commitments of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Lenders for twelve months, reduces the revolver loan commitments from $40,000,000 to $27,200,000 with a further 15% reduction to the revolving loan commitments of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Lenders effective as of July 31, 2019.</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make payments on our indebtedness will depend on our ability to generate future cash flows from operations. Cash generated from future asset sales could serve as an additional source of repayment. This ability, to a certain extent, is subject to general economic, financial, competitive, business, legislative, regulatory and other factors that are beyond our control.</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December 30, 2018, after consideration of letters of credit, we have approximately $21,435,000 available for future use under our Revolving Facility, which expires December 28, 2019. Including cash, our liquidity at December 30, 2018 totals $37,344,000. This liquidity amount excludes any future cash flows. Our adjusted EBITDA has been strong for the last seven years and totaled $128,423,000 for the trailing twelve months ended December 30, 2018, but there can be no assurance that such performance will continue. We expect all interest and principal payments due in the next twelve months will be satisfied by our cash flows from operations and certain asset sales, which will allow us to maintain an adequate level of liquidity.</w:t>
      </w:r>
    </w:p>
    <w:p>
      <w:pPr>
        <w:spacing w:after="0" w:line="20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At December 30, 2018, the principal amount of our outstanding debt totaled $477,832,000. The December 30, 2018 principal amount of our debt, net of cash, is 3.6 times our trailing twelve months adjusted EBITDA.</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Excluding our Revolving Facility which is undrawn as of December 30, 2018, final maturities of our debt range from March 2022 through December 2022. Our Revolving Facility expires December 28, 2019.</w:t>
      </w: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There are numerous potential consequences under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if an event of default, as defined, occurs and is not remedied. Many of those consequences are beyond our control. The occurrence of one or more events of default would give rise to the right of the applicable lender(s) to exercise their remedies under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if necessary.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December 30, 2018.</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WEEKS ENDED DECEMBER 30, 2018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294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29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2740" w:type="dxa"/>
            <w:vAlign w:val="bottom"/>
          </w:tcPr>
          <w:p>
            <w:pPr>
              <w:jc w:val="right"/>
              <w:ind w:right="219"/>
              <w:spacing w:after="0"/>
              <w:rPr>
                <w:sz w:val="20"/>
                <w:szCs w:val="20"/>
                <w:color w:val="auto"/>
              </w:rPr>
            </w:pPr>
            <w:r>
              <w:rPr>
                <w:rFonts w:ascii="Arial" w:cs="Arial" w:eastAsia="Arial" w:hAnsi="Arial"/>
                <w:sz w:val="16"/>
                <w:szCs w:val="16"/>
                <w:color w:val="auto"/>
              </w:rPr>
              <w:t>December 30</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December 24</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Percent</w:t>
            </w:r>
          </w:p>
        </w:tc>
      </w:tr>
      <w:tr>
        <w:trPr>
          <w:trHeight w:val="208"/>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(Thousands of Dollars, Except Per Share Data)</w:t>
            </w:r>
          </w:p>
        </w:tc>
        <w:tc>
          <w:tcPr>
            <w:tcW w:w="2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2018</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2017</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Change</w:t>
            </w:r>
          </w:p>
        </w:tc>
      </w:tr>
      <w:tr>
        <w:trPr>
          <w:trHeight w:val="243"/>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and marketing services revenue</w:t>
            </w:r>
          </w:p>
        </w:tc>
        <w:tc>
          <w:tcPr>
            <w:tcW w:w="27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75,962</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84,661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33"/>
        </w:trPr>
        <w:tc>
          <w:tcPr>
            <w:tcW w:w="6420" w:type="dxa"/>
            <w:vAlign w:val="bottom"/>
          </w:tcPr>
          <w:p>
            <w:pPr>
              <w:ind w:left="40"/>
              <w:spacing w:after="0"/>
              <w:rPr>
                <w:sz w:val="20"/>
                <w:szCs w:val="20"/>
                <w:color w:val="auto"/>
              </w:rPr>
            </w:pPr>
            <w:r>
              <w:rPr>
                <w:rFonts w:ascii="Arial" w:cs="Arial" w:eastAsia="Arial" w:hAnsi="Arial"/>
                <w:sz w:val="16"/>
                <w:szCs w:val="16"/>
                <w:color w:val="auto"/>
              </w:rPr>
              <w:t>Subscription</w:t>
            </w:r>
          </w:p>
        </w:tc>
        <w:tc>
          <w:tcPr>
            <w:tcW w:w="2740" w:type="dxa"/>
            <w:vAlign w:val="bottom"/>
          </w:tcPr>
          <w:p>
            <w:pPr>
              <w:jc w:val="right"/>
              <w:ind w:right="179"/>
              <w:spacing w:after="0"/>
              <w:rPr>
                <w:sz w:val="20"/>
                <w:szCs w:val="20"/>
                <w:color w:val="auto"/>
              </w:rPr>
            </w:pPr>
            <w:r>
              <w:rPr>
                <w:rFonts w:ascii="Arial" w:cs="Arial" w:eastAsia="Arial" w:hAnsi="Arial"/>
                <w:sz w:val="16"/>
                <w:szCs w:val="16"/>
                <w:color w:val="auto"/>
              </w:rPr>
              <w:t>46,268</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48,269</w:t>
            </w: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46"/>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7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13,971</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10,856</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r>
      <w:tr>
        <w:trPr>
          <w:trHeight w:val="237"/>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operating revenue</w:t>
            </w:r>
          </w:p>
        </w:tc>
        <w:tc>
          <w:tcPr>
            <w:tcW w:w="2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136,201</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143,786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7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3"/>
        </w:trPr>
        <w:tc>
          <w:tcPr>
            <w:tcW w:w="6420" w:type="dxa"/>
            <w:vAlign w:val="bottom"/>
          </w:tcPr>
          <w:p>
            <w:pPr>
              <w:ind w:left="280"/>
              <w:spacing w:after="0"/>
              <w:rPr>
                <w:sz w:val="20"/>
                <w:szCs w:val="20"/>
                <w:color w:val="auto"/>
              </w:rPr>
            </w:pPr>
            <w:r>
              <w:rPr>
                <w:rFonts w:ascii="Arial" w:cs="Arial" w:eastAsia="Arial" w:hAnsi="Arial"/>
                <w:sz w:val="16"/>
                <w:szCs w:val="16"/>
                <w:color w:val="auto"/>
              </w:rPr>
              <w:t>Compensation</w:t>
            </w:r>
          </w:p>
        </w:tc>
        <w:tc>
          <w:tcPr>
            <w:tcW w:w="2740" w:type="dxa"/>
            <w:vAlign w:val="bottom"/>
          </w:tcPr>
          <w:p>
            <w:pPr>
              <w:jc w:val="right"/>
              <w:ind w:right="179"/>
              <w:spacing w:after="0"/>
              <w:rPr>
                <w:sz w:val="20"/>
                <w:szCs w:val="20"/>
                <w:color w:val="auto"/>
              </w:rPr>
            </w:pPr>
            <w:r>
              <w:rPr>
                <w:rFonts w:ascii="Arial" w:cs="Arial" w:eastAsia="Arial" w:hAnsi="Arial"/>
                <w:sz w:val="16"/>
                <w:szCs w:val="16"/>
                <w:color w:val="auto"/>
              </w:rPr>
              <w:t>47,038</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51,619</w:t>
            </w:r>
          </w:p>
        </w:tc>
        <w:tc>
          <w:tcPr>
            <w:tcW w:w="8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53"/>
        </w:trPr>
        <w:tc>
          <w:tcPr>
            <w:tcW w:w="6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Newsprint and ink</w:t>
            </w:r>
          </w:p>
        </w:tc>
        <w:tc>
          <w:tcPr>
            <w:tcW w:w="27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6,339</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5,838</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r>
      <w:tr>
        <w:trPr>
          <w:trHeight w:val="237"/>
        </w:trPr>
        <w:tc>
          <w:tcPr>
            <w:tcW w:w="64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Other operating expenses</w:t>
            </w:r>
          </w:p>
        </w:tc>
        <w:tc>
          <w:tcPr>
            <w:tcW w:w="2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49,743</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50,357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costs</w:t>
            </w:r>
          </w:p>
        </w:tc>
        <w:tc>
          <w:tcPr>
            <w:tcW w:w="27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103,120</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107,814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37"/>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operating revenue less cash costs</w:t>
            </w:r>
          </w:p>
        </w:tc>
        <w:tc>
          <w:tcPr>
            <w:tcW w:w="2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33,081</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35,972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43"/>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27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7,529</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8,053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33"/>
        </w:trPr>
        <w:tc>
          <w:tcPr>
            <w:tcW w:w="6420" w:type="dxa"/>
            <w:vAlign w:val="bottom"/>
          </w:tcPr>
          <w:p>
            <w:pPr>
              <w:ind w:left="40"/>
              <w:spacing w:after="0"/>
              <w:rPr>
                <w:sz w:val="20"/>
                <w:szCs w:val="20"/>
                <w:color w:val="auto"/>
              </w:rPr>
            </w:pPr>
            <w:r>
              <w:rPr>
                <w:rFonts w:ascii="Arial" w:cs="Arial" w:eastAsia="Arial" w:hAnsi="Arial"/>
                <w:sz w:val="16"/>
                <w:szCs w:val="16"/>
                <w:color w:val="auto"/>
              </w:rPr>
              <w:t>Assets loss (gain) on sales, impairments and other</w:t>
            </w:r>
          </w:p>
        </w:tc>
        <w:tc>
          <w:tcPr>
            <w:tcW w:w="274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NM</w:t>
            </w:r>
          </w:p>
        </w:tc>
      </w:tr>
      <w:tr>
        <w:trPr>
          <w:trHeight w:val="246"/>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Restructuring costs and other</w:t>
            </w:r>
          </w:p>
        </w:tc>
        <w:tc>
          <w:tcPr>
            <w:tcW w:w="27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62</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w:t>
            </w:r>
          </w:p>
        </w:tc>
      </w:tr>
      <w:tr>
        <w:trPr>
          <w:trHeight w:val="237"/>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Operating expenses</w:t>
            </w:r>
          </w:p>
        </w:tc>
        <w:tc>
          <w:tcPr>
            <w:tcW w:w="2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110,611</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116,337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37"/>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associated companies</w:t>
            </w:r>
          </w:p>
        </w:tc>
        <w:tc>
          <w:tcPr>
            <w:tcW w:w="27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2,129</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2,383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37"/>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Operating income</w:t>
            </w:r>
          </w:p>
        </w:tc>
        <w:tc>
          <w:tcPr>
            <w:tcW w:w="2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27,719</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29,832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 (expense):</w:t>
            </w:r>
          </w:p>
        </w:tc>
        <w:tc>
          <w:tcPr>
            <w:tcW w:w="27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3"/>
        </w:trPr>
        <w:tc>
          <w:tcPr>
            <w:tcW w:w="64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740" w:type="dxa"/>
            <w:vAlign w:val="bottom"/>
          </w:tcPr>
          <w:p>
            <w:pPr>
              <w:jc w:val="right"/>
              <w:ind w:right="119"/>
              <w:spacing w:after="0"/>
              <w:rPr>
                <w:sz w:val="20"/>
                <w:szCs w:val="20"/>
                <w:color w:val="auto"/>
              </w:rPr>
            </w:pPr>
            <w:r>
              <w:rPr>
                <w:rFonts w:ascii="Arial" w:cs="Arial" w:eastAsia="Arial" w:hAnsi="Arial"/>
                <w:sz w:val="16"/>
                <w:szCs w:val="16"/>
                <w:color w:val="auto"/>
              </w:rPr>
              <w:t>(12,256)</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(13,650)</w:t>
            </w:r>
          </w:p>
        </w:tc>
        <w:tc>
          <w:tcPr>
            <w:tcW w:w="82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53"/>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financing and administrative cost</w:t>
            </w:r>
          </w:p>
        </w:tc>
        <w:tc>
          <w:tcPr>
            <w:tcW w:w="2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(896)</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(1,096)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37"/>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net</w:t>
            </w:r>
          </w:p>
        </w:tc>
        <w:tc>
          <w:tcPr>
            <w:tcW w:w="2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665</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551</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w:t>
            </w:r>
          </w:p>
        </w:tc>
      </w:tr>
      <w:tr>
        <w:trPr>
          <w:trHeight w:val="237"/>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Non-operating expenses, net</w:t>
            </w:r>
          </w:p>
        </w:tc>
        <w:tc>
          <w:tcPr>
            <w:tcW w:w="27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(12,487)</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(14,195)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33"/>
        </w:trPr>
        <w:tc>
          <w:tcPr>
            <w:tcW w:w="64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740" w:type="dxa"/>
            <w:vAlign w:val="bottom"/>
          </w:tcPr>
          <w:p>
            <w:pPr>
              <w:jc w:val="right"/>
              <w:ind w:right="179"/>
              <w:spacing w:after="0"/>
              <w:rPr>
                <w:sz w:val="20"/>
                <w:szCs w:val="20"/>
                <w:color w:val="auto"/>
              </w:rPr>
            </w:pPr>
            <w:r>
              <w:rPr>
                <w:rFonts w:ascii="Arial" w:cs="Arial" w:eastAsia="Arial" w:hAnsi="Arial"/>
                <w:sz w:val="16"/>
                <w:szCs w:val="16"/>
                <w:color w:val="auto"/>
              </w:rPr>
              <w:t>15,232</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15,637</w:t>
            </w: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46"/>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27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4,513</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(19,690)</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NM</w:t>
            </w:r>
          </w:p>
        </w:tc>
      </w:tr>
      <w:tr>
        <w:trPr>
          <w:trHeight w:val="233"/>
        </w:trPr>
        <w:tc>
          <w:tcPr>
            <w:tcW w:w="64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740" w:type="dxa"/>
            <w:vAlign w:val="bottom"/>
          </w:tcPr>
          <w:p>
            <w:pPr>
              <w:jc w:val="right"/>
              <w:ind w:right="179"/>
              <w:spacing w:after="0"/>
              <w:rPr>
                <w:sz w:val="20"/>
                <w:szCs w:val="20"/>
                <w:color w:val="auto"/>
              </w:rPr>
            </w:pPr>
            <w:r>
              <w:rPr>
                <w:rFonts w:ascii="Arial" w:cs="Arial" w:eastAsia="Arial" w:hAnsi="Arial"/>
                <w:sz w:val="16"/>
                <w:szCs w:val="16"/>
                <w:color w:val="auto"/>
              </w:rPr>
              <w:t>10,719</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35,327</w:t>
            </w:r>
          </w:p>
        </w:tc>
        <w:tc>
          <w:tcPr>
            <w:tcW w:w="82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46"/>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27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(358)</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(324)</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r>
      <w:tr>
        <w:trPr>
          <w:trHeight w:val="233"/>
        </w:trPr>
        <w:tc>
          <w:tcPr>
            <w:tcW w:w="6420" w:type="dxa"/>
            <w:vAlign w:val="bottom"/>
          </w:tcPr>
          <w:p>
            <w:pPr>
              <w:ind w:left="40"/>
              <w:spacing w:after="0"/>
              <w:rPr>
                <w:sz w:val="20"/>
                <w:szCs w:val="20"/>
                <w:color w:val="auto"/>
              </w:rPr>
            </w:pPr>
            <w:r>
              <w:rPr>
                <w:rFonts w:ascii="Arial" w:cs="Arial" w:eastAsia="Arial" w:hAnsi="Arial"/>
                <w:sz w:val="16"/>
                <w:szCs w:val="16"/>
                <w:color w:val="auto"/>
              </w:rPr>
              <w:t>Income attributable to Lee Enterprises, Incorporated</w:t>
            </w:r>
          </w:p>
        </w:tc>
        <w:tc>
          <w:tcPr>
            <w:tcW w:w="2740" w:type="dxa"/>
            <w:vAlign w:val="bottom"/>
          </w:tcPr>
          <w:p>
            <w:pPr>
              <w:jc w:val="right"/>
              <w:ind w:right="179"/>
              <w:spacing w:after="0"/>
              <w:rPr>
                <w:sz w:val="20"/>
                <w:szCs w:val="20"/>
                <w:color w:val="auto"/>
              </w:rPr>
            </w:pPr>
            <w:r>
              <w:rPr>
                <w:rFonts w:ascii="Arial" w:cs="Arial" w:eastAsia="Arial" w:hAnsi="Arial"/>
                <w:sz w:val="16"/>
                <w:szCs w:val="16"/>
                <w:color w:val="auto"/>
              </w:rPr>
              <w:t>10,361</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35,003</w:t>
            </w:r>
          </w:p>
        </w:tc>
        <w:tc>
          <w:tcPr>
            <w:tcW w:w="820" w:type="dxa"/>
            <w:vAlign w:val="bottom"/>
          </w:tcPr>
          <w:p>
            <w:pPr>
              <w:jc w:val="right"/>
              <w:spacing w:after="0"/>
              <w:rPr>
                <w:sz w:val="20"/>
                <w:szCs w:val="20"/>
                <w:color w:val="auto"/>
              </w:rPr>
            </w:pPr>
            <w:r>
              <w:rPr>
                <w:rFonts w:ascii="Arial" w:cs="Arial" w:eastAsia="Arial" w:hAnsi="Arial"/>
                <w:sz w:val="16"/>
                <w:szCs w:val="16"/>
                <w:color w:val="auto"/>
              </w:rPr>
              <w:t>(70.4)</w:t>
            </w:r>
          </w:p>
        </w:tc>
      </w:tr>
      <w:tr>
        <w:trPr>
          <w:trHeight w:val="246"/>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income taxes</w:t>
            </w:r>
          </w:p>
        </w:tc>
        <w:tc>
          <w:tcPr>
            <w:tcW w:w="27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(122)</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NM</w:t>
            </w:r>
          </w:p>
        </w:tc>
      </w:tr>
      <w:tr>
        <w:trPr>
          <w:trHeight w:val="237"/>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Comprehensive income attributable to Lee Enterprises, Incorporated</w:t>
            </w:r>
          </w:p>
        </w:tc>
        <w:tc>
          <w:tcPr>
            <w:tcW w:w="2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10,239</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35,030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w:t>
            </w: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common share:</w:t>
            </w:r>
          </w:p>
        </w:tc>
        <w:tc>
          <w:tcPr>
            <w:tcW w:w="27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3"/>
        </w:trPr>
        <w:tc>
          <w:tcPr>
            <w:tcW w:w="6420" w:type="dxa"/>
            <w:vAlign w:val="bottom"/>
          </w:tcPr>
          <w:p>
            <w:pPr>
              <w:ind w:left="240"/>
              <w:spacing w:after="0"/>
              <w:rPr>
                <w:sz w:val="20"/>
                <w:szCs w:val="20"/>
                <w:color w:val="auto"/>
              </w:rPr>
            </w:pPr>
            <w:r>
              <w:rPr>
                <w:rFonts w:ascii="Arial" w:cs="Arial" w:eastAsia="Arial" w:hAnsi="Arial"/>
                <w:sz w:val="16"/>
                <w:szCs w:val="16"/>
                <w:color w:val="auto"/>
              </w:rPr>
              <w:t>Basic</w:t>
            </w:r>
          </w:p>
        </w:tc>
        <w:tc>
          <w:tcPr>
            <w:tcW w:w="2740" w:type="dxa"/>
            <w:vAlign w:val="bottom"/>
          </w:tcPr>
          <w:p>
            <w:pPr>
              <w:jc w:val="right"/>
              <w:ind w:right="179"/>
              <w:spacing w:after="0"/>
              <w:rPr>
                <w:sz w:val="20"/>
                <w:szCs w:val="20"/>
                <w:color w:val="auto"/>
              </w:rPr>
            </w:pPr>
            <w:r>
              <w:rPr>
                <w:rFonts w:ascii="Arial" w:cs="Arial" w:eastAsia="Arial" w:hAnsi="Arial"/>
                <w:sz w:val="16"/>
                <w:szCs w:val="16"/>
                <w:color w:val="auto"/>
              </w:rPr>
              <w:t>0.19</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0.64</w:t>
            </w:r>
          </w:p>
        </w:tc>
        <w:tc>
          <w:tcPr>
            <w:tcW w:w="820" w:type="dxa"/>
            <w:vAlign w:val="bottom"/>
          </w:tcPr>
          <w:p>
            <w:pPr>
              <w:jc w:val="right"/>
              <w:spacing w:after="0"/>
              <w:rPr>
                <w:sz w:val="20"/>
                <w:szCs w:val="20"/>
                <w:color w:val="auto"/>
              </w:rPr>
            </w:pPr>
            <w:r>
              <w:rPr>
                <w:rFonts w:ascii="Arial" w:cs="Arial" w:eastAsia="Arial" w:hAnsi="Arial"/>
                <w:sz w:val="16"/>
                <w:szCs w:val="16"/>
                <w:color w:val="auto"/>
              </w:rPr>
              <w:t>(70.3)</w:t>
            </w:r>
          </w:p>
        </w:tc>
      </w:tr>
      <w:tr>
        <w:trPr>
          <w:trHeight w:val="246"/>
        </w:trPr>
        <w:tc>
          <w:tcPr>
            <w:tcW w:w="6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7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0.18</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0.63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References to the "2019 Quarter" refer to the 13 weeks ended December 30, 2018. Similarly, references to the "2018 Quarter" refer to the 13 weeks ended December 24, 2017.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2019 Quarter, advertising and marketing services revenue decreased $8,698,000, or 10.3%, compared to the 2018 Quarter. The decrease in advertising and marketing services revenue is due to softness in print advertising demand resulting in reduced advertising volume primarily from large retail, big box stores and classifieds.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Digital advertising increased 8.0% to $ 25,494,000 in the 2019 Quarter and represents 33.6% of total advertising and marketing services revenue. Digital retail advertising, which represents 63.3% of total digital advertising, increased 10.1%, partially offsetting print declines.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Subscription revenue decreased $2,001,000, or 4.1%, in the 2019 Quarter. Strategic pricing programs and premium content helped offset lower paid circulation units. Our average daily newspaper circulation, including TNI, MNI and digital subscribers, totaled 0.7 million in the 2019 Quarter. Sunday circulation totaled 1.1 million.</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40"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revenue, which consists of digital services, Management Agreement revenues, commercial printing, revenue from delivery of third party products and the sale of books, increased 28.7% in the 2019 Quarter. The increase was due to revenue at TownNews as well as management fees under the Management Agreement with BH Media.</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Excluding intercompany activity, revenue at TownNews increased 25.5% in the 2019 Quarter, due to an increase in customers, including broadcast, and monetizing digital audience with programmatic digital advertising revenue. On a stand alone basis, revenue at TownNews totaled $19,797,000 over the last twelve months.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2019 Quarter, our mobile, tablet, desktop and app sites, including TNI and MNI, attracted a monthly average of 29.0 million unique visitors, with 289.0 million page views, a 17.3% increase in page views compared to the 2018 Quarter. Increased audience engagement is driving a higher number pages viewed per user session in the 2019 Quarter. Research in our larger markets indicates we are maintaining our share of audience in our markets through the combination of strong digital audience growth and print newspaper readership.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$254,000 in the 2019 Quarter.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2019 Quarter decreased 4.9%. Cash costs decreased 4.4% compared to the prior year quarter.</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Compensation expense decreased $4,581,000, or 8.9%, driven by a 13.9% decline in average full-time equivalent employees. Outsourcing certain functions and continued business transformation affected the number of full-time equivalents in the 2019 Quarter.</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Newsprint and ink costs increased $ 501,000, or 8.6%, due to significant increases in newsprint prices partially offset by a 10.8% reduction in newsprint volume from unit declines. See Item 3, “Commodities”, included herein, for further discussion and analysis of the impact of newsprint prices on our business.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operating expenses for the 2019 Quarter decreased $614,000, or 1.2%. Other operating expenses include all operating costs not considered to be compensation, newsprint, depreciation and amortization, or restructuring costs and other. The largest components of these costs include delivery, postage, outsourced printing, digital cost of goods sold and facility expenses. Cost reductions were primarily related to lower delivery and other print-related costs offset in part by higher costs associated with growing digital revenue and outsourcing.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decreased $562,000, or 15.0%, and amortization expense increased $38,000, or 0.9%, in the 2019 Quarter.</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Assets loss (gain) on sales, impairments and other, was a net gain of $100,000 in the 2019 Quarter compared to a net loss of $2,000 in the 2018 Quarter.</w:t>
      </w:r>
    </w:p>
    <w:p>
      <w:pPr>
        <w:spacing w:after="0" w:line="19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Restructuring costs totaled $62,000 and $468,000 in the 2019 Quarter and 2018 Quarter, respectively. The majority or restructuring costs relate to severance.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$27,719,000 in the 2019 Quarter compared to $29,832,000 in the 2018 Quarter.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Interest expense decreased $1,394,000, or 10.2%, to $12,256,000 in the 2019 Quarter due to lower debt balances. Our weighted average cost of debt, excluding amortization of debt financing costs, was 10.0% at the end of the 2019 Quarter compared to 9.9% at the end of the 2018 Quarter, as the majority of our debt repayments were made on our lowest cost debt.</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recognized $896,000 of debt financing and administrative costs in the 2019 Quarter compared to $1,096,000 in the 2018 Quarter. The majority of the costs represent amortization of refinancing costs paid in 2014.</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recorded $711,000 of other periodic pension benefits in the 2019 Quarter and $708,000 in the 2018 Quarter.</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Due to the fluctuation in the price of our Common Stock, we recorded non-operating income of $80,000 in the 2019 Quarter and non-operating expense of $431,000 in the 2018 Quarter, related to the changes in the value of the Warrants.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Overall Results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2017 Tax Act was signed into law. Among other provisions, the 2017 Tax Act reduced the federal statutory corporate income tax rate from 35% to 21%. The reduction of the corporate tax rate caused us to re-measure our deferred tax assets and liabilities to the lower federal base rate of 21% in the 2018 Quarter. We reported a discrete adjustment from revaluing our deferred tax assets and liabilities resulting in a net decrease in income tax expense of $24,872,000 in the 2018 Quarter.</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recorded an income tax expense of $4,513,000, or 29.6%, of pretax income in the 2019 Quarter. For the 13 weeks ended December 24,2017, we recognized a $ 19,690,000 income tax benefit. Excluding the transitional impact from the 2017 Tax Act, the effective income tax rate for the 13 weeks ended December 24, 2017 was 33.1%.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table summarizes the fair value adjustments of our Warrants and the impact from 2017 Tax Act on income attributable to Lee Enterprises, Incorporated and earnings per diluted common share. Per share amounts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13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December 30</w:t>
            </w:r>
          </w:p>
        </w:tc>
        <w:tc>
          <w:tcPr>
            <w:tcW w:w="1140" w:type="dxa"/>
            <w:vAlign w:val="bottom"/>
          </w:tcPr>
          <w:p>
            <w:pPr>
              <w:spacing w:after="0"/>
              <w:rPr>
                <w:sz w:val="17"/>
                <w:szCs w:val="17"/>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December 24</w:t>
            </w:r>
          </w:p>
        </w:tc>
      </w:tr>
      <w:tr>
        <w:trPr>
          <w:trHeight w:val="224"/>
        </w:trPr>
        <w:tc>
          <w:tcPr>
            <w:tcW w:w="54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r>
      <w:tr>
        <w:trPr>
          <w:trHeight w:val="250"/>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(Thousands of Dollars, Except Per Share Data)</w:t>
            </w:r>
          </w:p>
        </w:tc>
        <w:tc>
          <w:tcPr>
            <w:tcW w:w="1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Amount</w:t>
            </w: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Per Share</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Amount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Per Share</w:t>
            </w:r>
          </w:p>
        </w:tc>
      </w:tr>
      <w:tr>
        <w:trPr>
          <w:trHeight w:val="371"/>
        </w:trPr>
        <w:tc>
          <w:tcPr>
            <w:tcW w:w="5420" w:type="dxa"/>
            <w:vAlign w:val="bottom"/>
          </w:tcPr>
          <w:p>
            <w:pPr>
              <w:ind w:left="40"/>
              <w:spacing w:after="0"/>
              <w:rPr>
                <w:sz w:val="20"/>
                <w:szCs w:val="20"/>
                <w:color w:val="auto"/>
              </w:rPr>
            </w:pPr>
            <w:r>
              <w:rPr>
                <w:rFonts w:ascii="Arial" w:cs="Arial" w:eastAsia="Arial" w:hAnsi="Arial"/>
                <w:sz w:val="18"/>
                <w:szCs w:val="18"/>
                <w:color w:val="auto"/>
              </w:rPr>
              <w:t>Income attributable to Lee Enterprises, Incorporated, as reported</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10,361</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0.18</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35,003</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0.63</w:t>
            </w:r>
          </w:p>
        </w:tc>
      </w:tr>
      <w:tr>
        <w:trPr>
          <w:trHeight w:val="27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(tax affected):</w:t>
            </w:r>
          </w:p>
        </w:tc>
        <w:tc>
          <w:tcPr>
            <w:tcW w:w="19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50"/>
        </w:trPr>
        <w:tc>
          <w:tcPr>
            <w:tcW w:w="5420" w:type="dxa"/>
            <w:vAlign w:val="bottom"/>
          </w:tcPr>
          <w:p>
            <w:pPr>
              <w:ind w:left="280"/>
              <w:spacing w:after="0"/>
              <w:rPr>
                <w:sz w:val="20"/>
                <w:szCs w:val="20"/>
                <w:color w:val="auto"/>
              </w:rPr>
            </w:pPr>
            <w:r>
              <w:rPr>
                <w:rFonts w:ascii="Arial" w:cs="Arial" w:eastAsia="Arial" w:hAnsi="Arial"/>
                <w:sz w:val="18"/>
                <w:szCs w:val="18"/>
                <w:color w:val="auto"/>
              </w:rPr>
              <w:t>Warrants fair value adjustment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431</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5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Income tax effect of 2017 Tax Act</w:t>
            </w:r>
          </w:p>
        </w:tc>
        <w:tc>
          <w:tcPr>
            <w:tcW w:w="1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64"/>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attributable to Lee Enterprises, Incorporated, as adjusted</w:t>
            </w:r>
          </w:p>
        </w:tc>
        <w:tc>
          <w:tcPr>
            <w:tcW w:w="1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10,281</w:t>
            </w: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0.18</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10,562</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r>
      <w:tr>
        <w:trPr>
          <w:trHeight w:val="675"/>
        </w:trPr>
        <w:tc>
          <w:tcPr>
            <w:tcW w:w="5420" w:type="dxa"/>
            <w:vAlign w:val="bottom"/>
          </w:tcPr>
          <w:p>
            <w:pPr>
              <w:spacing w:after="0"/>
              <w:rPr>
                <w:sz w:val="24"/>
                <w:szCs w:val="24"/>
                <w:color w:val="auto"/>
              </w:rPr>
            </w:pPr>
          </w:p>
        </w:tc>
        <w:tc>
          <w:tcPr>
            <w:tcW w:w="1940" w:type="dxa"/>
            <w:vAlign w:val="bottom"/>
          </w:tcPr>
          <w:p>
            <w:pPr>
              <w:jc w:val="right"/>
              <w:ind w:right="1450"/>
              <w:spacing w:after="0"/>
              <w:rPr>
                <w:sz w:val="20"/>
                <w:szCs w:val="20"/>
                <w:color w:val="auto"/>
              </w:rPr>
            </w:pPr>
            <w:r>
              <w:rPr>
                <w:rFonts w:ascii="Arial" w:cs="Arial" w:eastAsia="Arial" w:hAnsi="Arial"/>
                <w:sz w:val="18"/>
                <w:szCs w:val="18"/>
                <w:color w:val="auto"/>
              </w:rPr>
              <w:t>27</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was $19,407,000 in the 2019 Quarter and $21,178,000 in the 2018 Quarter. Net income for the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 totaled $10,719,000 compared to $35,327,000 in the 2018 Quarter. The decrease in cash provided by operating activities in the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 is mainly attributed to year-over-year changes in operating income.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required for investing activities totaled $1,395,000 in the 2019 Quarter compared to $1,056,000 in the 2018 Quarter. Capital spending totaled $1,002,000 in the 2019 Quarter compared to $1,103,000 in the 2018 Quarter.</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anticipate that funds necessary for capital expenditures, which are expected to total up to $11,000,000 in 2019, and other requirements, will be available from internally generated funds or available under our Revolving Facility.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required for financing activities totaled $7,483,000 in the 2019 Quarter and $16,897,000 in the 2018 Quarter. Debt reduction accounted for the majority of the usage of funds in both the 2019 Quarter and the 2018 Quarter.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30, 2018, after consideration of letters of credit, we have approximately $21,435,000 available for future use under our Revolving Facility. Including cash and availability under our Revolving Facility, our liquidity at December 30, 2018 totals $37,344,000. This liquidity amount excludes any future cash flows. We expect all interest and principal payments due in the next twelve months will be satisfied by our cash flows, which will allow us to maintain an adequate level of liquidity. The Warrants, if and when exercised, would provide additional liquidity in an amount up to $25,140,000.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Revolving Facility expires December 28, 2019.</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30, 2018, the principal amount of our outstanding debt totals $477,832,000. The December 30, 2018 principal amount of debt, net of cash, is 3.6 times our trailing 12 months adjusted EBITDA.</w:t>
      </w: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There are numerous potential consequences under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if an event of default, as defined, occurs and is not remedied. Many of those consequences are beyond our control. The occurrence of one or more events of default would give rise to the right of the applicable lender(s) to exercise their remedies under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21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repay, refinance or amend our debt agreements as they become due, if available liquidity is consumed.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December 30, 2018.</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February 2017 our filing of a replacement Form S-3 registration statement ("Shelf") with the SEC, was declared effective and expires February 2020. The Shelf registration gives us the flexibility to issue and publicly distribute various types of securities, including preferred stock, common stock, warrants, secured or unsecured debt securities, purchase contracts and units consisting of any combination of such securities, from time to time, in one or more offerings, up to an aggregate amount of $750,000,000. SEC issuer eligibility rules require us to have a public float of at least $75,000,000 in order to use the Shelf. Subject to maintenance of the minimum level of equity market float and the conditions of our existing debt agreements, the Shelf may enable us to sell securities quickly and efficiently when market conditions are favorable or financing needs arise. Under our existing debt agreements, net proceeds from the sale of any securities may be used generally to reduce debt.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2012, the Surface Transportation Extension Act of 2012 (“STEA”) was signed into law. STEA provides for changes in the determination of discount rates that result in a near-term reduction in minimum funding requirements for our defined benefit pension plans. STEA will also result in an increase in future premiums to be paid to the Pension Benefit Guarantee Corporation ("PBGC").</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2014, the Highway and Transportation Funding Act ("HATFA") was signed into law. HATFA generally extends the relief offered under STEA and further increases premiums to be paid to the PBGC.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2017 Tax Act was signed into law. Among other provisions, the 2017 Tax Act reduces the federal statutory corporate income tax rate from 35% to 21%. The reduction of the corporate tax rate caused us to re-measure our deferred tax assets and liabilities to the lower federal base rate of 21%. We reported a discrete adjustment from revaluing our deferred tax assets and liabilities which resulted in a provisional net decrease in income tax expense of $24,872,000 for the 13 weeks ended December 24, 2017.</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Securities Exchange Commission has issued rules that allow for a measurement period of up to one year after the enactment date of the 2017 Tax Act to finalize the recording of the related transitional impact. Apart from any future changes in interpretations, legislative action or changes in accounting standards, we finalized and recorded the resulting adjustments as of September 30, 2018.</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states in which we operate periodically consider changes to their corporate income tax rates. Until such changes are enacted, the impact of such changes cannot be determined.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earn an amount in excess of the current United States or state minimum wage rates. However, until changes to such rates are enacted, the impact of the changes cannot be determined.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Price increases (or decreases) for our products or services are implemented when deemed appropriate by us. We continuously evaluate price increases, productivity improvements, sourcing efficiencies and other cost reductions to mitigate the impact of inflation.</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At December 30, 2018, we had no floating rate debt outstanding. We have no interest rate hedging instruments in place.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Newsprint prices increased in the 2019 Quarter as a result of tightening supply versus demand for newsprint as well as a general reduction in newsprint production capacity as Canadian producers shifted production to the United States. A portion of the price increases were offset by reduced consumption of newsprint by the Company.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long-term supply strategy is to align the Company with those cost-effective suppliers most likely to continue producing and supplying newsprint to the North American market and geographically aligned with our print locations. Where possible the Company will align supply with the lowest cost material, but may be restricted due to current supply chain tightness and paper production availability.</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 $10 per tonne price increase for 30 pound newsprint would result in an annualized reduction in income before taxes of approximately $400,000 based on anticipated consumption in 2019, excluding consumption of TNI and MNI and the impact of LIFO accounting.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debt consists of $385,000,000 principal amount of the Notes and $92,832,000 principal amount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which are subject to fixed interest rates. At December 30, 2018, based on an average of private market price quotations, the fair values were $390,293,750 and $91,903,892 for the Notes and 2nd Lien Term Loan, respectively.</w:t>
      </w:r>
    </w:p>
    <w:p>
      <w:pPr>
        <w:spacing w:after="0" w:line="19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Quarterly Report on Form 10-Q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13 weeks ended December 30, 2018 that have materially affected, or are reasonably likely to materially affect, our internal control over financial reporting.</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135"/>
        </w:trPr>
        <w:tc>
          <w:tcPr>
            <w:tcW w:w="820" w:type="dxa"/>
            <w:vAlign w:val="bottom"/>
            <w:tcBorders>
              <w:bottom w:val="single" w:sz="8" w:color="auto"/>
            </w:tcBorders>
          </w:tcPr>
          <w:p>
            <w:pPr>
              <w:spacing w:after="0"/>
              <w:rPr>
                <w:sz w:val="11"/>
                <w:szCs w:val="11"/>
                <w:color w:val="auto"/>
              </w:rPr>
            </w:pPr>
          </w:p>
        </w:tc>
        <w:tc>
          <w:tcPr>
            <w:tcW w:w="75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57"/>
        </w:trPr>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Number</w:t>
            </w:r>
          </w:p>
        </w:tc>
        <w:tc>
          <w:tcPr>
            <w:tcW w:w="7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color w:val="auto"/>
              </w:rPr>
              <w:t>Description</w:t>
            </w:r>
          </w:p>
        </w:tc>
      </w:tr>
      <w:tr>
        <w:trPr>
          <w:trHeight w:val="122"/>
        </w:trPr>
        <w:tc>
          <w:tcPr>
            <w:tcW w:w="82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75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0000FF"/>
            </w:tcBorders>
            <w:gridSpan w:val="2"/>
            <w:shd w:val="clear" w:color="auto" w:fill="CCEEFF"/>
          </w:tcPr>
          <w:p>
            <w:pPr>
              <w:jc w:val="right"/>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Rule 13a-14(a)/15d-14(a) certification</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16"/>
        </w:trPr>
        <w:tc>
          <w:tcPr>
            <w:tcW w:w="820" w:type="dxa"/>
            <w:vAlign w:val="bottom"/>
          </w:tcPr>
          <w:p>
            <w:pPr>
              <w:ind w:left="40"/>
              <w:spacing w:after="0"/>
              <w:rPr>
                <w:sz w:val="20"/>
                <w:szCs w:val="20"/>
                <w:color w:val="auto"/>
              </w:rPr>
            </w:pPr>
            <w:r>
              <w:rPr>
                <w:rFonts w:ascii="Arial" w:cs="Arial" w:eastAsia="Arial" w:hAnsi="Arial"/>
                <w:sz w:val="18"/>
                <w:szCs w:val="18"/>
                <w:color w:val="auto"/>
              </w:rPr>
              <w:t>31.2</w:t>
            </w:r>
          </w:p>
        </w:tc>
        <w:tc>
          <w:tcPr>
            <w:tcW w:w="7580" w:type="dxa"/>
            <w:vAlign w:val="bottom"/>
          </w:tcPr>
          <w:p>
            <w:pPr>
              <w:spacing w:after="0"/>
              <w:rPr>
                <w:sz w:val="18"/>
                <w:szCs w:val="18"/>
                <w:color w:val="auto"/>
              </w:rPr>
            </w:pPr>
          </w:p>
        </w:tc>
        <w:tc>
          <w:tcPr>
            <w:tcW w:w="3020" w:type="dxa"/>
            <w:vAlign w:val="bottom"/>
            <w:gridSpan w:val="3"/>
          </w:tcPr>
          <w:p>
            <w:pPr>
              <w:jc w:val="right"/>
              <w:ind w:right="20"/>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Rule 13a-14(a)/15d-14(a) certification</w:t>
              </w:r>
            </w:hyperlink>
          </w:p>
        </w:tc>
      </w:tr>
      <w:tr>
        <w:trPr>
          <w:trHeight w:val="34"/>
        </w:trPr>
        <w:tc>
          <w:tcPr>
            <w:tcW w:w="8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75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gridSpan w:val="2"/>
            <w:shd w:val="clear" w:color="auto" w:fill="CCEEFF"/>
          </w:tcPr>
          <w:p>
            <w:pPr>
              <w:jc w:val="right"/>
              <w:ind w:right="20"/>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Section 1350 certification</w:t>
              </w:r>
            </w:hyperlink>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LEE ENTERPRISES, INCORPORATED</w:t>
      </w:r>
    </w:p>
    <w:p>
      <w:pPr>
        <w:spacing w:after="0" w:line="185" w:lineRule="exact"/>
        <w:rPr>
          <w:sz w:val="20"/>
          <w:szCs w:val="20"/>
          <w:color w:val="auto"/>
        </w:rPr>
      </w:pPr>
    </w:p>
    <w:p>
      <w:pPr>
        <w:ind w:left="1140"/>
        <w:spacing w:after="0"/>
        <w:tabs>
          <w:tab w:leader="none" w:pos="8900" w:val="left"/>
        </w:tabs>
        <w:rPr>
          <w:sz w:val="20"/>
          <w:szCs w:val="20"/>
          <w:color w:val="auto"/>
        </w:rPr>
      </w:pPr>
      <w:r>
        <w:rPr>
          <w:rFonts w:ascii="Arial" w:cs="Arial" w:eastAsia="Arial" w:hAnsi="Arial"/>
          <w:sz w:val="18"/>
          <w:szCs w:val="18"/>
          <w:color w:val="auto"/>
        </w:rPr>
        <w:t>/s/ Timothy R. Millage</w:t>
      </w:r>
      <w:r>
        <w:rPr>
          <w:sz w:val="20"/>
          <w:szCs w:val="20"/>
          <w:color w:val="auto"/>
        </w:rPr>
        <w:tab/>
      </w:r>
      <w:r>
        <w:rPr>
          <w:rFonts w:ascii="Arial" w:cs="Arial" w:eastAsia="Arial" w:hAnsi="Arial"/>
          <w:sz w:val="18"/>
          <w:szCs w:val="18"/>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7870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4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Timothy R. Millage</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(Principal Financial and Accounting Officer)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Exhibit 31.1</w:t>
      </w:r>
    </w:p>
    <w:p>
      <w:pPr>
        <w:spacing w:after="0" w:line="20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60" w:hanging="63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212" w:lineRule="exact"/>
        <w:rPr>
          <w:sz w:val="20"/>
          <w:szCs w:val="20"/>
          <w:color w:val="auto"/>
        </w:rPr>
      </w:pPr>
    </w:p>
    <w:p>
      <w:pPr>
        <w:ind w:left="1160" w:right="80" w:hanging="63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3" w:lineRule="exact"/>
        <w:rPr>
          <w:sz w:val="20"/>
          <w:szCs w:val="20"/>
          <w:color w:val="auto"/>
        </w:rPr>
      </w:pPr>
    </w:p>
    <w:p>
      <w:pPr>
        <w:jc w:val="both"/>
        <w:ind w:left="1160" w:hanging="63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3" w:lineRule="exact"/>
        <w:rPr>
          <w:sz w:val="20"/>
          <w:szCs w:val="20"/>
          <w:color w:val="auto"/>
        </w:rPr>
      </w:pPr>
    </w:p>
    <w:p>
      <w:pPr>
        <w:ind w:left="1160" w:right="160" w:hanging="63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8"/>
          <w:szCs w:val="18"/>
          <w:color w:val="auto"/>
        </w:rPr>
      </w:pPr>
    </w:p>
    <w:p>
      <w:pPr>
        <w:ind w:left="2100" w:right="20" w:hanging="519"/>
        <w:spacing w:after="0" w:line="239" w:lineRule="auto"/>
        <w:tabs>
          <w:tab w:leader="none" w:pos="2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1" w:lineRule="exact"/>
        <w:rPr>
          <w:rFonts w:ascii="Arial" w:cs="Arial" w:eastAsia="Arial" w:hAnsi="Arial"/>
          <w:sz w:val="18"/>
          <w:szCs w:val="18"/>
          <w:color w:val="auto"/>
        </w:rPr>
      </w:pPr>
    </w:p>
    <w:p>
      <w:pPr>
        <w:ind w:left="2100" w:right="60" w:hanging="519"/>
        <w:spacing w:after="0" w:line="239" w:lineRule="auto"/>
        <w:tabs>
          <w:tab w:leader="none" w:pos="2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2100" w:right="140" w:hanging="519"/>
        <w:spacing w:after="0"/>
        <w:tabs>
          <w:tab w:leader="none" w:pos="2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2" w:lineRule="exact"/>
        <w:rPr>
          <w:rFonts w:ascii="Arial" w:cs="Arial" w:eastAsia="Arial" w:hAnsi="Arial"/>
          <w:sz w:val="18"/>
          <w:szCs w:val="18"/>
          <w:color w:val="auto"/>
        </w:rPr>
      </w:pPr>
    </w:p>
    <w:p>
      <w:pPr>
        <w:ind w:left="2100" w:right="60" w:hanging="519"/>
        <w:spacing w:after="0" w:line="239" w:lineRule="auto"/>
        <w:tabs>
          <w:tab w:leader="none" w:pos="2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left="1160" w:right="80" w:hanging="63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2100" w:right="20" w:hanging="519"/>
        <w:spacing w:after="0"/>
        <w:tabs>
          <w:tab w:leader="none" w:pos="2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2100" w:right="100" w:hanging="519"/>
        <w:spacing w:after="0" w:line="246" w:lineRule="auto"/>
        <w:tabs>
          <w:tab w:leader="none" w:pos="2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4124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4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Kevin D. Mowbray</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840"/>
          </w:cols>
          <w:pgMar w:left="240" w:top="598" w:right="8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Exhibit 31.2</w:t>
      </w:r>
    </w:p>
    <w:p>
      <w:pPr>
        <w:spacing w:after="0" w:line="20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387" w:lineRule="exact"/>
        <w:rPr>
          <w:sz w:val="20"/>
          <w:szCs w:val="20"/>
          <w:color w:val="auto"/>
        </w:rPr>
      </w:pPr>
    </w:p>
    <w:p>
      <w:pPr>
        <w:ind w:left="1360" w:hanging="832"/>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212" w:lineRule="exact"/>
        <w:rPr>
          <w:sz w:val="20"/>
          <w:szCs w:val="20"/>
          <w:color w:val="auto"/>
        </w:rPr>
      </w:pPr>
    </w:p>
    <w:p>
      <w:pPr>
        <w:ind w:left="1360" w:right="80" w:hanging="832"/>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3" w:lineRule="exact"/>
        <w:rPr>
          <w:sz w:val="20"/>
          <w:szCs w:val="20"/>
          <w:color w:val="auto"/>
        </w:rPr>
      </w:pPr>
    </w:p>
    <w:p>
      <w:pPr>
        <w:ind w:left="1360" w:right="300" w:hanging="832"/>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3" w:lineRule="exact"/>
        <w:rPr>
          <w:sz w:val="20"/>
          <w:szCs w:val="20"/>
          <w:color w:val="auto"/>
        </w:rPr>
      </w:pPr>
    </w:p>
    <w:p>
      <w:pPr>
        <w:ind w:left="1360" w:hanging="832"/>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8"/>
          <w:szCs w:val="18"/>
          <w:color w:val="auto"/>
        </w:rPr>
      </w:pPr>
    </w:p>
    <w:p>
      <w:pPr>
        <w:ind w:left="2620" w:right="120" w:hanging="728"/>
        <w:spacing w:after="0" w:line="239" w:lineRule="auto"/>
        <w:tabs>
          <w:tab w:leader="none" w:pos="2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1" w:lineRule="exact"/>
        <w:rPr>
          <w:rFonts w:ascii="Arial" w:cs="Arial" w:eastAsia="Arial" w:hAnsi="Arial"/>
          <w:sz w:val="18"/>
          <w:szCs w:val="18"/>
          <w:color w:val="auto"/>
        </w:rPr>
      </w:pPr>
    </w:p>
    <w:p>
      <w:pPr>
        <w:ind w:left="2620" w:right="360" w:hanging="728"/>
        <w:spacing w:after="0" w:line="239" w:lineRule="auto"/>
        <w:tabs>
          <w:tab w:leader="none" w:pos="2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2620" w:right="40" w:hanging="728"/>
        <w:spacing w:after="0"/>
        <w:tabs>
          <w:tab w:leader="none" w:pos="2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2" w:lineRule="exact"/>
        <w:rPr>
          <w:rFonts w:ascii="Arial" w:cs="Arial" w:eastAsia="Arial" w:hAnsi="Arial"/>
          <w:sz w:val="18"/>
          <w:szCs w:val="18"/>
          <w:color w:val="auto"/>
        </w:rPr>
      </w:pPr>
    </w:p>
    <w:p>
      <w:pPr>
        <w:ind w:left="2620" w:right="60" w:hanging="728"/>
        <w:spacing w:after="0" w:line="239" w:lineRule="auto"/>
        <w:tabs>
          <w:tab w:leader="none" w:pos="2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left="1360" w:right="320" w:hanging="832"/>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2" w:lineRule="exact"/>
        <w:rPr>
          <w:rFonts w:ascii="Arial" w:cs="Arial" w:eastAsia="Arial" w:hAnsi="Arial"/>
          <w:sz w:val="18"/>
          <w:szCs w:val="18"/>
          <w:color w:val="auto"/>
        </w:rPr>
      </w:pPr>
    </w:p>
    <w:p>
      <w:pPr>
        <w:ind w:left="2620" w:right="260" w:hanging="728"/>
        <w:spacing w:after="0"/>
        <w:tabs>
          <w:tab w:leader="none" w:pos="2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2620" w:right="820" w:hanging="728"/>
        <w:spacing w:after="0" w:line="246" w:lineRule="auto"/>
        <w:tabs>
          <w:tab w:leader="none" w:pos="2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2019</w:t>
      </w: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14605</wp:posOffset>
            </wp:positionV>
            <wp:extent cx="50939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spacing w:after="0" w:line="4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Timothy R. Millage</w:t>
      </w:r>
    </w:p>
    <w:p>
      <w:pPr>
        <w:spacing w:after="0" w:line="6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900"/>
          </w:cols>
          <w:pgMar w:left="240" w:top="598" w:right="7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In accordance with the requirements of Section 906 of the Sarbanes-Oxley Act of 2002 (18 U.S.C. 1350), each of the undersigned hereby certifies that to our knowledge:</w:t>
      </w:r>
    </w:p>
    <w:p>
      <w:pPr>
        <w:spacing w:after="0" w:line="358" w:lineRule="exact"/>
        <w:rPr>
          <w:sz w:val="20"/>
          <w:szCs w:val="20"/>
          <w:color w:val="auto"/>
        </w:rPr>
      </w:pPr>
    </w:p>
    <w:p>
      <w:pPr>
        <w:ind w:left="960" w:right="940" w:hanging="925"/>
        <w:spacing w:after="0" w:line="246"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30, 2018 ("Quarterly Report"), fully complies with the requirements of section 13(a) or 15(d) of the Securities Exchange Act of 1934 (15 U.S.C. 78m or 78o(d)); and</w:t>
      </w:r>
    </w:p>
    <w:p>
      <w:pPr>
        <w:spacing w:after="0" w:line="196" w:lineRule="exact"/>
        <w:rPr>
          <w:rFonts w:ascii="Arial" w:cs="Arial" w:eastAsia="Arial" w:hAnsi="Arial"/>
          <w:sz w:val="18"/>
          <w:szCs w:val="18"/>
          <w:color w:val="auto"/>
        </w:rPr>
      </w:pPr>
    </w:p>
    <w:p>
      <w:pPr>
        <w:ind w:left="960" w:right="520" w:hanging="925"/>
        <w:spacing w:after="0" w:line="246"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2019</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Kevin D. Mowbray</w:t>
            </w:r>
          </w:p>
        </w:tc>
        <w:tc>
          <w:tcPr>
            <w:tcW w:w="120" w:type="dxa"/>
            <w:vAlign w:val="bottom"/>
          </w:tcPr>
          <w:p>
            <w:pPr>
              <w:spacing w:after="0"/>
              <w:rPr>
                <w:sz w:val="19"/>
                <w:szCs w:val="19"/>
                <w:color w:val="auto"/>
              </w:rPr>
            </w:pPr>
          </w:p>
        </w:tc>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Kevin D. Mowbray</w:t>
            </w:r>
          </w:p>
        </w:tc>
        <w:tc>
          <w:tcPr>
            <w:tcW w:w="6260" w:type="dxa"/>
            <w:vAlign w:val="bottom"/>
          </w:tcPr>
          <w:p>
            <w:pPr>
              <w:ind w:left="20"/>
              <w:spacing w:after="0"/>
              <w:rPr>
                <w:sz w:val="20"/>
                <w:szCs w:val="20"/>
                <w:color w:val="auto"/>
              </w:rPr>
            </w:pPr>
            <w:r>
              <w:rPr>
                <w:rFonts w:ascii="Arial" w:cs="Arial" w:eastAsia="Arial" w:hAnsi="Arial"/>
                <w:sz w:val="18"/>
                <w:szCs w:val="18"/>
                <w:color w:val="auto"/>
              </w:rPr>
              <w:t>Timothy R. Millage</w:t>
            </w: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626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200" w:lineRule="exact"/>
        <w:rPr>
          <w:sz w:val="20"/>
          <w:szCs w:val="20"/>
          <w:color w:val="auto"/>
        </w:rPr>
      </w:pPr>
    </w:p>
    <w:p>
      <w:pPr>
        <w:spacing w:after="0" w:line="29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bullet"/>
      <w:start w:val="1"/>
    </w:lvl>
  </w:abstractNum>
  <w:abstractNum w:abstractNumId="4">
    <w:nsid w:val="25E45D32"/>
    <w:multiLevelType w:val="hybridMultilevel"/>
    <w:lvl w:ilvl="0">
      <w:lvlJc w:val="left"/>
      <w:lvlText w:val="2"/>
      <w:numFmt w:val="bullet"/>
      <w:start w:val="1"/>
    </w:lvl>
  </w:abstractNum>
  <w:abstractNum w:abstractNumId="5">
    <w:nsid w:val="519B500D"/>
    <w:multiLevelType w:val="hybridMultilevel"/>
    <w:lvl w:ilvl="0">
      <w:lvlJc w:val="left"/>
      <w:lvlText w:val="3"/>
      <w:numFmt w:val="bullet"/>
      <w:start w:val="1"/>
    </w:lvl>
  </w:abstractNum>
  <w:abstractNum w:abstractNumId="6">
    <w:nsid w:val="431BD7B7"/>
    <w:multiLevelType w:val="hybridMultilevel"/>
    <w:lvl w:ilvl="0">
      <w:lvlJc w:val="left"/>
      <w:lvlText w:val="4"/>
      <w:numFmt w:val="bullet"/>
      <w:start w:val="1"/>
    </w:lvl>
    <w:lvl w:ilvl="1">
      <w:lvlJc w:val="left"/>
      <w:lvlText w:val="•"/>
      <w:numFmt w:val="bullet"/>
      <w:start w:val="1"/>
    </w:lvl>
  </w:abstractNum>
  <w:abstractNum w:abstractNumId="7">
    <w:nsid w:val="3F2DBA31"/>
    <w:multiLevelType w:val="hybridMultilevel"/>
    <w:lvl w:ilvl="0">
      <w:lvlJc w:val="left"/>
      <w:lvlText w:val="5"/>
      <w:numFmt w:val="bullet"/>
      <w:start w:val="1"/>
    </w:lvl>
  </w:abstractNum>
  <w:abstractNum w:abstractNumId="8">
    <w:nsid w:val="7C83E458"/>
    <w:multiLevelType w:val="hybridMultilevel"/>
    <w:lvl w:ilvl="0">
      <w:lvlJc w:val="left"/>
      <w:lvlText w:val="6"/>
      <w:numFmt w:val="bullet"/>
      <w:start w:val="1"/>
    </w:lvl>
  </w:abstractNum>
  <w:abstractNum w:abstractNumId="9">
    <w:nsid w:val="257130A3"/>
    <w:multiLevelType w:val="hybridMultilevel"/>
    <w:lvl w:ilvl="0">
      <w:lvlJc w:val="left"/>
      <w:lvlText w:val="7"/>
      <w:numFmt w:val="bullet"/>
      <w:start w:val="1"/>
    </w:lvl>
  </w:abstractNum>
  <w:abstractNum w:abstractNumId="10">
    <w:nsid w:val="62BBD95A"/>
    <w:multiLevelType w:val="hybridMultilevel"/>
    <w:lvl w:ilvl="0">
      <w:lvlJc w:val="left"/>
      <w:lvlText w:val="8"/>
      <w:numFmt w:val="bullet"/>
      <w:start w:val="1"/>
    </w:lvl>
  </w:abstractNum>
  <w:abstractNum w:abstractNumId="11">
    <w:nsid w:val="436C6125"/>
    <w:multiLevelType w:val="hybridMultilevel"/>
    <w:lvl w:ilvl="0">
      <w:lvlJc w:val="left"/>
      <w:lvlText w:val="9"/>
      <w:numFmt w:val="bullet"/>
      <w:start w:val="1"/>
    </w:lvl>
  </w:abstractNum>
  <w:abstractNum w:abstractNumId="12">
    <w:nsid w:val="628C895D"/>
    <w:multiLevelType w:val="hybridMultilevel"/>
    <w:lvl w:ilvl="0">
      <w:lvlJc w:val="left"/>
      <w:lvlText w:val="%1"/>
      <w:numFmt w:val="decimal"/>
      <w:start w:val="10"/>
    </w:lvl>
  </w:abstractNum>
  <w:abstractNum w:abstractNumId="13">
    <w:nsid w:val="333AB105"/>
    <w:multiLevelType w:val="hybridMultilevel"/>
    <w:lvl w:ilvl="0">
      <w:lvlJc w:val="left"/>
      <w:lvlText w:val="%1"/>
      <w:numFmt w:val="decimal"/>
      <w:start w:val="1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bullet"/>
      <w:start w:val="1"/>
    </w:lvl>
  </w:abstractNum>
  <w:abstractNum w:abstractNumId="19">
    <w:nsid w:val="8EDBDAB"/>
    <w:multiLevelType w:val="hybridMultilevel"/>
    <w:lvl w:ilvl="0">
      <w:lvlJc w:val="left"/>
      <w:lvlText w:val="2"/>
      <w:numFmt w:val="bullet"/>
      <w:start w:val="1"/>
    </w:lvl>
  </w:abstractNum>
  <w:abstractNum w:abstractNumId="20">
    <w:nsid w:val="79838CB2"/>
    <w:multiLevelType w:val="hybridMultilevel"/>
    <w:lvl w:ilvl="0">
      <w:lvlJc w:val="left"/>
      <w:lvlText w:val="3"/>
      <w:numFmt w:val="bullet"/>
      <w:start w:val="1"/>
    </w:lvl>
  </w:abstractNum>
  <w:abstractNum w:abstractNumId="21">
    <w:nsid w:val="4353D0CD"/>
    <w:multiLevelType w:val="hybridMultilevel"/>
    <w:lvl w:ilvl="0">
      <w:lvlJc w:val="left"/>
      <w:lvlText w:val="4"/>
      <w:numFmt w:val="bullet"/>
      <w:start w:val="1"/>
    </w:lvl>
    <w:lvl w:ilvl="1">
      <w:lvlJc w:val="left"/>
      <w:lvlText w:val="%2)"/>
      <w:numFmt w:val="lowerLetter"/>
      <w:start w:val="1"/>
    </w:lvl>
  </w:abstractNum>
  <w:abstractNum w:abstractNumId="22">
    <w:nsid w:val="B03E0C6"/>
    <w:multiLevelType w:val="hybridMultilevel"/>
    <w:lvl w:ilvl="0">
      <w:lvlJc w:val="left"/>
      <w:lvlText w:val="5"/>
      <w:numFmt w:val="bullet"/>
      <w:start w:val="1"/>
    </w:lvl>
    <w:lvl w:ilvl="1">
      <w:lvlJc w:val="left"/>
      <w:lvlText w:val="%2)"/>
      <w:numFmt w:val="lowerLetter"/>
      <w:start w:val="1"/>
    </w:lvl>
  </w:abstractNum>
  <w:abstractNum w:abstractNumId="23">
    <w:nsid w:val="189A769B"/>
    <w:multiLevelType w:val="hybridMultilevel"/>
    <w:lvl w:ilvl="0">
      <w:lvlJc w:val="left"/>
      <w:lvlText w:val="1"/>
      <w:numFmt w:val="bullet"/>
      <w:start w:val="1"/>
    </w:lvl>
  </w:abstractNum>
  <w:abstractNum w:abstractNumId="24">
    <w:nsid w:val="54E49EB4"/>
    <w:multiLevelType w:val="hybridMultilevel"/>
    <w:lvl w:ilvl="0">
      <w:lvlJc w:val="left"/>
      <w:lvlText w:val="2"/>
      <w:numFmt w:val="bullet"/>
      <w:start w:val="1"/>
    </w:lvl>
  </w:abstractNum>
  <w:abstractNum w:abstractNumId="25">
    <w:nsid w:val="71F32454"/>
    <w:multiLevelType w:val="hybridMultilevel"/>
    <w:lvl w:ilvl="0">
      <w:lvlJc w:val="left"/>
      <w:lvlText w:val="3"/>
      <w:numFmt w:val="bullet"/>
      <w:start w:val="1"/>
    </w:lvl>
  </w:abstractNum>
  <w:abstractNum w:abstractNumId="26">
    <w:nsid w:val="2CA88611"/>
    <w:multiLevelType w:val="hybridMultilevel"/>
    <w:lvl w:ilvl="0">
      <w:lvlJc w:val="left"/>
      <w:lvlText w:val="4"/>
      <w:numFmt w:val="bullet"/>
      <w:start w:val="1"/>
    </w:lvl>
    <w:lvl w:ilvl="1">
      <w:lvlJc w:val="left"/>
      <w:lvlText w:val="%2)"/>
      <w:numFmt w:val="lowerLetter"/>
      <w:start w:val="1"/>
    </w:lvl>
  </w:abstractNum>
  <w:abstractNum w:abstractNumId="27">
    <w:nsid w:val="836C40E"/>
    <w:multiLevelType w:val="hybridMultilevel"/>
    <w:lvl w:ilvl="0">
      <w:lvlJc w:val="left"/>
      <w:lvlText w:val="5"/>
      <w:numFmt w:val="bullet"/>
      <w:start w:val="1"/>
    </w:lvl>
    <w:lvl w:ilvl="1">
      <w:lvlJc w:val="left"/>
      <w:lvlText w:val="%2)"/>
      <w:numFmt w:val="lowerLetter"/>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2019-12-28T16:42:57Z</dcterms:created>
  <dcterms:modified xsi:type="dcterms:W3CDTF">2019-12-28T16:42:57Z</dcterms:modified>
</cp:coreProperties>
</file>