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jc w:val="center"/>
        <w:ind w:right="-19"/>
        <w:spacing w:after="0" w:line="234"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4060" w:right="2660" w:hanging="1390"/>
        <w:spacing w:after="0" w:line="246" w:lineRule="auto"/>
        <w:tabs>
          <w:tab w:leader="none" w:pos="293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4060" w:right="2660" w:hanging="1383"/>
        <w:spacing w:after="0" w:line="246" w:lineRule="auto"/>
        <w:tabs>
          <w:tab w:leader="none" w:pos="2823"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1-6227</w:t>
      </w: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80" w:right="239" w:bottom="1440" w:gutter="0" w:footer="0" w:header="0"/>
        </w:sectPr>
      </w:pPr>
    </w:p>
    <w:p>
      <w:pPr>
        <w:spacing w:after="0" w:line="216" w:lineRule="exact"/>
        <w:rPr>
          <w:sz w:val="24"/>
          <w:szCs w:val="24"/>
          <w:color w:val="auto"/>
        </w:rPr>
      </w:pPr>
    </w:p>
    <w:p>
      <w:pPr>
        <w:ind w:left="2460"/>
        <w:spacing w:after="0"/>
        <w:rPr>
          <w:sz w:val="20"/>
          <w:szCs w:val="20"/>
          <w:color w:val="auto"/>
        </w:rPr>
      </w:pPr>
      <w:r>
        <w:rPr>
          <w:rFonts w:ascii="Arial" w:cs="Arial" w:eastAsia="Arial" w:hAnsi="Arial"/>
          <w:sz w:val="18"/>
          <w:szCs w:val="18"/>
          <w:color w:val="auto"/>
        </w:rPr>
        <w:t>Delaware</w:t>
      </w:r>
    </w:p>
    <w:p>
      <w:pPr>
        <w:ind w:left="1720"/>
        <w:spacing w:after="0" w:line="234" w:lineRule="auto"/>
        <w:rPr>
          <w:sz w:val="20"/>
          <w:szCs w:val="20"/>
          <w:color w:val="auto"/>
        </w:rPr>
      </w:pPr>
      <w:r>
        <w:rPr>
          <w:rFonts w:ascii="Arial" w:cs="Arial" w:eastAsia="Arial" w:hAnsi="Arial"/>
          <w:sz w:val="18"/>
          <w:szCs w:val="18"/>
          <w:color w:val="auto"/>
        </w:rPr>
        <w:t>(State or other jurisdiction of</w:t>
      </w:r>
    </w:p>
    <w:p>
      <w:pPr>
        <w:spacing w:after="0" w:line="1" w:lineRule="exact"/>
        <w:rPr>
          <w:sz w:val="24"/>
          <w:szCs w:val="24"/>
          <w:color w:val="auto"/>
        </w:rPr>
      </w:pPr>
    </w:p>
    <w:p>
      <w:pPr>
        <w:ind w:left="166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520"/>
        <w:spacing w:after="0"/>
        <w:rPr>
          <w:sz w:val="20"/>
          <w:szCs w:val="20"/>
          <w:color w:val="auto"/>
        </w:rPr>
      </w:pPr>
      <w:r>
        <w:rPr>
          <w:rFonts w:ascii="Arial" w:cs="Arial" w:eastAsia="Arial" w:hAnsi="Arial"/>
          <w:sz w:val="18"/>
          <w:szCs w:val="18"/>
          <w:color w:val="auto"/>
        </w:rPr>
        <w:t>42-0823980</w:t>
      </w: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402" w:lineRule="exact"/>
        <w:rPr>
          <w:sz w:val="24"/>
          <w:szCs w:val="24"/>
          <w:color w:val="auto"/>
        </w:rPr>
      </w:pPr>
    </w:p>
    <w:p>
      <w:pPr>
        <w:sectPr>
          <w:pgSz w:w="11900" w:h="16838" w:orient="portrait"/>
          <w:cols w:equalWidth="0" w:num="2">
            <w:col w:w="6420" w:space="720"/>
            <w:col w:w="4280"/>
          </w:cols>
          <w:pgMar w:left="240" w:top="1080" w:right="239" w:bottom="1440" w:gutter="0" w:footer="0" w:header="0"/>
          <w:type w:val="continuous"/>
        </w:sectPr>
      </w:pP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201 N. Harrison Street, Suite 600, Davenport, Iowa 52801</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6"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0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Title of each class</w:t>
            </w:r>
          </w:p>
        </w:tc>
        <w:tc>
          <w:tcPr>
            <w:tcW w:w="29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8"/>
              </w:rPr>
              <w:t>Trading Symbol(s)</w:t>
            </w:r>
          </w:p>
        </w:tc>
        <w:tc>
          <w:tcPr>
            <w:tcW w:w="44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196"/>
        </w:trPr>
        <w:tc>
          <w:tcPr>
            <w:tcW w:w="2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Common Stock, par value $.01 per share</w:t>
            </w:r>
          </w:p>
        </w:tc>
        <w:tc>
          <w:tcPr>
            <w:tcW w:w="2900" w:type="dxa"/>
            <w:vAlign w:val="bottom"/>
            <w:tcBorders>
              <w:bottom w:val="single" w:sz="8" w:color="auto"/>
            </w:tcBorders>
          </w:tcPr>
          <w:p>
            <w:pPr>
              <w:jc w:val="center"/>
              <w:ind w:left="230"/>
              <w:spacing w:after="0" w:line="196" w:lineRule="exact"/>
              <w:rPr>
                <w:sz w:val="20"/>
                <w:szCs w:val="20"/>
                <w:color w:val="auto"/>
              </w:rPr>
            </w:pPr>
            <w:r>
              <w:rPr>
                <w:rFonts w:ascii="Arial" w:cs="Arial" w:eastAsia="Arial" w:hAnsi="Arial"/>
                <w:sz w:val="18"/>
                <w:szCs w:val="18"/>
                <w:color w:val="auto"/>
                <w:w w:val="99"/>
              </w:rPr>
              <w:t>LEE</w:t>
            </w:r>
          </w:p>
        </w:tc>
        <w:tc>
          <w:tcPr>
            <w:tcW w:w="4400" w:type="dxa"/>
            <w:vAlign w:val="bottom"/>
            <w:tcBorders>
              <w:bottom w:val="single" w:sz="8" w:color="auto"/>
            </w:tcBorders>
          </w:tcPr>
          <w:p>
            <w:pPr>
              <w:jc w:val="center"/>
              <w:ind w:left="330"/>
              <w:spacing w:after="0" w:line="196" w:lineRule="exact"/>
              <w:rPr>
                <w:sz w:val="20"/>
                <w:szCs w:val="20"/>
                <w:color w:val="auto"/>
              </w:rPr>
            </w:pPr>
            <w:r>
              <w:rPr>
                <w:rFonts w:ascii="Arial" w:cs="Arial" w:eastAsia="Arial" w:hAnsi="Arial"/>
                <w:sz w:val="18"/>
                <w:szCs w:val="18"/>
                <w:color w:val="auto"/>
                <w:w w:val="98"/>
              </w:rPr>
              <w:t>New York Stock Exchange</w:t>
            </w:r>
          </w:p>
        </w:tc>
      </w:tr>
    </w:tbl>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w:t>
      </w:r>
    </w:p>
    <w:p>
      <w:pPr>
        <w:spacing w:after="0" w:line="234" w:lineRule="auto"/>
        <w:rPr>
          <w:sz w:val="20"/>
          <w:szCs w:val="20"/>
          <w:color w:val="auto"/>
        </w:rPr>
      </w:pPr>
      <w:r>
        <w:rPr>
          <w:rFonts w:ascii="Arial" w:cs="Arial" w:eastAsia="Arial" w:hAnsi="Arial"/>
          <w:sz w:val="18"/>
          <w:szCs w:val="18"/>
          <w:color w:val="auto"/>
        </w:rPr>
        <w:t>of 1934 during the preceding 12 months (or for such shorter period that the Registrant was required to file such reports), and (2) has been</w:t>
      </w:r>
    </w:p>
    <w:p>
      <w:pPr>
        <w:spacing w:after="0" w:line="235" w:lineRule="auto"/>
        <w:rPr>
          <w:sz w:val="20"/>
          <w:szCs w:val="20"/>
          <w:color w:val="auto"/>
        </w:rPr>
      </w:pPr>
      <w:r>
        <w:rPr>
          <w:rFonts w:ascii="Arial" w:cs="Arial" w:eastAsia="Arial" w:hAnsi="Arial"/>
          <w:sz w:val="18"/>
          <w:szCs w:val="18"/>
          <w:color w:val="auto"/>
        </w:rPr>
        <w:t>subject to such filing requirements for the past 90 days.</w:t>
      </w:r>
    </w:p>
    <w:p>
      <w:pPr>
        <w:spacing w:after="0" w:line="1"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[X]</w:t>
        <w:tab/>
        <w:t>No [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4"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w:t>
      </w:r>
    </w:p>
    <w:p>
      <w:pPr>
        <w:spacing w:after="0" w:line="235" w:lineRule="auto"/>
        <w:rPr>
          <w:sz w:val="20"/>
          <w:szCs w:val="20"/>
          <w:color w:val="auto"/>
        </w:rPr>
      </w:pPr>
      <w:r>
        <w:rPr>
          <w:rFonts w:ascii="Arial" w:cs="Arial" w:eastAsia="Arial" w:hAnsi="Arial"/>
          <w:sz w:val="18"/>
          <w:szCs w:val="18"/>
          <w:color w:val="auto"/>
        </w:rPr>
        <w:t>required to submit and post such files.</w:t>
      </w:r>
    </w:p>
    <w:p>
      <w:pPr>
        <w:spacing w:after="0" w:line="1" w:lineRule="exact"/>
        <w:rPr>
          <w:sz w:val="24"/>
          <w:szCs w:val="24"/>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Yes [X]</w:t>
        <w:tab/>
        <w:t>No [ ]</w:t>
      </w:r>
    </w:p>
    <w:p>
      <w:pPr>
        <w:spacing w:after="0" w:line="198"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2330"/>
              <w:spacing w:after="0"/>
              <w:rPr>
                <w:sz w:val="20"/>
                <w:szCs w:val="20"/>
                <w:color w:val="auto"/>
              </w:rPr>
            </w:pPr>
            <w:r>
              <w:rPr>
                <w:rFonts w:ascii="Arial" w:cs="Arial" w:eastAsia="Arial" w:hAnsi="Arial"/>
                <w:sz w:val="18"/>
                <w:szCs w:val="18"/>
                <w:color w:val="auto"/>
              </w:rPr>
              <w:t>]</w:t>
            </w:r>
          </w:p>
        </w:tc>
        <w:tc>
          <w:tcPr>
            <w:tcW w:w="462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w w:val="90"/>
              </w:rPr>
              <w:t>[X]</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2330"/>
              <w:spacing w:after="0" w:line="202" w:lineRule="exact"/>
              <w:rPr>
                <w:sz w:val="20"/>
                <w:szCs w:val="20"/>
                <w:color w:val="auto"/>
              </w:rPr>
            </w:pPr>
            <w:r>
              <w:rPr>
                <w:rFonts w:ascii="Arial" w:cs="Arial" w:eastAsia="Arial" w:hAnsi="Arial"/>
                <w:sz w:val="18"/>
                <w:szCs w:val="18"/>
                <w:color w:val="auto"/>
              </w:rPr>
              <w:t>]</w:t>
            </w:r>
          </w:p>
        </w:tc>
        <w:tc>
          <w:tcPr>
            <w:tcW w:w="4620" w:type="dxa"/>
            <w:vAlign w:val="bottom"/>
          </w:tcPr>
          <w:p>
            <w:pPr>
              <w:ind w:left="2400"/>
              <w:spacing w:after="0" w:line="202" w:lineRule="exact"/>
              <w:rPr>
                <w:sz w:val="20"/>
                <w:szCs w:val="20"/>
                <w:color w:val="auto"/>
              </w:rPr>
            </w:pPr>
            <w:r>
              <w:rPr>
                <w:rFonts w:ascii="Arial" w:cs="Arial" w:eastAsia="Arial" w:hAnsi="Arial"/>
                <w:sz w:val="18"/>
                <w:szCs w:val="18"/>
                <w:color w:val="auto"/>
              </w:rPr>
              <w:t>Smaller reporting company</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2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tabs>
          <w:tab w:leader="none" w:pos="7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7"/>
          <w:szCs w:val="17"/>
          <w:color w:val="auto"/>
        </w:rPr>
        <w:t>No [X]</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2019 57,823,272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Table Of Contents</w:t>
            </w:r>
          </w:p>
        </w:tc>
        <w:tc>
          <w:tcPr>
            <w:tcW w:w="8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FORWARD LOOKING STATEMENTS</w:t>
            </w:r>
          </w:p>
        </w:tc>
        <w:tc>
          <w:tcPr>
            <w:tcW w:w="560" w:type="dxa"/>
            <w:vAlign w:val="bottom"/>
            <w:gridSpan w:val="4"/>
          </w:tcPr>
          <w:p>
            <w:pPr>
              <w:jc w:val="center"/>
              <w:ind w:left="37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7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PART I</w:t>
            </w:r>
          </w:p>
        </w:tc>
        <w:tc>
          <w:tcPr>
            <w:tcW w:w="9760" w:type="dxa"/>
            <w:vAlign w:val="bottom"/>
            <w:gridSpan w:val="2"/>
          </w:tcPr>
          <w:p>
            <w:pPr>
              <w:ind w:left="80"/>
              <w:spacing w:after="0"/>
              <w:rPr>
                <w:sz w:val="20"/>
                <w:szCs w:val="20"/>
                <w:color w:val="auto"/>
              </w:rPr>
            </w:pPr>
            <w:r>
              <w:rPr>
                <w:rFonts w:ascii="Arial" w:cs="Arial" w:eastAsia="Arial" w:hAnsi="Arial"/>
                <w:sz w:val="18"/>
                <w:szCs w:val="18"/>
                <w:color w:val="auto"/>
              </w:rPr>
              <w:t>FINANCIAL INFORMATION</w:t>
            </w:r>
          </w:p>
        </w:tc>
        <w:tc>
          <w:tcPr>
            <w:tcW w:w="560" w:type="dxa"/>
            <w:vAlign w:val="bottom"/>
            <w:gridSpan w:val="4"/>
          </w:tcPr>
          <w:p>
            <w:pPr>
              <w:jc w:val="center"/>
              <w:ind w:left="3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7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60" w:type="dxa"/>
            <w:vAlign w:val="bottom"/>
            <w:gridSpan w:val="2"/>
          </w:tcPr>
          <w:p>
            <w:pPr>
              <w:ind w:left="80"/>
              <w:spacing w:after="0"/>
              <w:rPr>
                <w:sz w:val="20"/>
                <w:szCs w:val="20"/>
                <w:color w:val="auto"/>
              </w:rPr>
            </w:pPr>
            <w:r>
              <w:rPr>
                <w:rFonts w:ascii="Arial" w:cs="Arial" w:eastAsia="Arial" w:hAnsi="Arial"/>
                <w:sz w:val="18"/>
                <w:szCs w:val="18"/>
                <w:color w:val="auto"/>
              </w:rPr>
              <w:t>Item 1.   Financial Statements (Unaudited)</w:t>
            </w:r>
          </w:p>
        </w:tc>
        <w:tc>
          <w:tcPr>
            <w:tcW w:w="560" w:type="dxa"/>
            <w:vAlign w:val="bottom"/>
            <w:gridSpan w:val="4"/>
          </w:tcPr>
          <w:p>
            <w:pPr>
              <w:jc w:val="center"/>
              <w:ind w:left="3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60" w:type="dxa"/>
            <w:vAlign w:val="bottom"/>
          </w:tcPr>
          <w:p>
            <w:pPr>
              <w:ind w:left="80"/>
              <w:spacing w:after="0"/>
              <w:rPr>
                <w:sz w:val="20"/>
                <w:szCs w:val="20"/>
                <w:color w:val="auto"/>
              </w:rPr>
            </w:pPr>
            <w:r>
              <w:rPr>
                <w:rFonts w:ascii="Arial" w:cs="Arial" w:eastAsia="Arial" w:hAnsi="Arial"/>
                <w:sz w:val="18"/>
                <w:szCs w:val="18"/>
                <w:color w:val="auto"/>
              </w:rPr>
              <w:t>Consolidated Balance Sheets - June 30, 2019 and September 30, 2018</w:t>
            </w:r>
          </w:p>
        </w:tc>
        <w:tc>
          <w:tcPr>
            <w:tcW w:w="560" w:type="dxa"/>
            <w:vAlign w:val="bottom"/>
            <w:gridSpan w:val="4"/>
          </w:tcPr>
          <w:p>
            <w:pPr>
              <w:jc w:val="center"/>
              <w:ind w:left="3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60" w:type="dxa"/>
            <w:vAlign w:val="bottom"/>
          </w:tcPr>
          <w:p>
            <w:pPr>
              <w:ind w:left="80"/>
              <w:spacing w:after="0"/>
              <w:rPr>
                <w:sz w:val="20"/>
                <w:szCs w:val="20"/>
                <w:color w:val="auto"/>
              </w:rPr>
            </w:pPr>
            <w:r>
              <w:rPr>
                <w:rFonts w:ascii="Arial" w:cs="Arial" w:eastAsia="Arial" w:hAnsi="Arial"/>
                <w:sz w:val="18"/>
                <w:szCs w:val="18"/>
                <w:color w:val="auto"/>
              </w:rPr>
              <w:t>Consolidated Statements of Operations and Comprehensive Income - 13 weeks and 39 weeks ended June 30,</w:t>
            </w:r>
          </w:p>
        </w:tc>
        <w:tc>
          <w:tcPr>
            <w:tcW w:w="560" w:type="dxa"/>
            <w:vAlign w:val="bottom"/>
            <w:gridSpan w:val="4"/>
          </w:tcPr>
          <w:p>
            <w:pPr>
              <w:jc w:val="center"/>
              <w:ind w:left="37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960" w:type="dxa"/>
            <w:vAlign w:val="bottom"/>
          </w:tcPr>
          <w:p>
            <w:pPr>
              <w:ind w:left="80"/>
              <w:spacing w:after="0"/>
              <w:rPr>
                <w:sz w:val="20"/>
                <w:szCs w:val="20"/>
                <w:color w:val="auto"/>
              </w:rPr>
            </w:pPr>
            <w:r>
              <w:rPr>
                <w:rFonts w:ascii="Arial" w:cs="Arial" w:eastAsia="Arial" w:hAnsi="Arial"/>
                <w:sz w:val="18"/>
                <w:szCs w:val="18"/>
                <w:color w:val="auto"/>
              </w:rPr>
              <w:t>2019 and June 24, 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60" w:type="dxa"/>
            <w:vAlign w:val="bottom"/>
          </w:tcPr>
          <w:p>
            <w:pPr>
              <w:ind w:left="80"/>
              <w:spacing w:after="0"/>
              <w:rPr>
                <w:sz w:val="20"/>
                <w:szCs w:val="20"/>
                <w:color w:val="auto"/>
              </w:rPr>
            </w:pPr>
            <w:r>
              <w:rPr>
                <w:rFonts w:ascii="Arial" w:cs="Arial" w:eastAsia="Arial" w:hAnsi="Arial"/>
                <w:sz w:val="18"/>
                <w:szCs w:val="18"/>
                <w:color w:val="auto"/>
              </w:rPr>
              <w:t>Consolidated Statements of Stockholder's Equity - 13 weeks and 39 weeks ended June 30, 2019 and June 24,</w:t>
            </w:r>
          </w:p>
        </w:tc>
        <w:tc>
          <w:tcPr>
            <w:tcW w:w="560" w:type="dxa"/>
            <w:vAlign w:val="bottom"/>
            <w:gridSpan w:val="4"/>
          </w:tcPr>
          <w:p>
            <w:pPr>
              <w:jc w:val="center"/>
              <w:ind w:left="37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960" w:type="dxa"/>
            <w:vAlign w:val="bottom"/>
          </w:tcPr>
          <w:p>
            <w:pPr>
              <w:ind w:left="8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60" w:type="dxa"/>
            <w:vAlign w:val="bottom"/>
          </w:tcPr>
          <w:p>
            <w:pPr>
              <w:ind w:left="80"/>
              <w:spacing w:after="0"/>
              <w:rPr>
                <w:sz w:val="20"/>
                <w:szCs w:val="20"/>
                <w:color w:val="auto"/>
              </w:rPr>
            </w:pPr>
            <w:r>
              <w:rPr>
                <w:rFonts w:ascii="Arial" w:cs="Arial" w:eastAsia="Arial" w:hAnsi="Arial"/>
                <w:sz w:val="18"/>
                <w:szCs w:val="18"/>
                <w:color w:val="auto"/>
              </w:rPr>
              <w:t>Consolidated Statements of Cash Flows - 39 weeks ended June 30, 2019 and June 24, 2018</w:t>
            </w:r>
          </w:p>
        </w:tc>
        <w:tc>
          <w:tcPr>
            <w:tcW w:w="560" w:type="dxa"/>
            <w:vAlign w:val="bottom"/>
            <w:gridSpan w:val="4"/>
          </w:tcPr>
          <w:p>
            <w:pPr>
              <w:jc w:val="center"/>
              <w:ind w:left="37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60" w:type="dxa"/>
            <w:vAlign w:val="bottom"/>
          </w:tcPr>
          <w:p>
            <w:pPr>
              <w:ind w:left="8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gridSpan w:val="4"/>
          </w:tcPr>
          <w:p>
            <w:pPr>
              <w:jc w:val="center"/>
              <w:ind w:left="37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7</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7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60" w:type="dxa"/>
            <w:vAlign w:val="bottom"/>
            <w:gridSpan w:val="2"/>
          </w:tcPr>
          <w:p>
            <w:pPr>
              <w:ind w:left="8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40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21</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60" w:type="dxa"/>
            <w:vAlign w:val="bottom"/>
            <w:gridSpan w:val="2"/>
          </w:tcPr>
          <w:p>
            <w:pPr>
              <w:ind w:left="8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40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32</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60" w:type="dxa"/>
            <w:vAlign w:val="bottom"/>
            <w:gridSpan w:val="2"/>
          </w:tcPr>
          <w:p>
            <w:pPr>
              <w:ind w:left="80"/>
              <w:spacing w:after="0"/>
              <w:rPr>
                <w:sz w:val="20"/>
                <w:szCs w:val="20"/>
                <w:color w:val="auto"/>
              </w:rPr>
            </w:pPr>
            <w:r>
              <w:rPr>
                <w:rFonts w:ascii="Arial" w:cs="Arial" w:eastAsia="Arial" w:hAnsi="Arial"/>
                <w:sz w:val="18"/>
                <w:szCs w:val="18"/>
                <w:color w:val="auto"/>
              </w:rPr>
              <w:t>Item 4.   Controls and Procedures</w:t>
            </w:r>
          </w:p>
        </w:tc>
        <w:tc>
          <w:tcPr>
            <w:tcW w:w="40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32</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PART II</w:t>
            </w:r>
          </w:p>
        </w:tc>
        <w:tc>
          <w:tcPr>
            <w:tcW w:w="9760" w:type="dxa"/>
            <w:vAlign w:val="bottom"/>
            <w:gridSpan w:val="2"/>
          </w:tcPr>
          <w:p>
            <w:pPr>
              <w:ind w:left="80"/>
              <w:spacing w:after="0"/>
              <w:rPr>
                <w:sz w:val="20"/>
                <w:szCs w:val="20"/>
                <w:color w:val="auto"/>
              </w:rPr>
            </w:pPr>
            <w:r>
              <w:rPr>
                <w:rFonts w:ascii="Arial" w:cs="Arial" w:eastAsia="Arial" w:hAnsi="Arial"/>
                <w:sz w:val="18"/>
                <w:szCs w:val="18"/>
                <w:color w:val="auto"/>
              </w:rPr>
              <w:t>OTHER INFORMATION</w:t>
            </w:r>
          </w:p>
        </w:tc>
        <w:tc>
          <w:tcPr>
            <w:tcW w:w="40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33</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Item 1.</w:t>
            </w:r>
          </w:p>
        </w:tc>
        <w:tc>
          <w:tcPr>
            <w:tcW w:w="896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40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33</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Item 6.</w:t>
            </w:r>
          </w:p>
        </w:tc>
        <w:tc>
          <w:tcPr>
            <w:tcW w:w="8960" w:type="dxa"/>
            <w:vAlign w:val="bottom"/>
          </w:tcPr>
          <w:p>
            <w:pPr>
              <w:ind w:left="80"/>
              <w:spacing w:after="0"/>
              <w:rPr>
                <w:sz w:val="20"/>
                <w:szCs w:val="20"/>
                <w:color w:val="auto"/>
              </w:rPr>
            </w:pPr>
            <w:r>
              <w:rPr>
                <w:rFonts w:ascii="Arial" w:cs="Arial" w:eastAsia="Arial" w:hAnsi="Arial"/>
                <w:sz w:val="18"/>
                <w:szCs w:val="18"/>
                <w:color w:val="auto"/>
              </w:rPr>
              <w:t>Exhibits</w:t>
            </w:r>
          </w:p>
        </w:tc>
        <w:tc>
          <w:tcPr>
            <w:tcW w:w="40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33</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8960" w:type="dxa"/>
            <w:vAlign w:val="bottom"/>
          </w:tcPr>
          <w:p>
            <w:pPr>
              <w:spacing w:after="0"/>
              <w:rPr>
                <w:sz w:val="24"/>
                <w:szCs w:val="24"/>
                <w:color w:val="auto"/>
              </w:rPr>
            </w:pPr>
          </w:p>
        </w:tc>
        <w:tc>
          <w:tcPr>
            <w:tcW w:w="600" w:type="dxa"/>
            <w:vAlign w:val="bottom"/>
            <w:gridSpan w:val="5"/>
          </w:tcPr>
          <w:p>
            <w:pPr>
              <w:jc w:val="center"/>
              <w:ind w:left="31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33</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8"/>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4"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"2019", "2018" and the like refer to the fiscal years ended the last Sunday in September.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cash flows and maintain liquidity sufficient to service our debt;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financial covenants in our credit facilities;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refinance our debt as it comes due;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warrants issued in our refinancing will not be exercised;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of failure of our information technology systems;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regulatory rulings, including the 2017 Tax Act;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report. We do not undertake to publicly update or revise our forward-looking statements, except as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10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620" w:type="dxa"/>
            <w:vAlign w:val="bottom"/>
          </w:tcPr>
          <w:p>
            <w:pPr>
              <w:jc w:val="center"/>
              <w:ind w:right="1950"/>
              <w:spacing w:after="0"/>
              <w:rPr>
                <w:sz w:val="20"/>
                <w:szCs w:val="20"/>
                <w:color w:val="auto"/>
              </w:rPr>
            </w:pPr>
            <w:r>
              <w:rPr>
                <w:rFonts w:ascii="Arial" w:cs="Arial" w:eastAsia="Arial" w:hAnsi="Arial"/>
                <w:sz w:val="18"/>
                <w:szCs w:val="18"/>
                <w:b w:val="1"/>
                <w:bCs w:val="1"/>
                <w:color w:val="auto"/>
                <w:w w:val="99"/>
              </w:rPr>
              <w:t>LEE ENTERPRISES, INCORPORATED</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5620" w:type="dxa"/>
            <w:vAlign w:val="bottom"/>
          </w:tcPr>
          <w:p>
            <w:pPr>
              <w:jc w:val="center"/>
              <w:ind w:right="1930"/>
              <w:spacing w:after="0"/>
              <w:rPr>
                <w:sz w:val="20"/>
                <w:szCs w:val="20"/>
                <w:color w:val="auto"/>
              </w:rPr>
            </w:pPr>
            <w:r>
              <w:rPr>
                <w:rFonts w:ascii="Arial" w:cs="Arial" w:eastAsia="Arial" w:hAnsi="Arial"/>
                <w:sz w:val="18"/>
                <w:szCs w:val="18"/>
                <w:b w:val="1"/>
                <w:bCs w:val="1"/>
                <w:color w:val="auto"/>
                <w:w w:val="99"/>
              </w:rPr>
              <w:t>CONSOLIDATED BALANCE SHEETS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620" w:type="dxa"/>
            <w:vAlign w:val="bottom"/>
          </w:tcPr>
          <w:p>
            <w:pPr>
              <w:jc w:val="center"/>
              <w:ind w:right="1950"/>
              <w:spacing w:after="0"/>
              <w:rPr>
                <w:sz w:val="20"/>
                <w:szCs w:val="20"/>
                <w:color w:val="auto"/>
              </w:rPr>
            </w:pPr>
            <w:r>
              <w:rPr>
                <w:rFonts w:ascii="Arial" w:cs="Arial" w:eastAsia="Arial" w:hAnsi="Arial"/>
                <w:sz w:val="18"/>
                <w:szCs w:val="18"/>
                <w:color w:val="auto"/>
                <w:w w:val="99"/>
              </w:rPr>
              <w:t>(Unaudited)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920" w:type="dxa"/>
            <w:vAlign w:val="bottom"/>
            <w:gridSpan w:val="3"/>
          </w:tcPr>
          <w:p>
            <w:pPr>
              <w:spacing w:after="0"/>
              <w:rPr>
                <w:sz w:val="20"/>
                <w:szCs w:val="20"/>
                <w:color w:val="auto"/>
              </w:rPr>
            </w:pPr>
            <w:r>
              <w:rPr>
                <w:rFonts w:ascii="Arial" w:cs="Arial" w:eastAsia="Arial" w:hAnsi="Arial"/>
                <w:sz w:val="16"/>
                <w:szCs w:val="16"/>
                <w:i w:val="1"/>
                <w:iCs w:val="1"/>
                <w:color w:val="auto"/>
              </w:rPr>
              <w:t>(Thousands of Dollars)</w:t>
            </w:r>
          </w:p>
        </w:tc>
        <w:tc>
          <w:tcPr>
            <w:tcW w:w="5620" w:type="dxa"/>
            <w:vAlign w:val="bottom"/>
          </w:tcPr>
          <w:p>
            <w:pPr>
              <w:jc w:val="right"/>
              <w:ind w:right="50"/>
              <w:spacing w:after="0"/>
              <w:rPr>
                <w:sz w:val="20"/>
                <w:szCs w:val="20"/>
                <w:color w:val="auto"/>
              </w:rPr>
            </w:pPr>
            <w:r>
              <w:rPr>
                <w:rFonts w:ascii="Arial" w:cs="Arial" w:eastAsia="Arial" w:hAnsi="Arial"/>
                <w:sz w:val="18"/>
                <w:szCs w:val="18"/>
                <w:color w:val="auto"/>
              </w:rPr>
              <w:t>June 30, 2019</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tcPr>
          <w:p>
            <w:pPr>
              <w:spacing w:after="0"/>
              <w:rPr>
                <w:sz w:val="17"/>
                <w:szCs w:val="17"/>
                <w:color w:val="auto"/>
              </w:rPr>
            </w:pPr>
          </w:p>
        </w:tc>
        <w:tc>
          <w:tcPr>
            <w:tcW w:w="56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31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gridSpan w:val="2"/>
          </w:tcPr>
          <w:p>
            <w:pPr>
              <w:spacing w:after="0"/>
              <w:rPr>
                <w:sz w:val="17"/>
                <w:szCs w:val="17"/>
                <w:color w:val="auto"/>
              </w:rPr>
            </w:pPr>
          </w:p>
        </w:tc>
        <w:tc>
          <w:tcPr>
            <w:tcW w:w="56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6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5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13,516</w:t>
            </w: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6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47,772</w:t>
            </w:r>
          </w:p>
        </w:tc>
        <w:tc>
          <w:tcPr>
            <w:tcW w:w="1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Inventories</w:t>
            </w:r>
          </w:p>
        </w:tc>
        <w:tc>
          <w:tcPr>
            <w:tcW w:w="5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3,258</w:t>
            </w: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w:t>
            </w:r>
          </w:p>
        </w:tc>
        <w:tc>
          <w:tcPr>
            <w:tcW w:w="3100" w:type="dxa"/>
            <w:vAlign w:val="bottom"/>
            <w:tcBorders>
              <w:bottom w:val="single" w:sz="8" w:color="auto"/>
            </w:tcBorders>
            <w:shd w:val="clear" w:color="auto" w:fill="CCEEFF"/>
          </w:tcPr>
          <w:p>
            <w:pPr>
              <w:spacing w:after="0"/>
              <w:rPr>
                <w:sz w:val="17"/>
                <w:szCs w:val="17"/>
                <w:color w:val="auto"/>
              </w:rPr>
            </w:pPr>
          </w:p>
        </w:tc>
        <w:tc>
          <w:tcPr>
            <w:tcW w:w="56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6,706</w:t>
            </w:r>
          </w:p>
        </w:tc>
        <w:tc>
          <w:tcPr>
            <w:tcW w:w="18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current assets</w:t>
            </w:r>
          </w:p>
        </w:tc>
        <w:tc>
          <w:tcPr>
            <w:tcW w:w="56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71,252</w:t>
            </w:r>
          </w:p>
        </w:tc>
        <w:tc>
          <w:tcPr>
            <w:tcW w:w="188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59,342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6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Associated companies</w:t>
            </w:r>
          </w:p>
        </w:tc>
        <w:tc>
          <w:tcPr>
            <w:tcW w:w="5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28,926</w:t>
            </w: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w:t>
            </w:r>
          </w:p>
        </w:tc>
        <w:tc>
          <w:tcPr>
            <w:tcW w:w="3100" w:type="dxa"/>
            <w:vAlign w:val="bottom"/>
            <w:tcBorders>
              <w:bottom w:val="single" w:sz="8" w:color="auto"/>
            </w:tcBorders>
            <w:shd w:val="clear" w:color="auto" w:fill="CCEEFF"/>
          </w:tcPr>
          <w:p>
            <w:pPr>
              <w:spacing w:after="0"/>
              <w:rPr>
                <w:sz w:val="17"/>
                <w:szCs w:val="17"/>
                <w:color w:val="auto"/>
              </w:rPr>
            </w:pPr>
          </w:p>
        </w:tc>
        <w:tc>
          <w:tcPr>
            <w:tcW w:w="56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10,905</w:t>
            </w:r>
          </w:p>
        </w:tc>
        <w:tc>
          <w:tcPr>
            <w:tcW w:w="18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investments</w:t>
            </w:r>
          </w:p>
        </w:tc>
        <w:tc>
          <w:tcPr>
            <w:tcW w:w="56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39,831</w:t>
            </w:r>
          </w:p>
        </w:tc>
        <w:tc>
          <w:tcPr>
            <w:tcW w:w="188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40,174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6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Land and improvements</w:t>
            </w:r>
          </w:p>
        </w:tc>
        <w:tc>
          <w:tcPr>
            <w:tcW w:w="5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16,947</w:t>
            </w: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Buildings and improvements</w:t>
            </w:r>
          </w:p>
        </w:tc>
        <w:tc>
          <w:tcPr>
            <w:tcW w:w="56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149,494</w:t>
            </w:r>
          </w:p>
        </w:tc>
        <w:tc>
          <w:tcPr>
            <w:tcW w:w="1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Equipment</w:t>
            </w:r>
          </w:p>
        </w:tc>
        <w:tc>
          <w:tcPr>
            <w:tcW w:w="5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271,121</w:t>
            </w: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276,332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auto"/>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Construction in process</w:t>
            </w:r>
          </w:p>
        </w:tc>
        <w:tc>
          <w:tcPr>
            <w:tcW w:w="56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2,771</w:t>
            </w:r>
          </w:p>
        </w:tc>
        <w:tc>
          <w:tcPr>
            <w:tcW w:w="18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620" w:type="dxa"/>
            <w:vAlign w:val="bottom"/>
          </w:tcPr>
          <w:p>
            <w:pPr>
              <w:jc w:val="right"/>
              <w:ind w:right="50"/>
              <w:spacing w:after="0" w:line="196" w:lineRule="exact"/>
              <w:rPr>
                <w:sz w:val="20"/>
                <w:szCs w:val="20"/>
                <w:color w:val="auto"/>
              </w:rPr>
            </w:pPr>
            <w:r>
              <w:rPr>
                <w:rFonts w:ascii="Arial" w:cs="Arial" w:eastAsia="Arial" w:hAnsi="Arial"/>
                <w:sz w:val="18"/>
                <w:szCs w:val="18"/>
                <w:color w:val="auto"/>
              </w:rPr>
              <w:t>440,333</w:t>
            </w:r>
          </w:p>
        </w:tc>
        <w:tc>
          <w:tcPr>
            <w:tcW w:w="1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445,850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auto"/>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Less accumulated depreciation</w:t>
            </w:r>
          </w:p>
        </w:tc>
        <w:tc>
          <w:tcPr>
            <w:tcW w:w="56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354,784</w:t>
            </w:r>
          </w:p>
        </w:tc>
        <w:tc>
          <w:tcPr>
            <w:tcW w:w="18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353,522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Property and equipment, net</w:t>
            </w:r>
          </w:p>
        </w:tc>
        <w:tc>
          <w:tcPr>
            <w:tcW w:w="56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85,549</w:t>
            </w:r>
          </w:p>
        </w:tc>
        <w:tc>
          <w:tcPr>
            <w:tcW w:w="188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92,328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w:t>
            </w:r>
          </w:p>
        </w:tc>
        <w:tc>
          <w:tcPr>
            <w:tcW w:w="3100" w:type="dxa"/>
            <w:vAlign w:val="bottom"/>
            <w:shd w:val="clear" w:color="auto" w:fill="CCEEFF"/>
          </w:tcPr>
          <w:p>
            <w:pPr>
              <w:spacing w:after="0"/>
              <w:rPr>
                <w:sz w:val="17"/>
                <w:szCs w:val="17"/>
                <w:color w:val="auto"/>
              </w:rPr>
            </w:pPr>
          </w:p>
        </w:tc>
        <w:tc>
          <w:tcPr>
            <w:tcW w:w="56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249,727</w:t>
            </w:r>
          </w:p>
        </w:tc>
        <w:tc>
          <w:tcPr>
            <w:tcW w:w="18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246,176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110,806</w:t>
            </w: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Medical plan assets, net</w:t>
            </w:r>
          </w:p>
        </w:tc>
        <w:tc>
          <w:tcPr>
            <w:tcW w:w="56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15,766</w:t>
            </w:r>
          </w:p>
        </w:tc>
        <w:tc>
          <w:tcPr>
            <w:tcW w:w="1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310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1,470</w:t>
            </w:r>
          </w:p>
        </w:tc>
        <w:tc>
          <w:tcPr>
            <w:tcW w:w="18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0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6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574,401</w:t>
            </w:r>
          </w:p>
        </w:tc>
        <w:tc>
          <w:tcPr>
            <w:tcW w:w="188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575,411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37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 2019   September 30,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8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EQUITY</w:t>
            </w:r>
          </w:p>
        </w:tc>
        <w:tc>
          <w:tcPr>
            <w:tcW w:w="2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23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3,931</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3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13,747</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16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3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17,492</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interest</w:t>
            </w:r>
          </w:p>
        </w:tc>
        <w:tc>
          <w:tcPr>
            <w:tcW w:w="23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11,010</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Unearned revenue</w:t>
            </w:r>
          </w:p>
        </w:tc>
        <w:tc>
          <w:tcPr>
            <w:tcW w:w="232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22,970</w:t>
            </w:r>
          </w:p>
        </w:tc>
        <w:tc>
          <w:tcPr>
            <w:tcW w:w="14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23,895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3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69,150</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65,341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320" w:type="dxa"/>
            <w:vAlign w:val="bottom"/>
          </w:tcPr>
          <w:p>
            <w:pPr>
              <w:jc w:val="right"/>
              <w:ind w:right="530"/>
              <w:spacing w:after="0" w:line="196" w:lineRule="exact"/>
              <w:rPr>
                <w:sz w:val="20"/>
                <w:szCs w:val="20"/>
                <w:color w:val="auto"/>
              </w:rPr>
            </w:pPr>
            <w:r>
              <w:rPr>
                <w:rFonts w:ascii="Arial" w:cs="Arial" w:eastAsia="Arial" w:hAnsi="Arial"/>
                <w:sz w:val="18"/>
                <w:szCs w:val="18"/>
                <w:color w:val="auto"/>
              </w:rPr>
              <w:t>442,026</w:t>
            </w:r>
          </w:p>
        </w:tc>
        <w:tc>
          <w:tcPr>
            <w:tcW w:w="14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460,777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obligations</w:t>
            </w:r>
          </w:p>
        </w:tc>
        <w:tc>
          <w:tcPr>
            <w:tcW w:w="23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24,951</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3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2,526</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23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39,238</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Arial" w:cs="Arial" w:eastAsia="Arial" w:hAnsi="Arial"/>
                <w:sz w:val="18"/>
                <w:szCs w:val="18"/>
                <w:color w:val="auto"/>
              </w:rPr>
              <w:t>Income taxes payable</w:t>
            </w:r>
          </w:p>
        </w:tc>
        <w:tc>
          <w:tcPr>
            <w:tcW w:w="23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7,430</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Warrants and other</w:t>
            </w:r>
          </w:p>
        </w:tc>
        <w:tc>
          <w:tcPr>
            <w:tcW w:w="2320" w:type="dxa"/>
            <w:vAlign w:val="bottom"/>
            <w:tcBorders>
              <w:bottom w:val="single" w:sz="8" w:color="auto"/>
            </w:tcBorders>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10,620</w:t>
            </w:r>
          </w:p>
        </w:tc>
        <w:tc>
          <w:tcPr>
            <w:tcW w:w="14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23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595,941</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611,671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(deficit):</w:t>
            </w:r>
          </w:p>
        </w:tc>
        <w:tc>
          <w:tcPr>
            <w:tcW w:w="2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160"/>
              <w:spacing w:after="0" w:line="202" w:lineRule="exact"/>
              <w:rPr>
                <w:sz w:val="20"/>
                <w:szCs w:val="20"/>
                <w:color w:val="auto"/>
              </w:rPr>
            </w:pPr>
            <w:r>
              <w:rPr>
                <w:rFonts w:ascii="Arial" w:cs="Arial" w:eastAsia="Arial" w:hAnsi="Arial"/>
                <w:sz w:val="18"/>
                <w:szCs w:val="18"/>
                <w:color w:val="auto"/>
              </w:rPr>
              <w:t>Stockholders' equity (deficit):</w:t>
            </w:r>
          </w:p>
        </w:tc>
        <w:tc>
          <w:tcPr>
            <w:tcW w:w="2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3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20"/>
              <w:spacing w:after="0" w:line="202" w:lineRule="exact"/>
              <w:rPr>
                <w:sz w:val="20"/>
                <w:szCs w:val="20"/>
                <w:color w:val="auto"/>
              </w:rPr>
            </w:pPr>
            <w:r>
              <w:rPr>
                <w:rFonts w:ascii="Arial" w:cs="Arial" w:eastAsia="Arial" w:hAnsi="Arial"/>
                <w:sz w:val="18"/>
                <w:szCs w:val="18"/>
                <w:color w:val="auto"/>
              </w:rPr>
              <w:t>Common Stock, $0.01 par value; authorized 120,000 shares; issued and outstanding:</w:t>
            </w:r>
          </w:p>
        </w:tc>
        <w:tc>
          <w:tcPr>
            <w:tcW w:w="23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578</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June 30, 2019: 58,823 shares;</w:t>
            </w:r>
          </w:p>
        </w:tc>
        <w:tc>
          <w:tcPr>
            <w:tcW w:w="2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480"/>
              <w:spacing w:after="0" w:line="202" w:lineRule="exact"/>
              <w:rPr>
                <w:sz w:val="20"/>
                <w:szCs w:val="20"/>
                <w:color w:val="auto"/>
              </w:rPr>
            </w:pPr>
            <w:r>
              <w:rPr>
                <w:rFonts w:ascii="Arial" w:cs="Arial" w:eastAsia="Arial" w:hAnsi="Arial"/>
                <w:sz w:val="18"/>
                <w:szCs w:val="18"/>
                <w:color w:val="auto"/>
              </w:rPr>
              <w:t>September 30, 2018: 57,141 shares</w:t>
            </w:r>
          </w:p>
        </w:tc>
        <w:tc>
          <w:tcPr>
            <w:tcW w:w="2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Class B Common Stock, $2 par value; authorized 30,000 shares; none issued</w:t>
            </w:r>
          </w:p>
        </w:tc>
        <w:tc>
          <w:tcPr>
            <w:tcW w:w="23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320"/>
              <w:spacing w:after="0" w:line="202" w:lineRule="exact"/>
              <w:rPr>
                <w:sz w:val="20"/>
                <w:szCs w:val="20"/>
                <w:color w:val="auto"/>
              </w:rPr>
            </w:pPr>
            <w:r>
              <w:rPr>
                <w:rFonts w:ascii="Arial" w:cs="Arial" w:eastAsia="Arial" w:hAnsi="Arial"/>
                <w:sz w:val="18"/>
                <w:szCs w:val="18"/>
                <w:color w:val="auto"/>
              </w:rPr>
              <w:t>Additional paid-in capital</w:t>
            </w:r>
          </w:p>
        </w:tc>
        <w:tc>
          <w:tcPr>
            <w:tcW w:w="23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254,727</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253,511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Accumulated deficit</w:t>
            </w:r>
          </w:p>
        </w:tc>
        <w:tc>
          <w:tcPr>
            <w:tcW w:w="23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(266,242)</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color w:val="auto"/>
              </w:rPr>
              <w:t>Accumulated other comprehensive loss</w:t>
            </w:r>
          </w:p>
        </w:tc>
        <w:tc>
          <w:tcPr>
            <w:tcW w:w="232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(12,112)</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stockholders' deficit</w:t>
            </w:r>
          </w:p>
        </w:tc>
        <w:tc>
          <w:tcPr>
            <w:tcW w:w="232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(23,049)</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Non-controlling interests</w:t>
            </w:r>
          </w:p>
        </w:tc>
        <w:tc>
          <w:tcPr>
            <w:tcW w:w="232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1,509</w:t>
            </w:r>
          </w:p>
        </w:tc>
        <w:tc>
          <w:tcPr>
            <w:tcW w:w="14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deficit</w:t>
            </w:r>
          </w:p>
        </w:tc>
        <w:tc>
          <w:tcPr>
            <w:tcW w:w="232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(21,540)</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 and deficit</w:t>
            </w:r>
          </w:p>
        </w:tc>
        <w:tc>
          <w:tcPr>
            <w:tcW w:w="23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574,401</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575,411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13 Weeks Ended</w:t>
            </w:r>
          </w:p>
        </w:tc>
        <w:tc>
          <w:tcPr>
            <w:tcW w:w="24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8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24,</w:t>
            </w:r>
          </w:p>
        </w:tc>
        <w:tc>
          <w:tcPr>
            <w:tcW w:w="134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30,</w:t>
            </w: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June 24,</w:t>
            </w:r>
          </w:p>
        </w:tc>
        <w:tc>
          <w:tcPr>
            <w:tcW w:w="0" w:type="dxa"/>
            <w:vAlign w:val="bottom"/>
          </w:tcPr>
          <w:p>
            <w:pPr>
              <w:spacing w:after="0"/>
              <w:rPr>
                <w:sz w:val="1"/>
                <w:szCs w:val="1"/>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82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June 30, 2019</w:t>
            </w:r>
          </w:p>
        </w:tc>
        <w:tc>
          <w:tcPr>
            <w:tcW w:w="138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2018</w:t>
            </w:r>
          </w:p>
        </w:tc>
        <w:tc>
          <w:tcPr>
            <w:tcW w:w="134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2019</w:t>
            </w:r>
          </w:p>
        </w:tc>
        <w:tc>
          <w:tcPr>
            <w:tcW w:w="11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line="202" w:lineRule="exact"/>
              <w:rPr>
                <w:sz w:val="20"/>
                <w:szCs w:val="20"/>
                <w:color w:val="auto"/>
              </w:rPr>
            </w:pPr>
            <w:r>
              <w:rPr>
                <w:rFonts w:ascii="Arial" w:cs="Arial" w:eastAsia="Arial" w:hAnsi="Arial"/>
                <w:sz w:val="18"/>
                <w:szCs w:val="18"/>
                <w:color w:val="auto"/>
              </w:rPr>
              <w:t>Advertising and marketing services</w:t>
            </w:r>
          </w:p>
        </w:tc>
        <w:tc>
          <w:tcPr>
            <w:tcW w:w="18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65,754</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73,538</w:t>
            </w:r>
          </w:p>
        </w:tc>
        <w:tc>
          <w:tcPr>
            <w:tcW w:w="1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204,651</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229,751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Subscription</w:t>
            </w:r>
          </w:p>
        </w:tc>
        <w:tc>
          <w:tcPr>
            <w:tcW w:w="18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46,620</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48,165</w:t>
            </w:r>
          </w:p>
        </w:tc>
        <w:tc>
          <w:tcPr>
            <w:tcW w:w="13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137,965</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14,910</w:t>
            </w:r>
          </w:p>
        </w:tc>
        <w:tc>
          <w:tcPr>
            <w:tcW w:w="13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10,915</w:t>
            </w:r>
          </w:p>
        </w:tc>
        <w:tc>
          <w:tcPr>
            <w:tcW w:w="13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43,573</w:t>
            </w: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32,052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127,284</w:t>
            </w:r>
          </w:p>
        </w:tc>
        <w:tc>
          <w:tcPr>
            <w:tcW w:w="138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132,618</w:t>
            </w:r>
          </w:p>
        </w:tc>
        <w:tc>
          <w:tcPr>
            <w:tcW w:w="13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386,189</w:t>
            </w:r>
          </w:p>
        </w:tc>
        <w:tc>
          <w:tcPr>
            <w:tcW w:w="110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404,208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Compensation</w:t>
            </w:r>
          </w:p>
        </w:tc>
        <w:tc>
          <w:tcPr>
            <w:tcW w:w="18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45,373</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48,570</w:t>
            </w:r>
          </w:p>
        </w:tc>
        <w:tc>
          <w:tcPr>
            <w:tcW w:w="13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140,197</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149,551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line="202" w:lineRule="exact"/>
              <w:rPr>
                <w:sz w:val="20"/>
                <w:szCs w:val="20"/>
                <w:color w:val="auto"/>
              </w:rPr>
            </w:pPr>
            <w:r>
              <w:rPr>
                <w:rFonts w:ascii="Arial" w:cs="Arial" w:eastAsia="Arial" w:hAnsi="Arial"/>
                <w:sz w:val="18"/>
                <w:szCs w:val="18"/>
                <w:color w:val="auto"/>
              </w:rPr>
              <w:t>Newsprint and ink</w:t>
            </w:r>
          </w:p>
        </w:tc>
        <w:tc>
          <w:tcPr>
            <w:tcW w:w="18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5,230</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6,442</w:t>
            </w:r>
          </w:p>
        </w:tc>
        <w:tc>
          <w:tcPr>
            <w:tcW w:w="1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17,394</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operating expenses</w:t>
            </w:r>
          </w:p>
        </w:tc>
        <w:tc>
          <w:tcPr>
            <w:tcW w:w="18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48,157</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49,159</w:t>
            </w:r>
          </w:p>
        </w:tc>
        <w:tc>
          <w:tcPr>
            <w:tcW w:w="13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145,915</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18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7,347</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7,904</w:t>
            </w:r>
          </w:p>
        </w:tc>
        <w:tc>
          <w:tcPr>
            <w:tcW w:w="1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22,263</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8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(195)</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101</w:t>
            </w:r>
          </w:p>
        </w:tc>
        <w:tc>
          <w:tcPr>
            <w:tcW w:w="1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(212)</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Restructuring costs and other</w:t>
            </w:r>
          </w:p>
        </w:tc>
        <w:tc>
          <w:tcPr>
            <w:tcW w:w="18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2,792</w:t>
            </w:r>
          </w:p>
        </w:tc>
        <w:tc>
          <w:tcPr>
            <w:tcW w:w="13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1,865</w:t>
            </w:r>
          </w:p>
        </w:tc>
        <w:tc>
          <w:tcPr>
            <w:tcW w:w="13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5,612</w:t>
            </w: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8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108,704</w:t>
            </w:r>
          </w:p>
        </w:tc>
        <w:tc>
          <w:tcPr>
            <w:tcW w:w="13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114,041</w:t>
            </w:r>
          </w:p>
        </w:tc>
        <w:tc>
          <w:tcPr>
            <w:tcW w:w="13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331,169</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343,227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8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1,451</w:t>
            </w:r>
          </w:p>
        </w:tc>
        <w:tc>
          <w:tcPr>
            <w:tcW w:w="13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1,578</w:t>
            </w:r>
          </w:p>
        </w:tc>
        <w:tc>
          <w:tcPr>
            <w:tcW w:w="13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5,298</w:t>
            </w: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20,031</w:t>
            </w:r>
          </w:p>
        </w:tc>
        <w:tc>
          <w:tcPr>
            <w:tcW w:w="138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20,155</w:t>
            </w:r>
          </w:p>
        </w:tc>
        <w:tc>
          <w:tcPr>
            <w:tcW w:w="13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60,318</w:t>
            </w:r>
          </w:p>
        </w:tc>
        <w:tc>
          <w:tcPr>
            <w:tcW w:w="110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66,550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(11,860)</w:t>
            </w:r>
          </w:p>
        </w:tc>
        <w:tc>
          <w:tcPr>
            <w:tcW w:w="13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(12,913)</w:t>
            </w:r>
          </w:p>
        </w:tc>
        <w:tc>
          <w:tcPr>
            <w:tcW w:w="1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(36,256)</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(39,837)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line="202" w:lineRule="exact"/>
              <w:rPr>
                <w:sz w:val="20"/>
                <w:szCs w:val="20"/>
                <w:color w:val="auto"/>
              </w:rPr>
            </w:pPr>
            <w:r>
              <w:rPr>
                <w:rFonts w:ascii="Arial" w:cs="Arial" w:eastAsia="Arial" w:hAnsi="Arial"/>
                <w:sz w:val="18"/>
                <w:szCs w:val="18"/>
                <w:color w:val="auto"/>
              </w:rPr>
              <w:t>Debt financing and administrative costs</w:t>
            </w:r>
          </w:p>
        </w:tc>
        <w:tc>
          <w:tcPr>
            <w:tcW w:w="18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(4,196)</w:t>
            </w:r>
          </w:p>
        </w:tc>
        <w:tc>
          <w:tcPr>
            <w:tcW w:w="13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(1,747)</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(6,053)</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net</w:t>
            </w:r>
          </w:p>
        </w:tc>
        <w:tc>
          <w:tcPr>
            <w:tcW w:w="18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3,702</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1,227</w:t>
            </w:r>
          </w:p>
        </w:tc>
        <w:tc>
          <w:tcPr>
            <w:tcW w:w="134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2,730</w:t>
            </w:r>
          </w:p>
        </w:tc>
        <w:tc>
          <w:tcPr>
            <w:tcW w:w="11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expense, net</w:t>
            </w:r>
          </w:p>
        </w:tc>
        <w:tc>
          <w:tcPr>
            <w:tcW w:w="18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(12,354)</w:t>
            </w:r>
          </w:p>
        </w:tc>
        <w:tc>
          <w:tcPr>
            <w:tcW w:w="13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(13,433)</w:t>
            </w:r>
          </w:p>
        </w:tc>
        <w:tc>
          <w:tcPr>
            <w:tcW w:w="1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(39,579)</w:t>
            </w:r>
          </w:p>
        </w:tc>
        <w:tc>
          <w:tcPr>
            <w:tcW w:w="110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(40,730)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8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7,677</w:t>
            </w:r>
          </w:p>
        </w:tc>
        <w:tc>
          <w:tcPr>
            <w:tcW w:w="13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6,722</w:t>
            </w:r>
          </w:p>
        </w:tc>
        <w:tc>
          <w:tcPr>
            <w:tcW w:w="13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20,739</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25,820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 (benefit)</w:t>
            </w:r>
          </w:p>
        </w:tc>
        <w:tc>
          <w:tcPr>
            <w:tcW w:w="18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1,505</w:t>
            </w:r>
          </w:p>
        </w:tc>
        <w:tc>
          <w:tcPr>
            <w:tcW w:w="13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1,972</w:t>
            </w:r>
          </w:p>
        </w:tc>
        <w:tc>
          <w:tcPr>
            <w:tcW w:w="13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6,175</w:t>
            </w:r>
          </w:p>
        </w:tc>
        <w:tc>
          <w:tcPr>
            <w:tcW w:w="11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8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6,172</w:t>
            </w:r>
          </w:p>
        </w:tc>
        <w:tc>
          <w:tcPr>
            <w:tcW w:w="13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4,750</w:t>
            </w:r>
          </w:p>
        </w:tc>
        <w:tc>
          <w:tcPr>
            <w:tcW w:w="13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14,564</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(406)</w:t>
            </w:r>
          </w:p>
        </w:tc>
        <w:tc>
          <w:tcPr>
            <w:tcW w:w="13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(292)</w:t>
            </w:r>
          </w:p>
        </w:tc>
        <w:tc>
          <w:tcPr>
            <w:tcW w:w="13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(1,115)</w:t>
            </w:r>
          </w:p>
        </w:tc>
        <w:tc>
          <w:tcPr>
            <w:tcW w:w="11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18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5,766</w:t>
            </w:r>
          </w:p>
        </w:tc>
        <w:tc>
          <w:tcPr>
            <w:tcW w:w="138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4,458</w:t>
            </w:r>
          </w:p>
        </w:tc>
        <w:tc>
          <w:tcPr>
            <w:tcW w:w="134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13,449</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8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(122)</w:t>
            </w:r>
          </w:p>
        </w:tc>
        <w:tc>
          <w:tcPr>
            <w:tcW w:w="13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27</w:t>
            </w:r>
          </w:p>
        </w:tc>
        <w:tc>
          <w:tcPr>
            <w:tcW w:w="134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(365)</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18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5,644</w:t>
            </w:r>
          </w:p>
        </w:tc>
        <w:tc>
          <w:tcPr>
            <w:tcW w:w="138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4,485</w:t>
            </w:r>
          </w:p>
        </w:tc>
        <w:tc>
          <w:tcPr>
            <w:tcW w:w="13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13,084</w:t>
            </w:r>
          </w:p>
        </w:tc>
        <w:tc>
          <w:tcPr>
            <w:tcW w:w="110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41,718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18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0.10</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0.08</w:t>
            </w:r>
          </w:p>
        </w:tc>
        <w:tc>
          <w:tcPr>
            <w:tcW w:w="13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0.24</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Diluted:</w:t>
            </w:r>
          </w:p>
        </w:tc>
        <w:tc>
          <w:tcPr>
            <w:tcW w:w="18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0.10</w:t>
            </w:r>
          </w:p>
        </w:tc>
        <w:tc>
          <w:tcPr>
            <w:tcW w:w="13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0.08</w:t>
            </w:r>
          </w:p>
        </w:tc>
        <w:tc>
          <w:tcPr>
            <w:tcW w:w="13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0.24</w:t>
            </w:r>
          </w:p>
        </w:tc>
        <w:tc>
          <w:tcPr>
            <w:tcW w:w="11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Accumulated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Common</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Comprehensive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66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Stock</w:t>
            </w:r>
          </w:p>
        </w:tc>
        <w:tc>
          <w:tcPr>
            <w:tcW w:w="13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paid-in capital</w:t>
            </w:r>
          </w:p>
        </w:tc>
        <w:tc>
          <w:tcPr>
            <w:tcW w:w="174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Loss</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1, 2018</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(279,691)</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572</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253,511</w:t>
            </w:r>
          </w:p>
        </w:tc>
        <w:tc>
          <w:tcPr>
            <w:tcW w:w="17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(11,746)</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(453)</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10,361</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385</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(163)</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6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41</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30, 2018</w:t>
            </w: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(269,330)</w:t>
            </w:r>
          </w:p>
        </w:tc>
        <w:tc>
          <w:tcPr>
            <w:tcW w:w="11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577</w:t>
            </w:r>
          </w:p>
        </w:tc>
        <w:tc>
          <w:tcPr>
            <w:tcW w:w="1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253,443</w:t>
            </w:r>
          </w:p>
        </w:tc>
        <w:tc>
          <w:tcPr>
            <w:tcW w:w="17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(11,868)</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317</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(2,678)</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425</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(163)</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6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41</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31, 2019</w:t>
            </w: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(272,008)</w:t>
            </w: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577</w:t>
            </w: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254,185</w:t>
            </w:r>
          </w:p>
        </w:tc>
        <w:tc>
          <w:tcPr>
            <w:tcW w:w="17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(11,990)</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221</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5,766</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321</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(163)</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6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41</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30, 2019</w:t>
            </w: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(266,242)</w:t>
            </w:r>
          </w:p>
        </w:tc>
        <w:tc>
          <w:tcPr>
            <w:tcW w:w="11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578</w:t>
            </w:r>
          </w:p>
        </w:tc>
        <w:tc>
          <w:tcPr>
            <w:tcW w:w="1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254,727</w:t>
            </w:r>
          </w:p>
        </w:tc>
        <w:tc>
          <w:tcPr>
            <w:tcW w:w="17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(12,112)</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(23,049)</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Accumulated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Common</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Comprehensive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66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Deficit</w:t>
            </w:r>
          </w:p>
        </w:tc>
        <w:tc>
          <w:tcPr>
            <w:tcW w:w="11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Stock</w:t>
            </w:r>
          </w:p>
        </w:tc>
        <w:tc>
          <w:tcPr>
            <w:tcW w:w="13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paid-in capital</w:t>
            </w:r>
          </w:p>
        </w:tc>
        <w:tc>
          <w:tcPr>
            <w:tcW w:w="174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Loss</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25, 2017</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(328,524)</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567</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251,790</w:t>
            </w:r>
          </w:p>
        </w:tc>
        <w:tc>
          <w:tcPr>
            <w:tcW w:w="17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(16,068)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35,003</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519</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36</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6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(9)</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24, 2017</w:t>
            </w: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(293,521)</w:t>
            </w:r>
          </w:p>
        </w:tc>
        <w:tc>
          <w:tcPr>
            <w:tcW w:w="11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571</w:t>
            </w:r>
          </w:p>
        </w:tc>
        <w:tc>
          <w:tcPr>
            <w:tcW w:w="1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251,844</w:t>
            </w:r>
          </w:p>
        </w:tc>
        <w:tc>
          <w:tcPr>
            <w:tcW w:w="17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(16,041)</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(57,147)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19</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2,239</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439</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66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35</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25, 2018</w:t>
            </w: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(291,282)</w:t>
            </w: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570</w:t>
            </w: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252,302</w:t>
            </w:r>
          </w:p>
        </w:tc>
        <w:tc>
          <w:tcPr>
            <w:tcW w:w="17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(16,077)</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88</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4,458</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573</w:t>
            </w:r>
          </w:p>
        </w:tc>
        <w:tc>
          <w:tcPr>
            <w:tcW w:w="17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36</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66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(9)</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24, 2018</w:t>
            </w: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(286,824)</w:t>
            </w:r>
          </w:p>
        </w:tc>
        <w:tc>
          <w:tcPr>
            <w:tcW w:w="11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571</w:t>
            </w:r>
          </w:p>
        </w:tc>
        <w:tc>
          <w:tcPr>
            <w:tcW w:w="1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252,963</w:t>
            </w:r>
          </w:p>
        </w:tc>
        <w:tc>
          <w:tcPr>
            <w:tcW w:w="17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(16,050)</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962"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962"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9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June 30, 2019</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June 24,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(required for) operating activities:</w:t>
            </w:r>
          </w:p>
        </w:tc>
        <w:tc>
          <w:tcPr>
            <w:tcW w:w="19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14,564</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9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1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22,263</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Curtailment gains</w:t>
            </w:r>
          </w:p>
        </w:tc>
        <w:tc>
          <w:tcPr>
            <w:tcW w:w="1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Stock compensation expense</w:t>
            </w:r>
          </w:p>
        </w:tc>
        <w:tc>
          <w:tcPr>
            <w:tcW w:w="1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1,131</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Distributions greater than earnings of MNI</w:t>
            </w:r>
          </w:p>
        </w:tc>
        <w:tc>
          <w:tcPr>
            <w:tcW w:w="1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648</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Deferred income taxes</w:t>
            </w:r>
          </w:p>
        </w:tc>
        <w:tc>
          <w:tcPr>
            <w:tcW w:w="1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(17,834)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Debt financing and administrative costs</w:t>
            </w:r>
          </w:p>
        </w:tc>
        <w:tc>
          <w:tcPr>
            <w:tcW w:w="1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6,053</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Pension contributions</w:t>
            </w:r>
          </w:p>
        </w:tc>
        <w:tc>
          <w:tcPr>
            <w:tcW w:w="1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(650)</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net</w:t>
            </w:r>
          </w:p>
        </w:tc>
        <w:tc>
          <w:tcPr>
            <w:tcW w:w="1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(745)</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3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Decrease in receivables and contract assets</w:t>
            </w:r>
          </w:p>
        </w:tc>
        <w:tc>
          <w:tcPr>
            <w:tcW w:w="1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(3,435)</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480"/>
              <w:spacing w:after="0" w:line="202" w:lineRule="exact"/>
              <w:rPr>
                <w:sz w:val="20"/>
                <w:szCs w:val="20"/>
                <w:color w:val="auto"/>
              </w:rPr>
            </w:pPr>
            <w:r>
              <w:rPr>
                <w:rFonts w:ascii="Arial" w:cs="Arial" w:eastAsia="Arial" w:hAnsi="Arial"/>
                <w:sz w:val="18"/>
                <w:szCs w:val="18"/>
                <w:color w:val="auto"/>
              </w:rPr>
              <w:t>Decrease (increase) in inventories and other</w:t>
            </w:r>
          </w:p>
        </w:tc>
        <w:tc>
          <w:tcPr>
            <w:tcW w:w="1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2,383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Decrease in accounts payable and other accrued liabilities</w:t>
            </w:r>
          </w:p>
        </w:tc>
        <w:tc>
          <w:tcPr>
            <w:tcW w:w="1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2,666</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48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(782)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Change in income taxes payable</w:t>
            </w:r>
          </w:p>
        </w:tc>
        <w:tc>
          <w:tcPr>
            <w:tcW w:w="1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(419)</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Borders>
              <w:bottom w:val="single" w:sz="8" w:color="auto"/>
            </w:tcBorders>
          </w:tcPr>
          <w:p>
            <w:pPr>
              <w:ind w:left="480"/>
              <w:spacing w:after="0" w:line="202" w:lineRule="exact"/>
              <w:rPr>
                <w:sz w:val="20"/>
                <w:szCs w:val="20"/>
                <w:color w:val="auto"/>
              </w:rPr>
            </w:pPr>
            <w:r>
              <w:rPr>
                <w:rFonts w:ascii="Arial" w:cs="Arial" w:eastAsia="Arial" w:hAnsi="Arial"/>
                <w:sz w:val="18"/>
                <w:szCs w:val="18"/>
                <w:color w:val="auto"/>
              </w:rPr>
              <w:t>Other, including warrants</w:t>
            </w:r>
          </w:p>
        </w:tc>
        <w:tc>
          <w:tcPr>
            <w:tcW w:w="19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(144)</w:t>
            </w: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9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43,786</w:t>
            </w:r>
          </w:p>
        </w:tc>
        <w:tc>
          <w:tcPr>
            <w:tcW w:w="16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57,033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Pr>
          <w:p>
            <w:pPr>
              <w:spacing w:after="0" w:line="196" w:lineRule="exact"/>
              <w:rPr>
                <w:sz w:val="20"/>
                <w:szCs w:val="20"/>
                <w:color w:val="auto"/>
              </w:rPr>
            </w:pPr>
            <w:r>
              <w:rPr>
                <w:rFonts w:ascii="Arial" w:cs="Arial" w:eastAsia="Arial" w:hAnsi="Arial"/>
                <w:sz w:val="18"/>
                <w:szCs w:val="18"/>
                <w:color w:val="auto"/>
              </w:rPr>
              <w:t>Cash provided by (required for) investing activities:</w:t>
            </w:r>
          </w:p>
        </w:tc>
        <w:tc>
          <w:tcPr>
            <w:tcW w:w="1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Purchases of property and equipment</w:t>
            </w:r>
          </w:p>
        </w:tc>
        <w:tc>
          <w:tcPr>
            <w:tcW w:w="1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(3,753)</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sales of assets</w:t>
            </w:r>
          </w:p>
        </w:tc>
        <w:tc>
          <w:tcPr>
            <w:tcW w:w="1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1,477</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Acquisitions</w:t>
            </w:r>
          </w:p>
        </w:tc>
        <w:tc>
          <w:tcPr>
            <w:tcW w:w="1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(5,274)</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Distributions greater (less) than earnings of TNI</w:t>
            </w:r>
          </w:p>
        </w:tc>
        <w:tc>
          <w:tcPr>
            <w:tcW w:w="1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(358)</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net</w:t>
            </w:r>
          </w:p>
        </w:tc>
        <w:tc>
          <w:tcPr>
            <w:tcW w:w="190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w:t>
            </w: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investing activities</w:t>
            </w:r>
          </w:p>
        </w:tc>
        <w:tc>
          <w:tcPr>
            <w:tcW w:w="1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(7,911)</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required for financing activities:</w:t>
            </w:r>
          </w:p>
        </w:tc>
        <w:tc>
          <w:tcPr>
            <w:tcW w:w="19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Payments on long-term debt</w:t>
            </w:r>
          </w:p>
        </w:tc>
        <w:tc>
          <w:tcPr>
            <w:tcW w:w="1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(26,301)</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(48,573)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19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(1,149)</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Common stock transactions, net</w:t>
            </w:r>
          </w:p>
        </w:tc>
        <w:tc>
          <w:tcPr>
            <w:tcW w:w="19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(289)</w:t>
            </w: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required for financing activities</w:t>
            </w:r>
          </w:p>
        </w:tc>
        <w:tc>
          <w:tcPr>
            <w:tcW w:w="19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(27,739)</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9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8,136</w:t>
            </w:r>
          </w:p>
        </w:tc>
        <w:tc>
          <w:tcPr>
            <w:tcW w:w="16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9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Beginning of period</w:t>
            </w:r>
          </w:p>
        </w:tc>
        <w:tc>
          <w:tcPr>
            <w:tcW w:w="19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5,380</w:t>
            </w:r>
          </w:p>
        </w:tc>
        <w:tc>
          <w:tcPr>
            <w:tcW w:w="1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End of period</w:t>
            </w:r>
          </w:p>
        </w:tc>
        <w:tc>
          <w:tcPr>
            <w:tcW w:w="19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13,516</w:t>
            </w:r>
          </w:p>
        </w:tc>
        <w:tc>
          <w:tcPr>
            <w:tcW w:w="16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16,029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ind w:left="4800" w:right="3400" w:hanging="4792"/>
        <w:spacing w:after="0" w:line="482" w:lineRule="auto"/>
        <w:tabs>
          <w:tab w:leader="none" w:pos="66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subsidiaries (the “Company”) as of June 30, 2019 and our results of operations and cash flows for the periods presented. The Consolidated Financial Statements should be read in conjunction with the Consolidated Financial Statements and Notes thereto included in the Company's 2018 Annual Report on Form 10-K.</w:t>
      </w:r>
    </w:p>
    <w:p>
      <w:pPr>
        <w:spacing w:after="0" w:line="19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Because of seasonal and other factors, the results of operations for the 13 weeks and 39 weeks ended June 30, 2019 are not necessarily indicative of the results to be expected for the full year.</w:t>
      </w:r>
    </w:p>
    <w:p>
      <w:pPr>
        <w:spacing w:after="0" w:line="18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“2019”, “2018” and the like refer to the fiscal years ended the last Sunday in September.</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82.5% interest in INN Partners, L.C. ("TownNews.com"), 50% interest in TNI Partners (“TNI”) and 50% interest in Madison Newspapers, Inc. (“MNI”).</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83"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On June 26, 2018, we entered into an agreement with BH Media Group, Inc. ("BH Media") to manage Berkshire Hathaway's newspaper and digital operations in 30 markets (the "Management Agreement"). The Company operates BH Media consistent with how it manages its own newspaper and digital operations. Among other decisions, Berkshire Hathaway is responsible for approving operating and capital budgets. The Management Agreement extends for a term of five years and may be extended thereafter for successive one-year terms on such terms as may be mutually agreed to by the Company and Berkshire Hathaway. The Company is paid a fixed annual fee of $5 million, payable quarterly in arrears, and a variable fee based on the financial performance of BH Media. The variable fees are payable annually in arrears. As of June 30, 2019, the end of the first year of the management agreement, we earned fees of $11,320,000.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preparation of the Consolidated Financial Statements in conformity with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22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Between 2014 and 2017, the FASB issued several new standards related to revenue recognition ("the New Revenue Standard"). The New Revenue Standard supersedes existing revenue recognition requirements and is effective in fiscal years beginning after December 15, 2017. The New Revenue Standard provides a five-step model in determining when and how revenue is recognized and requires revenue recognition to depict the transfer of promised goods or services to customers in an amount that reflects the consideration a company expects to receive in exchange for those goods or services. The New Revenue Standard also requires new disclosures about the nature, amount, timing, and uncertainty of revenue and cash flows arising from contracts with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We adopted the New Revenue Standard on October 1, 2018, using the modified retrospective method applied to those contracts which were not completed as of that date. We completed our assessment and did not identify any significant changes to our revenue recognition policies. We identified similar performance obligations under the New Revenue Standard as compared with the deliverables and separate units of accounting previously identified under existing guidance. As a result, the timing and amount of our revenue recognition were not impacted and we did not make any adjustments under the modified retrospective adoption method.</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We have also assessed the new accounting principles related to the deferral and amortization of contract acquisition costs and due to the short-term nature of such costs, we will utilize the practical expedient to continue to expense these costs as incurred.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for more information on our revenues and the application of the New Revenue Standard.</w:t>
      </w:r>
    </w:p>
    <w:p>
      <w:pPr>
        <w:spacing w:after="0" w:line="198"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August 2016, the FASB issued a new standard to conform the presentation in the statement of cash flows for certain transactions, including cash distributions from equity method investments, among others. There was no change to the Consolidated Statements of Cash Flows as a result of the adoption of this standard for the quarter ended December 30, 2018. Specifically, distributions received from equity method investees continue to be presented on the Consolidated Statements of Cash Flows utilizing the cumulative earnings approach.</w:t>
      </w:r>
    </w:p>
    <w:p>
      <w:pPr>
        <w:spacing w:after="0" w:line="189"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In March 2017, the FASB issued a new standard to improve the presentation of pension and postretirement benefit expense. As a result of the new standard the service cost component of pension and postretirement benefits expense is recognized as compensation expense, while the remaining components of the expense (benefit) are presented as non-operating income in other, net. This new standard was adopted for the quarter ended December 30, 2018 and has been retrospectively applied to the Consolidated Statements of Operations and Comprehensive Income for all comparative periods presented. We recorded benefits of $712,000 and $2,135,000 in other, net in non-operating income (expense) for the 13 and the 39 weeks ended June 30, 2019, respectively. We reclassified benefits of $708,000 and $2,123,000 from compensation to other, net in non-operating income (expense) for the 13 weeks and the 39 weeks ended June 24, 2018, respectively.</w:t>
      </w:r>
    </w:p>
    <w:p>
      <w:pPr>
        <w:spacing w:after="0" w:line="195"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In February 2018, the FASB issued new guidance to allow a reclassification from accumulated other comprehensive loss (“AOCL”) to retained earnings for stranded tax effects resulting from what is commonly referred to as the Tax Cuts and Jobs Act (the "2017 Tax Act"). In the first quarter of fiscal year 2018, we remeasured our deferred taxes related to unrealized gains on our investment balances using the reduced tax rate. As required by GAAP, we recognized the net tax benefit in the provision for income taxes in our consolidated operations statements, and we reclassified a $3,067,000 net tax benefit from AOCL to retained earnings in our Consolidated Balance Sheets. Adoption of the standard had no impact to our Consolidated Statements of Operations and Comprehensive Income or Cash Flows.</w:t>
      </w:r>
    </w:p>
    <w:p>
      <w:pPr>
        <w:spacing w:after="0" w:line="190"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In February 2016, the FASB issued a new standard for the accounting treatment of leases. The new standard is based on the principle that entities should recognize assets and liabilities arising from leases. The new standard does not significantly change the lessees’ recognition, measurement and presentation of expenses and cash flows from the previous accounting standard. Leases are classified as finance or operating. The new standard's primary change is the requirement for entities to recognize a lease liability for payments and a right of use asset representing the right to use the leased asset during the term on most operating lease arrangements. Lessees are permitted to make an accounting policy election to not recognize the asset and liability for leases with a term of twelve months or less. In addition, the new standard expands the disclosure requirements of lease arrangements. Lessees have the option to use a modified retrospective transition approach, which includes a number of practical expedients.</w:t>
      </w:r>
    </w:p>
    <w:p>
      <w:pPr>
        <w:spacing w:after="0" w:line="195"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In July 2018, the FASB issued a new standard which provides for an optional transition method that allows issuers to initially apply the new lease standard to all leases that exist as of the adoption date, with the cumulative effect of initially applying the new lease standard recognized as an adjustment to retained earnings as of the adoption date. We intend to adopt the optional transition method on September 30, 2019, the first calendar day of fiscal year 2020.</w:t>
      </w:r>
    </w:p>
    <w:p>
      <w:pPr>
        <w:spacing w:after="0" w:line="188"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To date we have made progress in our assessment of the new lease standard. Specifically, we have identified the population of leases and key financial metrics associated with each lease for scoping purposes. Additionally, we have selected a software solution that is compatible with our current financial reporting and control environment. Implementation of the software solution and reporting capabilities will occur during the fourth quarter of fiscal year 2019.</w:t>
      </w:r>
    </w:p>
    <w:p>
      <w:pPr>
        <w:spacing w:after="0" w:line="188"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Based on our progress to date, we anticipate adopting the standard will have a material impact on our Consolidated Balance Sheets as a result of the recognition of the corresponding lease assets and liabilities. However, we do not believe the adoption will have a material impact on our Consolidated Statements of Income or Consolidated Statements of Cash Flows.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jc w:val="both"/>
        <w:ind w:left="660" w:right="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On October 1, 2018, we adopted the New Revenue Standard, using the modified retrospective method applied to those contracts which were not completed as of that date. Results for reporting periods beginning after October 1, 2018 are presented under the new guidance while prior period amounts are not adjusted and continue to be reported in accordance with legacy accounting under the old guidance. We did not record any adjustments to beginning retained earnings at October 1, 2018 as a result of adopting the new guidance.</w:t>
      </w:r>
    </w:p>
    <w:p>
      <w:pPr>
        <w:spacing w:after="0" w:line="18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 Weeks Ended</w:t>
            </w:r>
          </w:p>
        </w:tc>
        <w:tc>
          <w:tcPr>
            <w:tcW w:w="1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39 Weeks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June 30, 2019</w:t>
            </w:r>
          </w:p>
        </w:tc>
        <w:tc>
          <w:tcPr>
            <w:tcW w:w="1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June 24, 2018</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June 30, 2019</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June 24,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2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65,754</w:t>
            </w:r>
          </w:p>
        </w:tc>
        <w:tc>
          <w:tcPr>
            <w:tcW w:w="1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73,538</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204,651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229,751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46,620</w:t>
            </w:r>
          </w:p>
        </w:tc>
        <w:tc>
          <w:tcPr>
            <w:tcW w:w="15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48,165</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137,965</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142,405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2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5,087</w:t>
            </w:r>
          </w:p>
        </w:tc>
        <w:tc>
          <w:tcPr>
            <w:tcW w:w="1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3,826</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14,507</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2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9,823</w:t>
            </w:r>
          </w:p>
        </w:tc>
        <w:tc>
          <w:tcPr>
            <w:tcW w:w="15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7,089</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29,066</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127,284</w:t>
            </w:r>
          </w:p>
        </w:tc>
        <w:tc>
          <w:tcPr>
            <w:tcW w:w="15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132,618</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386,189</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404,208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0"/>
        <w:spacing w:after="0" w:line="251"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61" w:lineRule="exact"/>
        <w:rPr>
          <w:sz w:val="20"/>
          <w:szCs w:val="20"/>
          <w:color w:val="auto"/>
        </w:rPr>
      </w:pPr>
    </w:p>
    <w:p>
      <w:pPr>
        <w:jc w:val="both"/>
        <w:ind w:left="660" w:right="60"/>
        <w:spacing w:after="0" w:line="241" w:lineRule="auto"/>
        <w:rPr>
          <w:sz w:val="20"/>
          <w:szCs w:val="20"/>
          <w:color w:val="auto"/>
        </w:rPr>
      </w:pPr>
      <w:r>
        <w:rPr>
          <w:rFonts w:ascii="Arial" w:cs="Arial" w:eastAsia="Arial" w:hAnsi="Arial"/>
          <w:sz w:val="18"/>
          <w:szCs w:val="18"/>
          <w:i w:val="1"/>
          <w:iCs w:val="1"/>
          <w:color w:val="auto"/>
        </w:rPr>
        <w:t xml:space="preserve">Advertising and marketing services revenue: </w:t>
      </w:r>
      <w:r>
        <w:rPr>
          <w:rFonts w:ascii="Arial" w:cs="Arial" w:eastAsia="Arial" w:hAnsi="Arial"/>
          <w:sz w:val="18"/>
          <w:szCs w:val="18"/>
          <w:color w:val="auto"/>
        </w:rPr>
        <w:t>Advertising and marketing services revenue include amounts charged to customers for</w:t>
      </w:r>
      <w:r>
        <w:rPr>
          <w:rFonts w:ascii="Arial" w:cs="Arial" w:eastAsia="Arial" w:hAnsi="Arial"/>
          <w:sz w:val="18"/>
          <w:szCs w:val="18"/>
          <w:i w:val="1"/>
          <w:iCs w:val="1"/>
          <w:color w:val="auto"/>
        </w:rPr>
        <w:t xml:space="preserve"> </w:t>
      </w:r>
      <w:r>
        <w:rPr>
          <w:rFonts w:ascii="Arial" w:cs="Arial" w:eastAsia="Arial" w:hAnsi="Arial"/>
          <w:sz w:val="18"/>
          <w:szCs w:val="18"/>
          <w:color w:val="auto"/>
        </w:rPr>
        <w:t>retail or classified advertising space purchased in our newspapers, retail or classified advertisements placed on our digital platforms, and other print advertising products such as preprint inserts and direct mail. Advertising and marketing services revenue also include amounts charged to customers for digital marketing services which include: audience extension, Search Engine Optimization ("SEO"), Search Engine Marketing ("SEM"), web and mobile production, social media services and reputation monitoring and management. The following define the timing of revenue recognition for each general revenue category:</w:t>
      </w:r>
    </w:p>
    <w:p>
      <w:pPr>
        <w:spacing w:after="0" w:line="189" w:lineRule="exact"/>
        <w:rPr>
          <w:sz w:val="20"/>
          <w:szCs w:val="20"/>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Print advertising revenue is recognized at the point in time the associated publication has been delivered.</w:t>
      </w:r>
    </w:p>
    <w:p>
      <w:pPr>
        <w:spacing w:after="0" w:line="198"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advertising revenue is recognized at the point in time that impressions are delivered.</w:t>
      </w:r>
    </w:p>
    <w:p>
      <w:pPr>
        <w:spacing w:after="0" w:line="198" w:lineRule="exact"/>
        <w:rPr>
          <w:rFonts w:ascii="Arial" w:cs="Arial" w:eastAsia="Arial" w:hAnsi="Arial"/>
          <w:sz w:val="18"/>
          <w:szCs w:val="18"/>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marketing services revenue is recognized over the period of time which the service is performed.</w:t>
      </w:r>
    </w:p>
    <w:p>
      <w:pPr>
        <w:spacing w:after="0" w:line="198"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Advertising and marketing services contract transaction prices consist of fixed consideration. We recognize revenue when control of the related performance obligation transfers to the customer.</w:t>
      </w:r>
    </w:p>
    <w:p>
      <w:pPr>
        <w:spacing w:after="0" w:line="183"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Payments for advertising revenue is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w:t>
      </w:r>
    </w:p>
    <w:p>
      <w:pPr>
        <w:spacing w:after="0" w:line="171" w:lineRule="exact"/>
        <w:rPr>
          <w:sz w:val="20"/>
          <w:szCs w:val="20"/>
          <w:color w:val="auto"/>
        </w:rPr>
      </w:pPr>
    </w:p>
    <w:p>
      <w:pPr>
        <w:jc w:val="both"/>
        <w:ind w:left="660" w:right="60"/>
        <w:spacing w:after="0" w:line="241"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Subscription revenue includes revenue for content delivered to consumers via print and digital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by readers or distributors. Single copy revenue is also included in subscription revenue. Subscription revenue from single-copy and home delivery subscriptions is recognized at the point in time the publications are delivered. Digital subscription revenue is recognized over time as performance obligations are met via on-demand availability of online content made available to customers throughout the contract term. Payments for subscription revenue is typically collected in advance, are for contract periods of one year or less and result in an unearned revenue liability that is reduced when revenue is recognized.</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consists of digital services, Management Agreement revenue, commercial printing and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third party products. Digital services revenues, which are primarily delivered through TownNews, are primarily comprised of contractual agreements to provide webhosting and content management services. As such, digital services revenue is recognized over the contract period. Prices for digital services are agreed upon in advance of the contract beginning and are typically billed in arrears on a monthly basis, with the exception of implementation fees which are recognized as deferred revenue and amortized over the contract period. Management Agreement revenue consists of fixed and variable fees collected from our Management Agreement. Fixed fee revenue from the Management Agreement is recognized over time and paid quarterly and variable fees are paid annually. Variable fees are recognized when the fees are deemed earned and it is probable that a significant reversal in the amount of cumulative revenue recognized will not occur when the uncertainty associated with the variable consideration is subsequently resolved. Commercial printing and delivery revenue is recognized when the product is delivered to the customer.</w:t>
      </w:r>
    </w:p>
    <w:p>
      <w:pPr>
        <w:spacing w:after="0" w:line="176"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8"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unearned revenue is from subscriptions paid in advance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$22,970,000 as of June 30, 2019 and $23,895,000 as of September 30, 2018. Revenue recognized in the 13 weeks and the 39 weeks ended June 30, 2019 that was included in the contract liability as of September 30, 2018 was $2,262,000 and $22,475,000, respectively.</w:t>
      </w:r>
    </w:p>
    <w:p>
      <w:pPr>
        <w:spacing w:after="0" w:line="189"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Contract asset balances relate to our Management Agreement revenue and were $5,506,000 as of June 30, 2019 and $0 as of September 30, 2018 and consisted solely of the variable portion of the contract. The contract asset balance recorded as of June 30, 2019 reflects the final approved Management Agreement variable fee for the contract year ended June 30, 2019. The entire balance was collected in July 2019. These contract asset balances are included in accounts receivable and contract assets, net. There are no other contract assets recorded. Accounts receivable, excluding allowance for doubtful accounts and contract assets, was $47,909,000 and $48,517,000 as of June 30, 2019 and September 30, 2018, respectively. Allowance for doubtful accounts was $5,643,000 and $4,806,000 as of June 30, 2019 and September 30, 2018, respectively.</w:t>
      </w:r>
    </w:p>
    <w:p>
      <w:pPr>
        <w:spacing w:after="0" w:line="17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are recorded within compensation. The vast majority of our contracts have original expected lengths of one year or less and revenue is earned at a rate and amount that corresponds directly with the value to the customer.</w:t>
      </w:r>
    </w:p>
    <w:p>
      <w:pPr>
        <w:spacing w:after="0" w:line="400" w:lineRule="exact"/>
        <w:rPr>
          <w:sz w:val="20"/>
          <w:szCs w:val="20"/>
          <w:color w:val="auto"/>
        </w:rPr>
      </w:pPr>
    </w:p>
    <w:p>
      <w:pPr>
        <w:ind w:left="660" w:right="6900" w:hanging="652"/>
        <w:spacing w:after="0" w:line="4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jc w:val="both"/>
        <w:ind w:left="6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 Weeks Ended</w:t>
            </w:r>
          </w:p>
        </w:tc>
        <w:tc>
          <w:tcPr>
            <w:tcW w:w="13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39 Weeks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June 30, 2019</w:t>
            </w:r>
          </w:p>
        </w:tc>
        <w:tc>
          <w:tcPr>
            <w:tcW w:w="1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June 24, 2018</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June 30, 2019</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June 24,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10,465</w:t>
            </w:r>
          </w:p>
        </w:tc>
        <w:tc>
          <w:tcPr>
            <w:tcW w:w="1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11,013</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34,109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36,094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2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8,363</w:t>
            </w:r>
          </w:p>
        </w:tc>
        <w:tc>
          <w:tcPr>
            <w:tcW w:w="15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9,039</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26,291</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28,376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2,102</w:t>
            </w:r>
          </w:p>
        </w:tc>
        <w:tc>
          <w:tcPr>
            <w:tcW w:w="15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1,974</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7,818</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8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2120" w:type="dxa"/>
            <w:vAlign w:val="bottom"/>
          </w:tcPr>
          <w:p>
            <w:pPr>
              <w:jc w:val="right"/>
              <w:spacing w:after="0" w:line="183" w:lineRule="exact"/>
              <w:rPr>
                <w:sz w:val="20"/>
                <w:szCs w:val="20"/>
                <w:color w:val="auto"/>
              </w:rPr>
            </w:pPr>
            <w:r>
              <w:rPr>
                <w:rFonts w:ascii="Arial" w:cs="Arial" w:eastAsia="Arial" w:hAnsi="Arial"/>
                <w:sz w:val="18"/>
                <w:szCs w:val="18"/>
                <w:color w:val="auto"/>
              </w:rPr>
              <w:t>1,051</w:t>
            </w:r>
          </w:p>
        </w:tc>
        <w:tc>
          <w:tcPr>
            <w:tcW w:w="15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987</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3,909</w:t>
            </w:r>
          </w:p>
        </w:tc>
        <w:tc>
          <w:tcPr>
            <w:tcW w:w="1480" w:type="dxa"/>
            <w:vAlign w:val="bottom"/>
          </w:tcPr>
          <w:p>
            <w:pPr>
              <w:jc w:val="right"/>
              <w:ind w:right="10"/>
              <w:spacing w:after="0" w:line="183" w:lineRule="exact"/>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2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5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TNI</w:t>
            </w:r>
          </w:p>
        </w:tc>
        <w:tc>
          <w:tcPr>
            <w:tcW w:w="2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946</w:t>
            </w:r>
          </w:p>
        </w:tc>
        <w:tc>
          <w:tcPr>
            <w:tcW w:w="1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882</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3,596</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TNI makes weekly distributions of its earnings and for the 13 weeks ended June 30, 2019 and June 24, 2018, we received $731,000 and $1,177,000 in distributions, respectively. In the 39 weeks ended June 30, 2019 and June 24, 2018, we received $3,238,000 and $4,375,000 in distributions, respectively.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ind w:left="660" w:right="60"/>
        <w:spacing w:after="0" w:line="239"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 Weeks Ended</w:t>
            </w:r>
          </w:p>
        </w:tc>
        <w:tc>
          <w:tcPr>
            <w:tcW w:w="13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39 Weeks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June 30, 2019</w:t>
            </w:r>
          </w:p>
        </w:tc>
        <w:tc>
          <w:tcPr>
            <w:tcW w:w="1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June 24, 2018</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June 30, 2019</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June 24,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13,709</w:t>
            </w:r>
          </w:p>
        </w:tc>
        <w:tc>
          <w:tcPr>
            <w:tcW w:w="1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14,518</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41,627</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Operating expenses, excluding restructuring costs, depreciation</w:t>
            </w: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gridSpan w:val="2"/>
          </w:tcPr>
          <w:p>
            <w:pPr>
              <w:spacing w:after="0" w:line="203" w:lineRule="exact"/>
              <w:rPr>
                <w:sz w:val="20"/>
                <w:szCs w:val="20"/>
                <w:color w:val="auto"/>
              </w:rPr>
            </w:pPr>
            <w:r>
              <w:rPr>
                <w:rFonts w:ascii="Arial" w:cs="Arial" w:eastAsia="Arial" w:hAnsi="Arial"/>
                <w:sz w:val="18"/>
                <w:szCs w:val="18"/>
                <w:color w:val="auto"/>
              </w:rPr>
              <w:t>and amortization</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12,132</w:t>
            </w:r>
          </w:p>
        </w:tc>
        <w:tc>
          <w:tcPr>
            <w:tcW w:w="15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12,054</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36,338</w:t>
            </w:r>
          </w:p>
        </w:tc>
        <w:tc>
          <w:tcPr>
            <w:tcW w:w="14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37,002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15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61</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w:t>
            </w:r>
          </w:p>
        </w:tc>
        <w:tc>
          <w:tcPr>
            <w:tcW w:w="15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280</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839</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1,230</w:t>
            </w:r>
          </w:p>
        </w:tc>
        <w:tc>
          <w:tcPr>
            <w:tcW w:w="15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2,123</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4,316</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1,010</w:t>
            </w:r>
          </w:p>
        </w:tc>
        <w:tc>
          <w:tcPr>
            <w:tcW w:w="152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1,391</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3,405</w:t>
            </w:r>
          </w:p>
        </w:tc>
        <w:tc>
          <w:tcPr>
            <w:tcW w:w="148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Equity in earnings of MNI</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505</w:t>
            </w:r>
          </w:p>
        </w:tc>
        <w:tc>
          <w:tcPr>
            <w:tcW w:w="1520" w:type="dxa"/>
            <w:vAlign w:val="bottom"/>
            <w:tcBorders>
              <w:bottom w:val="single" w:sz="8" w:color="auto"/>
            </w:tcBorders>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rPr>
              <w:t>696</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1,702</w:t>
            </w:r>
          </w:p>
        </w:tc>
        <w:tc>
          <w:tcPr>
            <w:tcW w:w="148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MNI makes quarterly distributions of its earnings and in the 13 weeks ended June 30, 2019 and June 24, 2018, we received dividends of $850,000 and $500,000, respectively. In the 39 weeks ended June 30, 2019 and June 24, 2018, we received dividends of $2,350,000 and $2,500,000 respectively.</w:t>
      </w:r>
    </w:p>
    <w:p>
      <w:pPr>
        <w:spacing w:after="0" w:line="200" w:lineRule="exact"/>
        <w:rPr>
          <w:sz w:val="20"/>
          <w:szCs w:val="20"/>
          <w:color w:val="auto"/>
        </w:rPr>
      </w:pPr>
    </w:p>
    <w:p>
      <w:pPr>
        <w:spacing w:after="0" w:line="210" w:lineRule="exact"/>
        <w:rPr>
          <w:sz w:val="20"/>
          <w:szCs w:val="20"/>
          <w:color w:val="auto"/>
        </w:rPr>
      </w:pPr>
    </w:p>
    <w:p>
      <w:pPr>
        <w:ind w:left="660" w:right="6180" w:hanging="652"/>
        <w:spacing w:after="0" w:line="511"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4220" w:type="dxa"/>
            <w:vAlign w:val="bottom"/>
            <w:tcBorders>
              <w:top w:val="single" w:sz="8" w:color="auto"/>
              <w:bottom w:val="single" w:sz="8" w:color="auto"/>
            </w:tcBorders>
          </w:tcPr>
          <w:p>
            <w:pPr>
              <w:spacing w:after="0"/>
              <w:rPr>
                <w:sz w:val="18"/>
                <w:szCs w:val="18"/>
                <w:color w:val="auto"/>
              </w:rPr>
            </w:pPr>
          </w:p>
        </w:tc>
        <w:tc>
          <w:tcPr>
            <w:tcW w:w="66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66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196"/>
        </w:trPr>
        <w:tc>
          <w:tcPr>
            <w:tcW w:w="66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vMerge w:val="continue"/>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6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1,535,155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66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(1,288,979)</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beginning of period</w:t>
            </w:r>
          </w:p>
        </w:tc>
        <w:tc>
          <w:tcPr>
            <w:tcW w:w="6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246,176</w:t>
            </w:r>
          </w:p>
        </w:tc>
        <w:tc>
          <w:tcPr>
            <w:tcW w:w="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Goodwill acquired in business combinations</w:t>
            </w:r>
          </w:p>
        </w:tc>
        <w:tc>
          <w:tcPr>
            <w:tcW w:w="6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3,551</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Goodwill, end of period</w:t>
            </w:r>
          </w:p>
        </w:tc>
        <w:tc>
          <w:tcPr>
            <w:tcW w:w="65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249,727</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02"/>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540" w:type="dxa"/>
            <w:vAlign w:val="bottom"/>
          </w:tcPr>
          <w:p>
            <w:pPr>
              <w:jc w:val="right"/>
              <w:ind w:right="551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60" w:type="dxa"/>
            <w:vAlign w:val="bottom"/>
            <w:tcBorders>
              <w:bottom w:val="single" w:sz="8" w:color="auto"/>
            </w:tcBorders>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6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118" w:right="17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5880" w:type="dxa"/>
            <w:vAlign w:val="bottom"/>
            <w:gridSpan w:val="2"/>
          </w:tcPr>
          <w:p>
            <w:pPr>
              <w:spacing w:after="0"/>
              <w:rPr>
                <w:sz w:val="20"/>
                <w:szCs w:val="20"/>
                <w:color w:val="auto"/>
              </w:rPr>
            </w:pPr>
            <w:r>
              <w:rPr>
                <w:rFonts w:ascii="Arial" w:cs="Arial" w:eastAsia="Arial" w:hAnsi="Arial"/>
                <w:sz w:val="18"/>
                <w:szCs w:val="18"/>
                <w:color w:val="auto"/>
              </w:rPr>
              <w:t>Identified intangible assets consist of the following:</w:t>
            </w:r>
          </w:p>
        </w:tc>
        <w:tc>
          <w:tcPr>
            <w:tcW w:w="3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58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3100" w:type="dxa"/>
            <w:vAlign w:val="bottom"/>
          </w:tcPr>
          <w:p>
            <w:pPr>
              <w:jc w:val="right"/>
              <w:ind w:right="30"/>
              <w:spacing w:after="0"/>
              <w:rPr>
                <w:sz w:val="20"/>
                <w:szCs w:val="20"/>
                <w:color w:val="auto"/>
              </w:rPr>
            </w:pPr>
            <w:r>
              <w:rPr>
                <w:rFonts w:ascii="Arial" w:cs="Arial" w:eastAsia="Arial" w:hAnsi="Arial"/>
                <w:sz w:val="18"/>
                <w:szCs w:val="18"/>
                <w:color w:val="auto"/>
              </w:rPr>
              <w:t>June 30, 2019</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6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140"/>
              <w:spacing w:after="0" w:line="202" w:lineRule="exact"/>
              <w:rPr>
                <w:sz w:val="20"/>
                <w:szCs w:val="20"/>
                <w:color w:val="auto"/>
              </w:rPr>
            </w:pPr>
            <w:r>
              <w:rPr>
                <w:rFonts w:ascii="Arial" w:cs="Arial" w:eastAsia="Arial" w:hAnsi="Arial"/>
                <w:sz w:val="18"/>
                <w:szCs w:val="18"/>
                <w:color w:val="auto"/>
              </w:rPr>
              <w:t>Mastheads</w:t>
            </w:r>
          </w:p>
        </w:tc>
        <w:tc>
          <w:tcPr>
            <w:tcW w:w="31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21,883</w:t>
            </w:r>
          </w:p>
        </w:tc>
        <w:tc>
          <w:tcPr>
            <w:tcW w:w="1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140"/>
              <w:spacing w:after="0" w:line="202" w:lineRule="exact"/>
              <w:rPr>
                <w:sz w:val="20"/>
                <w:szCs w:val="20"/>
                <w:color w:val="auto"/>
              </w:rPr>
            </w:pPr>
            <w:r>
              <w:rPr>
                <w:rFonts w:ascii="Arial" w:cs="Arial" w:eastAsia="Arial" w:hAnsi="Arial"/>
                <w:sz w:val="18"/>
                <w:szCs w:val="18"/>
                <w:color w:val="auto"/>
              </w:rPr>
              <w:t>Customer and newspaper subscriber lists</w:t>
            </w:r>
          </w:p>
        </w:tc>
        <w:tc>
          <w:tcPr>
            <w:tcW w:w="31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696,632</w:t>
            </w:r>
          </w:p>
        </w:tc>
        <w:tc>
          <w:tcPr>
            <w:tcW w:w="1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692,886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Less accumulated amortization</w:t>
            </w:r>
          </w:p>
        </w:tc>
        <w:tc>
          <w:tcPr>
            <w:tcW w:w="31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607,709</w:t>
            </w:r>
          </w:p>
        </w:tc>
        <w:tc>
          <w:tcPr>
            <w:tcW w:w="1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594,950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3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88,923</w:t>
            </w:r>
          </w:p>
        </w:tc>
        <w:tc>
          <w:tcPr>
            <w:tcW w:w="18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97,936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31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110,806</w:t>
            </w:r>
          </w:p>
        </w:tc>
        <w:tc>
          <w:tcPr>
            <w:tcW w:w="1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119,819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60"/>
        <w:spacing w:after="0" w:line="238" w:lineRule="auto"/>
        <w:rPr>
          <w:sz w:val="20"/>
          <w:szCs w:val="20"/>
          <w:color w:val="auto"/>
        </w:rPr>
      </w:pPr>
      <w:r>
        <w:rPr>
          <w:rFonts w:ascii="Arial" w:cs="Arial" w:eastAsia="Arial" w:hAnsi="Arial"/>
          <w:sz w:val="18"/>
          <w:szCs w:val="18"/>
          <w:color w:val="auto"/>
        </w:rPr>
        <w:t>In January 2019, we purchased the businesses of Kenosha News and Lake Geneva Regional News. In February 2019, TownNews purchased the content management system ("CMS") business from GTxcel. Both transactions were funded with cash on the balance sheet. As part of initial estimates $3,551,000 was recorded in goodwill and $3,650,000 was recorded in other intangible assets, net. The $3,650,000 of other intangible assets, net relate to acquired customer lists, which will be amortized over a 10 year period. These initial estimates will be reviewed in subsequent quarters as more information becomes available.</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Annual amortization of intangible assets for the years ending June 2020 to June 2024 is estimated to be $16,060,000, $15,634,000, $12,744,000, $12,263,000 and $11,237,000, respectively.</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March 31, 2014, we completed a comprehensive refinancing of our debt (the "2014 Refinancing"), which included the following:</w:t>
      </w:r>
    </w:p>
    <w:p>
      <w:pPr>
        <w:spacing w:after="0" w:line="198" w:lineRule="exact"/>
        <w:rPr>
          <w:rFonts w:ascii="Arial" w:cs="Arial" w:eastAsia="Arial" w:hAnsi="Arial"/>
          <w:sz w:val="18"/>
          <w:szCs w:val="18"/>
          <w:b w:val="1"/>
          <w:bCs w:val="1"/>
          <w:color w:val="auto"/>
        </w:rPr>
      </w:pPr>
    </w:p>
    <w:p>
      <w:pPr>
        <w:ind w:left="1700" w:right="540" w:hanging="558"/>
        <w:spacing w:after="0" w:line="246" w:lineRule="auto"/>
        <w:tabs>
          <w:tab w:leader="none" w:pos="1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w:t>
      </w:r>
    </w:p>
    <w:p>
      <w:pPr>
        <w:spacing w:after="0" w:line="183" w:lineRule="exact"/>
        <w:rPr>
          <w:rFonts w:ascii="Arial" w:cs="Arial" w:eastAsia="Arial" w:hAnsi="Arial"/>
          <w:sz w:val="18"/>
          <w:szCs w:val="18"/>
          <w:color w:val="auto"/>
        </w:rPr>
      </w:pPr>
    </w:p>
    <w:p>
      <w:pPr>
        <w:ind w:left="1700" w:right="560" w:hanging="558"/>
        <w:spacing w:after="0" w:line="198" w:lineRule="auto"/>
        <w:tabs>
          <w:tab w:leader="none" w:pos="1700" w:val="left"/>
        </w:tabs>
        <w:numPr>
          <w:ilvl w:val="1"/>
          <w:numId w:val="9"/>
        </w:numPr>
        <w:rPr>
          <w:rFonts w:ascii="Arial" w:cs="Arial" w:eastAsia="Arial" w:hAnsi="Arial"/>
          <w:sz w:val="36"/>
          <w:szCs w:val="36"/>
          <w:color w:val="auto"/>
          <w:vertAlign w:val="superscript"/>
        </w:rPr>
      </w:pPr>
      <w:r>
        <w:rPr>
          <w:rFonts w:ascii="Arial" w:cs="Arial" w:eastAsia="Arial" w:hAnsi="Arial"/>
          <w:sz w:val="18"/>
          <w:szCs w:val="18"/>
          <w:color w:val="auto"/>
        </w:rPr>
        <w:t>$250,000,000 first lien term loan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 $40,000,000 revolving facility (the "Revolving Facility") under a First Lien Credit Agreement dated as of March 31, 2014 (together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w:t>
      </w:r>
    </w:p>
    <w:p>
      <w:pPr>
        <w:spacing w:after="0" w:line="62" w:lineRule="exact"/>
        <w:rPr>
          <w:rFonts w:ascii="Arial" w:cs="Arial" w:eastAsia="Arial" w:hAnsi="Arial"/>
          <w:sz w:val="36"/>
          <w:szCs w:val="36"/>
          <w:color w:val="auto"/>
          <w:vertAlign w:val="superscript"/>
        </w:rPr>
      </w:pPr>
    </w:p>
    <w:p>
      <w:pPr>
        <w:ind w:left="1700" w:right="560" w:hanging="558"/>
        <w:spacing w:after="0" w:line="181" w:lineRule="auto"/>
        <w:tabs>
          <w:tab w:leader="none" w:pos="1700" w:val="left"/>
        </w:tabs>
        <w:numPr>
          <w:ilvl w:val="1"/>
          <w:numId w:val="9"/>
        </w:numPr>
        <w:rPr>
          <w:rFonts w:ascii="Arial" w:cs="Arial" w:eastAsia="Arial" w:hAnsi="Arial"/>
          <w:sz w:val="35"/>
          <w:szCs w:val="35"/>
          <w:color w:val="auto"/>
          <w:vertAlign w:val="superscript"/>
        </w:rPr>
      </w:pPr>
      <w:r>
        <w:rPr>
          <w:rFonts w:ascii="Arial" w:cs="Arial" w:eastAsia="Arial" w:hAnsi="Arial"/>
          <w:sz w:val="18"/>
          <w:szCs w:val="18"/>
          <w:color w:val="auto"/>
        </w:rPr>
        <w:t>$150,000,000 second lien term loan under a Second Lien Loan Agreement dated as of March 31, 2014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Lien Term Loan”).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2018, we repaid, in full, the remaining balance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w:t>
      </w:r>
    </w:p>
    <w:p>
      <w:pPr>
        <w:spacing w:after="0" w:line="101" w:lineRule="exact"/>
        <w:rPr>
          <w:sz w:val="20"/>
          <w:szCs w:val="20"/>
          <w:color w:val="auto"/>
        </w:rPr>
      </w:pPr>
    </w:p>
    <w:p>
      <w:pPr>
        <w:jc w:val="both"/>
        <w:ind w:left="660" w:right="60"/>
        <w:spacing w:after="0" w:line="207" w:lineRule="auto"/>
        <w:rPr>
          <w:sz w:val="20"/>
          <w:szCs w:val="20"/>
          <w:color w:val="auto"/>
        </w:rPr>
      </w:pPr>
      <w:r>
        <w:rPr>
          <w:rFonts w:ascii="Arial" w:cs="Arial" w:eastAsia="Arial" w:hAnsi="Arial"/>
          <w:sz w:val="18"/>
          <w:szCs w:val="18"/>
          <w:color w:val="auto"/>
        </w:rPr>
        <w:t>In December 2018, we amended our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to amend and extend our Revolving Facility (the "Amendment"). The Amendment, among other changes, extends the maturity of the revolving loan commitments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Lenders for twelve months and reduces the revolver loan commitments from $40,000,000 to $27,200,000 with a further 15% reduction to the revolving loan commitments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Lenders effective as of July 31, 2019.</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Interest Rates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September 30,</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8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June 30, 2019</w:t>
            </w:r>
          </w:p>
        </w:tc>
        <w:tc>
          <w:tcPr>
            <w:tcW w:w="1600" w:type="dxa"/>
            <w:vAlign w:val="bottom"/>
          </w:tcPr>
          <w:p>
            <w:pPr>
              <w:jc w:val="right"/>
              <w:ind w:right="70"/>
              <w:spacing w:after="0" w:line="203" w:lineRule="exact"/>
              <w:rPr>
                <w:sz w:val="20"/>
                <w:szCs w:val="20"/>
                <w:color w:val="auto"/>
              </w:rPr>
            </w:pPr>
            <w:r>
              <w:rPr>
                <w:rFonts w:ascii="Arial" w:cs="Arial" w:eastAsia="Arial" w:hAnsi="Arial"/>
                <w:sz w:val="18"/>
                <w:szCs w:val="18"/>
                <w:color w:val="auto"/>
              </w:rPr>
              <w:t>2018</w:t>
            </w:r>
          </w:p>
        </w:tc>
        <w:tc>
          <w:tcPr>
            <w:tcW w:w="16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6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Facility</w:t>
            </w:r>
          </w:p>
        </w:tc>
        <w:tc>
          <w:tcPr>
            <w:tcW w:w="28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spacing w:after="0" w:line="243" w:lineRule="exact"/>
              <w:rPr>
                <w:sz w:val="20"/>
                <w:szCs w:val="20"/>
                <w:color w:val="auto"/>
              </w:rPr>
            </w:pPr>
            <w:r>
              <w:rPr>
                <w:rFonts w:ascii="Arial" w:cs="Arial" w:eastAsia="Arial" w:hAnsi="Arial"/>
                <w:sz w:val="17"/>
                <w:szCs w:val="17"/>
                <w:color w:val="auto"/>
              </w:rPr>
              <w:t>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Term Loan</w:t>
            </w:r>
          </w:p>
        </w:tc>
        <w:tc>
          <w:tcPr>
            <w:tcW w:w="2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6,303</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w:t>
            </w:r>
          </w:p>
        </w:tc>
        <w:tc>
          <w:tcPr>
            <w:tcW w:w="28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374,420</w:t>
            </w:r>
          </w:p>
        </w:tc>
        <w:tc>
          <w:tcPr>
            <w:tcW w:w="16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385,000</w:t>
            </w:r>
          </w:p>
        </w:tc>
        <w:tc>
          <w:tcPr>
            <w:tcW w:w="16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2nd Lien Term Loan</w:t>
            </w:r>
          </w:p>
        </w:tc>
        <w:tc>
          <w:tcPr>
            <w:tcW w:w="28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84,138</w:t>
            </w:r>
          </w:p>
        </w:tc>
        <w:tc>
          <w:tcPr>
            <w:tcW w:w="16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93,556</w:t>
            </w:r>
          </w:p>
        </w:tc>
        <w:tc>
          <w:tcPr>
            <w:tcW w:w="16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288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458,558</w:t>
            </w:r>
          </w:p>
        </w:tc>
        <w:tc>
          <w:tcPr>
            <w:tcW w:w="16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484,859</w:t>
            </w: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28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(12,601)</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(17,055)</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8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3,931</w:t>
            </w:r>
          </w:p>
        </w:tc>
        <w:tc>
          <w:tcPr>
            <w:tcW w:w="16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7,027</w:t>
            </w:r>
          </w:p>
        </w:tc>
        <w:tc>
          <w:tcPr>
            <w:tcW w:w="16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28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442,026</w:t>
            </w:r>
          </w:p>
        </w:tc>
        <w:tc>
          <w:tcPr>
            <w:tcW w:w="16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460,777</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weighted average cost of debt, excluding amortization of debt financing costs at June 30, 2019, is 10.0%.</w:t>
      </w:r>
    </w:p>
    <w:p>
      <w:pPr>
        <w:spacing w:after="0" w:line="198"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At June 30, 2019, aggregate minimum required maturities of debt excluding amounts required to be paid from future excess cash flow computations total $3,931,000 for the remainder of 2019, $0 in 2020, $0 in 2021, $374,420,000 in 2022 and $80,207,000 in 2023.</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The Notes are senior secured obligations of the Company and mature on March 15, 2022. At June 30, 2019, the principal balance of the Notes totaled $374,420,000.</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Notes require payment of interest semiannually on March 15 and September 15 of each year, at a fixed annual rate of 9.5%.</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600" w:type="dxa"/>
            <w:vAlign w:val="bottom"/>
          </w:tcPr>
          <w:p>
            <w:pPr>
              <w:ind w:left="4520"/>
              <w:spacing w:after="0"/>
              <w:rPr>
                <w:sz w:val="20"/>
                <w:szCs w:val="20"/>
                <w:color w:val="auto"/>
              </w:rPr>
            </w:pPr>
            <w:r>
              <w:rPr>
                <w:rFonts w:ascii="Arial" w:cs="Arial" w:eastAsia="Arial" w:hAnsi="Arial"/>
                <w:sz w:val="18"/>
                <w:szCs w:val="18"/>
                <w:b w:val="1"/>
                <w:bCs w:val="1"/>
                <w:color w:val="auto"/>
              </w:rPr>
              <w:t>Redemption</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20" w:type="dxa"/>
            <w:vAlign w:val="bottom"/>
            <w:gridSpan w:val="2"/>
          </w:tcPr>
          <w:p>
            <w:pPr>
              <w:spacing w:after="0"/>
              <w:rPr>
                <w:sz w:val="20"/>
                <w:szCs w:val="20"/>
                <w:color w:val="auto"/>
              </w:rPr>
            </w:pPr>
            <w:r>
              <w:rPr>
                <w:rFonts w:ascii="Arial" w:cs="Arial" w:eastAsia="Arial" w:hAnsi="Arial"/>
                <w:sz w:val="18"/>
                <w:szCs w:val="18"/>
                <w:color w:val="auto"/>
              </w:rPr>
              <w:t>We may redeem some, or all, of the principal amount of the Notes at any time as follows: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20" w:type="dxa"/>
            <w:vAlign w:val="bottom"/>
            <w:tcBorders>
              <w:bottom w:val="single" w:sz="8" w:color="auto"/>
            </w:tcBorders>
            <w:gridSpan w:val="2"/>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20" w:type="dxa"/>
            <w:vAlign w:val="bottom"/>
            <w:gridSpan w:val="2"/>
          </w:tcPr>
          <w:p>
            <w:pPr>
              <w:spacing w:after="0" w:line="196" w:lineRule="exact"/>
              <w:rPr>
                <w:sz w:val="20"/>
                <w:szCs w:val="20"/>
                <w:color w:val="auto"/>
              </w:rPr>
            </w:pPr>
            <w:r>
              <w:rPr>
                <w:rFonts w:ascii="Arial" w:cs="Arial" w:eastAsia="Arial" w:hAnsi="Arial"/>
                <w:sz w:val="18"/>
                <w:szCs w:val="18"/>
                <w:color w:val="auto"/>
              </w:rPr>
              <w:t>Period Beginning</w:t>
            </w:r>
          </w:p>
        </w:tc>
        <w:tc>
          <w:tcPr>
            <w:tcW w:w="3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Percentage of Principal Amount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0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15, 2019</w:t>
            </w:r>
          </w:p>
        </w:tc>
        <w:tc>
          <w:tcPr>
            <w:tcW w:w="3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March 15, 2020</w:t>
            </w:r>
          </w:p>
        </w:tc>
        <w:tc>
          <w:tcPr>
            <w:tcW w:w="3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If we sell certain of our assets or experience specific kinds of changes of control, we must, subject to certain exceptions, offer to purchase the Notes at 101% of the principal amount. Any redemption of the Notes must also satisfy any accrued and unpaid interest thereon.</w:t>
      </w:r>
    </w:p>
    <w:p>
      <w:pPr>
        <w:spacing w:after="0" w:line="189" w:lineRule="exact"/>
        <w:rPr>
          <w:sz w:val="20"/>
          <w:szCs w:val="20"/>
          <w:color w:val="auto"/>
        </w:rPr>
      </w:pPr>
    </w:p>
    <w:p>
      <w:pPr>
        <w:jc w:val="both"/>
        <w:ind w:left="660" w:right="60"/>
        <w:spacing w:after="0" w:line="239" w:lineRule="auto"/>
        <w:rPr>
          <w:sz w:val="20"/>
          <w:szCs w:val="20"/>
          <w:color w:val="auto"/>
        </w:rPr>
      </w:pPr>
      <w:r>
        <w:rPr>
          <w:rFonts w:ascii="Arial" w:cs="Arial" w:eastAsia="Arial" w:hAnsi="Arial"/>
          <w:sz w:val="18"/>
          <w:szCs w:val="18"/>
          <w:color w:val="auto"/>
        </w:rPr>
        <w:t>We may repurchase Notes in the open market at any time. In the 13 and 39 weeks ended June 30, 2019 we purchased $10,580,000 principal amount of Notes in privately negotiated transactions. The transactions resulted in a loss on extinguishment of debt totaling $238,000 in the 13 and 39 weeks ended June 30, 2019 which is recorded in Other, net in the Consolidated Statements of Income and Comprehensive Income.</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right="60"/>
        <w:spacing w:after="0" w:line="209" w:lineRule="auto"/>
        <w:rPr>
          <w:sz w:val="20"/>
          <w:szCs w:val="20"/>
          <w:color w:val="auto"/>
        </w:rPr>
      </w:pPr>
      <w:r>
        <w:rPr>
          <w:rFonts w:ascii="Arial" w:cs="Arial" w:eastAsia="Arial" w:hAnsi="Arial"/>
          <w:sz w:val="18"/>
          <w:szCs w:val="18"/>
          <w:color w:val="auto"/>
        </w:rPr>
        <w:t>The Indenture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contain restrictive covenants as discussed more fully below. However, certain of these covenants will cease to apply if the Notes are rated investment grade by either Moody’s Investors Service, Inc. or Standard &amp; Poor’s Ratings Group and there is no default or event of default under the Indenture.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30"/>
          <w:szCs w:val="30"/>
          <w:b w:val="1"/>
          <w:bCs w:val="1"/>
          <w:color w:val="auto"/>
          <w:vertAlign w:val="superscript"/>
        </w:rPr>
        <w:t>st</w:t>
      </w:r>
      <w:r>
        <w:rPr>
          <w:rFonts w:ascii="Arial" w:cs="Arial" w:eastAsia="Arial" w:hAnsi="Arial"/>
          <w:sz w:val="18"/>
          <w:szCs w:val="18"/>
          <w:b w:val="1"/>
          <w:bCs w:val="1"/>
          <w:color w:val="auto"/>
        </w:rPr>
        <w:t xml:space="preserve"> Lien Credit Facility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was paid in full in November 2018 and has no outstanding balance as of June 30, 2019.</w:t>
      </w:r>
    </w:p>
    <w:p>
      <w:pPr>
        <w:spacing w:after="0" w:line="101" w:lineRule="exact"/>
        <w:rPr>
          <w:sz w:val="20"/>
          <w:szCs w:val="20"/>
          <w:color w:val="auto"/>
        </w:rPr>
      </w:pPr>
    </w:p>
    <w:p>
      <w:pPr>
        <w:jc w:val="both"/>
        <w:ind w:left="660" w:right="60"/>
        <w:spacing w:after="0" w:line="202"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consists of the $27,200,000 Revolving Facility that matures on December 28, 2019.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documents the primary terms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 the Revolving Facility. The Revolving Facility may be used for working capital and general corporate purposes (including letters of credit). At June 30, 2019, after consideration of letters of credit, we have approximately $21,685,000 available for future use under the Revolving Facility. On July 31, 2019, the availability under our Revolving Facility steps down to $23,120,000.</w:t>
      </w:r>
    </w:p>
    <w:p>
      <w:pPr>
        <w:sectPr>
          <w:pgSz w:w="11900" w:h="16838" w:orient="portrait"/>
          <w:cols w:equalWidth="0" w:num="1">
            <w:col w:w="11480"/>
          </w:cols>
          <w:pgMar w:left="240" w:top="118" w:right="179" w:bottom="1440" w:gutter="0" w:footer="0" w:header="0"/>
        </w:sectPr>
      </w:pP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Interest on the Revolving Facility, which is undrawn at June 30, 2019, accrues, at our option, at either (A) LIBOR plus 5.5%, or (B) 4.5% plus the higher of (i) the prime rate at the time, (ii) the federal funds rate plus 0.5%, or (iii) one month LIBOR plus 1.0%.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spacing w:after="0" w:line="199"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requires that we comply with certain affirmative and negative covenants customary for financing of this nature, including a maximum total leverage ratio.</w:t>
      </w:r>
    </w:p>
    <w:p>
      <w:pPr>
        <w:spacing w:after="0" w:line="191" w:lineRule="exact"/>
        <w:rPr>
          <w:sz w:val="20"/>
          <w:szCs w:val="20"/>
          <w:color w:val="auto"/>
        </w:rPr>
      </w:pPr>
    </w:p>
    <w:p>
      <w:pPr>
        <w:jc w:val="both"/>
        <w:ind w:left="660"/>
        <w:spacing w:after="0" w:line="193" w:lineRule="auto"/>
        <w:rPr>
          <w:sz w:val="20"/>
          <w:szCs w:val="20"/>
          <w:color w:val="auto"/>
        </w:rPr>
      </w:pPr>
      <w:r>
        <w:rPr>
          <w:rFonts w:ascii="Arial" w:cs="Arial" w:eastAsia="Arial" w:hAnsi="Arial"/>
          <w:sz w:val="18"/>
          <w:szCs w:val="18"/>
          <w:color w:val="auto"/>
        </w:rPr>
        <w:t>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restricts us from paying dividends on our Common Stock. This restriction no longer applies if Lee Legacy Leverage is below 3.25x before and after such payments. Lee Legacy Leverage as defined is 4.47x at June 30, 2019. Further,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restricts or limits, among other things, subject to certain exceptions, the ability of the Company and its subsidiaries to: (i) incur indebtedness, (ii) enter into mergers, acquisitions and asset sales, (iii) incur or create liens and (iv) enter into transactions</w:t>
      </w:r>
    </w:p>
    <w:p>
      <w:pPr>
        <w:spacing w:after="0" w:line="4" w:lineRule="exact"/>
        <w:rPr>
          <w:sz w:val="20"/>
          <w:szCs w:val="20"/>
          <w:color w:val="auto"/>
        </w:rPr>
      </w:pPr>
    </w:p>
    <w:p>
      <w:pPr>
        <w:jc w:val="both"/>
        <w:ind w:left="660" w:right="20"/>
        <w:spacing w:after="0" w:line="201" w:lineRule="auto"/>
        <w:rPr>
          <w:sz w:val="20"/>
          <w:szCs w:val="20"/>
          <w:color w:val="auto"/>
        </w:rPr>
      </w:pPr>
      <w:r>
        <w:rPr>
          <w:rFonts w:ascii="Arial" w:cs="Arial" w:eastAsia="Arial" w:hAnsi="Arial"/>
          <w:sz w:val="18"/>
          <w:szCs w:val="18"/>
          <w:color w:val="auto"/>
        </w:rPr>
        <w:t>with certain affiliates.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contains various representations and warranties and may be terminated upon occurrence of certain events of default.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also contains cross-default provisions tied to the terms of each of the Indenture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Lien Term Loan</w:t>
      </w:r>
    </w:p>
    <w:p>
      <w:pPr>
        <w:spacing w:after="0" w:line="119" w:lineRule="exact"/>
        <w:rPr>
          <w:sz w:val="20"/>
          <w:szCs w:val="20"/>
          <w:color w:val="auto"/>
        </w:rPr>
      </w:pPr>
    </w:p>
    <w:p>
      <w:pPr>
        <w:jc w:val="both"/>
        <w:ind w:left="660"/>
        <w:spacing w:after="0" w:line="199"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which has a balance of $84,138,000 at June 30, 2019, bears interest at a fixed annual rate of 12.0%, payable quarterly, and matures in December 2022.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jc w:val="both"/>
        <w:ind w:left="660" w:right="20"/>
        <w:spacing w:after="0" w:line="199" w:lineRule="auto"/>
        <w:rPr>
          <w:sz w:val="20"/>
          <w:szCs w:val="20"/>
          <w:color w:val="auto"/>
        </w:rPr>
      </w:pPr>
      <w:r>
        <w:rPr>
          <w:rFonts w:ascii="Arial" w:cs="Arial" w:eastAsia="Arial" w:hAnsi="Arial"/>
          <w:sz w:val="18"/>
          <w:szCs w:val="18"/>
          <w:color w:val="auto"/>
        </w:rPr>
        <w:t>Excluding excess cash flow payments, there are no scheduled mandatory amortization payments required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190"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Quarterly, we are required to prepare a calculation of excess cash flow of the Pulitzer Subsidiaries ("Pulitzer Excess Cash Flow"). Pulitzer Excess Cash Flow is generally determined as the cash earnings of the Pulitzer Subsidiaries including adjustments for changes in working capital, capital spending, pension contributions, debt principal payments and income tax payments. Pulitzer Excess Cash Flow also includes a deduction for interest costs incurred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55"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Pulitzer Excess Cash Flow is used to prepay the 2nd Lien Term Loan, at par, and is required to be paid 45 days after the end of the quarter.</w:t>
      </w:r>
    </w:p>
    <w:p>
      <w:pPr>
        <w:spacing w:after="0" w:line="184" w:lineRule="exact"/>
        <w:rPr>
          <w:sz w:val="20"/>
          <w:szCs w:val="20"/>
          <w:color w:val="auto"/>
        </w:rPr>
      </w:pPr>
    </w:p>
    <w:p>
      <w:pPr>
        <w:jc w:val="both"/>
        <w:ind w:left="660"/>
        <w:spacing w:after="0" w:line="199" w:lineRule="auto"/>
        <w:rPr>
          <w:sz w:val="20"/>
          <w:szCs w:val="20"/>
          <w:color w:val="auto"/>
        </w:rPr>
      </w:pPr>
      <w:r>
        <w:rPr>
          <w:rFonts w:ascii="Arial" w:cs="Arial" w:eastAsia="Arial" w:hAnsi="Arial"/>
          <w:sz w:val="18"/>
          <w:szCs w:val="18"/>
          <w:color w:val="auto"/>
        </w:rPr>
        <w:t>Payments will also be made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par, with proceeds from asset sales by the Pulitzer Subsidiaries that are not reinvested subject to certain other conditions.</w:t>
      </w:r>
    </w:p>
    <w:p>
      <w:pPr>
        <w:spacing w:after="0" w:line="191"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During the 13 and 39 weeks ended June 30, 2019, payments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totaled $7,318,000 and $9,418,000, respectively. For the 13 weeks ended June 30, 2019, Pulitzer Excess Cash Flow totaled $3,931,000, which will be used to make a payment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in August 2019, at par.</w:t>
      </w:r>
    </w:p>
    <w:p>
      <w:pPr>
        <w:spacing w:after="0" w:line="65" w:lineRule="exact"/>
        <w:rPr>
          <w:sz w:val="20"/>
          <w:szCs w:val="20"/>
          <w:color w:val="auto"/>
        </w:rPr>
      </w:pPr>
    </w:p>
    <w:p>
      <w:pPr>
        <w:jc w:val="both"/>
        <w:ind w:left="660"/>
        <w:spacing w:after="0" w:line="217" w:lineRule="auto"/>
        <w:rPr>
          <w:sz w:val="20"/>
          <w:szCs w:val="20"/>
          <w:color w:val="auto"/>
        </w:rPr>
      </w:pPr>
      <w:r>
        <w:rPr>
          <w:rFonts w:ascii="Arial" w:cs="Arial" w:eastAsia="Arial" w:hAnsi="Arial"/>
          <w:sz w:val="18"/>
          <w:szCs w:val="18"/>
          <w:color w:val="auto"/>
        </w:rPr>
        <w:t>Beginning June 30, 2019, voluntary payments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are no longer subject to call premiums and are payable at par. The Indenture includes certain restrictions on voluntary payments on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spacing w:after="0" w:line="193"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requires that we comply with certain affirmative and negative covenants customary for financing of this nature, including the negative covenants under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discussed above.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contains various representations and warranties and may be terminated upon occurrence of certain events of default.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also contains cross-default provisions tied to the terms of the Indenture and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660"/>
        <w:spacing w:after="0" w:line="202"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anti-dilution provisions (the “Warrants”). The Warrants represent, when fully exercised, approximately 10.4% of shares of Common Stock outstanding at March 30, 2014 on a fully diluted basis. The exercise price of the Warrants is $4.19 per share.</w:t>
      </w:r>
    </w:p>
    <w:p>
      <w:pPr>
        <w:spacing w:after="0" w:line="193" w:lineRule="exact"/>
        <w:rPr>
          <w:sz w:val="20"/>
          <w:szCs w:val="20"/>
          <w:color w:val="auto"/>
        </w:rPr>
      </w:pPr>
    </w:p>
    <w:p>
      <w:pPr>
        <w:jc w:val="both"/>
        <w:ind w:left="660" w:right="20"/>
        <w:spacing w:after="0"/>
        <w:rPr>
          <w:sz w:val="20"/>
          <w:szCs w:val="20"/>
          <w:color w:val="auto"/>
        </w:rPr>
      </w:pPr>
      <w:r>
        <w:rPr>
          <w:rFonts w:ascii="Arial" w:cs="Arial" w:eastAsia="Arial" w:hAnsi="Arial"/>
          <w:sz w:val="18"/>
          <w:szCs w:val="18"/>
          <w:color w:val="auto"/>
        </w:rPr>
        <w:t>The Warrant Agreement contains provisions requiring the Warrants to be measured at fair value and included in other liabilities in our Consolidated Balance Sheets. We re-measure the fair value of the liability each reporting period, with changes reported in other, net non-operating income (expense). The initial fair value of the Warrants was $16,930,000. See Note 10.</w:t>
      </w:r>
    </w:p>
    <w:p>
      <w:pPr>
        <w:spacing w:after="0" w:line="189"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w:t>
      </w:r>
    </w:p>
    <w:p>
      <w:pPr>
        <w:spacing w:after="0" w:line="220" w:lineRule="exact"/>
        <w:rPr>
          <w:sz w:val="20"/>
          <w:szCs w:val="20"/>
          <w:color w:val="auto"/>
        </w:rPr>
      </w:pPr>
    </w:p>
    <w:p>
      <w:pPr>
        <w:jc w:val="both"/>
        <w:ind w:left="660" w:right="20"/>
        <w:spacing w:after="0" w:line="193" w:lineRule="auto"/>
        <w:rPr>
          <w:sz w:val="20"/>
          <w:szCs w:val="20"/>
          <w:color w:val="auto"/>
        </w:rPr>
      </w:pPr>
      <w:r>
        <w:rPr>
          <w:rFonts w:ascii="Arial" w:cs="Arial" w:eastAsia="Arial" w:hAnsi="Arial"/>
          <w:sz w:val="18"/>
          <w:szCs w:val="18"/>
          <w:color w:val="auto"/>
        </w:rPr>
        <w:t>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fully and unconditionally guaranteed on a joint and several first-priority basis by each of the Company's material domestic subsidiaries, excluding MNI, the Pulitzer Subsidiaries and TNI (the "Lee Legacy Assignors"),</w:t>
      </w:r>
    </w:p>
    <w:p>
      <w:pPr>
        <w:spacing w:after="0" w:line="2" w:lineRule="exact"/>
        <w:rPr>
          <w:sz w:val="20"/>
          <w:szCs w:val="20"/>
          <w:color w:val="auto"/>
        </w:rPr>
      </w:pPr>
    </w:p>
    <w:p>
      <w:pPr>
        <w:jc w:val="both"/>
        <w:ind w:left="660" w:right="20"/>
        <w:spacing w:after="0" w:line="199" w:lineRule="auto"/>
        <w:rPr>
          <w:sz w:val="20"/>
          <w:szCs w:val="20"/>
          <w:color w:val="auto"/>
        </w:rPr>
      </w:pPr>
      <w:r>
        <w:rPr>
          <w:rFonts w:ascii="Arial" w:cs="Arial" w:eastAsia="Arial" w:hAnsi="Arial"/>
          <w:sz w:val="18"/>
          <w:szCs w:val="18"/>
          <w:color w:val="auto"/>
        </w:rPr>
        <w:t>pursuant to a first lien guarantee and collateral agreement dated as of March 31, 2014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Guarantee and Collateral Agreement").</w:t>
      </w:r>
    </w:p>
    <w:p>
      <w:pPr>
        <w:spacing w:after="0" w:line="191" w:lineRule="exact"/>
        <w:rPr>
          <w:sz w:val="20"/>
          <w:szCs w:val="20"/>
          <w:color w:val="auto"/>
        </w:rPr>
      </w:pPr>
    </w:p>
    <w:p>
      <w:pPr>
        <w:jc w:val="both"/>
        <w:ind w:left="660"/>
        <w:spacing w:after="0" w:line="220" w:lineRule="auto"/>
        <w:rPr>
          <w:sz w:val="20"/>
          <w:szCs w:val="20"/>
          <w:color w:val="auto"/>
        </w:rPr>
      </w:pPr>
      <w:r>
        <w:rPr>
          <w:rFonts w:ascii="Arial" w:cs="Arial" w:eastAsia="Arial" w:hAnsi="Arial"/>
          <w:sz w:val="18"/>
          <w:szCs w:val="18"/>
          <w:color w:val="auto"/>
        </w:rPr>
        <w:t>The Notes,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the subsidiary guarantees are secured, subject to certain exceptions, priorities and limitations, by perfected security interests in all property and assets, including certain real estate, of the Lee Legacy Assignors, other than the capital stock of MNI and any property and assets of MNI (the “Lee Legacy Collateral”), on a first-priority basis, equally and ratably with all of the Lee Legacy Assignors' existing and future obligations. The Lee Legacy Collateral includes, among other things, equipment, inventory, accounts receivables, depository accounts, intellectual property and certain of their other tangible and intangible assets.</w:t>
      </w:r>
    </w:p>
    <w:p>
      <w:pPr>
        <w:spacing w:after="0" w:line="194" w:lineRule="exact"/>
        <w:rPr>
          <w:sz w:val="20"/>
          <w:szCs w:val="20"/>
          <w:color w:val="auto"/>
        </w:rPr>
      </w:pPr>
    </w:p>
    <w:p>
      <w:pPr>
        <w:jc w:val="both"/>
        <w:ind w:left="660"/>
        <w:spacing w:after="0" w:line="193"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first-priority security interests in the capital stock of, and other equity interests owned by, the Lee Legacy Assignors</w:t>
      </w:r>
    </w:p>
    <w:p>
      <w:pPr>
        <w:spacing w:after="0" w:line="2" w:lineRule="exact"/>
        <w:rPr>
          <w:sz w:val="20"/>
          <w:szCs w:val="20"/>
          <w:color w:val="auto"/>
        </w:rPr>
      </w:pPr>
    </w:p>
    <w:p>
      <w:pPr>
        <w:jc w:val="both"/>
        <w:ind w:left="660" w:right="20"/>
        <w:spacing w:after="0" w:line="199" w:lineRule="auto"/>
        <w:rPr>
          <w:sz w:val="20"/>
          <w:szCs w:val="20"/>
          <w:color w:val="auto"/>
        </w:rPr>
      </w:pPr>
      <w:r>
        <w:rPr>
          <w:rFonts w:ascii="Arial" w:cs="Arial" w:eastAsia="Arial" w:hAnsi="Arial"/>
          <w:sz w:val="18"/>
          <w:szCs w:val="18"/>
          <w:color w:val="auto"/>
        </w:rPr>
        <w:t>(excluding the capital stock of MNI). The Notes and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subject to a Pari Passu Intercreditor Agreement dated March 31, 2014.</w:t>
      </w:r>
    </w:p>
    <w:p>
      <w:pPr>
        <w:spacing w:after="0" w:line="191"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The Notes,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the subsidiary guarantees are also secured, subject to permitted liens, by a second-priority security interest in the property and assets of the Pulitzer Subsidiaries that become subsidiary guarantors (the "Pulitzer Assignors") other than assets of or used in the operations or business of TNI (collectively, the “Pulitzer Collateral”). In June 2015 the Pulitzer Assignors became a party to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Guarantee and Collateral Agreement on a second lien basis.</w:t>
      </w:r>
    </w:p>
    <w:p>
      <w:pPr>
        <w:spacing w:after="0" w:line="64" w:lineRule="exact"/>
        <w:rPr>
          <w:sz w:val="20"/>
          <w:szCs w:val="20"/>
          <w:color w:val="auto"/>
        </w:rPr>
      </w:pPr>
    </w:p>
    <w:p>
      <w:pPr>
        <w:jc w:val="both"/>
        <w:ind w:left="660"/>
        <w:spacing w:after="0" w:line="209" w:lineRule="auto"/>
        <w:rPr>
          <w:sz w:val="20"/>
          <w:szCs w:val="20"/>
          <w:color w:val="auto"/>
        </w:rPr>
      </w:pPr>
      <w:r>
        <w:rPr>
          <w:rFonts w:ascii="Arial" w:cs="Arial" w:eastAsia="Arial" w:hAnsi="Arial"/>
          <w:sz w:val="18"/>
          <w:szCs w:val="18"/>
          <w:color w:val="auto"/>
        </w:rPr>
        <w:t>Also, the Notes and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are secured, subject to certain exceptions, priorities, and limitations in the various agreements, by second-priority security interests in the capital stock of, and other equity interests in, the Pulitzer Assignors and Star Publishing’s interest in TNI.</w:t>
      </w:r>
    </w:p>
    <w:p>
      <w:pPr>
        <w:spacing w:after="0" w:line="190" w:lineRule="exact"/>
        <w:rPr>
          <w:sz w:val="20"/>
          <w:szCs w:val="20"/>
          <w:color w:val="auto"/>
        </w:rPr>
      </w:pPr>
    </w:p>
    <w:p>
      <w:pPr>
        <w:jc w:val="both"/>
        <w:ind w:left="660"/>
        <w:spacing w:after="0" w:line="201" w:lineRule="auto"/>
        <w:rPr>
          <w:sz w:val="20"/>
          <w:szCs w:val="20"/>
          <w:color w:val="auto"/>
        </w:rPr>
      </w:pPr>
      <w:r>
        <w:rPr>
          <w:rFonts w:ascii="Arial" w:cs="Arial" w:eastAsia="Arial" w:hAnsi="Arial"/>
          <w:sz w:val="18"/>
          <w:szCs w:val="18"/>
          <w:color w:val="auto"/>
        </w:rPr>
        <w:t>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is fully and unconditionally guaranteed on a joint and several first-priority basis by the Pulitzer Assignors, pursuant to a Second Lien Guarantee and Collateral Agreement dated as of March 31, 2014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among the Pulitzer Assignors and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collateral agent.</w:t>
      </w:r>
    </w:p>
    <w:p>
      <w:pPr>
        <w:spacing w:after="0" w:line="65" w:lineRule="exact"/>
        <w:rPr>
          <w:sz w:val="20"/>
          <w:szCs w:val="20"/>
          <w:color w:val="auto"/>
        </w:rPr>
      </w:pPr>
    </w:p>
    <w:p>
      <w:pPr>
        <w:jc w:val="both"/>
        <w:ind w:left="660"/>
        <w:spacing w:after="0" w:line="193" w:lineRule="auto"/>
        <w:rPr>
          <w:sz w:val="20"/>
          <w:szCs w:val="20"/>
          <w:color w:val="auto"/>
        </w:rPr>
      </w:pPr>
      <w:r>
        <w:rPr>
          <w:rFonts w:ascii="Arial" w:cs="Arial" w:eastAsia="Arial" w:hAnsi="Arial"/>
          <w:sz w:val="18"/>
          <w:szCs w:val="18"/>
          <w:color w:val="auto"/>
        </w:rPr>
        <w:t>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the Pulitzer Assignors have granted (i) first-priority security interests, subject to certain priorities and limitations in the various agreements, in the Pulitzer Collateral and (ii) have granted first-priority lien mortgages</w:t>
      </w:r>
    </w:p>
    <w:p>
      <w:pPr>
        <w:spacing w:after="0" w:line="2" w:lineRule="exact"/>
        <w:rPr>
          <w:sz w:val="20"/>
          <w:szCs w:val="20"/>
          <w:color w:val="auto"/>
        </w:rPr>
      </w:pPr>
    </w:p>
    <w:p>
      <w:pPr>
        <w:jc w:val="both"/>
        <w:ind w:left="660"/>
        <w:spacing w:after="0" w:line="199" w:lineRule="auto"/>
        <w:rPr>
          <w:sz w:val="20"/>
          <w:szCs w:val="20"/>
          <w:color w:val="auto"/>
        </w:rPr>
      </w:pPr>
      <w:r>
        <w:rPr>
          <w:rFonts w:ascii="Arial" w:cs="Arial" w:eastAsia="Arial" w:hAnsi="Arial"/>
          <w:sz w:val="18"/>
          <w:szCs w:val="18"/>
          <w:color w:val="auto"/>
        </w:rPr>
        <w:t>or deeds of trust covering certain real estate, as collateral for the payment and performance of their obligations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w:t>
      </w:r>
    </w:p>
    <w:p>
      <w:pPr>
        <w:spacing w:after="0" w:line="191"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Also,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Guarantee and Collateral Agreement, the Lee Legacy Assignors have granted (i) second-priority security interests, subject to certain priorities and limitations in the various agreements, in the Lee Legacy Collateral, and (ii) have granted second-priority lien mortgages or deeds of trust covering certain real estate, as collateral for the payment and performance of their obligations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Assets of, or used in the operations or business of, MNI are excluded.</w:t>
      </w:r>
    </w:p>
    <w:p>
      <w:pPr>
        <w:spacing w:after="0" w:line="63"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The rights of each of the collateral agents with respect to the Lee Legacy Collateral and the Pulitzer Collateral are subject to customary intercreditor and intercompany agreements.</w:t>
      </w:r>
    </w:p>
    <w:p>
      <w:pPr>
        <w:sectPr>
          <w:pgSz w:w="11900" w:h="16838" w:orient="portrait"/>
          <w:cols w:equalWidth="0" w:num="1">
            <w:col w:w="11420"/>
          </w:cols>
          <w:pgMar w:left="240" w:top="118" w:right="2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w:t>
      </w:r>
    </w:p>
    <w:p>
      <w:pPr>
        <w:spacing w:after="0" w:line="220"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In connection with the 2014 Refinancing, we capitalized $37,819,000 of debt financing costs. Amortization of debt financing costs totaled $2,928,000 in the 39 weeks ended June 30, 2019. Amortization of such costs is estimated to total $1,029,000 for the remainder of 2019, $4,205,000 in 2020, $4,388,000 in 2021, $2,747,000 in 2022, and $232,000 in 2023. At June 30, 2019, we have $12,601,000 of unamortized debt financing costs recorded as a reduction of Long-term debt in our Consolidated Balance Sheets.</w:t>
      </w:r>
    </w:p>
    <w:p>
      <w:pPr>
        <w:spacing w:after="0" w:line="188"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During the 13 and 39 weeks ended June 30, 2019, we identified an adjustment of $1,309,000 and $ 1,145,000, respectively, related to debt financing costs that should have been recorded in prior periods. The impact of recording this out of period adjustment was an increase to Debt financing and administrative costs of $1,309,000 and $ 1,145,000 in the Consolidated Statements of Operations and Comprehensive Income for the 13 and 39 weeks ended June 30, 2019 and an increase to debt of $1,309,000 on the Consolidated Balance Sheet. We do not believe the impact of the adjustment is material to our consolidated financial statements for any previously issued financial statements taken as a whole, or to our expected net income for the 52 weeks ended September 29, 2019. Further, the impact of the corrections was not material to any of our Consolidated Balance Sheets nor our Consolidated Statements of Cash Flows.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left="660"/>
        <w:spacing w:after="0" w:line="243" w:lineRule="auto"/>
        <w:rPr>
          <w:sz w:val="20"/>
          <w:szCs w:val="20"/>
          <w:color w:val="auto"/>
        </w:rPr>
      </w:pPr>
      <w:r>
        <w:rPr>
          <w:rFonts w:ascii="Arial" w:cs="Arial" w:eastAsia="Arial" w:hAnsi="Arial"/>
          <w:sz w:val="18"/>
          <w:szCs w:val="18"/>
          <w:color w:val="auto"/>
        </w:rPr>
        <w:t>At June 30, 2019, after consideration of letters of credit, we have approximately $21,685,000 available for future use under our Revolving Facility, which expires on December 28, 2019. Including cash, our liquidity at June 30, 2019 totals $35,201,000. This liquidity amount excludes any future cash flows. We expect all interest and principal payments due in the next twelve months will be satisfied by existing cash and our cash flows, which will allow us to maintain an adequate level of liquidity. The Warrants, if and when exercised, would provide additional liquidity in an amount up to $25,140,000 subject to a reduction for any amounts the Company may elect to use to repay our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 and/or the Notes.</w:t>
      </w:r>
    </w:p>
    <w:p>
      <w:pPr>
        <w:spacing w:after="0" w:line="61"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Excluding our Revolving Facility, which is undrawn as of June 2019, final maturities of our debt range from March 2022 through December 2022.</w:t>
      </w:r>
    </w:p>
    <w:p>
      <w:pPr>
        <w:spacing w:after="0" w:line="184" w:lineRule="exact"/>
        <w:rPr>
          <w:sz w:val="20"/>
          <w:szCs w:val="20"/>
          <w:color w:val="auto"/>
        </w:rPr>
      </w:pPr>
    </w:p>
    <w:p>
      <w:pPr>
        <w:jc w:val="both"/>
        <w:ind w:left="660" w:right="20"/>
        <w:spacing w:after="0" w:line="193" w:lineRule="auto"/>
        <w:rPr>
          <w:sz w:val="20"/>
          <w:szCs w:val="20"/>
          <w:color w:val="auto"/>
        </w:rPr>
      </w:pPr>
      <w:r>
        <w:rPr>
          <w:rFonts w:ascii="Arial" w:cs="Arial" w:eastAsia="Arial" w:hAnsi="Arial"/>
          <w:sz w:val="18"/>
          <w:szCs w:val="18"/>
          <w:color w:val="auto"/>
        </w:rPr>
        <w:t>There are numerous potential consequences under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if an event of default, as defined, occurs and is not remedied. Many of those consequences are beyond our control. The occurrence of one or more events of</w:t>
      </w:r>
    </w:p>
    <w:p>
      <w:pPr>
        <w:spacing w:after="0" w:line="2" w:lineRule="exact"/>
        <w:rPr>
          <w:sz w:val="20"/>
          <w:szCs w:val="20"/>
          <w:color w:val="auto"/>
        </w:rPr>
      </w:pPr>
    </w:p>
    <w:p>
      <w:pPr>
        <w:jc w:val="both"/>
        <w:ind w:left="660"/>
        <w:spacing w:after="0" w:line="181" w:lineRule="auto"/>
        <w:rPr>
          <w:sz w:val="20"/>
          <w:szCs w:val="20"/>
          <w:color w:val="auto"/>
        </w:rPr>
      </w:pPr>
      <w:r>
        <w:rPr>
          <w:rFonts w:ascii="Arial" w:cs="Arial" w:eastAsia="Arial" w:hAnsi="Arial"/>
          <w:sz w:val="18"/>
          <w:szCs w:val="18"/>
          <w:color w:val="auto"/>
        </w:rPr>
        <w:t>default would give rise to the right of the applicable lender(s) to exercise their remedies under the Notes,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92" w:lineRule="exact"/>
        <w:rPr>
          <w:sz w:val="20"/>
          <w:szCs w:val="20"/>
          <w:color w:val="auto"/>
        </w:rPr>
      </w:pPr>
    </w:p>
    <w:p>
      <w:pPr>
        <w:jc w:val="both"/>
        <w:ind w:left="660"/>
        <w:spacing w:after="0" w:line="214"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June 30, 2019.</w:t>
      </w:r>
    </w:p>
    <w:p>
      <w:pPr>
        <w:spacing w:after="0" w:line="200" w:lineRule="exact"/>
        <w:rPr>
          <w:sz w:val="20"/>
          <w:szCs w:val="20"/>
          <w:color w:val="auto"/>
        </w:rPr>
      </w:pPr>
    </w:p>
    <w:p>
      <w:pPr>
        <w:spacing w:after="0" w:line="21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20" w:lineRule="exact"/>
        <w:rPr>
          <w:rFonts w:ascii="Arial" w:cs="Arial" w:eastAsia="Arial" w:hAnsi="Arial"/>
          <w:sz w:val="18"/>
          <w:szCs w:val="18"/>
          <w:b w:val="1"/>
          <w:bCs w:val="1"/>
          <w:color w:val="auto"/>
        </w:rPr>
      </w:pPr>
    </w:p>
    <w:p>
      <w:pPr>
        <w:jc w:val="both"/>
        <w:ind w:left="6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Effective in 2012, substantially all benefits are frozen and only a small amount of additional benefits are being accrued.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91" w:lineRule="exact"/>
        <w:rPr>
          <w:rFonts w:ascii="Arial" w:cs="Arial" w:eastAsia="Arial" w:hAnsi="Arial"/>
          <w:sz w:val="18"/>
          <w:szCs w:val="18"/>
          <w:b w:val="1"/>
          <w:bCs w:val="1"/>
          <w:color w:val="auto"/>
        </w:rPr>
      </w:pPr>
    </w:p>
    <w:p>
      <w:pPr>
        <w:jc w:val="both"/>
        <w:ind w:left="6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addition, we provide retiree medical and life insurance benefits under postretirement plans at several of our operating locations. The level and adjustment of participant contributions vary depending on the specific plan. In addition, St. Louis Post-Dispatch LLC, provides postemployment disability benefits to certain employee groups prior to retirement.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use a fiscal year end measurement date for all of our pension and postretirement medical plan obligations.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postretirement cost (benefit) components for our postretirement plans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PENSION PLANS</w:t>
            </w:r>
          </w:p>
        </w:tc>
        <w:tc>
          <w:tcPr>
            <w:tcW w:w="34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13 Weeks Ended</w:t>
            </w:r>
          </w:p>
        </w:tc>
        <w:tc>
          <w:tcPr>
            <w:tcW w:w="27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6"/>
        </w:trPr>
        <w:tc>
          <w:tcPr>
            <w:tcW w:w="464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June 30, 2019</w:t>
            </w:r>
          </w:p>
        </w:tc>
        <w:tc>
          <w:tcPr>
            <w:tcW w:w="14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June 24, 2018</w:t>
            </w:r>
          </w:p>
        </w:tc>
        <w:tc>
          <w:tcPr>
            <w:tcW w:w="14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June 30, 2019</w:t>
            </w: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June 24,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1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12</w:t>
            </w:r>
          </w:p>
        </w:tc>
        <w:tc>
          <w:tcPr>
            <w:tcW w:w="14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27</w:t>
            </w:r>
          </w:p>
        </w:tc>
        <w:tc>
          <w:tcPr>
            <w:tcW w:w="1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1,641</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1,438</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4,923</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(2,018)</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(1,983)</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(6,055)</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2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284</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506</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851</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w:t>
            </w:r>
          </w:p>
        </w:tc>
        <w:tc>
          <w:tcPr>
            <w:tcW w:w="14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w:t>
            </w:r>
          </w:p>
        </w:tc>
        <w:tc>
          <w:tcPr>
            <w:tcW w:w="14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w:t>
            </w: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Pension benefit</w:t>
            </w:r>
          </w:p>
        </w:tc>
        <w:tc>
          <w:tcPr>
            <w:tcW w:w="2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(109)</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(329)</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2"/>
          </w:tcPr>
          <w:p>
            <w:pPr>
              <w:spacing w:after="0" w:line="20" w:lineRule="exact"/>
              <w:rPr>
                <w:sz w:val="1"/>
                <w:szCs w:val="1"/>
                <w:color w:val="auto"/>
              </w:rPr>
            </w:pPr>
          </w:p>
        </w:tc>
        <w:tc>
          <w:tcPr>
            <w:tcW w:w="2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40" w:type="dxa"/>
            <w:vAlign w:val="bottom"/>
            <w:gridSpan w:val="2"/>
          </w:tcPr>
          <w:p>
            <w:pPr>
              <w:spacing w:after="0"/>
              <w:rPr>
                <w:sz w:val="24"/>
                <w:szCs w:val="24"/>
                <w:color w:val="auto"/>
              </w:rPr>
            </w:pPr>
          </w:p>
        </w:tc>
        <w:tc>
          <w:tcPr>
            <w:tcW w:w="3440" w:type="dxa"/>
            <w:vAlign w:val="bottom"/>
            <w:gridSpan w:val="2"/>
          </w:tcPr>
          <w:p>
            <w:pPr>
              <w:spacing w:after="0"/>
              <w:rPr>
                <w:sz w:val="24"/>
                <w:szCs w:val="24"/>
                <w:color w:val="auto"/>
              </w:rPr>
            </w:pPr>
          </w:p>
        </w:tc>
        <w:tc>
          <w:tcPr>
            <w:tcW w:w="2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6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440" w:type="dxa"/>
            <w:vAlign w:val="bottom"/>
            <w:tcBorders>
              <w:top w:val="single" w:sz="8" w:color="auto"/>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rPr>
              <w:t>13 Weeks Ended</w:t>
            </w:r>
          </w:p>
        </w:tc>
        <w:tc>
          <w:tcPr>
            <w:tcW w:w="274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6"/>
        </w:trPr>
        <w:tc>
          <w:tcPr>
            <w:tcW w:w="464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2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June 30, 2019</w:t>
            </w:r>
          </w:p>
        </w:tc>
        <w:tc>
          <w:tcPr>
            <w:tcW w:w="14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June 24, 2018</w:t>
            </w:r>
          </w:p>
        </w:tc>
        <w:tc>
          <w:tcPr>
            <w:tcW w:w="14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June 30, 2019</w:t>
            </w: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June 24,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2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103</w:t>
            </w:r>
          </w:p>
        </w:tc>
        <w:tc>
          <w:tcPr>
            <w:tcW w:w="14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90</w:t>
            </w:r>
          </w:p>
        </w:tc>
        <w:tc>
          <w:tcPr>
            <w:tcW w:w="14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309</w:t>
            </w:r>
          </w:p>
        </w:tc>
        <w:tc>
          <w:tcPr>
            <w:tcW w:w="1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(270)</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(270)</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(811)</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net gain</w:t>
            </w:r>
          </w:p>
        </w:tc>
        <w:tc>
          <w:tcPr>
            <w:tcW w:w="2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(244)</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(246)</w:t>
            </w:r>
          </w:p>
        </w:tc>
        <w:tc>
          <w:tcPr>
            <w:tcW w:w="1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(732)</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(196)</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(543)</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Curtailment gains</w:t>
            </w:r>
          </w:p>
        </w:tc>
        <w:tc>
          <w:tcPr>
            <w:tcW w:w="20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2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(592)</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(622)</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(1,777)</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60"/>
        <w:spacing w:after="0" w:line="238" w:lineRule="auto"/>
        <w:rPr>
          <w:sz w:val="20"/>
          <w:szCs w:val="20"/>
          <w:color w:val="auto"/>
        </w:rPr>
      </w:pPr>
      <w:r>
        <w:rPr>
          <w:rFonts w:ascii="Arial" w:cs="Arial" w:eastAsia="Arial" w:hAnsi="Arial"/>
          <w:sz w:val="18"/>
          <w:szCs w:val="18"/>
          <w:color w:val="auto"/>
        </w:rPr>
        <w:t>At the beginning of fiscal year 2019, we adopted the new accounting standard to improve the presentation of pension and postretirement benefit expenses. As a result, the service cost for benefits earned during the period continue to be included as compensation in the Consolidated Statement of Income and Comprehensive income, while the other components of the pension benefit are recorded as non-operating income in other, net. Prior period amounts have been reclassified to conform to current period presentation.</w:t>
      </w:r>
    </w:p>
    <w:p>
      <w:pPr>
        <w:spacing w:after="0" w:line="189"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In the 39 weeks ended June 30, 2019 we contributed $650,000 to our pension plans. Based on our forecast at June 30, 2019, we do not expect to make contributions to our pension trust during the remainder of fiscal 2019.</w:t>
      </w:r>
    </w:p>
    <w:p>
      <w:pPr>
        <w:spacing w:after="0" w:line="183" w:lineRule="exact"/>
        <w:rPr>
          <w:sz w:val="20"/>
          <w:szCs w:val="20"/>
          <w:color w:val="auto"/>
        </w:rPr>
      </w:pPr>
    </w:p>
    <w:p>
      <w:pPr>
        <w:jc w:val="both"/>
        <w:ind w:left="660" w:right="60"/>
        <w:spacing w:after="0" w:line="239" w:lineRule="auto"/>
        <w:rPr>
          <w:sz w:val="20"/>
          <w:szCs w:val="20"/>
          <w:color w:val="auto"/>
        </w:rPr>
      </w:pPr>
      <w:r>
        <w:rPr>
          <w:rFonts w:ascii="Arial" w:cs="Arial" w:eastAsia="Arial" w:hAnsi="Arial"/>
          <w:sz w:val="18"/>
          <w:szCs w:val="18"/>
          <w:color w:val="auto"/>
        </w:rPr>
        <w:t>In March 2017, we notified certain participants in one of our post employment medical plans of changes to their plan and in December 2017 the plan was terminated. These changes resulted in a non-cash curtailment gain of $2,031,000 in the 39 weeks ended June 24, 2018. Curtailment gains are recorded in loss (gain) on sales of assets and other, net 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660" w:right="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We recorded income tax expense of $1,505,000 related to income before taxes of $7,677,000 for the 13 weeks ended June 30, 2019, and income tax expenses of $6,175,000 related to income before taxes of $20,739,000 for the 39 weeks ended June 30, 2019. We recorded income tax expense of $1,972,000 related to income of $6,722,000 for the 13 weeks ended June 24, 2018. Including the transitional impact of revaluing tax assets and liabilities, we recorded income tax benefit of $16,791,000 related to income of $25,820,000 for the 39 weeks ended June 24, 2018.</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The effective income tax rate for the 13 and 39 weeks ended June 30, 2019 was 19.6% and 29.8%, respectively. The effective income tax rate for the 13 and 39 weeks ended June 24, 2018 was 29.3% and negative 65.0%, respectively.</w:t>
      </w:r>
    </w:p>
    <w:p>
      <w:pPr>
        <w:spacing w:after="0" w:line="183"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adjustments to reserves for uncertain tax positions, including any related interest, mark-to-market adjustments to value the Warrants, and the transitional impact of revaluing tax assets and liabilities.</w:t>
      </w:r>
    </w:p>
    <w:p>
      <w:pPr>
        <w:spacing w:after="0" w:line="189" w:lineRule="exact"/>
        <w:rPr>
          <w:sz w:val="20"/>
          <w:szCs w:val="20"/>
          <w:color w:val="auto"/>
        </w:rPr>
      </w:pPr>
    </w:p>
    <w:p>
      <w:pPr>
        <w:jc w:val="both"/>
        <w:ind w:left="660" w:right="60"/>
        <w:spacing w:after="0" w:line="239"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tax examinations in progress. California is the only state with an income tax examination currently in progress. Our income tax returns have generally been audited or closed to audit through 2014. See Note 11 for a discussion of our tax audits.</w:t>
      </w:r>
    </w:p>
    <w:p>
      <w:pPr>
        <w:spacing w:after="0" w:line="188"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At September 30, 2018, we had approximately $63,048,000 of state net operating loss tax benefits. The Company consumed its federal net operating losses in the year ended September 30, 2018.</w:t>
      </w:r>
    </w:p>
    <w:p>
      <w:pPr>
        <w:spacing w:after="0" w:line="200" w:lineRule="exact"/>
        <w:rPr>
          <w:sz w:val="20"/>
          <w:szCs w:val="20"/>
          <w:color w:val="auto"/>
        </w:rPr>
      </w:pPr>
    </w:p>
    <w:p>
      <w:pPr>
        <w:spacing w:after="0" w:line="205" w:lineRule="exact"/>
        <w:rPr>
          <w:sz w:val="20"/>
          <w:szCs w:val="20"/>
          <w:color w:val="auto"/>
        </w:rPr>
      </w:pPr>
    </w:p>
    <w:p>
      <w:pPr>
        <w:ind w:left="640" w:hanging="56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13 Weeks Ended</w:t>
            </w:r>
          </w:p>
        </w:tc>
        <w:tc>
          <w:tcPr>
            <w:tcW w:w="27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June 30, 2019</w:t>
            </w:r>
          </w:p>
        </w:tc>
        <w:tc>
          <w:tcPr>
            <w:tcW w:w="14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June 24, 2018</w:t>
            </w:r>
          </w:p>
        </w:tc>
        <w:tc>
          <w:tcPr>
            <w:tcW w:w="14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June 30, 2019</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June 24, 2018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84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5,766</w:t>
            </w:r>
          </w:p>
        </w:tc>
        <w:tc>
          <w:tcPr>
            <w:tcW w:w="14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4,458</w:t>
            </w:r>
          </w:p>
        </w:tc>
        <w:tc>
          <w:tcPr>
            <w:tcW w:w="14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13,449</w:t>
            </w:r>
          </w:p>
        </w:tc>
        <w:tc>
          <w:tcPr>
            <w:tcW w:w="1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41,700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1840" w:type="dxa"/>
            <w:vAlign w:val="bottom"/>
          </w:tcPr>
          <w:p>
            <w:pPr>
              <w:jc w:val="right"/>
              <w:ind w:right="70"/>
              <w:spacing w:after="0" w:line="183" w:lineRule="exact"/>
              <w:rPr>
                <w:sz w:val="20"/>
                <w:szCs w:val="20"/>
                <w:color w:val="auto"/>
              </w:rPr>
            </w:pPr>
            <w:r>
              <w:rPr>
                <w:rFonts w:ascii="Arial" w:cs="Arial" w:eastAsia="Arial" w:hAnsi="Arial"/>
                <w:sz w:val="18"/>
                <w:szCs w:val="18"/>
                <w:color w:val="auto"/>
              </w:rPr>
              <w:t>57,731</w:t>
            </w:r>
          </w:p>
        </w:tc>
        <w:tc>
          <w:tcPr>
            <w:tcW w:w="1420" w:type="dxa"/>
            <w:vAlign w:val="bottom"/>
          </w:tcPr>
          <w:p>
            <w:pPr>
              <w:jc w:val="right"/>
              <w:ind w:right="70"/>
              <w:spacing w:after="0" w:line="183" w:lineRule="exact"/>
              <w:rPr>
                <w:sz w:val="20"/>
                <w:szCs w:val="20"/>
                <w:color w:val="auto"/>
              </w:rPr>
            </w:pPr>
            <w:r>
              <w:rPr>
                <w:rFonts w:ascii="Arial" w:cs="Arial" w:eastAsia="Arial" w:hAnsi="Arial"/>
                <w:sz w:val="18"/>
                <w:szCs w:val="18"/>
                <w:color w:val="auto"/>
              </w:rPr>
              <w:t>57,064</w:t>
            </w:r>
          </w:p>
        </w:tc>
        <w:tc>
          <w:tcPr>
            <w:tcW w:w="1400" w:type="dxa"/>
            <w:vAlign w:val="bottom"/>
          </w:tcPr>
          <w:p>
            <w:pPr>
              <w:jc w:val="right"/>
              <w:ind w:right="70"/>
              <w:spacing w:after="0" w:line="183" w:lineRule="exact"/>
              <w:rPr>
                <w:sz w:val="20"/>
                <w:szCs w:val="20"/>
                <w:color w:val="auto"/>
              </w:rPr>
            </w:pPr>
            <w:r>
              <w:rPr>
                <w:rFonts w:ascii="Arial" w:cs="Arial" w:eastAsia="Arial" w:hAnsi="Arial"/>
                <w:sz w:val="18"/>
                <w:szCs w:val="18"/>
                <w:color w:val="auto"/>
              </w:rPr>
              <w:t>57,578</w:t>
            </w:r>
          </w:p>
        </w:tc>
        <w:tc>
          <w:tcPr>
            <w:tcW w:w="134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56,971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1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(2,088)</w:t>
            </w:r>
          </w:p>
        </w:tc>
        <w:tc>
          <w:tcPr>
            <w:tcW w:w="14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(2,286)</w:t>
            </w:r>
          </w:p>
        </w:tc>
        <w:tc>
          <w:tcPr>
            <w:tcW w:w="14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(2,094)</w:t>
            </w: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18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55,643</w:t>
            </w:r>
          </w:p>
        </w:tc>
        <w:tc>
          <w:tcPr>
            <w:tcW w:w="14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54,778</w:t>
            </w:r>
          </w:p>
        </w:tc>
        <w:tc>
          <w:tcPr>
            <w:tcW w:w="14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55,484</w:t>
            </w:r>
          </w:p>
        </w:tc>
        <w:tc>
          <w:tcPr>
            <w:tcW w:w="13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54,598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184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1,227</w:t>
            </w:r>
          </w:p>
        </w:tc>
        <w:tc>
          <w:tcPr>
            <w:tcW w:w="14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1,302</w:t>
            </w:r>
          </w:p>
        </w:tc>
        <w:tc>
          <w:tcPr>
            <w:tcW w:w="14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1,038</w:t>
            </w:r>
          </w:p>
        </w:tc>
        <w:tc>
          <w:tcPr>
            <w:tcW w:w="1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18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56,870</w:t>
            </w:r>
          </w:p>
        </w:tc>
        <w:tc>
          <w:tcPr>
            <w:tcW w:w="14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56,080</w:t>
            </w:r>
          </w:p>
        </w:tc>
        <w:tc>
          <w:tcPr>
            <w:tcW w:w="14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56,522</w:t>
            </w: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18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0.10</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0.08</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0.24</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Borders>
              <w:bottom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Diluted</w:t>
            </w:r>
          </w:p>
        </w:tc>
        <w:tc>
          <w:tcPr>
            <w:tcW w:w="184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0.10</w:t>
            </w:r>
          </w:p>
        </w:tc>
        <w:tc>
          <w:tcPr>
            <w:tcW w:w="14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0.08</w:t>
            </w:r>
          </w:p>
        </w:tc>
        <w:tc>
          <w:tcPr>
            <w:tcW w:w="140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0.24</w:t>
            </w:r>
          </w:p>
        </w:tc>
        <w:tc>
          <w:tcPr>
            <w:tcW w:w="1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60"/>
        <w:spacing w:after="0" w:line="238" w:lineRule="auto"/>
        <w:rPr>
          <w:sz w:val="20"/>
          <w:szCs w:val="20"/>
          <w:color w:val="auto"/>
        </w:rPr>
      </w:pPr>
      <w:r>
        <w:rPr>
          <w:rFonts w:ascii="Arial" w:cs="Arial" w:eastAsia="Arial" w:hAnsi="Arial"/>
          <w:sz w:val="18"/>
          <w:szCs w:val="18"/>
          <w:color w:val="auto"/>
        </w:rPr>
        <w:t>For the 13 and 39 weeks ended June 30, 2019, 6,000,000, weighted average shares, were not considered in the computation of diluted earnings per common share because the exercise prices of the related Warrants were in excess of the fair market value of our Common Stock. For the 13 and 39 weeks ended June 24, 2018, 6,484,300 and 6,701,300, weighted average shares, respectively, were not considered in the computation of diluted earnings per common share because the exercise prices of the related stock options and Warrants were in excess of the fair market value of our Common Stock.</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39 weeks ended June 30, 2019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Weighted</w:t>
            </w: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Weighted</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Average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Average</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Remaining</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40" w:type="dxa"/>
            <w:vAlign w:val="bottom"/>
          </w:tcPr>
          <w:p>
            <w:pPr>
              <w:jc w:val="right"/>
              <w:ind w:right="90"/>
              <w:spacing w:after="0" w:line="185" w:lineRule="exact"/>
              <w:rPr>
                <w:sz w:val="20"/>
                <w:szCs w:val="20"/>
                <w:color w:val="auto"/>
              </w:rPr>
            </w:pPr>
            <w:r>
              <w:rPr>
                <w:rFonts w:ascii="Arial" w:cs="Arial" w:eastAsia="Arial" w:hAnsi="Arial"/>
                <w:sz w:val="18"/>
                <w:szCs w:val="18"/>
                <w:color w:val="auto"/>
              </w:rPr>
              <w:t>Exercise</w:t>
            </w:r>
          </w:p>
        </w:tc>
        <w:tc>
          <w:tcPr>
            <w:tcW w:w="1500" w:type="dxa"/>
            <w:vAlign w:val="bottom"/>
          </w:tcPr>
          <w:p>
            <w:pPr>
              <w:jc w:val="right"/>
              <w:ind w:right="190"/>
              <w:spacing w:after="0" w:line="185" w:lineRule="exact"/>
              <w:rPr>
                <w:sz w:val="20"/>
                <w:szCs w:val="20"/>
                <w:color w:val="auto"/>
              </w:rPr>
            </w:pPr>
            <w:r>
              <w:rPr>
                <w:rFonts w:ascii="Arial" w:cs="Arial" w:eastAsia="Arial" w:hAnsi="Arial"/>
                <w:sz w:val="18"/>
                <w:szCs w:val="18"/>
                <w:color w:val="auto"/>
              </w:rPr>
              <w:t>Contractual</w:t>
            </w:r>
          </w:p>
        </w:tc>
        <w:tc>
          <w:tcPr>
            <w:tcW w:w="1220" w:type="dxa"/>
            <w:vAlign w:val="bottom"/>
          </w:tcPr>
          <w:p>
            <w:pPr>
              <w:jc w:val="right"/>
              <w:ind w:right="10"/>
              <w:spacing w:after="0" w:line="185" w:lineRule="exact"/>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21"/>
        </w:trPr>
        <w:tc>
          <w:tcPr>
            <w:tcW w:w="510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Price</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Term (</w:t>
            </w:r>
            <w:r>
              <w:rPr>
                <w:rFonts w:ascii="Arial" w:cs="Arial" w:eastAsia="Arial" w:hAnsi="Arial"/>
                <w:sz w:val="18"/>
                <w:szCs w:val="18"/>
                <w:i w:val="1"/>
                <w:iCs w:val="1"/>
                <w:color w:val="auto"/>
              </w:rPr>
              <w:t>Years</w:t>
            </w: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30, 2018</w:t>
            </w:r>
          </w:p>
        </w:tc>
        <w:tc>
          <w:tcPr>
            <w:tcW w:w="17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1,100</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1.88</w:t>
            </w:r>
          </w:p>
        </w:tc>
        <w:tc>
          <w:tcPr>
            <w:tcW w:w="1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7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(83)</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2.11</w:t>
            </w: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17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(58)</w:t>
            </w:r>
          </w:p>
        </w:tc>
        <w:tc>
          <w:tcPr>
            <w:tcW w:w="12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2.01</w:t>
            </w:r>
          </w:p>
        </w:tc>
        <w:tc>
          <w:tcPr>
            <w:tcW w:w="1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June 30, 2019</w:t>
            </w:r>
          </w:p>
        </w:tc>
        <w:tc>
          <w:tcPr>
            <w:tcW w:w="17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959</w:t>
            </w:r>
          </w:p>
        </w:tc>
        <w:tc>
          <w:tcPr>
            <w:tcW w:w="12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1.86</w:t>
            </w:r>
          </w:p>
        </w:tc>
        <w:tc>
          <w:tcPr>
            <w:tcW w:w="15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1.9</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Exercisable, June 30, 2019</w:t>
            </w:r>
          </w:p>
        </w:tc>
        <w:tc>
          <w:tcPr>
            <w:tcW w:w="1760" w:type="dxa"/>
            <w:vAlign w:val="bottom"/>
            <w:tcBorders>
              <w:bottom w:val="single" w:sz="8" w:color="auto"/>
            </w:tcBorders>
            <w:shd w:val="clear" w:color="auto" w:fill="CCEEFF"/>
          </w:tcPr>
          <w:p>
            <w:pPr>
              <w:jc w:val="right"/>
              <w:ind w:right="270"/>
              <w:spacing w:after="0" w:line="183" w:lineRule="exact"/>
              <w:rPr>
                <w:sz w:val="20"/>
                <w:szCs w:val="20"/>
                <w:color w:val="auto"/>
              </w:rPr>
            </w:pPr>
            <w:r>
              <w:rPr>
                <w:rFonts w:ascii="Arial" w:cs="Arial" w:eastAsia="Arial" w:hAnsi="Arial"/>
                <w:sz w:val="18"/>
                <w:szCs w:val="18"/>
                <w:color w:val="auto"/>
              </w:rPr>
              <w:t>959</w:t>
            </w:r>
          </w:p>
        </w:tc>
        <w:tc>
          <w:tcPr>
            <w:tcW w:w="1240" w:type="dxa"/>
            <w:vAlign w:val="bottom"/>
            <w:tcBorders>
              <w:bottom w:val="single" w:sz="8" w:color="auto"/>
            </w:tcBorders>
            <w:shd w:val="clear" w:color="auto" w:fill="CCEEFF"/>
          </w:tcPr>
          <w:p>
            <w:pPr>
              <w:jc w:val="right"/>
              <w:ind w:right="90"/>
              <w:spacing w:after="0" w:line="183" w:lineRule="exact"/>
              <w:rPr>
                <w:sz w:val="20"/>
                <w:szCs w:val="20"/>
                <w:color w:val="auto"/>
              </w:rPr>
            </w:pPr>
            <w:r>
              <w:rPr>
                <w:rFonts w:ascii="Arial" w:cs="Arial" w:eastAsia="Arial" w:hAnsi="Arial"/>
                <w:sz w:val="18"/>
                <w:szCs w:val="18"/>
                <w:color w:val="auto"/>
              </w:rPr>
              <w:t>1.86</w:t>
            </w:r>
          </w:p>
        </w:tc>
        <w:tc>
          <w:tcPr>
            <w:tcW w:w="1500" w:type="dxa"/>
            <w:vAlign w:val="bottom"/>
            <w:tcBorders>
              <w:bottom w:val="single" w:sz="8" w:color="auto"/>
            </w:tcBorders>
            <w:shd w:val="clear" w:color="auto" w:fill="CCEEFF"/>
          </w:tcPr>
          <w:p>
            <w:pPr>
              <w:jc w:val="right"/>
              <w:ind w:right="190"/>
              <w:spacing w:after="0" w:line="183" w:lineRule="exact"/>
              <w:rPr>
                <w:sz w:val="20"/>
                <w:szCs w:val="20"/>
                <w:color w:val="auto"/>
              </w:rPr>
            </w:pPr>
            <w:r>
              <w:rPr>
                <w:rFonts w:ascii="Arial" w:cs="Arial" w:eastAsia="Arial" w:hAnsi="Arial"/>
                <w:sz w:val="18"/>
                <w:szCs w:val="18"/>
                <w:color w:val="auto"/>
              </w:rPr>
              <w:t>1.9</w:t>
            </w:r>
          </w:p>
        </w:tc>
        <w:tc>
          <w:tcPr>
            <w:tcW w:w="122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399"/>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Restricted Common Stock</w:t>
            </w:r>
          </w:p>
        </w:tc>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0" w:type="dxa"/>
            <w:vAlign w:val="bottom"/>
            <w:gridSpan w:val="5"/>
          </w:tcPr>
          <w:p>
            <w:pPr>
              <w:spacing w:after="0"/>
              <w:rPr>
                <w:sz w:val="20"/>
                <w:szCs w:val="20"/>
                <w:color w:val="auto"/>
              </w:rPr>
            </w:pPr>
            <w:r>
              <w:rPr>
                <w:rFonts w:ascii="Arial" w:cs="Arial" w:eastAsia="Arial" w:hAnsi="Arial"/>
                <w:sz w:val="18"/>
                <w:szCs w:val="18"/>
                <w:color w:val="auto"/>
              </w:rPr>
              <w:t>The table below summarizes restricted Common Stock activity during the 39 weeks ended June 30, 2019:</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Arial" w:cs="Arial" w:eastAsia="Arial" w:hAnsi="Arial"/>
                <w:sz w:val="16"/>
                <w:szCs w:val="16"/>
                <w:i w:val="1"/>
                <w:iCs w:val="1"/>
                <w:color w:val="auto"/>
              </w:rPr>
              <w:t>(Thousands of Shares, Except Per Share Data)</w:t>
            </w: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Shares</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30, 2018</w:t>
            </w: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2,059</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(737)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788</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17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(34)</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June 30, 2019</w:t>
            </w:r>
          </w:p>
        </w:tc>
        <w:tc>
          <w:tcPr>
            <w:tcW w:w="17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2,076</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June 30, 2019 is $2,258,011, which will be recognized over a weighted average period of 1.4 years.</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2" w:lineRule="exact"/>
        <w:rPr>
          <w:rFonts w:ascii="Arial" w:cs="Arial" w:eastAsia="Arial" w:hAnsi="Arial"/>
          <w:sz w:val="18"/>
          <w:szCs w:val="18"/>
          <w:b w:val="1"/>
          <w:bCs w:val="1"/>
          <w:color w:val="auto"/>
        </w:rPr>
      </w:pPr>
    </w:p>
    <w:p>
      <w:pPr>
        <w:jc w:val="both"/>
        <w:ind w:left="660" w:right="6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ind w:left="1140" w:right="56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model-derived valuations in which all significant inputs are observable in active markets.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jc w:val="both"/>
        <w:ind w:left="660" w:right="60"/>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ind w:left="660" w:right="60"/>
        <w:spacing w:after="0" w:line="238"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$6,068,000, including our 17% ownership of the nonvoting common stock of TCT and a private equity investment, are carried at cost. As of June 30, 2019, based on the most recent data available, the approximate fair value of the private equity investment is $10,201,717 which is a level 3 fair value measurement. Fair value of the remaining investments approximates book value.</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Our fixed rate debt consists of $374,420,000 principal amount of the Notes and $84,138,000 principal amount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At June 30, 2019, based on private market price quotations, the fair values were $381,440,375 and $83,927,867 for the Notes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These represent level 2 fair value measurements.</w:t>
      </w:r>
    </w:p>
    <w:p>
      <w:pPr>
        <w:spacing w:after="0" w:line="65"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As discussed more fully in Note 5,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Warrants at June 2019 and March 2019 are $1,417,000 and $4,479,000, respectively. Fair value is determined using the Black-Scholes option pricing model. These represent level 2 fair value measurements.</w:t>
      </w:r>
    </w:p>
    <w:p>
      <w:pPr>
        <w:spacing w:after="0" w:line="200" w:lineRule="exact"/>
        <w:rPr>
          <w:sz w:val="20"/>
          <w:szCs w:val="20"/>
          <w:color w:val="auto"/>
        </w:rPr>
      </w:pPr>
    </w:p>
    <w:p>
      <w:pPr>
        <w:spacing w:after="0" w:line="210" w:lineRule="exact"/>
        <w:rPr>
          <w:sz w:val="20"/>
          <w:szCs w:val="20"/>
          <w:color w:val="auto"/>
        </w:rPr>
      </w:pPr>
    </w:p>
    <w:p>
      <w:pPr>
        <w:ind w:left="660" w:right="6640" w:hanging="652"/>
        <w:spacing w:after="0" w:line="472"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Income Taxes</w:t>
      </w:r>
    </w:p>
    <w:p>
      <w:pPr>
        <w:jc w:val="both"/>
        <w:ind w:left="6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7.</w:t>
      </w:r>
    </w:p>
    <w:p>
      <w:pPr>
        <w:spacing w:after="0" w:line="178" w:lineRule="exact"/>
        <w:rPr>
          <w:rFonts w:ascii="Arial" w:cs="Arial" w:eastAsia="Arial" w:hAnsi="Arial"/>
          <w:sz w:val="18"/>
          <w:szCs w:val="18"/>
          <w:b w:val="1"/>
          <w:bCs w:val="1"/>
          <w:color w:val="auto"/>
        </w:rPr>
      </w:pPr>
    </w:p>
    <w:p>
      <w:pPr>
        <w:jc w:val="both"/>
        <w:ind w:left="6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(Loss) in the periods in which such matters are ultimately determined. We do not believe the final resolution of such matters will be material to our consolidated financial position or cash flows.</w:t>
      </w:r>
    </w:p>
    <w:p>
      <w:pPr>
        <w:spacing w:after="0" w:line="189" w:lineRule="exact"/>
        <w:rPr>
          <w:rFonts w:ascii="Arial" w:cs="Arial" w:eastAsia="Arial" w:hAnsi="Arial"/>
          <w:sz w:val="18"/>
          <w:szCs w:val="18"/>
          <w:b w:val="1"/>
          <w:bCs w:val="1"/>
          <w:color w:val="auto"/>
        </w:rPr>
      </w:pPr>
    </w:p>
    <w:p>
      <w:pPr>
        <w:ind w:left="6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0" w:lineRule="exact"/>
        <w:rPr>
          <w:rFonts w:ascii="Arial" w:cs="Arial" w:eastAsia="Arial" w:hAnsi="Arial"/>
          <w:sz w:val="18"/>
          <w:szCs w:val="18"/>
          <w:b w:val="1"/>
          <w:bCs w:val="1"/>
          <w:color w:val="auto"/>
        </w:rPr>
      </w:pPr>
    </w:p>
    <w:p>
      <w:pPr>
        <w:jc w:val="both"/>
        <w:ind w:left="660"/>
        <w:spacing w:after="0"/>
        <w:rPr>
          <w:rFonts w:ascii="Arial" w:cs="Arial" w:eastAsia="Arial" w:hAnsi="Arial"/>
          <w:sz w:val="18"/>
          <w:szCs w:val="18"/>
          <w:b w:val="1"/>
          <w:bCs w:val="1"/>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Multiemployer Pension Plans</w:t>
      </w:r>
    </w:p>
    <w:p>
      <w:pPr>
        <w:spacing w:after="0" w:line="220" w:lineRule="exact"/>
        <w:rPr>
          <w:rFonts w:ascii="Arial" w:cs="Arial" w:eastAsia="Arial" w:hAnsi="Arial"/>
          <w:sz w:val="18"/>
          <w:szCs w:val="18"/>
          <w:b w:val="1"/>
          <w:bCs w:val="1"/>
          <w:color w:val="auto"/>
        </w:rPr>
      </w:pPr>
    </w:p>
    <w:p>
      <w:pPr>
        <w:jc w:val="both"/>
        <w:ind w:left="66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contributes to three multiemployer pension plans. In June 2017, a union contract covering certain of our employees under a multiemployer pension plan expired resulting in a partial withdrawal from one of the multiemployer plans. In 2017, the Company recorded an estimate of the partial withdrawal liability totaling $2,600,000. Once the multiemployer pension plan's administrators finalize the partial withdrawal liability, it will be paid in equal installments over a twenty year period.</w:t>
      </w:r>
    </w:p>
    <w:p>
      <w:pPr>
        <w:spacing w:after="0" w:line="188" w:lineRule="exact"/>
        <w:rPr>
          <w:rFonts w:ascii="Arial" w:cs="Arial" w:eastAsia="Arial" w:hAnsi="Arial"/>
          <w:sz w:val="18"/>
          <w:szCs w:val="18"/>
          <w:b w:val="1"/>
          <w:bCs w:val="1"/>
          <w:color w:val="auto"/>
        </w:rPr>
      </w:pPr>
    </w:p>
    <w:p>
      <w:pPr>
        <w:ind w:left="6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In the second quarter of 2019, we recorded an estimated partial liability for the CWA/ITU multi-employer plan, in the amount of $500,000, which is included in restructuring costs and other.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weeks and 39 weeks ended June 30, 2019. This discussion should be read in conjunction with the Consolidated Financial Statements and related Notes thereto, included herein, and our 2018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 non-GAAP financial measure should be considered as a substitute for any related GAAP financial measure. However, we believe the use of non-GAAP financial measures provides meaningful supplemental information with which to evaluate our financial performance, or assist in forecasting and analyzing future periods. We also believe such non-GAAP financial measures are alternative indicators of performance used by investors, lenders, rating agencies and financial analysts to estimate the value of a publishing business and its ability to meet debt service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0" w:lineRule="exact"/>
        <w:rPr>
          <w:sz w:val="20"/>
          <w:szCs w:val="20"/>
          <w:color w:val="auto"/>
        </w:rPr>
      </w:pPr>
    </w:p>
    <w:p>
      <w:pPr>
        <w:jc w:val="both"/>
        <w:ind w:left="500"/>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its lenders and its investors. Adjusted EBITDA is defined as net income (loss), plus non-operating expenses, income tax expense (benefit), depreciation and amortization, assets loss (gain) on sales, impairments and other, restructuring costs and other, stock compensation and our 50% share of EBITDA from TNI and MNI, minus equity in earnings of TNI and MNI and curtailment gains.</w:t>
      </w:r>
    </w:p>
    <w:p>
      <w:pPr>
        <w:spacing w:after="0" w:line="173" w:lineRule="exact"/>
        <w:rPr>
          <w:sz w:val="20"/>
          <w:szCs w:val="20"/>
          <w:color w:val="auto"/>
        </w:rPr>
      </w:pPr>
    </w:p>
    <w:p>
      <w:pPr>
        <w:jc w:val="both"/>
        <w:ind w:left="500"/>
        <w:spacing w:after="0"/>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Occasionally, the Company provides forward-looking guidance of Cash Costs, which can be used by financial statement users to assess the Company's ability to manage and control its operating cost structure. Cash Costs are defined as the sum of compensation, newsprint and ink and other operating expenses. Depreciation and amortization, assets loss (gain) on sales, impairments and other, other non-cash operating expenses and other expenses are excluded. Cash Costs also exclude restructuring costs and other, which are typically paid in cash.</w:t>
      </w:r>
    </w:p>
    <w:p>
      <w:pPr>
        <w:spacing w:after="0" w:line="172" w:lineRule="exact"/>
        <w:rPr>
          <w:sz w:val="20"/>
          <w:szCs w:val="20"/>
          <w:color w:val="auto"/>
        </w:rPr>
      </w:pPr>
    </w:p>
    <w:p>
      <w:pPr>
        <w:jc w:val="both"/>
        <w:ind w:left="500"/>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cash 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table reconciling adjusted EBITDA to net income, the most directly comparable measure under GAAP, is set forth below under the caption "Reconciliation of Non-GAAP Financial Measures". Reconciliations of adjusted income and adjusted earnings per diluted common share to income attributable to Lee Enterprises, Incorporated and earnings per diluted common share, respectively, the most directly comparable measures under GAAP, are set forth in Item 2, included herein, under the caption “Net Income and Earnings Per Share”.</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Cash Costs and Total Revenue less Cash Costs are reconciled to operating expenses and operating income, respectively, in tables in Item 2, included herein, under the captions “13 Weeks Ended June 30, 2019" and “39 Weeks Ended June 30, 2019.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rPr>
          <w:sz w:val="20"/>
          <w:szCs w:val="20"/>
          <w:color w:val="auto"/>
        </w:rPr>
      </w:pPr>
      <w:r>
        <w:rPr>
          <w:rFonts w:ascii="Arial" w:cs="Arial" w:eastAsia="Arial" w:hAnsi="Arial"/>
          <w:sz w:val="18"/>
          <w:szCs w:val="18"/>
          <w:color w:val="auto"/>
        </w:rPr>
        <w:t>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 Weeks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2"/>
          </w:tcPr>
          <w:p>
            <w:pPr>
              <w:jc w:val="right"/>
              <w:ind w:right="270"/>
              <w:spacing w:after="0" w:line="203" w:lineRule="exact"/>
              <w:rPr>
                <w:sz w:val="20"/>
                <w:szCs w:val="20"/>
                <w:color w:val="auto"/>
              </w:rPr>
            </w:pPr>
            <w:r>
              <w:rPr>
                <w:rFonts w:ascii="Arial" w:cs="Arial" w:eastAsia="Arial" w:hAnsi="Arial"/>
                <w:sz w:val="18"/>
                <w:szCs w:val="18"/>
                <w:color w:val="auto"/>
              </w:rPr>
              <w:t>13 Weeks Ended</w:t>
            </w:r>
          </w:p>
        </w:tc>
        <w:tc>
          <w:tcPr>
            <w:tcW w:w="2640" w:type="dxa"/>
            <w:vAlign w:val="bottom"/>
            <w:tcBorders>
              <w:bottom w:val="single" w:sz="8" w:color="auto"/>
            </w:tcBorders>
            <w:gridSpan w:val="2"/>
          </w:tcPr>
          <w:p>
            <w:pPr>
              <w:jc w:val="right"/>
              <w:ind w:right="210"/>
              <w:spacing w:after="0" w:line="203" w:lineRule="exact"/>
              <w:rPr>
                <w:sz w:val="20"/>
                <w:szCs w:val="20"/>
                <w:color w:val="auto"/>
              </w:rPr>
            </w:pPr>
            <w:r>
              <w:rPr>
                <w:rFonts w:ascii="Arial" w:cs="Arial" w:eastAsia="Arial" w:hAnsi="Arial"/>
                <w:sz w:val="18"/>
                <w:szCs w:val="18"/>
                <w:color w:val="auto"/>
              </w:rPr>
              <w:t>39 Weeks Ended</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June 30,</w:t>
            </w:r>
          </w:p>
        </w:tc>
        <w:tc>
          <w:tcPr>
            <w:tcW w:w="12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June 24,</w:t>
            </w: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1640" w:type="dxa"/>
            <w:vAlign w:val="bottom"/>
          </w:tcPr>
          <w:p>
            <w:pPr>
              <w:jc w:val="right"/>
              <w:ind w:right="70"/>
              <w:spacing w:after="0" w:line="203" w:lineRule="exact"/>
              <w:rPr>
                <w:sz w:val="20"/>
                <w:szCs w:val="20"/>
                <w:color w:val="auto"/>
              </w:rPr>
            </w:pPr>
            <w:r>
              <w:rPr>
                <w:rFonts w:ascii="Arial" w:cs="Arial" w:eastAsia="Arial" w:hAnsi="Arial"/>
                <w:sz w:val="18"/>
                <w:szCs w:val="18"/>
                <w:color w:val="auto"/>
              </w:rPr>
              <w:t>June 30, 2019</w:t>
            </w:r>
          </w:p>
        </w:tc>
        <w:tc>
          <w:tcPr>
            <w:tcW w:w="160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June 24, 2018</w:t>
            </w:r>
          </w:p>
        </w:tc>
        <w:tc>
          <w:tcPr>
            <w:tcW w:w="136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2019</w:t>
            </w:r>
          </w:p>
        </w:tc>
        <w:tc>
          <w:tcPr>
            <w:tcW w:w="12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2018</w:t>
            </w:r>
          </w:p>
        </w:tc>
        <w:tc>
          <w:tcPr>
            <w:tcW w:w="11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6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6,172</w:t>
            </w:r>
          </w:p>
        </w:tc>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4,750</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14,564</w:t>
            </w:r>
          </w:p>
        </w:tc>
        <w:tc>
          <w:tcPr>
            <w:tcW w:w="1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42,611</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tax expense (benefit)</w:t>
            </w:r>
          </w:p>
        </w:tc>
        <w:tc>
          <w:tcPr>
            <w:tcW w:w="16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1,505</w:t>
            </w:r>
          </w:p>
        </w:tc>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1,972</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6,175</w:t>
            </w:r>
          </w:p>
        </w:tc>
        <w:tc>
          <w:tcPr>
            <w:tcW w:w="1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(16,791)</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Non-operating expenses, net</w:t>
            </w: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12,354</w:t>
            </w:r>
          </w:p>
        </w:tc>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13,433</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39,579</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40,730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in earnings of TNI and MNI</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(1,451)</w:t>
            </w:r>
          </w:p>
        </w:tc>
        <w:tc>
          <w:tcPr>
            <w:tcW w:w="16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(1,578)</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(5,298)</w:t>
            </w:r>
          </w:p>
        </w:tc>
        <w:tc>
          <w:tcPr>
            <w:tcW w:w="12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(5,569)</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Loss (gain) on sale of assets and other, net</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(195)</w:t>
            </w:r>
          </w:p>
        </w:tc>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101</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(212)</w:t>
            </w:r>
          </w:p>
        </w:tc>
        <w:tc>
          <w:tcPr>
            <w:tcW w:w="12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(1,197)</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7,347</w:t>
            </w:r>
          </w:p>
        </w:tc>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7,904</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22,263</w:t>
            </w:r>
          </w:p>
        </w:tc>
        <w:tc>
          <w:tcPr>
            <w:tcW w:w="1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23,973</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Restructuring costs and other</w:t>
            </w:r>
          </w:p>
        </w:tc>
        <w:tc>
          <w:tcPr>
            <w:tcW w:w="16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2,792</w:t>
            </w:r>
          </w:p>
        </w:tc>
        <w:tc>
          <w:tcPr>
            <w:tcW w:w="16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1,865</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5,612</w:t>
            </w:r>
          </w:p>
        </w:tc>
        <w:tc>
          <w:tcPr>
            <w:tcW w:w="12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4,150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compensation</w:t>
            </w:r>
          </w:p>
        </w:tc>
        <w:tc>
          <w:tcPr>
            <w:tcW w:w="16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321</w:t>
            </w:r>
          </w:p>
        </w:tc>
        <w:tc>
          <w:tcPr>
            <w:tcW w:w="16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425</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1,209</w:t>
            </w:r>
          </w:p>
        </w:tc>
        <w:tc>
          <w:tcPr>
            <w:tcW w:w="12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1,441</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Ownership share of TNI and MNI EBITDA (50%)</w:t>
            </w:r>
          </w:p>
        </w:tc>
        <w:tc>
          <w:tcPr>
            <w:tcW w:w="164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1,806</w:t>
            </w:r>
          </w:p>
        </w:tc>
        <w:tc>
          <w:tcPr>
            <w:tcW w:w="16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2,189</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6,486</w:t>
            </w:r>
          </w:p>
        </w:tc>
        <w:tc>
          <w:tcPr>
            <w:tcW w:w="12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7,433</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16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30,651</w:t>
            </w:r>
          </w:p>
        </w:tc>
        <w:tc>
          <w:tcPr>
            <w:tcW w:w="16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31,061</w:t>
            </w:r>
          </w:p>
        </w:tc>
        <w:tc>
          <w:tcPr>
            <w:tcW w:w="13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90,378</w:t>
            </w:r>
          </w:p>
        </w:tc>
        <w:tc>
          <w:tcPr>
            <w:tcW w:w="12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96,781</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125,527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August 2018, the Financial Accounting Standards Board (“FASB”) issued a new standard which modifies the disclosure requirements for employers that sponsor defined benefit pension or other postretirement plans. The modifications remove disclosures, clarify the specific requirements of disclosures and add disclosure requirements identified as relevant. We are currently in the process of evaluating the impact of this guidance on our Consolidated Financial Statements.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August 2018, the FASB issued a new standard which modifies the disclosure requirements on fair value measurements.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are currently in the process of evaluating the impact of this guidance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include the following:</w:t>
      </w:r>
    </w:p>
    <w:p>
      <w:pPr>
        <w:spacing w:after="0" w:line="198"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Intangible assets, other than goodwill;</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Pension, postretirement and postemployment benefit plans; and</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Additional information regarding these critical accounting policies can be found under the caption “Management's Discussion and Analysis of Financial Condition and Results of Operations” in our 2018 Annual Report on Form 10-K.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 We operate 50 principally mid-sized local media operations and manage 30 additional local media operations through an agreement with BH Media Group, Inc. (the "Management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reach 79% of all adults in our larger markets through a combination of our print and digital content offerings.</w:t>
      </w:r>
    </w:p>
    <w:p>
      <w:pPr>
        <w:spacing w:after="0" w:line="198" w:lineRule="exact"/>
        <w:rPr>
          <w:sz w:val="20"/>
          <w:szCs w:val="20"/>
          <w:color w:val="auto"/>
        </w:rPr>
      </w:pPr>
    </w:p>
    <w:p>
      <w:pPr>
        <w:jc w:val="both"/>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29.3 million unique visitors each month with a monthly average of 289.1 million page views. Page views per visit, one metric we use to monitor engagement, increased 6.9% in the 2019 Quarter.</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printed newspapers reach more than 0.7 million households daily and more than 1.0 million on Sunday, with estimated readership totaling three million. Digital only subscribers totaled approximately 79,000, a 72.0% increase over the prior year.</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to non-daily newspapers with news websites and digital platforms serving smaller communities.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operate TownNews, through our 82.5% owned subsidiary INN Partners, L.C. ("TownNews"). TownNews provides state-of-the-art web hosting, content management services and video management services to nearly 2,000 other media organizations including broadcast.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entered into the Management Agreement to manage Berkshire Hathaway's newspaper and digital operations in 30 markets. The Company operates BH Media consistent with how it manages its own newspaper and digital operations. Among other decisions, Berkshire Hathaway is responsible for approving operating and capital budgets. The Management Agreement extends for a term of five years and may be extended thereafter for successive one-year terms on such terms as may be mutually agreed to by the Company and Berkshire Hathaway. The Management Agreement provides for the Company to be paid a fixed annual fee of $5 million, payable quarterly in arrears, and a variable fee based on the financial performance of BH Media. The variable fees are payable annually in arrears.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LIQUIDITY</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substantial amount of debt, as discussed more fully in Note 5 of the Notes to Consolidated Financial Statements, included herein. Since February 2009, we have satisfied all interest payments and substantially all principal payments due under our debt facilities with our cash flows and asset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our debt consists of the following:</w:t>
      </w:r>
    </w:p>
    <w:p>
      <w:pPr>
        <w:spacing w:after="0" w:line="198" w:lineRule="exact"/>
        <w:rPr>
          <w:sz w:val="20"/>
          <w:szCs w:val="20"/>
          <w:color w:val="auto"/>
        </w:rPr>
      </w:pPr>
    </w:p>
    <w:p>
      <w:pPr>
        <w:ind w:left="1220" w:right="480" w:hanging="564"/>
        <w:spacing w:after="0" w:line="246"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$400,000,000 aggregate principal amount of 9.5% Senior Secured Notes (the “Notes”), pursuant to an Indenture dated as of March 31, 2014 (the “Indenture”), of which $374,420,000 is outstanding at June 30, 2019;</w:t>
      </w:r>
    </w:p>
    <w:p>
      <w:pPr>
        <w:spacing w:after="0" w:line="183" w:lineRule="exact"/>
        <w:rPr>
          <w:rFonts w:ascii="Arial" w:cs="Arial" w:eastAsia="Arial" w:hAnsi="Arial"/>
          <w:sz w:val="18"/>
          <w:szCs w:val="18"/>
          <w:color w:val="auto"/>
        </w:rPr>
      </w:pPr>
    </w:p>
    <w:p>
      <w:pPr>
        <w:jc w:val="both"/>
        <w:ind w:left="1220" w:right="500" w:hanging="564"/>
        <w:spacing w:after="0" w:line="209"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$250,000,000 first lien term loan (the "1st Lien Term Loan") and $40,000,000 revolving facility (the "Revolving Facility") under a First Lien Credit Agreement dated as of March 31, 2014 (together,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of which $0 is outstanding at June 30, 2019; and</w:t>
      </w:r>
    </w:p>
    <w:p>
      <w:pPr>
        <w:spacing w:after="0" w:line="190" w:lineRule="exact"/>
        <w:rPr>
          <w:rFonts w:ascii="Arial" w:cs="Arial" w:eastAsia="Arial" w:hAnsi="Arial"/>
          <w:sz w:val="18"/>
          <w:szCs w:val="18"/>
          <w:color w:val="auto"/>
        </w:rPr>
      </w:pPr>
    </w:p>
    <w:p>
      <w:pPr>
        <w:ind w:left="1220" w:right="500" w:hanging="564"/>
        <w:spacing w:after="0" w:line="181" w:lineRule="auto"/>
        <w:tabs>
          <w:tab w:leader="none" w:pos="1220" w:val="left"/>
        </w:tabs>
        <w:numPr>
          <w:ilvl w:val="0"/>
          <w:numId w:val="18"/>
        </w:numPr>
        <w:rPr>
          <w:rFonts w:ascii="Arial" w:cs="Arial" w:eastAsia="Arial" w:hAnsi="Arial"/>
          <w:sz w:val="35"/>
          <w:szCs w:val="35"/>
          <w:color w:val="auto"/>
          <w:vertAlign w:val="superscript"/>
        </w:rPr>
      </w:pPr>
      <w:r>
        <w:rPr>
          <w:rFonts w:ascii="Arial" w:cs="Arial" w:eastAsia="Arial" w:hAnsi="Arial"/>
          <w:sz w:val="18"/>
          <w:szCs w:val="18"/>
          <w:color w:val="auto"/>
        </w:rPr>
        <w:t>$150,000,000 second lien term loan under a Second Lien Loan Agreement dated as of March 31, 2014 (the “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Lien Term Loan”), of which $84,138,000 is outstanding at June 30, 2019.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2018, we repaid, in full, the remaining balance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Loan.</w:t>
      </w:r>
    </w:p>
    <w:p>
      <w:pPr>
        <w:spacing w:after="0" w:line="101" w:lineRule="exact"/>
        <w:rPr>
          <w:sz w:val="20"/>
          <w:szCs w:val="20"/>
          <w:color w:val="auto"/>
        </w:rPr>
      </w:pPr>
    </w:p>
    <w:p>
      <w:pPr>
        <w:jc w:val="both"/>
        <w:spacing w:after="0" w:line="181" w:lineRule="auto"/>
        <w:rPr>
          <w:sz w:val="20"/>
          <w:szCs w:val="20"/>
          <w:color w:val="auto"/>
        </w:rPr>
      </w:pPr>
      <w:r>
        <w:rPr>
          <w:rFonts w:ascii="Arial" w:cs="Arial" w:eastAsia="Arial" w:hAnsi="Arial"/>
          <w:sz w:val="17"/>
          <w:szCs w:val="17"/>
          <w:color w:val="auto"/>
        </w:rPr>
        <w:t>In December 2018 we amended our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to amend and extend our Revolving Facility (the "Amendment"). The Amendment, among other changes, extends the maturity of the revolving loan commitments of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Lenders for twelve months, reduces the revolver</w:t>
      </w:r>
    </w:p>
    <w:p>
      <w:pPr>
        <w:spacing w:after="0" w:line="1"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loan commitments from $40,000,000 to $27,200,000 with a further 15% reduction to the revolving loan commitments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Term Lenders effective as of July 31, 2019.</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repurchase Notes in the open market at any time. In the 13 weeks ended June 30, 2019 we purchased $10,580,000 principal amount of Notes in privately negotiated transactions. The transactions resulted in a loss on extinguishment of debt totaling $238,000 in the 13 weeks ended June 30, 2019 which is recorded in Other, net in the Consolidated Statements of Income and Comprehensive Income.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ability to make payments on our indebtedness will depend on our ability to generate future cash flows from operations. Cash generated from future asset sales could serve as an additional source of repayment. This ability, to a certain extent, is subject to general economic, financial, competitive, business, legislative, regulatory and other factors that are beyond our control.</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June 30, 2019, after consideration of letters of credit, we have approximately $21,685,000 available for future use under our Revolving Facility, which expires December 28, 2019. Including cash, our liquidity at June 30, 2019 totals $35,201,000. This liquidity amount excludes any future cash flows. Our adjusted EBITDA has been strong for the last seven years and totaled $125,527,000 for the trailing twelve months ended June 30, 2019, but there can be no assurance that such performance will continue. We expect all interest and principal payments due in the next twelve months will be satisfied by our cash flows from operations and certain asset sales, which will allow us to maintain an adequate level of liquidity.</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June 30, 2019, the principal amount of our outstanding debt totaled $458,558,000. The June 30, 2019 principal amount of our debt, net of cash, is 3.5 times our trailing twelve months adjusted EBITDA.</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Excluding our Revolving Facility, which is undrawn as of June 30, 2019, final maturities of our debt range from March 2022 through December 2022. Our Revolving Facility expires December 28, 2019.</w:t>
      </w:r>
    </w:p>
    <w:p>
      <w:pPr>
        <w:spacing w:after="0" w:line="184" w:lineRule="exact"/>
        <w:rPr>
          <w:sz w:val="20"/>
          <w:szCs w:val="20"/>
          <w:color w:val="auto"/>
        </w:rPr>
      </w:pPr>
    </w:p>
    <w:p>
      <w:pPr>
        <w:jc w:val="both"/>
        <w:spacing w:after="0" w:line="206" w:lineRule="auto"/>
        <w:rPr>
          <w:sz w:val="20"/>
          <w:szCs w:val="20"/>
          <w:color w:val="auto"/>
        </w:rPr>
      </w:pPr>
      <w:r>
        <w:rPr>
          <w:rFonts w:ascii="Arial" w:cs="Arial" w:eastAsia="Arial" w:hAnsi="Arial"/>
          <w:sz w:val="17"/>
          <w:szCs w:val="17"/>
          <w:color w:val="auto"/>
        </w:rPr>
        <w:t>There are numerous potential consequences under the Notes,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Term Loan, if an event of default, as defined, occurs and is not remedied. Many of those consequences are beyond our control. The occurrence of one or more events of default would give</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rise to the right of the applicable lender(s) to exercise their remedies under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90"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if necessary.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June 30,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JUNE 30,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44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June 24,</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r>
      <w:tr>
        <w:trPr>
          <w:trHeight w:val="203"/>
        </w:trPr>
        <w:tc>
          <w:tcPr>
            <w:tcW w:w="646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250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June 30, 2019</w:t>
            </w:r>
          </w:p>
        </w:tc>
        <w:tc>
          <w:tcPr>
            <w:tcW w:w="140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2018</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Change</w:t>
            </w:r>
          </w:p>
        </w:tc>
      </w:tr>
      <w:tr>
        <w:trPr>
          <w:trHeight w:val="196"/>
        </w:trPr>
        <w:tc>
          <w:tcPr>
            <w:tcW w:w="20" w:type="dxa"/>
            <w:vAlign w:val="bottom"/>
          </w:tcPr>
          <w:p>
            <w:pPr>
              <w:spacing w:after="0"/>
              <w:rPr>
                <w:sz w:val="17"/>
                <w:szCs w:val="17"/>
                <w:color w:val="auto"/>
              </w:rPr>
            </w:pPr>
          </w:p>
        </w:tc>
        <w:tc>
          <w:tcPr>
            <w:tcW w:w="6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500" w:type="dxa"/>
            <w:vAlign w:val="bottom"/>
            <w:tcBorders>
              <w:top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65,754</w:t>
            </w:r>
          </w:p>
        </w:tc>
        <w:tc>
          <w:tcPr>
            <w:tcW w:w="1400" w:type="dxa"/>
            <w:vAlign w:val="bottom"/>
            <w:tcBorders>
              <w:top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73,538</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25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46,620</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48,165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14,910</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10,915</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36.6</w:t>
            </w:r>
          </w:p>
        </w:tc>
      </w:tr>
      <w:tr>
        <w:trPr>
          <w:trHeight w:val="196"/>
        </w:trPr>
        <w:tc>
          <w:tcPr>
            <w:tcW w:w="20" w:type="dxa"/>
            <w:vAlign w:val="bottom"/>
          </w:tcPr>
          <w:p>
            <w:pPr>
              <w:spacing w:after="0"/>
              <w:rPr>
                <w:sz w:val="17"/>
                <w:szCs w:val="17"/>
                <w:color w:val="auto"/>
              </w:rPr>
            </w:pPr>
          </w:p>
        </w:tc>
        <w:tc>
          <w:tcPr>
            <w:tcW w:w="6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2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127,284</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132,618</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160"/>
              <w:spacing w:after="0" w:line="202" w:lineRule="exact"/>
              <w:rPr>
                <w:sz w:val="20"/>
                <w:szCs w:val="20"/>
                <w:color w:val="auto"/>
              </w:rPr>
            </w:pPr>
            <w:r>
              <w:rPr>
                <w:rFonts w:ascii="Arial" w:cs="Arial" w:eastAsia="Arial" w:hAnsi="Arial"/>
                <w:sz w:val="18"/>
                <w:szCs w:val="18"/>
                <w:color w:val="auto"/>
              </w:rPr>
              <w:t>Compensation</w:t>
            </w:r>
          </w:p>
        </w:tc>
        <w:tc>
          <w:tcPr>
            <w:tcW w:w="25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45,373</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48,570</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Newsprint and ink</w:t>
            </w:r>
          </w:p>
        </w:tc>
        <w:tc>
          <w:tcPr>
            <w:tcW w:w="25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5,230</w:t>
            </w:r>
          </w:p>
        </w:tc>
        <w:tc>
          <w:tcPr>
            <w:tcW w:w="14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6,442</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Other operating expenses</w:t>
            </w:r>
          </w:p>
        </w:tc>
        <w:tc>
          <w:tcPr>
            <w:tcW w:w="25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48,157</w:t>
            </w:r>
          </w:p>
        </w:tc>
        <w:tc>
          <w:tcPr>
            <w:tcW w:w="14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49,159</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r>
      <w:tr>
        <w:trPr>
          <w:trHeight w:val="196"/>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25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98,760</w:t>
            </w:r>
          </w:p>
        </w:tc>
        <w:tc>
          <w:tcPr>
            <w:tcW w:w="14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104,171</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0" w:type="dxa"/>
            <w:vAlign w:val="bottom"/>
          </w:tcPr>
          <w:p>
            <w:pPr>
              <w:spacing w:after="0"/>
              <w:rPr>
                <w:sz w:val="17"/>
                <w:szCs w:val="17"/>
                <w:color w:val="auto"/>
              </w:rPr>
            </w:pPr>
          </w:p>
        </w:tc>
        <w:tc>
          <w:tcPr>
            <w:tcW w:w="6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 less cash costs</w:t>
            </w:r>
          </w:p>
        </w:tc>
        <w:tc>
          <w:tcPr>
            <w:tcW w:w="2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28,524</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28,447</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0.3</w:t>
            </w: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50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7,347</w:t>
            </w:r>
          </w:p>
        </w:tc>
        <w:tc>
          <w:tcPr>
            <w:tcW w:w="14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7,904</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25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(195)</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101</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5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2,792</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1,865</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49.7</w:t>
            </w:r>
          </w:p>
        </w:tc>
      </w:tr>
      <w:tr>
        <w:trPr>
          <w:trHeight w:val="196"/>
        </w:trPr>
        <w:tc>
          <w:tcPr>
            <w:tcW w:w="20" w:type="dxa"/>
            <w:vAlign w:val="bottom"/>
          </w:tcPr>
          <w:p>
            <w:pPr>
              <w:spacing w:after="0"/>
              <w:rPr>
                <w:sz w:val="17"/>
                <w:szCs w:val="17"/>
                <w:color w:val="auto"/>
              </w:rPr>
            </w:pPr>
          </w:p>
        </w:tc>
        <w:tc>
          <w:tcPr>
            <w:tcW w:w="6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2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108,704</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114,041</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10"/>
        </w:trPr>
        <w:tc>
          <w:tcPr>
            <w:tcW w:w="20" w:type="dxa"/>
            <w:vAlign w:val="bottom"/>
          </w:tcPr>
          <w:p>
            <w:pPr>
              <w:spacing w:after="0"/>
              <w:rPr>
                <w:sz w:val="18"/>
                <w:szCs w:val="18"/>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 earnings of associated companies</w:t>
            </w:r>
          </w:p>
        </w:tc>
        <w:tc>
          <w:tcPr>
            <w:tcW w:w="2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1,451</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1,578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196"/>
        </w:trPr>
        <w:tc>
          <w:tcPr>
            <w:tcW w:w="20" w:type="dxa"/>
            <w:vAlign w:val="bottom"/>
          </w:tcPr>
          <w:p>
            <w:pPr>
              <w:spacing w:after="0"/>
              <w:rPr>
                <w:sz w:val="17"/>
                <w:szCs w:val="17"/>
                <w:color w:val="auto"/>
              </w:rPr>
            </w:pPr>
          </w:p>
        </w:tc>
        <w:tc>
          <w:tcPr>
            <w:tcW w:w="6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2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20,031</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20,155</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w:t>
            </w: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5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(11,860)</w:t>
            </w:r>
          </w:p>
        </w:tc>
        <w:tc>
          <w:tcPr>
            <w:tcW w:w="14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(12,913)</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financing and administrative cost</w:t>
            </w:r>
          </w:p>
        </w:tc>
        <w:tc>
          <w:tcPr>
            <w:tcW w:w="25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(4,196)</w:t>
            </w:r>
          </w:p>
        </w:tc>
        <w:tc>
          <w:tcPr>
            <w:tcW w:w="14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(1,747)</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500" w:type="dxa"/>
            <w:vAlign w:val="bottom"/>
          </w:tcPr>
          <w:p>
            <w:pPr>
              <w:jc w:val="right"/>
              <w:ind w:right="270"/>
              <w:spacing w:after="0"/>
              <w:rPr>
                <w:sz w:val="20"/>
                <w:szCs w:val="20"/>
                <w:color w:val="auto"/>
              </w:rPr>
            </w:pPr>
            <w:r>
              <w:rPr>
                <w:rFonts w:ascii="Arial" w:cs="Arial" w:eastAsia="Arial" w:hAnsi="Arial"/>
                <w:sz w:val="18"/>
                <w:szCs w:val="18"/>
                <w:color w:val="auto"/>
              </w:rPr>
              <w:t>3,702</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1,227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196"/>
        </w:trPr>
        <w:tc>
          <w:tcPr>
            <w:tcW w:w="20" w:type="dxa"/>
            <w:vAlign w:val="bottom"/>
          </w:tcPr>
          <w:p>
            <w:pPr>
              <w:spacing w:after="0"/>
              <w:rPr>
                <w:sz w:val="17"/>
                <w:szCs w:val="17"/>
                <w:color w:val="auto"/>
              </w:rPr>
            </w:pPr>
          </w:p>
        </w:tc>
        <w:tc>
          <w:tcPr>
            <w:tcW w:w="64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25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(12,354)</w:t>
            </w:r>
          </w:p>
        </w:tc>
        <w:tc>
          <w:tcPr>
            <w:tcW w:w="140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(13,433)</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20" w:type="dxa"/>
            <w:vAlign w:val="bottom"/>
          </w:tcPr>
          <w:p>
            <w:pPr>
              <w:spacing w:after="0"/>
              <w:rPr>
                <w:sz w:val="17"/>
                <w:szCs w:val="17"/>
                <w:color w:val="auto"/>
              </w:rPr>
            </w:pPr>
          </w:p>
        </w:tc>
        <w:tc>
          <w:tcPr>
            <w:tcW w:w="64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5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7,677</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6,722</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14.2</w:t>
            </w: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5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1,505</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1,972</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r>
      <w:tr>
        <w:trPr>
          <w:trHeight w:val="196"/>
        </w:trPr>
        <w:tc>
          <w:tcPr>
            <w:tcW w:w="20" w:type="dxa"/>
            <w:vAlign w:val="bottom"/>
          </w:tcPr>
          <w:p>
            <w:pPr>
              <w:spacing w:after="0"/>
              <w:rPr>
                <w:sz w:val="17"/>
                <w:szCs w:val="17"/>
                <w:color w:val="auto"/>
              </w:rPr>
            </w:pPr>
          </w:p>
        </w:tc>
        <w:tc>
          <w:tcPr>
            <w:tcW w:w="644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5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6,172</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4,750</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29.9</w:t>
            </w: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5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(406)</w:t>
            </w:r>
          </w:p>
        </w:tc>
        <w:tc>
          <w:tcPr>
            <w:tcW w:w="14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(292)</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39.0</w:t>
            </w:r>
          </w:p>
        </w:tc>
      </w:tr>
      <w:tr>
        <w:trPr>
          <w:trHeight w:val="196"/>
        </w:trPr>
        <w:tc>
          <w:tcPr>
            <w:tcW w:w="20" w:type="dxa"/>
            <w:vAlign w:val="bottom"/>
          </w:tcPr>
          <w:p>
            <w:pPr>
              <w:spacing w:after="0"/>
              <w:rPr>
                <w:sz w:val="17"/>
                <w:szCs w:val="17"/>
                <w:color w:val="auto"/>
              </w:rPr>
            </w:pPr>
          </w:p>
        </w:tc>
        <w:tc>
          <w:tcPr>
            <w:tcW w:w="6440" w:type="dxa"/>
            <w:vAlign w:val="bottom"/>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5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5,766</w:t>
            </w:r>
          </w:p>
        </w:tc>
        <w:tc>
          <w:tcPr>
            <w:tcW w:w="14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4,458</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29.3</w:t>
            </w: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25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(122)</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27</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20" w:type="dxa"/>
            <w:vAlign w:val="bottom"/>
          </w:tcPr>
          <w:p>
            <w:pPr>
              <w:spacing w:after="0"/>
              <w:rPr>
                <w:sz w:val="17"/>
                <w:szCs w:val="17"/>
                <w:color w:val="auto"/>
              </w:rPr>
            </w:pPr>
          </w:p>
        </w:tc>
        <w:tc>
          <w:tcPr>
            <w:tcW w:w="6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5,644</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4,485</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25.8</w:t>
            </w:r>
          </w:p>
        </w:tc>
      </w:tr>
      <w:tr>
        <w:trPr>
          <w:trHeight w:val="20"/>
        </w:trPr>
        <w:tc>
          <w:tcPr>
            <w:tcW w:w="2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2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25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0.10</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0.08</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w:t>
            </w:r>
          </w:p>
        </w:tc>
      </w:tr>
      <w:tr>
        <w:trPr>
          <w:trHeight w:val="243"/>
        </w:trPr>
        <w:tc>
          <w:tcPr>
            <w:tcW w:w="20" w:type="dxa"/>
            <w:vAlign w:val="bottom"/>
          </w:tcPr>
          <w:p>
            <w:pPr>
              <w:spacing w:after="0"/>
              <w:rPr>
                <w:sz w:val="21"/>
                <w:szCs w:val="21"/>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Diluted</w:t>
            </w:r>
          </w:p>
        </w:tc>
        <w:tc>
          <w:tcPr>
            <w:tcW w:w="25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0.10</w:t>
            </w:r>
          </w:p>
        </w:tc>
        <w:tc>
          <w:tcPr>
            <w:tcW w:w="140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0.08</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References to the "2019 Quarter" refer to the 13 weeks ended June 30, 2019. Similarly, references to the "2018 Quarter" refer to the 13 weeks ended June 24, 2018. To facilitate a comparison of our results without the impact of acquisitions and dispositions of revenues and expenses, certain revenue and expense trends, as described below, are presented on a same property basis and are calculated as follows:</w:t>
      </w:r>
    </w:p>
    <w:p>
      <w:pPr>
        <w:spacing w:after="0" w:line="185" w:lineRule="exact"/>
        <w:rPr>
          <w:sz w:val="20"/>
          <w:szCs w:val="20"/>
          <w:color w:val="auto"/>
        </w:rPr>
      </w:pPr>
    </w:p>
    <w:p>
      <w:pPr>
        <w:ind w:left="1220" w:hanging="564"/>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Reported revenue or expenses;</w:t>
      </w:r>
    </w:p>
    <w:p>
      <w:pPr>
        <w:ind w:left="1220" w:hanging="564"/>
        <w:spacing w:after="0" w:line="234"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revenue or expenses for our 2019 acquisitions; and</w:t>
      </w:r>
    </w:p>
    <w:p>
      <w:pPr>
        <w:ind w:left="1220" w:hanging="564"/>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revenue or expenses from enterprises that were disposed of in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2019 Quarter, advertising and marketing services revenue decreased $7,784,000, or 10.6% compared to the 2018 Quarter. The decrease in advertising and marketing services revenue is due to softness in print advertising demand resulting in reduced advertising volume primarily from large retail, big box stores and classifieds. Advertising and marketing services revenue on a same property basis decreased $9,155,000, or 12.4%.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Digital advertising increased 2.8% to $25,448,000 in the 2019 Quarter and represents 38.7% of total advertising revenue.</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Subscription revenue decreased $1,545,000, or 3.2%, in the 2019 Quarter. Strategic pricing programs and premium content helped offset lower paid circulation units. Our average daily newspaper circulation, including TNI, MNI and digital subscribers, totaled 0.7 million in the 2019 Quarter. Sunday circulation totaled 1.0 million. Digital only subscribers totaled approximately 79,000, a 72.0% increase over the prior year. Subscription revenue on a same property basis decreased $2,566,000 or 5.3%.</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revenue, which consists of digital services, Management Agreement revenue, commercial printing, revenue from delivery of third party products and the sale of books, increased 36.6% in the 2019 Quarter. The increase was driven by growth at TownNews as well as $3,539,000 in Management Agreement revenue from BH Media.</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Excluding intercompany activity, total revenue at TownNews increased 35.7% in the 2019 Quarter due to a growing broadcast customer base, gaining print market share and the impact of the GTxcel acquisition. On a stand alone basis, total revenue at TownNews totaled $22,141,000 over the last twelve months.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2019 Quarter, our mobile, tablet, desktop and app sites, including TNI and MNI, attracted a monthly average of 29.3 million unique visitors with 289.1 million page views, a 7.5% increase in page views compared to the 2018 Quarter. Increased audience engagement is driving a higher number of pages viewed per user session in the 2019 Quarter. Research in our larger markets indicates we are maintaining our share of audience in our markets through the combination of strong digital audience growth and print newspaper readership.</w:t>
      </w:r>
    </w:p>
    <w:p>
      <w:pPr>
        <w:spacing w:after="0" w:line="16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2019 Quarter decreased 4.7%. Cash costs decreased 5.2% compared to the prior year quarter.</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Compensation expense decreased $3,197,000, or 6.6% driven by an 8.0% decline in average full-time equivalent employees. Continued business transformation affected the number of full-time equivalents in the 2019 Quarter.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Newsprint and ink costs decreased $1,212,000, or 18.8%, due to decreases in newsprint prices and an 11.6% decrease in newsprint volume.</w:t>
      </w:r>
    </w:p>
    <w:p>
      <w:pPr>
        <w:spacing w:after="0"/>
        <w:rPr>
          <w:sz w:val="20"/>
          <w:szCs w:val="20"/>
          <w:color w:val="auto"/>
        </w:rPr>
      </w:pPr>
      <w:r>
        <w:rPr>
          <w:rFonts w:ascii="Arial" w:cs="Arial" w:eastAsia="Arial" w:hAnsi="Arial"/>
          <w:sz w:val="18"/>
          <w:szCs w:val="18"/>
          <w:color w:val="auto"/>
        </w:rPr>
        <w:t>See Item 3, “Commodities”, included herein, for further discussion and analysis of the impact of newsprint prices on our business.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operating expenses for the 2019 Quarter decreased $1,002,000, or 2.0%. Other operating expenses include all operating costs not considered to be compensation, newsprint, depreciation and amortization, or restructuring costs and other. The largest components of these costs include delivery, postage, outsourced printing, digital cost of goods sold and facility expenses. Cost reductions were primarily related to lower delivery and other print-related costs offset in part by higher costs associated with growing digital revenue and outsourcing.</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 same property basis, cash costs were down $7,950,000 or 7.6% in the 2019 quarter. We expect cash costs on a same property basis to be down 4.75 - 5.5% in fiscal year 2019, an improvement from our previous cost guidance.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$459,000, or 12.7%, and amortization expense decreased $98,000, or 2.3%, in the 2019 Quarter.</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Assets loss (gain) on sales, impairments and other, was a net gain of $195,000 in the 2019 Quarter compared to a net loss of $101,000 in the 2018 Quarter. Restructuring costs and other totaled $2,792,000 and $1,865,000 in the 2019 Quarter and 2018 Quarter, respectively.</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$20,031,000 in the 2019 Quarter compared to $20,155,000 in the 2018 Quarter.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$127,000 in the 2019 Quarter.</w:t>
      </w:r>
    </w:p>
    <w:p>
      <w:pPr>
        <w:spacing w:after="0" w:line="17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Nonoperating Income and Expense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expense decreased $1,053,000, or 8.2%, to $11,860,000 in the 2019 Quarter due to lower debt balances. Our weighted average cost of debt, excluding amortization of debt financing costs, was 10.0% at the end of the 2019 Quarter.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recognized $4,196,000 of debt financing and administrative costs in the 2019 Quarter compared to $1,747,000 in the 2018 Quarter. The increase in the 2019 Quarter is primarily driven by write-offs associated with the current year debt repurchases totaling $10,580,000. In addition, we recorded an out of period adjustment in the 2019 Quarter totaling $1,309,000 as discussed in Note 5. The majority of the costs represent amortization of refinancing costs paid in 2014.</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recorded $712,000 of other periodic pension benefits in the 2019 Quarter and $708,000 in the 2018 Quarter.</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fluctuation in the price of our Common Stock, we recorded non-operating income of $3,062,000 in the 2019 Quarter and $405,000 in the 2018 Quarter, related to the changes in the value of the Warrants.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 Results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recorded an income tax expense of $1,505,000, or 19.6% of pretax income in the 2019 Quarter. For the 13 weeks ended June 24, 2018, we recognized an income tax expense of $1,972,000, or 29.3%, of pretax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the impact from the fair value adjustments of our Warrants on income attributable to Lee Enterprises, Incorporated and earnings per diluted common share. Per share amounts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13 Weeks Ended</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8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June 30,</w:t>
            </w:r>
          </w:p>
        </w:tc>
        <w:tc>
          <w:tcPr>
            <w:tcW w:w="1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June 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2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5400" w:type="dxa"/>
            <w:vAlign w:val="bottom"/>
            <w:gridSpan w:val="2"/>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214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Amount</w:t>
            </w:r>
          </w:p>
        </w:tc>
        <w:tc>
          <w:tcPr>
            <w:tcW w:w="146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Per Share</w:t>
            </w:r>
          </w:p>
        </w:tc>
        <w:tc>
          <w:tcPr>
            <w:tcW w:w="126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Amount</w:t>
            </w:r>
          </w:p>
        </w:tc>
        <w:tc>
          <w:tcPr>
            <w:tcW w:w="11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 as reported</w:t>
            </w:r>
          </w:p>
        </w:tc>
        <w:tc>
          <w:tcPr>
            <w:tcW w:w="21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5,766</w:t>
            </w:r>
          </w:p>
        </w:tc>
        <w:tc>
          <w:tcPr>
            <w:tcW w:w="14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0.10</w:t>
            </w:r>
          </w:p>
        </w:tc>
        <w:tc>
          <w:tcPr>
            <w:tcW w:w="12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4,458</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Warrants fair value adjustment</w:t>
            </w:r>
          </w:p>
        </w:tc>
        <w:tc>
          <w:tcPr>
            <w:tcW w:w="21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(3,062)</w:t>
            </w:r>
          </w:p>
        </w:tc>
        <w:tc>
          <w:tcPr>
            <w:tcW w:w="14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2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(405)</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attributable to Lee Enterprises, Incorporated, as adjusted</w:t>
            </w:r>
          </w:p>
        </w:tc>
        <w:tc>
          <w:tcPr>
            <w:tcW w:w="21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2,704</w:t>
            </w:r>
          </w:p>
        </w:tc>
        <w:tc>
          <w:tcPr>
            <w:tcW w:w="14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0.05</w:t>
            </w:r>
          </w:p>
        </w:tc>
        <w:tc>
          <w:tcPr>
            <w:tcW w:w="12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4,053</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140" w:type="dxa"/>
            <w:vAlign w:val="bottom"/>
          </w:tcPr>
          <w:p>
            <w:pPr>
              <w:jc w:val="right"/>
              <w:ind w:right="1630"/>
              <w:spacing w:after="0"/>
              <w:rPr>
                <w:sz w:val="20"/>
                <w:szCs w:val="20"/>
                <w:color w:val="auto"/>
              </w:rPr>
            </w:pPr>
            <w:r>
              <w:rPr>
                <w:rFonts w:ascii="Arial" w:cs="Arial" w:eastAsia="Arial" w:hAnsi="Arial"/>
                <w:sz w:val="18"/>
                <w:szCs w:val="18"/>
                <w:color w:val="auto"/>
              </w:rPr>
              <w:t>27</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WEEKS ENDED JUNE 30,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2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June 30, 2019</w:t>
            </w:r>
          </w:p>
        </w:tc>
        <w:tc>
          <w:tcPr>
            <w:tcW w:w="1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June 24, 2018</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 Change</w:t>
            </w:r>
          </w:p>
        </w:tc>
      </w:tr>
      <w:tr>
        <w:trPr>
          <w:trHeight w:val="196"/>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advertising and marketing services revenue</w:t>
            </w:r>
          </w:p>
        </w:tc>
        <w:tc>
          <w:tcPr>
            <w:tcW w:w="2100" w:type="dxa"/>
            <w:vAlign w:val="bottom"/>
            <w:tcBorders>
              <w:top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204,651</w:t>
            </w:r>
          </w:p>
        </w:tc>
        <w:tc>
          <w:tcPr>
            <w:tcW w:w="16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229,751</w:t>
            </w:r>
          </w:p>
        </w:tc>
        <w:tc>
          <w:tcPr>
            <w:tcW w:w="1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2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137,965</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142,405</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43,573</w:t>
            </w:r>
          </w:p>
        </w:tc>
        <w:tc>
          <w:tcPr>
            <w:tcW w:w="16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32,052</w:t>
            </w:r>
          </w:p>
        </w:tc>
        <w:tc>
          <w:tcPr>
            <w:tcW w:w="15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35.9</w:t>
            </w: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21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386,189</w:t>
            </w:r>
          </w:p>
        </w:tc>
        <w:tc>
          <w:tcPr>
            <w:tcW w:w="16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404,208</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60"/>
              <w:spacing w:after="0" w:line="202" w:lineRule="exact"/>
              <w:rPr>
                <w:sz w:val="20"/>
                <w:szCs w:val="20"/>
                <w:color w:val="auto"/>
              </w:rPr>
            </w:pPr>
            <w:r>
              <w:rPr>
                <w:rFonts w:ascii="Arial" w:cs="Arial" w:eastAsia="Arial" w:hAnsi="Arial"/>
                <w:sz w:val="18"/>
                <w:szCs w:val="18"/>
                <w:color w:val="auto"/>
              </w:rPr>
              <w:t>Compensation</w:t>
            </w:r>
          </w:p>
        </w:tc>
        <w:tc>
          <w:tcPr>
            <w:tcW w:w="2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140,197</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149,551</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Newsprint and ink</w:t>
            </w:r>
          </w:p>
        </w:tc>
        <w:tc>
          <w:tcPr>
            <w:tcW w:w="21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17,394</w:t>
            </w:r>
          </w:p>
        </w:tc>
        <w:tc>
          <w:tcPr>
            <w:tcW w:w="16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17,920</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Other operating expenses</w:t>
            </w:r>
          </w:p>
        </w:tc>
        <w:tc>
          <w:tcPr>
            <w:tcW w:w="21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145,915</w:t>
            </w:r>
          </w:p>
        </w:tc>
        <w:tc>
          <w:tcPr>
            <w:tcW w:w="16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148,830</w:t>
            </w: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21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303,506</w:t>
            </w:r>
          </w:p>
        </w:tc>
        <w:tc>
          <w:tcPr>
            <w:tcW w:w="16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316,301</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 less cash costs</w:t>
            </w:r>
          </w:p>
        </w:tc>
        <w:tc>
          <w:tcPr>
            <w:tcW w:w="21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82,683</w:t>
            </w:r>
          </w:p>
        </w:tc>
        <w:tc>
          <w:tcPr>
            <w:tcW w:w="16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87,907</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210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22,263</w:t>
            </w:r>
          </w:p>
        </w:tc>
        <w:tc>
          <w:tcPr>
            <w:tcW w:w="16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23,973</w:t>
            </w: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21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(212)</w:t>
            </w:r>
          </w:p>
        </w:tc>
        <w:tc>
          <w:tcPr>
            <w:tcW w:w="16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(1,197)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(82.3)</w:t>
            </w: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21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5,612</w:t>
            </w:r>
          </w:p>
        </w:tc>
        <w:tc>
          <w:tcPr>
            <w:tcW w:w="16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4,150</w:t>
            </w:r>
          </w:p>
        </w:tc>
        <w:tc>
          <w:tcPr>
            <w:tcW w:w="15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35.2</w:t>
            </w: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21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331,169</w:t>
            </w:r>
          </w:p>
        </w:tc>
        <w:tc>
          <w:tcPr>
            <w:tcW w:w="16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343,227</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21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5,298</w:t>
            </w:r>
          </w:p>
        </w:tc>
        <w:tc>
          <w:tcPr>
            <w:tcW w:w="16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5,569</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21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60,318</w:t>
            </w:r>
          </w:p>
        </w:tc>
        <w:tc>
          <w:tcPr>
            <w:tcW w:w="16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66,550</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1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(36,256)</w:t>
            </w:r>
          </w:p>
        </w:tc>
        <w:tc>
          <w:tcPr>
            <w:tcW w:w="16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(39,837)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financing and administrative cost</w:t>
            </w:r>
          </w:p>
        </w:tc>
        <w:tc>
          <w:tcPr>
            <w:tcW w:w="21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(6,053)</w:t>
            </w:r>
          </w:p>
        </w:tc>
        <w:tc>
          <w:tcPr>
            <w:tcW w:w="16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(4,061)</w:t>
            </w:r>
          </w:p>
        </w:tc>
        <w:tc>
          <w:tcPr>
            <w:tcW w:w="1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49.1</w:t>
            </w: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net</w:t>
            </w:r>
          </w:p>
        </w:tc>
        <w:tc>
          <w:tcPr>
            <w:tcW w:w="21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2,730</w:t>
            </w:r>
          </w:p>
        </w:tc>
        <w:tc>
          <w:tcPr>
            <w:tcW w:w="16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3,168</w:t>
            </w: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21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(39,579)</w:t>
            </w:r>
          </w:p>
        </w:tc>
        <w:tc>
          <w:tcPr>
            <w:tcW w:w="16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(40,730)</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 w:type="dxa"/>
            <w:vAlign w:val="bottom"/>
          </w:tcPr>
          <w:p>
            <w:pPr>
              <w:spacing w:after="0"/>
              <w:rPr>
                <w:sz w:val="17"/>
                <w:szCs w:val="17"/>
                <w:color w:val="auto"/>
              </w:rPr>
            </w:pPr>
          </w:p>
        </w:tc>
        <w:tc>
          <w:tcPr>
            <w:tcW w:w="610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1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20,739</w:t>
            </w:r>
          </w:p>
        </w:tc>
        <w:tc>
          <w:tcPr>
            <w:tcW w:w="1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25,820</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21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6,175</w:t>
            </w:r>
          </w:p>
        </w:tc>
        <w:tc>
          <w:tcPr>
            <w:tcW w:w="16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(16,791)</w:t>
            </w:r>
          </w:p>
        </w:tc>
        <w:tc>
          <w:tcPr>
            <w:tcW w:w="15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20" w:type="dxa"/>
            <w:vAlign w:val="bottom"/>
          </w:tcPr>
          <w:p>
            <w:pPr>
              <w:spacing w:after="0"/>
              <w:rPr>
                <w:sz w:val="17"/>
                <w:szCs w:val="17"/>
                <w:color w:val="auto"/>
              </w:rPr>
            </w:pPr>
          </w:p>
        </w:tc>
        <w:tc>
          <w:tcPr>
            <w:tcW w:w="61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1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14,564</w:t>
            </w:r>
          </w:p>
        </w:tc>
        <w:tc>
          <w:tcPr>
            <w:tcW w:w="1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42,611</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(65.8)</w:t>
            </w: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1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(1,115)</w:t>
            </w:r>
          </w:p>
        </w:tc>
        <w:tc>
          <w:tcPr>
            <w:tcW w:w="16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(911)</w:t>
            </w:r>
          </w:p>
        </w:tc>
        <w:tc>
          <w:tcPr>
            <w:tcW w:w="15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22.4</w:t>
            </w:r>
          </w:p>
        </w:tc>
      </w:tr>
      <w:tr>
        <w:trPr>
          <w:trHeight w:val="196"/>
        </w:trPr>
        <w:tc>
          <w:tcPr>
            <w:tcW w:w="20" w:type="dxa"/>
            <w:vAlign w:val="bottom"/>
          </w:tcPr>
          <w:p>
            <w:pPr>
              <w:spacing w:after="0"/>
              <w:rPr>
                <w:sz w:val="17"/>
                <w:szCs w:val="17"/>
                <w:color w:val="auto"/>
              </w:rPr>
            </w:pPr>
          </w:p>
        </w:tc>
        <w:tc>
          <w:tcPr>
            <w:tcW w:w="6100" w:type="dxa"/>
            <w:vAlign w:val="bottom"/>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10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13,449</w:t>
            </w:r>
          </w:p>
        </w:tc>
        <w:tc>
          <w:tcPr>
            <w:tcW w:w="1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41,700</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(67.7)</w:t>
            </w: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21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(365)</w:t>
            </w:r>
          </w:p>
        </w:tc>
        <w:tc>
          <w:tcPr>
            <w:tcW w:w="16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w:t>
            </w:r>
          </w:p>
        </w:tc>
        <w:tc>
          <w:tcPr>
            <w:tcW w:w="15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20" w:type="dxa"/>
            <w:vAlign w:val="bottom"/>
          </w:tcPr>
          <w:p>
            <w:pPr>
              <w:spacing w:after="0"/>
              <w:rPr>
                <w:sz w:val="17"/>
                <w:szCs w:val="17"/>
                <w:color w:val="auto"/>
              </w:rPr>
            </w:pPr>
          </w:p>
        </w:tc>
        <w:tc>
          <w:tcPr>
            <w:tcW w:w="6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1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13,084</w:t>
            </w:r>
          </w:p>
        </w:tc>
        <w:tc>
          <w:tcPr>
            <w:tcW w:w="16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41,718</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(68.6)</w:t>
            </w:r>
          </w:p>
        </w:tc>
      </w:tr>
      <w:tr>
        <w:trPr>
          <w:trHeight w:val="20"/>
        </w:trPr>
        <w:tc>
          <w:tcPr>
            <w:tcW w:w="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2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2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0.24</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0.76</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(68.3)</w:t>
            </w:r>
          </w:p>
        </w:tc>
      </w:tr>
      <w:tr>
        <w:trPr>
          <w:trHeight w:val="243"/>
        </w:trPr>
        <w:tc>
          <w:tcPr>
            <w:tcW w:w="20" w:type="dxa"/>
            <w:vAlign w:val="bottom"/>
          </w:tcPr>
          <w:p>
            <w:pPr>
              <w:spacing w:after="0"/>
              <w:rPr>
                <w:sz w:val="21"/>
                <w:szCs w:val="21"/>
                <w:color w:val="auto"/>
              </w:rPr>
            </w:pPr>
          </w:p>
        </w:tc>
        <w:tc>
          <w:tcPr>
            <w:tcW w:w="61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21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0.24</w:t>
            </w:r>
          </w:p>
        </w:tc>
        <w:tc>
          <w:tcPr>
            <w:tcW w:w="16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0.75</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(68.1)</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References to the "2019 Period" refer to the 39 weeks ended June 30, 2019. Similarly, references to the "2018 Period" refer to the 39 weeks ended June 24, 2018. To facilitate a comparison of our results without the impact of acquisitions and dispositions of revenues and expenses, certain revenue and expense trends, as described below, are presented on a same property basis and are calculated as follows:</w:t>
      </w:r>
    </w:p>
    <w:p>
      <w:pPr>
        <w:spacing w:after="0" w:line="185" w:lineRule="exact"/>
        <w:rPr>
          <w:sz w:val="20"/>
          <w:szCs w:val="20"/>
          <w:color w:val="auto"/>
        </w:rPr>
      </w:pPr>
    </w:p>
    <w:p>
      <w:pPr>
        <w:ind w:left="1220" w:hanging="564"/>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Reported revenue or expenses;</w:t>
      </w:r>
    </w:p>
    <w:p>
      <w:pPr>
        <w:ind w:left="1220" w:hanging="564"/>
        <w:spacing w:after="0" w:line="234" w:lineRule="auto"/>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revenue or expenses for our 2019 acquisitions; and</w:t>
      </w:r>
    </w:p>
    <w:p>
      <w:pPr>
        <w:ind w:left="1220" w:hanging="564"/>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revenue or expenses from enterprises that were disposed of in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2019 Period, advertising and marketing services revenue decreased $25,100,000, or 10.9%, compared to the 2018 Period. The decrease in advertising and marketing services revenue is due to softness in print advertising demand resulting in reduced advertising volume primarily from large retail, big box stores and classifieds. Advertising and marketing services revenue on a same property basis decreased $26,807,000 or 11.7%.</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Digital advertising increased 5.3% to $75,011,000 in the 2019 Period and represents 36.7% of total advertising and marketing services revenue. Digital retail advertising, which represents 62.8% of total digital advertising, increased 6.2% partially offsetting print declines.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Subscription revenue decreased $4,440,000, or 3.1%, in the 2019 Period. Strategic pricing programs and premium content helped offset lower paid circulation units. Our average daily newspaper circulation, including TNI, MNI and digital subscribers, totaled 0.7 million in the 2019 Period. Sunday circulation totaled 1.0 million. Subscription revenue on a same property basis decreased $5,902,000 or 4.2%.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which consists of digital services, Management Agreement revenues, commercial printing, revenue from delivery of third party products and the sale of books, increased 35.9% in the 2019 Period. The increase was driven by growth at TownNews as well as $9,989,000 in Management Agreement revenue from BH Media. In the first year of the Management Agreement, the year ended June 30, 2019, we earned $11,320,000 in total Management Agreement revenue.</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Excluding intercompany activity, total revenue at TownNews increased 30.6% in the 2019 Period, due to growing broadcast customer base, gaining print market share and the impact of the GTxcel acquisition. On a stand alone basis, total revenue at TownNews totaled $22,141,000 over the last twelve months. In the 2019 Period, our mobile, tablet, desktop and app sites, including TNI and MNI, attracted a monthly average of 29.5 million unique visitors with 292.1 million page views, a 12.6% increase in page views compared to the 2018 Period. Increased audience engagement is driving a higher number pages viewed per user session in the 2019 Period. Research in our larger markets indicates we are maintaining our share of audience in our markets through the combination of strong digital audience growth and print newspaper readership.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Operating expenses for the 2019 Period decreased 3.5% and cash costs decreased 4.0%. On a same property basis, cash costs were down $16,382,000 or 5.2% in the 2019 Period compared to the 2018 Period.</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for the 2019 Period decreased $9,354,000, or 6.3%, driven by a decline of 10.3% in average full time equivalent employees.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for the 2019 Period decreased $526,000, or 2.9%, due to 11.2% reduction in newsprint volume from unit declines partially offset by higher prices.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operating expenses for the 2019 Period decreased $2,915,000, or 2.0%. Other operating expenses include all operating costs not considered to be compensation, newsprint, depreciation and amortization, or restructuring costs and other. The largest components of these costs include delivery, postage, outsourced printing, digital cost of goods sold and facility expenses. Cost reductions were primarily related to lower delivery and other print-related costs offset in part by higher costs associated with growing digital revenue and outsourcing.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$1,546,000, or 14.0%, and amortization expense decreased $164,000, or 1.3% in the 2019 Period.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loss (gain) on sales, impairments and other, was a net gain of $212,000 in the 2019 Period compared to a net gain of $1,197,000 in the 2018 Period. The net gain in the 2018 Period includes curtailment gains of $2,031,000. In the 2019 Period, we recorded an estimated withdrawal liability of $500,000 related to one of our multi-employer plans, which is included in restructuring costs and other.</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totaled $5,612,000 and $4,150,000 in the 2019 Period and 2018 Period, respectively. The majority of restructuring costs relate to severance and a partial withdrawal liability related to one of our multi employer pension plans.</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$60,318,000 in the 2019 Period compared to $66,550,000 in the 2018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in associated companies decreased $271,000 in the 2019 Period.</w:t>
      </w:r>
    </w:p>
    <w:p>
      <w:pPr>
        <w:spacing w:after="0" w:line="17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Nonoperating Income and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$3,581,000, or 9.0% to $36,256,000 in the 2019 Period due to lower debt balances.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recognized $6,053,000 of debt financing and administrative costs in the 2019 Period compared to $4,061,000 in the 2018 Period. The increase in the 2019 Period is primarily driven by write-offs associated with the current year debt repurchases totaling $10,580,000. In addition, we recorded an out of period adjustment in the 2019 Period totaling $1,145,000 as discussed in Note 5. The majority of the costs represent amortization of refinancing costs paid in 2014.</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$ 2,135,000 of other periodic pension benefits in the 2019 Period and $2,123,000 in the 2018 Period. We recorded non-operating income of $389,000 in 2019 Period and $529,000 in the 2018 Period, related to the changes in the value of the Warrants.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 Results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22, 2017, the 2017 Tax Act was signed into law. Among other provisions, the 2017 Tax Act reduced the federal statutory corporate income tax rate from 35% to 21%. The reduction of the corporate tax rate caused us to re-measure our deferred tax assets and liabilities to the lower federal base rate of 21% in the 2018 Quarter. We reported a discrete adjustment from revaluing our deferred tax assets and liabilities resulting in a net decrease in income tax expense of $24,872,000 in the 2018 Quarter.</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recorded an income tax expense of $6,175,000, or 29.8% of pretax income in the 2019 Period. For the 39 weeks ended June 24, 2018, we recognized a $16,791,000 income tax benefit. Excluding the transitional impact from the 2017 Tax Act, the effective income tax rate for the 39 weeks ended June 24, 2018 was 31.3%.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the impact from the 2017 Tax Act as well as the warrant fair value adjustments on income attributable to Lee Enterprises, Incorporated and earnings per diluted common share. Per share amounts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39 Weeks Ended</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8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June 30, 2019</w:t>
            </w:r>
          </w:p>
        </w:tc>
        <w:tc>
          <w:tcPr>
            <w:tcW w:w="1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June 24,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14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Amount</w:t>
            </w:r>
          </w:p>
        </w:tc>
        <w:tc>
          <w:tcPr>
            <w:tcW w:w="16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Per Share</w:t>
            </w:r>
          </w:p>
        </w:tc>
        <w:tc>
          <w:tcPr>
            <w:tcW w:w="11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Amount</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 as reported</w:t>
            </w:r>
          </w:p>
        </w:tc>
        <w:tc>
          <w:tcPr>
            <w:tcW w:w="14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13,449</w:t>
            </w:r>
          </w:p>
        </w:tc>
        <w:tc>
          <w:tcPr>
            <w:tcW w:w="16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0.24</w:t>
            </w:r>
          </w:p>
        </w:tc>
        <w:tc>
          <w:tcPr>
            <w:tcW w:w="11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41,700</w:t>
            </w:r>
          </w:p>
        </w:tc>
        <w:tc>
          <w:tcPr>
            <w:tcW w:w="1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Warrants fair value adjustment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w:t>
            </w:r>
          </w:p>
        </w:tc>
        <w:tc>
          <w:tcPr>
            <w:tcW w:w="16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(0.01)</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w:t>
            </w:r>
          </w:p>
        </w:tc>
        <w:tc>
          <w:tcPr>
            <w:tcW w:w="13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Income tax effect of 2017 Tax Act</w:t>
            </w:r>
          </w:p>
        </w:tc>
        <w:tc>
          <w:tcPr>
            <w:tcW w:w="14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(24,872)</w:t>
            </w: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 as adjusted</w:t>
            </w:r>
          </w:p>
        </w:tc>
        <w:tc>
          <w:tcPr>
            <w:tcW w:w="14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13,060</w:t>
            </w:r>
          </w:p>
        </w:tc>
        <w:tc>
          <w:tcPr>
            <w:tcW w:w="16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0.22</w:t>
            </w:r>
          </w:p>
        </w:tc>
        <w:tc>
          <w:tcPr>
            <w:tcW w:w="11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16,299</w:t>
            </w:r>
          </w:p>
        </w:tc>
        <w:tc>
          <w:tcPr>
            <w:tcW w:w="13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was $43,786,000 in the 2019 Period compared to $57,033,000 in the 2018 Period. Net income for the 2019 Period totaled $14,564,000 compared to $42,611,000 in the 2018 Period. The decrease in cash provided by operating activities in the 2019 Period is mainly attributed to year over year changes in operating income as well as increased income tax payments.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Cash required for investing activities totaled $7,911,000 in the 2019 Period compared to $2,076,000 in the 2018 Period. Capital spending totaled $3,753,000 in the 2019 Period compared to $4,281,000 in the 2018 Period. We spent $5,274,000 on acquisitions in the 2019 Period.</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anticipate that funds necessary for capital expenditures, which are expected to total up to $8,000,000 in 2019, and other requirements, will be available from internally generated funds or available under our Revolving Facility.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Cash required for financing activities totaled $27,739,000 in the 2019 Period and $49,549,000 in the 2018 Period. Debt reduction accounted for the majority of the usage of funds in both the 2019 Period and the 2018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June 30, 2019, after consideration of letters of credit, we have approximately $21,685,000 available for future use under our Revolving Facility. Including cash and availability under our Revolving Facility, our liquidity at June 30, 2019 totals $35,201,000. This liquidity amount excludes any future cash flows. We expect all interest and principal payments due in the next twelve months will be satisfied by our cash flows, which will allow us to maintain an adequate level of liquidity. The Warrants, if and when exercised, would provide additional liquidity in an amount up to $25,140,000. On July 31, 2019, our liquidity was reduced by $4.1 million due to a reduction in availability under our Revolving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Revolving Facility expires December 28, 2019.</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June 30, 2019, the principal amount of our outstanding debt totals $458,558,000. The June 30, 2019 principal amount of debt, net of cash, is 3.5 times our trailing 12 months adjusted EBITDA.</w:t>
      </w:r>
    </w:p>
    <w:p>
      <w:pPr>
        <w:spacing w:after="0" w:line="184" w:lineRule="exact"/>
        <w:rPr>
          <w:sz w:val="20"/>
          <w:szCs w:val="20"/>
          <w:color w:val="auto"/>
        </w:rPr>
      </w:pPr>
    </w:p>
    <w:p>
      <w:pPr>
        <w:jc w:val="both"/>
        <w:spacing w:after="0" w:line="206" w:lineRule="auto"/>
        <w:rPr>
          <w:sz w:val="20"/>
          <w:szCs w:val="20"/>
          <w:color w:val="auto"/>
        </w:rPr>
      </w:pPr>
      <w:r>
        <w:rPr>
          <w:rFonts w:ascii="Arial" w:cs="Arial" w:eastAsia="Arial" w:hAnsi="Arial"/>
          <w:sz w:val="17"/>
          <w:szCs w:val="17"/>
          <w:color w:val="auto"/>
        </w:rPr>
        <w:t>There are numerous potential consequences under the Notes,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Lien Credit Facility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Term Loan, if an event of default, as defined, occurs and is not remedied. Many of those consequences are beyond our control. The occurrence of one or more events of default would give</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rise to the right of the applicable lender(s) to exercise their remedies under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respectively, including, without limitation, the right to accelerate all outstanding debt and take actions authorized in such circumstances under applicable collateral security documents.</w:t>
      </w:r>
    </w:p>
    <w:p>
      <w:pPr>
        <w:spacing w:after="0" w:line="19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repay, refinance or amend our debt agreements as they become due, if available liquidity is consumed. The Notes,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Lien Credit Facility and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have only limited affirmative covenants with which we are required to maintain compliance. We are in compliance with our debt covenants at June 30, 2019.</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2017 our filing of a replacement Form S-3 registration statement ("Shelf") with the SEC, was declared effective and expires February 2020.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 Subject to maintenance of the minimum level of equity market float and the conditions of our existing debt agreements, the Shelf may enable us to sell securities quickly and efficiently when market conditions are favorable or financing needs arise. Under our existing debt agreements, net proceeds from the sale of any securities may be used generally to reduce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2012, the Surface Transportation Extension Act of 2012 (“STEA”) was signed into law. STEA provides for changes in the determination of discount rates that result in a near-term reduction in minimum funding requirements for our defined benefit pension plans. STEA will also result in an increase in future premiums to be paid to the Pension Benefit Guarantee Corporation ("PBGC").</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2014, the Highway and Transportation Funding Act ("HATFA") was signed into law. HATFA generally extends the relief offered under STEA and further increases premiums to be paid to the PBGC.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22, 2017, the 2017 Tax Act was signed into law. Among other provisions, the 2017 Tax Act reduces the federal statutory corporate income tax rate from 35% to 21%. The reduction of the corporate tax rate caused us to re-measure our deferred tax assets and liabilities to the lower federal base rate of 21%. We reported a discrete adjustment from revaluing our deferred tax assets and liabilities which resulted in a provisional net decrease in income tax expense of $24,872,000 for the 39 weeks ended June 24, 2018.</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Securities Exchange Commission has issued rules that allow for a measurement period of up to one year after the enactment date of the 2017 Tax Act to finalize the recording of the related transitional impact. Apart from any future changes in interpretations, legislative action or changes in accounting standards, we finalized and recorded the resulting adjustments as of September 30,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Wage Laws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At June 30, 2019, we had no floating debt outstanding. We have no interest rate hedging in place.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Newsprint prices decreased during the June 2019 Quarter as a result of declining domestic and export demand.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$10 per tonne price increase for 30 pound newsprint would result in an annualized reduction in income before taxes of approximately $331,000 annualized based on anticipated consumption in 2019, excluding consumption of TNI and MNI and the impact of LIFO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debt consists of $374,420,000 principal amount of the Notes and $84,138,000 principal amount under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Lien Term Loan, which are subject to fixed interest rates. At June 30, 2019, based on an average of private market price quotations, the fair values were $381,440,375 and $83,927,867 for the Notes and 2nd Lien Term Loan, respectively.</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June 30, 2019 that have materially affected, or are reasonably likely to materially affect,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4"/>
          </w:tcPr>
          <w:p>
            <w:pPr>
              <w:jc w:val="right"/>
              <w:ind w:right="9760"/>
              <w:spacing w:after="0"/>
              <w:rPr>
                <w:sz w:val="20"/>
                <w:szCs w:val="20"/>
                <w:color w:val="auto"/>
              </w:rPr>
            </w:pPr>
            <w:r>
              <w:rPr>
                <w:rFonts w:ascii="Arial" w:cs="Arial" w:eastAsia="Arial" w:hAnsi="Arial"/>
                <w:sz w:val="18"/>
                <w:szCs w:val="18"/>
                <w:b w:val="1"/>
                <w:bCs w:val="1"/>
                <w:color w:val="auto"/>
              </w:rPr>
              <w:t>Exhibits</w:t>
            </w:r>
          </w:p>
        </w:tc>
      </w:tr>
      <w:tr>
        <w:trPr>
          <w:trHeight w:val="189"/>
        </w:trPr>
        <w:tc>
          <w:tcPr>
            <w:tcW w:w="820" w:type="dxa"/>
            <w:vAlign w:val="bottom"/>
            <w:tcBorders>
              <w:bottom w:val="single" w:sz="8" w:color="auto"/>
            </w:tcBorders>
          </w:tcPr>
          <w:p>
            <w:pPr>
              <w:spacing w:after="0"/>
              <w:rPr>
                <w:sz w:val="16"/>
                <w:szCs w:val="16"/>
                <w:color w:val="auto"/>
              </w:rPr>
            </w:pPr>
          </w:p>
        </w:tc>
        <w:tc>
          <w:tcPr>
            <w:tcW w:w="7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Number</w:t>
            </w:r>
          </w:p>
        </w:tc>
        <w:tc>
          <w:tcPr>
            <w:tcW w:w="7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Description</w:t>
            </w:r>
          </w:p>
        </w:tc>
        <w:tc>
          <w:tcPr>
            <w:tcW w:w="20" w:type="dxa"/>
            <w:vAlign w:val="bottom"/>
            <w:tcBorders>
              <w:bottom w:val="single" w:sz="8" w:color="auto"/>
            </w:tcBorders>
          </w:tcPr>
          <w:p>
            <w:pPr>
              <w:spacing w:after="0"/>
              <w:rPr>
                <w:sz w:val="17"/>
                <w:szCs w:val="17"/>
                <w:color w:val="auto"/>
              </w:rPr>
            </w:pPr>
          </w:p>
        </w:tc>
      </w:tr>
      <w:tr>
        <w:trPr>
          <w:trHeight w:val="37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7600" w:type="dxa"/>
            <w:vAlign w:val="bottom"/>
          </w:tcPr>
          <w:p>
            <w:pPr>
              <w:spacing w:after="0"/>
              <w:rPr>
                <w:sz w:val="24"/>
                <w:szCs w:val="24"/>
                <w:color w:val="auto"/>
              </w:rPr>
            </w:pPr>
          </w:p>
        </w:tc>
        <w:tc>
          <w:tcPr>
            <w:tcW w:w="3020" w:type="dxa"/>
            <w:vAlign w:val="bottom"/>
            <w:tcBorders>
              <w:bottom w:val="single" w:sz="8" w:color="0000EE"/>
            </w:tcBorders>
            <w:gridSpan w:val="3"/>
          </w:tcPr>
          <w:p>
            <w:pPr>
              <w:jc w:val="right"/>
              <w:ind w:right="20"/>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Rule 13a-14(a)/15d-14(a) certification</w:t>
              </w:r>
            </w:hyperlink>
          </w:p>
        </w:tc>
      </w:tr>
      <w:tr>
        <w:trPr>
          <w:trHeight w:val="183"/>
        </w:trPr>
        <w:tc>
          <w:tcPr>
            <w:tcW w:w="8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7600" w:type="dxa"/>
            <w:vAlign w:val="bottom"/>
          </w:tcPr>
          <w:p>
            <w:pPr>
              <w:spacing w:after="0"/>
              <w:rPr>
                <w:sz w:val="15"/>
                <w:szCs w:val="15"/>
                <w:color w:val="auto"/>
              </w:rPr>
            </w:pPr>
          </w:p>
        </w:tc>
        <w:tc>
          <w:tcPr>
            <w:tcW w:w="3020" w:type="dxa"/>
            <w:vAlign w:val="bottom"/>
            <w:tcBorders>
              <w:bottom w:val="single" w:sz="8" w:color="0000EE"/>
            </w:tcBorders>
            <w:gridSpan w:val="3"/>
          </w:tcPr>
          <w:p>
            <w:pPr>
              <w:jc w:val="right"/>
              <w:ind w:right="20"/>
              <w:spacing w:after="0" w:line="182"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Rule 13a-14(a)/15d-14(a) certification</w:t>
              </w:r>
            </w:hyperlink>
          </w:p>
        </w:tc>
      </w:tr>
      <w:tr>
        <w:trPr>
          <w:trHeight w:val="183"/>
        </w:trPr>
        <w:tc>
          <w:tcPr>
            <w:tcW w:w="820" w:type="dxa"/>
            <w:vAlign w:val="bottom"/>
          </w:tcPr>
          <w:p>
            <w:pPr>
              <w:spacing w:after="0" w:line="182" w:lineRule="exact"/>
              <w:rPr>
                <w:sz w:val="20"/>
                <w:szCs w:val="20"/>
                <w:color w:val="auto"/>
              </w:rPr>
            </w:pPr>
            <w:r>
              <w:rPr>
                <w:rFonts w:ascii="Arial" w:cs="Arial" w:eastAsia="Arial" w:hAnsi="Arial"/>
                <w:sz w:val="18"/>
                <w:szCs w:val="18"/>
                <w:color w:val="auto"/>
              </w:rPr>
              <w:t>32</w:t>
            </w:r>
          </w:p>
        </w:tc>
        <w:tc>
          <w:tcPr>
            <w:tcW w:w="7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gridSpan w:val="2"/>
          </w:tcPr>
          <w:p>
            <w:pPr>
              <w:jc w:val="right"/>
              <w:ind w:right="20"/>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Section 1350 certification</w:t>
              </w:r>
            </w:hyperlink>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7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LEE ENTERPRISES, INCORPORATED</w:t>
      </w:r>
    </w:p>
    <w:p>
      <w:pPr>
        <w:spacing w:after="0" w:line="198" w:lineRule="exact"/>
        <w:rPr>
          <w:sz w:val="20"/>
          <w:szCs w:val="20"/>
          <w:color w:val="auto"/>
        </w:rPr>
      </w:pPr>
    </w:p>
    <w:p>
      <w:pPr>
        <w:ind w:left="300"/>
        <w:spacing w:after="0"/>
        <w:tabs>
          <w:tab w:leader="none" w:pos="990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7"/>
          <w:szCs w:val="17"/>
          <w:color w:val="auto"/>
        </w:rPr>
        <w:t>August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wp:posOffset>
            </wp:positionV>
            <wp:extent cx="3267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Timothy R. Millage</w:t>
      </w:r>
    </w:p>
    <w:p>
      <w:pPr>
        <w:ind w:left="300"/>
        <w:spacing w:after="0" w:line="234"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40" w:right="118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jc w:val="both"/>
        <w:ind w:left="640" w:right="110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40" w:right="126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580" w:right="1120" w:hanging="519"/>
        <w:spacing w:after="0" w:line="239" w:lineRule="auto"/>
        <w:tabs>
          <w:tab w:leader="none" w:pos="1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8" w:lineRule="exact"/>
        <w:rPr>
          <w:rFonts w:ascii="Arial" w:cs="Arial" w:eastAsia="Arial" w:hAnsi="Arial"/>
          <w:sz w:val="18"/>
          <w:szCs w:val="18"/>
          <w:color w:val="auto"/>
        </w:rPr>
      </w:pPr>
    </w:p>
    <w:p>
      <w:pPr>
        <w:ind w:left="1580" w:right="1160" w:hanging="519"/>
        <w:spacing w:after="0" w:line="239" w:lineRule="auto"/>
        <w:tabs>
          <w:tab w:leader="none" w:pos="1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1580" w:right="1240" w:hanging="519"/>
        <w:spacing w:after="0"/>
        <w:tabs>
          <w:tab w:leader="none" w:pos="1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580" w:right="1160" w:hanging="519"/>
        <w:spacing w:after="0" w:line="239" w:lineRule="auto"/>
        <w:tabs>
          <w:tab w:leader="none" w:pos="1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left="640" w:right="118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580" w:right="1120" w:hanging="519"/>
        <w:spacing w:after="0"/>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580" w:right="1000" w:hanging="519"/>
        <w:spacing w:after="0" w:line="246" w:lineRule="auto"/>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-1905</wp:posOffset>
            </wp:positionV>
            <wp:extent cx="4124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Kevin D. Mowbray</w:t>
      </w:r>
    </w:p>
    <w:p>
      <w:pPr>
        <w:ind w:left="49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hanging="832"/>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840" w:right="1020" w:hanging="832"/>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840" w:right="1020" w:hanging="832"/>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840" w:right="1040" w:hanging="83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2100" w:right="1160" w:hanging="728"/>
        <w:spacing w:after="0" w:line="239" w:lineRule="auto"/>
        <w:tabs>
          <w:tab w:leader="none" w:pos="2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8" w:lineRule="exact"/>
        <w:rPr>
          <w:rFonts w:ascii="Arial" w:cs="Arial" w:eastAsia="Arial" w:hAnsi="Arial"/>
          <w:sz w:val="18"/>
          <w:szCs w:val="18"/>
          <w:color w:val="auto"/>
        </w:rPr>
      </w:pPr>
    </w:p>
    <w:p>
      <w:pPr>
        <w:ind w:left="2100" w:right="1020" w:hanging="728"/>
        <w:spacing w:after="0" w:line="239" w:lineRule="auto"/>
        <w:tabs>
          <w:tab w:leader="none" w:pos="2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2100" w:right="1000" w:hanging="728"/>
        <w:spacing w:after="0"/>
        <w:tabs>
          <w:tab w:leader="none" w:pos="2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2100" w:right="1100" w:hanging="728"/>
        <w:spacing w:after="0" w:line="239" w:lineRule="auto"/>
        <w:tabs>
          <w:tab w:leader="none" w:pos="2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left="840" w:right="1360" w:hanging="832"/>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2100" w:right="1300" w:hanging="728"/>
        <w:spacing w:after="0"/>
        <w:tabs>
          <w:tab w:leader="none" w:pos="2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2100" w:right="1020" w:hanging="728"/>
        <w:spacing w:after="0" w:line="246" w:lineRule="auto"/>
        <w:tabs>
          <w:tab w:leader="none" w:pos="2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-1905</wp:posOffset>
            </wp:positionV>
            <wp:extent cx="50939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Timothy R. Millage</w:t>
      </w:r>
    </w:p>
    <w:p>
      <w:pPr>
        <w:ind w:left="242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121" w:right="239" w:bottom="1440" w:gutter="0" w:footer="0" w:header="0"/>
        </w:sectPr>
      </w:pPr>
    </w:p>
    <w:bookmarkStart w:id="37" w:name="page38"/>
    <w:bookmarkEnd w:id="37"/>
    <w:p>
      <w:pPr>
        <w:ind w:left="10560"/>
        <w:spacing w:after="0"/>
        <w:rPr>
          <w:sz w:val="20"/>
          <w:szCs w:val="20"/>
          <w:color w:val="auto"/>
        </w:rPr>
      </w:pPr>
      <w:r>
        <w:rPr>
          <w:rFonts w:ascii="Arial" w:cs="Arial" w:eastAsia="Arial" w:hAnsi="Arial"/>
          <w:sz w:val="18"/>
          <w:szCs w:val="18"/>
          <w:b w:val="1"/>
          <w:bCs w:val="1"/>
          <w:color w:val="auto"/>
        </w:rPr>
        <w:t>Exhibit 32</w:t>
      </w:r>
    </w:p>
    <w:p>
      <w:pPr>
        <w:spacing w:after="0" w:line="21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200" w:lineRule="exact"/>
        <w:rPr>
          <w:sz w:val="20"/>
          <w:szCs w:val="20"/>
          <w:color w:val="auto"/>
        </w:rPr>
      </w:pPr>
    </w:p>
    <w:p>
      <w:pPr>
        <w:spacing w:after="0" w:line="389" w:lineRule="exact"/>
        <w:rPr>
          <w:sz w:val="20"/>
          <w:szCs w:val="20"/>
          <w:color w:val="auto"/>
        </w:rPr>
      </w:pPr>
    </w:p>
    <w:p>
      <w:pPr>
        <w:ind w:left="920" w:right="100" w:hanging="912"/>
        <w:spacing w:after="0" w:line="246"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30, 2019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540" w:hanging="912"/>
        <w:spacing w:after="0" w:line="246"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20"/>
                <w:szCs w:val="20"/>
                <w:color w:val="auto"/>
              </w:rPr>
            </w:pPr>
            <w:r>
              <w:rPr>
                <w:rFonts w:ascii="Arial" w:cs="Arial" w:eastAsia="Arial" w:hAnsi="Arial"/>
                <w:sz w:val="18"/>
                <w:szCs w:val="18"/>
                <w:color w:val="auto"/>
              </w:rPr>
              <w:t>/s/ Kevin D. Mowbray</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/s/ Timothy R. Millage</w:t>
            </w:r>
          </w:p>
        </w:tc>
      </w:tr>
      <w:tr>
        <w:trPr>
          <w:trHeight w:val="195"/>
        </w:trPr>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D. Mowbray</w:t>
            </w:r>
          </w:p>
        </w:tc>
        <w:tc>
          <w:tcPr>
            <w:tcW w:w="140" w:type="dxa"/>
            <w:vAlign w:val="bottom"/>
          </w:tcPr>
          <w:p>
            <w:pPr>
              <w:spacing w:after="0"/>
              <w:rPr>
                <w:sz w:val="16"/>
                <w:szCs w:val="16"/>
                <w:color w:val="auto"/>
              </w:rPr>
            </w:pPr>
          </w:p>
        </w:tc>
        <w:tc>
          <w:tcPr>
            <w:tcW w:w="6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R. Millage</w:t>
            </w: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3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bullet"/>
      <w:start w:val="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3"/>
      <w:numFmt w:val="bullet"/>
      <w:start w:val="1"/>
    </w:lvl>
  </w:abstractNum>
  <w:abstractNum w:abstractNumId="7">
    <w:nsid w:val="257130A3"/>
    <w:multiLevelType w:val="hybridMultilevel"/>
    <w:lvl w:ilvl="0">
      <w:lvlJc w:val="left"/>
      <w:lvlText w:val="4"/>
      <w:numFmt w:val="bullet"/>
      <w:start w:val="1"/>
    </w:lvl>
  </w:abstractNum>
  <w:abstractNum w:abstractNumId="8">
    <w:nsid w:val="62BBD95A"/>
    <w:multiLevelType w:val="hybridMultilevel"/>
    <w:lvl w:ilvl="0">
      <w:lvlJc w:val="left"/>
      <w:lvlText w:val="5"/>
      <w:numFmt w:val="bullet"/>
      <w:start w:val="1"/>
    </w:lvl>
    <w:lvl w:ilvl="1">
      <w:lvlJc w:val="left"/>
      <w:lvlText w:val="•"/>
      <w:numFmt w:val="bullet"/>
      <w:start w:val="1"/>
    </w:lvl>
  </w:abstractNum>
  <w:abstractNum w:abstractNumId="9">
    <w:nsid w:val="436C6125"/>
    <w:multiLevelType w:val="hybridMultilevel"/>
    <w:lvl w:ilvl="0">
      <w:lvlJc w:val="left"/>
      <w:lvlText w:val="6"/>
      <w:numFmt w:val="bullet"/>
      <w:start w:val="1"/>
    </w:lvl>
  </w:abstractNum>
  <w:abstractNum w:abstractNumId="10">
    <w:nsid w:val="628C895D"/>
    <w:multiLevelType w:val="hybridMultilevel"/>
    <w:lvl w:ilvl="0">
      <w:lvlJc w:val="left"/>
      <w:lvlText w:val="7"/>
      <w:numFmt w:val="bullet"/>
      <w:start w:val="1"/>
    </w:lvl>
  </w:abstractNum>
  <w:abstractNum w:abstractNumId="11">
    <w:nsid w:val="333AB105"/>
    <w:multiLevelType w:val="hybridMultilevel"/>
    <w:lvl w:ilvl="0">
      <w:lvlJc w:val="left"/>
      <w:lvlText w:val="8"/>
      <w:numFmt w:val="bullet"/>
      <w:start w:val="1"/>
    </w:lvl>
  </w:abstractNum>
  <w:abstractNum w:abstractNumId="12">
    <w:nsid w:val="721DA317"/>
    <w:multiLevelType w:val="hybridMultilevel"/>
    <w:lvl w:ilvl="0">
      <w:lvlJc w:val="left"/>
      <w:lvlText w:val="9"/>
      <w:numFmt w:val="bullet"/>
      <w:start w:val="1"/>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1"/>
      <w:numFmt w:val="decimal"/>
      <w:start w:val="1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bullet"/>
      <w:start w:val="1"/>
    </w:lvl>
  </w:abstractNum>
  <w:abstractNum w:abstractNumId="21">
    <w:nsid w:val="189A769B"/>
    <w:multiLevelType w:val="hybridMultilevel"/>
    <w:lvl w:ilvl="0">
      <w:lvlJc w:val="left"/>
      <w:lvlText w:val="2"/>
      <w:numFmt w:val="bullet"/>
      <w:start w:val="1"/>
    </w:lvl>
  </w:abstractNum>
  <w:abstractNum w:abstractNumId="22">
    <w:nsid w:val="54E49EB4"/>
    <w:multiLevelType w:val="hybridMultilevel"/>
    <w:lvl w:ilvl="0">
      <w:lvlJc w:val="left"/>
      <w:lvlText w:val="3"/>
      <w:numFmt w:val="bullet"/>
      <w:start w:val="1"/>
    </w:lvl>
  </w:abstractNum>
  <w:abstractNum w:abstractNumId="23">
    <w:nsid w:val="71F32454"/>
    <w:multiLevelType w:val="hybridMultilevel"/>
    <w:lvl w:ilvl="0">
      <w:lvlJc w:val="left"/>
      <w:lvlText w:val="4"/>
      <w:numFmt w:val="bullet"/>
      <w:start w:val="1"/>
    </w:lvl>
    <w:lvl w:ilvl="1">
      <w:lvlJc w:val="left"/>
      <w:lvlText w:val="%2)"/>
      <w:numFmt w:val="lowerLetter"/>
      <w:start w:val="1"/>
    </w:lvl>
  </w:abstractNum>
  <w:abstractNum w:abstractNumId="24">
    <w:nsid w:val="2CA88611"/>
    <w:multiLevelType w:val="hybridMultilevel"/>
    <w:lvl w:ilvl="0">
      <w:lvlJc w:val="left"/>
      <w:lvlText w:val="5"/>
      <w:numFmt w:val="bullet"/>
      <w:start w:val="1"/>
    </w:lvl>
    <w:lvl w:ilvl="1">
      <w:lvlJc w:val="left"/>
      <w:lvlText w:val="%2)"/>
      <w:numFmt w:val="lowerLetter"/>
      <w:start w:val="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2"/>
      <w:numFmt w:val="bullet"/>
      <w:start w:val="1"/>
    </w:lvl>
  </w:abstractNum>
  <w:abstractNum w:abstractNumId="27">
    <w:nsid w:val="3A95F874"/>
    <w:multiLevelType w:val="hybridMultilevel"/>
    <w:lvl w:ilvl="0">
      <w:lvlJc w:val="left"/>
      <w:lvlText w:val="3"/>
      <w:numFmt w:val="bullet"/>
      <w:start w:val="1"/>
    </w:lvl>
  </w:abstractNum>
  <w:abstractNum w:abstractNumId="28">
    <w:nsid w:val="8138641"/>
    <w:multiLevelType w:val="hybridMultilevel"/>
    <w:lvl w:ilvl="0">
      <w:lvlJc w:val="left"/>
      <w:lvlText w:val="4"/>
      <w:numFmt w:val="bullet"/>
      <w:start w:val="1"/>
    </w:lvl>
    <w:lvl w:ilvl="1">
      <w:lvlJc w:val="left"/>
      <w:lvlText w:val="%2)"/>
      <w:numFmt w:val="lowerLetter"/>
      <w:start w:val="1"/>
    </w:lvl>
  </w:abstractNum>
  <w:abstractNum w:abstractNumId="29">
    <w:nsid w:val="1E7FF521"/>
    <w:multiLevelType w:val="hybridMultilevel"/>
    <w:lvl w:ilvl="0">
      <w:lvlJc w:val="left"/>
      <w:lvlText w:val="5"/>
      <w:numFmt w:val="bullet"/>
      <w:start w:val="1"/>
    </w:lvl>
    <w:lvl w:ilvl="1">
      <w:lvlJc w:val="left"/>
      <w:lvlText w:val="%2)"/>
      <w:numFmt w:val="lowerLetter"/>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2019-12-28T07:30:35Z</dcterms:created>
  <dcterms:modified xsi:type="dcterms:W3CDTF">2019-12-28T07:30:35Z</dcterms:modified>
</cp:coreProperties>
</file>