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 SECURITIES AND EXCHANGE COMMISSION</w:t>
      </w:r>
    </w:p>
    <w:p>
      <w:pPr>
        <w:jc w:val="center"/>
        <w:ind w:right="-19"/>
        <w:spacing w:after="0" w:line="234" w:lineRule="auto"/>
        <w:rPr>
          <w:sz w:val="20"/>
          <w:szCs w:val="20"/>
          <w:color w:val="auto"/>
        </w:rPr>
      </w:pPr>
      <w:r>
        <w:rPr>
          <w:rFonts w:ascii="Arial" w:cs="Arial" w:eastAsia="Arial" w:hAnsi="Arial"/>
          <w:sz w:val="18"/>
          <w:szCs w:val="18"/>
          <w:color w:val="auto"/>
        </w:rPr>
        <w:t>Washington, D.C. 20549</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198" w:lineRule="exact"/>
        <w:rPr>
          <w:sz w:val="24"/>
          <w:szCs w:val="24"/>
          <w:color w:val="auto"/>
        </w:rPr>
      </w:pPr>
    </w:p>
    <w:p>
      <w:pPr>
        <w:ind w:left="4060" w:right="2660" w:hanging="1390"/>
        <w:spacing w:after="0" w:line="246" w:lineRule="auto"/>
        <w:tabs>
          <w:tab w:leader="none" w:pos="2937"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1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December 29, 2019</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198" w:lineRule="exact"/>
        <w:rPr>
          <w:sz w:val="24"/>
          <w:szCs w:val="24"/>
          <w:color w:val="auto"/>
        </w:rPr>
      </w:pPr>
    </w:p>
    <w:p>
      <w:pPr>
        <w:ind w:left="4060" w:right="2660" w:hanging="1383"/>
        <w:spacing w:after="0" w:line="246" w:lineRule="auto"/>
        <w:tabs>
          <w:tab w:leader="none" w:pos="2823" w:val="left"/>
        </w:tabs>
        <w:numPr>
          <w:ilvl w:val="0"/>
          <w:numId w:val="2"/>
        </w:numPr>
        <w:rPr>
          <w:rFonts w:ascii="Arial" w:cs="Arial" w:eastAsia="Arial" w:hAnsi="Arial"/>
          <w:sz w:val="18"/>
          <w:szCs w:val="18"/>
          <w:color w:val="auto"/>
        </w:rPr>
      </w:pPr>
      <w:r>
        <w:rPr>
          <w:rFonts w:ascii="Arial" w:cs="Arial" w:eastAsia="Arial" w:hAnsi="Arial"/>
          <w:sz w:val="18"/>
          <w:szCs w:val="18"/>
          <w:color w:val="auto"/>
        </w:rPr>
        <w:t>] TRANSITION REPORT PURSUANT TO SECTION 13 OR 15(d) OF THE SECURITIES EXCHANGE ACT OF 1934</w:t>
      </w:r>
    </w:p>
    <w:p>
      <w:pPr>
        <w:spacing w:after="0" w:line="17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1-6227</w:t>
      </w:r>
    </w:p>
    <w:p>
      <w:pPr>
        <w:jc w:val="center"/>
        <w:ind w:right="-19"/>
        <w:spacing w:after="0"/>
        <w:rPr>
          <w:sz w:val="20"/>
          <w:szCs w:val="20"/>
          <w:color w:val="auto"/>
        </w:rPr>
      </w:pPr>
      <w:r>
        <w:rPr>
          <w:rFonts w:ascii="Arial" w:cs="Arial" w:eastAsia="Arial" w:hAnsi="Arial"/>
          <w:sz w:val="18"/>
          <w:szCs w:val="18"/>
          <w:b w:val="1"/>
          <w:bCs w:val="1"/>
          <w:color w:val="auto"/>
        </w:rPr>
        <w:t>LEE ENTERPRISES, INCORPORATED</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1080" w:right="239" w:bottom="1440" w:gutter="0" w:footer="0" w:header="0"/>
        </w:sectPr>
      </w:pPr>
    </w:p>
    <w:p>
      <w:pPr>
        <w:spacing w:after="0" w:line="216" w:lineRule="exact"/>
        <w:rPr>
          <w:sz w:val="24"/>
          <w:szCs w:val="24"/>
          <w:color w:val="auto"/>
        </w:rPr>
      </w:pPr>
    </w:p>
    <w:p>
      <w:pPr>
        <w:jc w:val="center"/>
        <w:ind w:right="740"/>
        <w:spacing w:after="0"/>
        <w:rPr>
          <w:sz w:val="20"/>
          <w:szCs w:val="20"/>
          <w:color w:val="auto"/>
        </w:rPr>
      </w:pPr>
      <w:r>
        <w:rPr>
          <w:rFonts w:ascii="Arial" w:cs="Arial" w:eastAsia="Arial" w:hAnsi="Arial"/>
          <w:sz w:val="18"/>
          <w:szCs w:val="18"/>
          <w:color w:val="auto"/>
        </w:rPr>
        <w:t>Delaware</w:t>
      </w:r>
    </w:p>
    <w:p>
      <w:pPr>
        <w:jc w:val="center"/>
        <w:ind w:right="740"/>
        <w:spacing w:after="0"/>
        <w:rPr>
          <w:sz w:val="20"/>
          <w:szCs w:val="20"/>
          <w:color w:val="auto"/>
        </w:rPr>
      </w:pPr>
      <w:r>
        <w:rPr>
          <w:rFonts w:ascii="Arial" w:cs="Arial" w:eastAsia="Arial" w:hAnsi="Arial"/>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1520"/>
        <w:spacing w:after="0"/>
        <w:rPr>
          <w:sz w:val="20"/>
          <w:szCs w:val="20"/>
          <w:color w:val="auto"/>
        </w:rPr>
      </w:pPr>
      <w:r>
        <w:rPr>
          <w:rFonts w:ascii="Arial" w:cs="Arial" w:eastAsia="Arial" w:hAnsi="Arial"/>
          <w:sz w:val="18"/>
          <w:szCs w:val="18"/>
          <w:color w:val="auto"/>
        </w:rPr>
        <w:t>42-0823980</w:t>
      </w:r>
    </w:p>
    <w:p>
      <w:pPr>
        <w:jc w:val="center"/>
        <w:ind w:right="152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420" w:space="720"/>
            <w:col w:w="4280"/>
          </w:cols>
          <w:pgMar w:left="240" w:top="1080" w:right="239" w:bottom="1440" w:gutter="0" w:footer="0" w:header="0"/>
          <w:type w:val="continuous"/>
        </w:sectPr>
      </w:pPr>
    </w:p>
    <w:p>
      <w:pPr>
        <w:spacing w:after="0" w:line="5"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4600 E. 53rd Street, Davenport, Iowa 52807</w:t>
      </w:r>
    </w:p>
    <w:p>
      <w:pPr>
        <w:ind w:left="4180"/>
        <w:spacing w:after="0"/>
        <w:rPr>
          <w:sz w:val="20"/>
          <w:szCs w:val="20"/>
          <w:color w:val="auto"/>
        </w:rPr>
      </w:pPr>
      <w:r>
        <w:rPr>
          <w:rFonts w:ascii="Arial" w:cs="Arial" w:eastAsia="Arial" w:hAnsi="Arial"/>
          <w:sz w:val="18"/>
          <w:szCs w:val="18"/>
          <w:color w:val="auto"/>
        </w:rPr>
        <w:t>(Address of principal executive offices)</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(563) 383-2100</w:t>
      </w: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76" w:lineRule="exact"/>
        <w:rPr>
          <w:sz w:val="24"/>
          <w:szCs w:val="24"/>
          <w:color w:val="auto"/>
        </w:rPr>
      </w:pPr>
    </w:p>
    <w:p>
      <w:pPr>
        <w:ind w:left="14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120" w:type="dxa"/>
            <w:vAlign w:val="bottom"/>
            <w:tcBorders>
              <w:bottom w:val="single" w:sz="8" w:color="auto"/>
            </w:tcBorders>
          </w:tcPr>
          <w:p>
            <w:pPr>
              <w:ind w:left="1240"/>
              <w:spacing w:after="0"/>
              <w:rPr>
                <w:sz w:val="20"/>
                <w:szCs w:val="20"/>
                <w:color w:val="auto"/>
              </w:rPr>
            </w:pPr>
            <w:r>
              <w:rPr>
                <w:rFonts w:ascii="Arial" w:cs="Arial" w:eastAsia="Arial" w:hAnsi="Arial"/>
                <w:sz w:val="18"/>
                <w:szCs w:val="18"/>
                <w:b w:val="1"/>
                <w:bCs w:val="1"/>
                <w:color w:val="auto"/>
              </w:rPr>
              <w:t>Title of each class</w:t>
            </w:r>
          </w:p>
        </w:tc>
        <w:tc>
          <w:tcPr>
            <w:tcW w:w="290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8"/>
              </w:rPr>
              <w:t>Trading Symbol(s)</w:t>
            </w:r>
          </w:p>
        </w:tc>
        <w:tc>
          <w:tcPr>
            <w:tcW w:w="440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23"/>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Common Stock, par value $.01 per share</w:t>
            </w:r>
          </w:p>
        </w:tc>
        <w:tc>
          <w:tcPr>
            <w:tcW w:w="290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color w:val="auto"/>
                <w:w w:val="99"/>
              </w:rPr>
              <w:t>LEE</w:t>
            </w:r>
          </w:p>
        </w:tc>
        <w:tc>
          <w:tcPr>
            <w:tcW w:w="440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color w:val="auto"/>
                <w:w w:val="98"/>
              </w:rPr>
              <w:t>New York Stock Exchange</w:t>
            </w:r>
          </w:p>
        </w:tc>
      </w:tr>
    </w:tbl>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w:t>
      </w:r>
    </w:p>
    <w:p>
      <w:pPr>
        <w:spacing w:after="0" w:line="234" w:lineRule="auto"/>
        <w:rPr>
          <w:sz w:val="20"/>
          <w:szCs w:val="20"/>
          <w:color w:val="auto"/>
        </w:rPr>
      </w:pPr>
      <w:r>
        <w:rPr>
          <w:rFonts w:ascii="Arial" w:cs="Arial" w:eastAsia="Arial" w:hAnsi="Arial"/>
          <w:sz w:val="18"/>
          <w:szCs w:val="18"/>
          <w:color w:val="auto"/>
        </w:rPr>
        <w:t>of 1934 during the preceding 12 months (or for such shorter period that the Registrant was required to file such reports), and (2) has been</w:t>
      </w:r>
    </w:p>
    <w:p>
      <w:pPr>
        <w:spacing w:after="0" w:line="235" w:lineRule="auto"/>
        <w:rPr>
          <w:sz w:val="20"/>
          <w:szCs w:val="20"/>
          <w:color w:val="auto"/>
        </w:rPr>
      </w:pPr>
      <w:r>
        <w:rPr>
          <w:rFonts w:ascii="Arial" w:cs="Arial" w:eastAsia="Arial" w:hAnsi="Arial"/>
          <w:sz w:val="18"/>
          <w:szCs w:val="18"/>
          <w:color w:val="auto"/>
        </w:rPr>
        <w:t>subject to such filing requirements for the past 90 days.</w:t>
      </w:r>
    </w:p>
    <w:p>
      <w:pPr>
        <w:spacing w:after="0" w:line="1" w:lineRule="exact"/>
        <w:rPr>
          <w:sz w:val="24"/>
          <w:szCs w:val="24"/>
          <w:color w:val="auto"/>
        </w:rPr>
      </w:pPr>
    </w:p>
    <w:p>
      <w:pPr>
        <w:spacing w:after="0"/>
        <w:tabs>
          <w:tab w:leader="none" w:pos="800" w:val="left"/>
        </w:tabs>
        <w:rPr>
          <w:sz w:val="20"/>
          <w:szCs w:val="20"/>
          <w:color w:val="auto"/>
        </w:rPr>
      </w:pPr>
      <w:r>
        <w:rPr>
          <w:rFonts w:ascii="Arial" w:cs="Arial" w:eastAsia="Arial" w:hAnsi="Arial"/>
          <w:sz w:val="18"/>
          <w:szCs w:val="18"/>
          <w:color w:val="auto"/>
        </w:rPr>
        <w:t>Yes [X]</w:t>
        <w:tab/>
        <w:t>No [ ]</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w:t>
      </w:r>
    </w:p>
    <w:p>
      <w:pPr>
        <w:spacing w:after="0" w:line="234" w:lineRule="auto"/>
        <w:rPr>
          <w:sz w:val="20"/>
          <w:szCs w:val="20"/>
          <w:color w:val="auto"/>
        </w:rPr>
      </w:pPr>
      <w:r>
        <w:rPr>
          <w:rFonts w:ascii="Arial" w:cs="Arial" w:eastAsia="Arial" w:hAnsi="Arial"/>
          <w:sz w:val="18"/>
          <w:szCs w:val="18"/>
          <w:color w:val="auto"/>
        </w:rPr>
        <w:t>Rule 405 of Regulation S-T (§232.405 of this chapter) during the preceding 12 months (or for such shorter period that the Registrant was</w:t>
      </w:r>
    </w:p>
    <w:p>
      <w:pPr>
        <w:spacing w:after="0" w:line="235" w:lineRule="auto"/>
        <w:rPr>
          <w:sz w:val="20"/>
          <w:szCs w:val="20"/>
          <w:color w:val="auto"/>
        </w:rPr>
      </w:pPr>
      <w:r>
        <w:rPr>
          <w:rFonts w:ascii="Arial" w:cs="Arial" w:eastAsia="Arial" w:hAnsi="Arial"/>
          <w:sz w:val="18"/>
          <w:szCs w:val="18"/>
          <w:color w:val="auto"/>
        </w:rPr>
        <w:t>required to submit and post such files.</w:t>
      </w:r>
    </w:p>
    <w:p>
      <w:pPr>
        <w:spacing w:after="0" w:line="1" w:lineRule="exact"/>
        <w:rPr>
          <w:sz w:val="24"/>
          <w:szCs w:val="24"/>
          <w:color w:val="auto"/>
        </w:rPr>
      </w:pPr>
    </w:p>
    <w:p>
      <w:pPr>
        <w:ind w:left="60"/>
        <w:spacing w:after="0"/>
        <w:tabs>
          <w:tab w:leader="none" w:pos="840" w:val="left"/>
        </w:tabs>
        <w:rPr>
          <w:sz w:val="20"/>
          <w:szCs w:val="20"/>
          <w:color w:val="auto"/>
        </w:rPr>
      </w:pPr>
      <w:r>
        <w:rPr>
          <w:rFonts w:ascii="Arial" w:cs="Arial" w:eastAsia="Arial" w:hAnsi="Arial"/>
          <w:sz w:val="18"/>
          <w:szCs w:val="18"/>
          <w:color w:val="auto"/>
        </w:rPr>
        <w:t>Yes [X]</w:t>
        <w:tab/>
        <w:t>No [ ]</w:t>
      </w:r>
    </w:p>
    <w:p>
      <w:pPr>
        <w:spacing w:after="0" w:line="198" w:lineRule="exact"/>
        <w:rPr>
          <w:sz w:val="24"/>
          <w:szCs w:val="24"/>
          <w:color w:val="auto"/>
        </w:rPr>
      </w:pPr>
    </w:p>
    <w:p>
      <w:pPr>
        <w:jc w:val="both"/>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5" w:lineRule="exact"/>
        <w:rPr>
          <w:sz w:val="24"/>
          <w:szCs w:val="24"/>
          <w:color w:val="auto"/>
        </w:rPr>
      </w:pPr>
    </w:p>
    <w:tbl>
      <w:tblPr>
        <w:tblLayout w:type="fixed"/>
        <w:tblInd w:w="240" w:type="dxa"/>
        <w:tblCellMar>
          <w:top w:w="0" w:type="dxa"/>
          <w:left w:w="0" w:type="dxa"/>
          <w:bottom w:w="0" w:type="dxa"/>
          <w:right w:w="0" w:type="dxa"/>
        </w:tblCellMar>
      </w:tblPr>
      <w:tr>
        <w:trPr>
          <w:trHeight w:val="207"/>
        </w:trPr>
        <w:tc>
          <w:tcPr>
            <w:tcW w:w="18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520" w:type="dxa"/>
            <w:vAlign w:val="bottom"/>
          </w:tcPr>
          <w:p>
            <w:pPr>
              <w:jc w:val="right"/>
              <w:ind w:right="2330"/>
              <w:spacing w:after="0"/>
              <w:rPr>
                <w:sz w:val="20"/>
                <w:szCs w:val="20"/>
                <w:color w:val="auto"/>
              </w:rPr>
            </w:pPr>
            <w:r>
              <w:rPr>
                <w:rFonts w:ascii="Arial" w:cs="Arial" w:eastAsia="Arial" w:hAnsi="Arial"/>
                <w:sz w:val="18"/>
                <w:szCs w:val="18"/>
                <w:color w:val="auto"/>
              </w:rPr>
              <w:t>]</w:t>
            </w:r>
          </w:p>
        </w:tc>
        <w:tc>
          <w:tcPr>
            <w:tcW w:w="4620" w:type="dxa"/>
            <w:vAlign w:val="bottom"/>
          </w:tcPr>
          <w:p>
            <w:pPr>
              <w:ind w:left="2400"/>
              <w:spacing w:after="0"/>
              <w:rPr>
                <w:sz w:val="20"/>
                <w:szCs w:val="20"/>
                <w:color w:val="auto"/>
              </w:rPr>
            </w:pPr>
            <w:r>
              <w:rPr>
                <w:rFonts w:ascii="Arial" w:cs="Arial" w:eastAsia="Arial" w:hAnsi="Arial"/>
                <w:sz w:val="18"/>
                <w:szCs w:val="18"/>
                <w:color w:val="auto"/>
              </w:rPr>
              <w:t>Accelerated filer</w:t>
            </w:r>
          </w:p>
        </w:tc>
        <w:tc>
          <w:tcPr>
            <w:tcW w:w="280" w:type="dxa"/>
            <w:vAlign w:val="bottom"/>
          </w:tcPr>
          <w:p>
            <w:pPr>
              <w:ind w:left="60"/>
              <w:spacing w:after="0"/>
              <w:rPr>
                <w:sz w:val="20"/>
                <w:szCs w:val="20"/>
                <w:color w:val="auto"/>
              </w:rPr>
            </w:pPr>
            <w:r>
              <w:rPr>
                <w:rFonts w:ascii="Arial" w:cs="Arial" w:eastAsia="Arial" w:hAnsi="Arial"/>
                <w:sz w:val="18"/>
                <w:szCs w:val="18"/>
                <w:color w:val="auto"/>
                <w:w w:val="90"/>
              </w:rPr>
              <w:t>[X]</w:t>
            </w:r>
          </w:p>
        </w:tc>
      </w:tr>
      <w:tr>
        <w:trPr>
          <w:trHeight w:val="203"/>
        </w:trPr>
        <w:tc>
          <w:tcPr>
            <w:tcW w:w="1860" w:type="dxa"/>
            <w:vAlign w:val="bottom"/>
          </w:tcPr>
          <w:p>
            <w:pPr>
              <w:spacing w:after="0" w:line="202" w:lineRule="exact"/>
              <w:rPr>
                <w:sz w:val="20"/>
                <w:szCs w:val="20"/>
                <w:color w:val="auto"/>
              </w:rPr>
            </w:pPr>
            <w:r>
              <w:rPr>
                <w:rFonts w:ascii="Arial" w:cs="Arial" w:eastAsia="Arial" w:hAnsi="Arial"/>
                <w:sz w:val="18"/>
                <w:szCs w:val="18"/>
                <w:color w:val="auto"/>
              </w:rPr>
              <w:t>Non-accelerated filer</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520" w:type="dxa"/>
            <w:vAlign w:val="bottom"/>
          </w:tcPr>
          <w:p>
            <w:pPr>
              <w:jc w:val="right"/>
              <w:ind w:right="2330"/>
              <w:spacing w:after="0" w:line="202" w:lineRule="exact"/>
              <w:rPr>
                <w:sz w:val="20"/>
                <w:szCs w:val="20"/>
                <w:color w:val="auto"/>
              </w:rPr>
            </w:pPr>
            <w:r>
              <w:rPr>
                <w:rFonts w:ascii="Arial" w:cs="Arial" w:eastAsia="Arial" w:hAnsi="Arial"/>
                <w:sz w:val="18"/>
                <w:szCs w:val="18"/>
                <w:color w:val="auto"/>
              </w:rPr>
              <w:t>]</w:t>
            </w:r>
          </w:p>
        </w:tc>
        <w:tc>
          <w:tcPr>
            <w:tcW w:w="4620" w:type="dxa"/>
            <w:vAlign w:val="bottom"/>
          </w:tcPr>
          <w:p>
            <w:pPr>
              <w:ind w:left="2400"/>
              <w:spacing w:after="0" w:line="202" w:lineRule="exact"/>
              <w:rPr>
                <w:sz w:val="20"/>
                <w:szCs w:val="20"/>
                <w:color w:val="auto"/>
              </w:rPr>
            </w:pPr>
            <w:r>
              <w:rPr>
                <w:rFonts w:ascii="Arial" w:cs="Arial" w:eastAsia="Arial" w:hAnsi="Arial"/>
                <w:sz w:val="18"/>
                <w:szCs w:val="18"/>
                <w:color w:val="auto"/>
              </w:rPr>
              <w:t>Smaller reporting company</w:t>
            </w:r>
          </w:p>
        </w:tc>
        <w:tc>
          <w:tcPr>
            <w:tcW w:w="280" w:type="dxa"/>
            <w:vAlign w:val="bottom"/>
          </w:tcPr>
          <w:p>
            <w:pPr>
              <w:ind w:left="60"/>
              <w:spacing w:after="0" w:line="202" w:lineRule="exact"/>
              <w:rPr>
                <w:sz w:val="20"/>
                <w:szCs w:val="20"/>
                <w:color w:val="auto"/>
              </w:rPr>
            </w:pPr>
            <w:r>
              <w:rPr>
                <w:rFonts w:ascii="Arial" w:cs="Arial" w:eastAsia="Arial" w:hAnsi="Arial"/>
                <w:sz w:val="18"/>
                <w:szCs w:val="18"/>
                <w:color w:val="auto"/>
                <w:w w:val="90"/>
              </w:rPr>
              <w:t>[X]</w:t>
            </w:r>
          </w:p>
        </w:tc>
      </w:tr>
      <w:tr>
        <w:trPr>
          <w:trHeight w:val="217"/>
        </w:trPr>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620" w:type="dxa"/>
            <w:vAlign w:val="bottom"/>
          </w:tcPr>
          <w:p>
            <w:pPr>
              <w:ind w:left="2400"/>
              <w:spacing w:after="0"/>
              <w:rPr>
                <w:sz w:val="20"/>
                <w:szCs w:val="20"/>
                <w:color w:val="auto"/>
              </w:rPr>
            </w:pPr>
            <w:r>
              <w:rPr>
                <w:rFonts w:ascii="Arial" w:cs="Arial" w:eastAsia="Arial" w:hAnsi="Arial"/>
                <w:sz w:val="18"/>
                <w:szCs w:val="18"/>
                <w:color w:val="auto"/>
              </w:rPr>
              <w:t>Emerging growth company</w:t>
            </w:r>
          </w:p>
        </w:tc>
        <w:tc>
          <w:tcPr>
            <w:tcW w:w="280" w:type="dxa"/>
            <w:vAlign w:val="bottom"/>
          </w:tcPr>
          <w:p>
            <w:pPr>
              <w:ind w:left="60"/>
              <w:spacing w:after="0"/>
              <w:rPr>
                <w:sz w:val="20"/>
                <w:szCs w:val="20"/>
                <w:color w:val="auto"/>
              </w:rPr>
            </w:pPr>
            <w:r>
              <w:rPr>
                <w:rFonts w:ascii="Arial" w:cs="Arial" w:eastAsia="Arial" w:hAnsi="Arial"/>
                <w:sz w:val="18"/>
                <w:szCs w:val="18"/>
                <w:color w:val="auto"/>
              </w:rPr>
              <w:t>[ ]</w:t>
            </w:r>
          </w:p>
        </w:tc>
      </w:tr>
    </w:tbl>
    <w:p>
      <w:pPr>
        <w:spacing w:after="0" w:line="188" w:lineRule="exact"/>
        <w:rPr>
          <w:sz w:val="24"/>
          <w:szCs w:val="24"/>
          <w:color w:val="auto"/>
        </w:rPr>
      </w:pPr>
    </w:p>
    <w:p>
      <w:pPr>
        <w:spacing w:after="0" w:line="246"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tabs>
          <w:tab w:leader="none" w:pos="780" w:val="left"/>
        </w:tabs>
        <w:rPr>
          <w:sz w:val="20"/>
          <w:szCs w:val="20"/>
          <w:color w:val="auto"/>
        </w:rPr>
      </w:pPr>
      <w:r>
        <w:rPr>
          <w:rFonts w:ascii="Arial" w:cs="Arial" w:eastAsia="Arial" w:hAnsi="Arial"/>
          <w:sz w:val="18"/>
          <w:szCs w:val="18"/>
          <w:color w:val="auto"/>
        </w:rPr>
        <w:t>Yes [ ]</w:t>
      </w:r>
      <w:r>
        <w:rPr>
          <w:sz w:val="20"/>
          <w:szCs w:val="20"/>
          <w:color w:val="auto"/>
        </w:rPr>
        <w:tab/>
      </w:r>
      <w:r>
        <w:rPr>
          <w:rFonts w:ascii="Arial" w:cs="Arial" w:eastAsia="Arial" w:hAnsi="Arial"/>
          <w:sz w:val="17"/>
          <w:szCs w:val="17"/>
          <w:color w:val="auto"/>
        </w:rPr>
        <w:t>No [X]</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As of January 31, 2020, 58,136,424 shares of Common Stock of the Registrant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572135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0"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Table Of Contents</w:t>
            </w:r>
          </w:p>
        </w:tc>
        <w:tc>
          <w:tcPr>
            <w:tcW w:w="89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5"/>
          </w:tcPr>
          <w:p>
            <w:pPr>
              <w:ind w:left="300"/>
              <w:spacing w:after="0"/>
              <w:rPr>
                <w:sz w:val="20"/>
                <w:szCs w:val="20"/>
                <w:color w:val="auto"/>
              </w:rPr>
            </w:pPr>
            <w:r>
              <w:rPr>
                <w:rFonts w:ascii="Arial" w:cs="Arial" w:eastAsia="Arial" w:hAnsi="Arial"/>
                <w:sz w:val="18"/>
                <w:szCs w:val="18"/>
                <w:color w:val="auto"/>
              </w:rPr>
              <w:t>PAGE</w:t>
            </w:r>
          </w:p>
        </w:tc>
        <w:tc>
          <w:tcPr>
            <w:tcW w:w="20" w:type="dxa"/>
            <w:vAlign w:val="bottom"/>
          </w:tcPr>
          <w:p>
            <w:pPr>
              <w:spacing w:after="0"/>
              <w:rPr>
                <w:sz w:val="17"/>
                <w:szCs w:val="17"/>
                <w:color w:val="auto"/>
              </w:rPr>
            </w:pPr>
          </w:p>
        </w:tc>
      </w:tr>
      <w:tr>
        <w:trPr>
          <w:trHeight w:val="372"/>
        </w:trPr>
        <w:tc>
          <w:tcPr>
            <w:tcW w:w="20" w:type="dxa"/>
            <w:vAlign w:val="bottom"/>
          </w:tcPr>
          <w:p>
            <w:pPr>
              <w:spacing w:after="0"/>
              <w:rPr>
                <w:sz w:val="24"/>
                <w:szCs w:val="24"/>
                <w:color w:val="auto"/>
              </w:rPr>
            </w:pPr>
          </w:p>
        </w:tc>
        <w:tc>
          <w:tcPr>
            <w:tcW w:w="10440" w:type="dxa"/>
            <w:vAlign w:val="bottom"/>
            <w:gridSpan w:val="3"/>
          </w:tcPr>
          <w:p>
            <w:pPr>
              <w:spacing w:after="0"/>
              <w:rPr>
                <w:sz w:val="20"/>
                <w:szCs w:val="20"/>
                <w:color w:val="auto"/>
              </w:rPr>
            </w:pPr>
            <w:r>
              <w:rPr>
                <w:rFonts w:ascii="Arial" w:cs="Arial" w:eastAsia="Arial" w:hAnsi="Arial"/>
                <w:sz w:val="18"/>
                <w:szCs w:val="18"/>
                <w:color w:val="auto"/>
              </w:rPr>
              <w:t>FORWARD LOOKING STATEMENTS</w:t>
            </w:r>
          </w:p>
        </w:tc>
        <w:tc>
          <w:tcPr>
            <w:tcW w:w="600" w:type="dxa"/>
            <w:vAlign w:val="bottom"/>
            <w:gridSpan w:val="3"/>
          </w:tcPr>
          <w:p>
            <w:pPr>
              <w:jc w:val="center"/>
              <w:ind w:left="410"/>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1</w:t>
              </w:r>
            </w:hyperlink>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7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PART I</w:t>
            </w:r>
          </w:p>
        </w:tc>
        <w:tc>
          <w:tcPr>
            <w:tcW w:w="9720" w:type="dxa"/>
            <w:vAlign w:val="bottom"/>
            <w:gridSpan w:val="2"/>
          </w:tcPr>
          <w:p>
            <w:pPr>
              <w:ind w:left="80"/>
              <w:spacing w:after="0"/>
              <w:rPr>
                <w:sz w:val="20"/>
                <w:szCs w:val="20"/>
                <w:color w:val="auto"/>
              </w:rPr>
            </w:pPr>
            <w:r>
              <w:rPr>
                <w:rFonts w:ascii="Arial" w:cs="Arial" w:eastAsia="Arial" w:hAnsi="Arial"/>
                <w:sz w:val="18"/>
                <w:szCs w:val="18"/>
                <w:color w:val="auto"/>
              </w:rPr>
              <w:t>FINANCIAL INFORMATION</w:t>
            </w:r>
          </w:p>
        </w:tc>
        <w:tc>
          <w:tcPr>
            <w:tcW w:w="600" w:type="dxa"/>
            <w:vAlign w:val="bottom"/>
            <w:gridSpan w:val="3"/>
          </w:tcPr>
          <w:p>
            <w:pPr>
              <w:jc w:val="center"/>
              <w:ind w:left="41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2</w:t>
              </w:r>
            </w:hyperlink>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7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720" w:type="dxa"/>
            <w:vAlign w:val="bottom"/>
            <w:gridSpan w:val="2"/>
          </w:tcPr>
          <w:p>
            <w:pPr>
              <w:ind w:left="80"/>
              <w:spacing w:after="0"/>
              <w:rPr>
                <w:sz w:val="20"/>
                <w:szCs w:val="20"/>
                <w:color w:val="auto"/>
              </w:rPr>
            </w:pPr>
            <w:r>
              <w:rPr>
                <w:rFonts w:ascii="Arial" w:cs="Arial" w:eastAsia="Arial" w:hAnsi="Arial"/>
                <w:sz w:val="18"/>
                <w:szCs w:val="18"/>
                <w:color w:val="auto"/>
              </w:rPr>
              <w:t>Item 1.   Financial Statements (Unaudited)</w:t>
            </w:r>
          </w:p>
        </w:tc>
        <w:tc>
          <w:tcPr>
            <w:tcW w:w="600" w:type="dxa"/>
            <w:vAlign w:val="bottom"/>
            <w:gridSpan w:val="3"/>
          </w:tcPr>
          <w:p>
            <w:pPr>
              <w:jc w:val="center"/>
              <w:ind w:left="41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2</w:t>
              </w:r>
            </w:hyperlink>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920" w:type="dxa"/>
            <w:vAlign w:val="bottom"/>
          </w:tcPr>
          <w:p>
            <w:pPr>
              <w:ind w:left="80"/>
              <w:spacing w:after="0"/>
              <w:rPr>
                <w:sz w:val="20"/>
                <w:szCs w:val="20"/>
                <w:color w:val="auto"/>
              </w:rPr>
            </w:pPr>
            <w:r>
              <w:rPr>
                <w:rFonts w:ascii="Arial" w:cs="Arial" w:eastAsia="Arial" w:hAnsi="Arial"/>
                <w:sz w:val="18"/>
                <w:szCs w:val="18"/>
                <w:color w:val="auto"/>
              </w:rPr>
              <w:t>Consolidated Balance Sheets - December 29, 2019 and September 29, 2019</w:t>
            </w:r>
          </w:p>
        </w:tc>
        <w:tc>
          <w:tcPr>
            <w:tcW w:w="600" w:type="dxa"/>
            <w:vAlign w:val="bottom"/>
            <w:gridSpan w:val="3"/>
          </w:tcPr>
          <w:p>
            <w:pPr>
              <w:jc w:val="center"/>
              <w:ind w:left="41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2</w:t>
              </w:r>
            </w:hyperlink>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920" w:type="dxa"/>
            <w:vAlign w:val="bottom"/>
          </w:tcPr>
          <w:p>
            <w:pPr>
              <w:ind w:left="80"/>
              <w:spacing w:after="0"/>
              <w:rPr>
                <w:sz w:val="20"/>
                <w:szCs w:val="20"/>
                <w:color w:val="auto"/>
              </w:rPr>
            </w:pPr>
            <w:r>
              <w:rPr>
                <w:rFonts w:ascii="Arial" w:cs="Arial" w:eastAsia="Arial" w:hAnsi="Arial"/>
                <w:sz w:val="18"/>
                <w:szCs w:val="18"/>
                <w:color w:val="auto"/>
              </w:rPr>
              <w:t>Consolidated Statements of Income and Comprehensive Income - 13 weeks ended December 29, 2019</w:t>
            </w:r>
          </w:p>
        </w:tc>
        <w:tc>
          <w:tcPr>
            <w:tcW w:w="600" w:type="dxa"/>
            <w:vAlign w:val="bottom"/>
            <w:gridSpan w:val="3"/>
          </w:tcPr>
          <w:p>
            <w:pPr>
              <w:jc w:val="center"/>
              <w:ind w:left="410"/>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4</w:t>
              </w:r>
            </w:hyperlink>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920" w:type="dxa"/>
            <w:vAlign w:val="bottom"/>
          </w:tcPr>
          <w:p>
            <w:pPr>
              <w:ind w:left="80"/>
              <w:spacing w:after="0"/>
              <w:rPr>
                <w:sz w:val="20"/>
                <w:szCs w:val="20"/>
                <w:color w:val="auto"/>
              </w:rPr>
            </w:pPr>
            <w:r>
              <w:rPr>
                <w:rFonts w:ascii="Arial" w:cs="Arial" w:eastAsia="Arial" w:hAnsi="Arial"/>
                <w:sz w:val="18"/>
                <w:szCs w:val="18"/>
                <w:color w:val="auto"/>
              </w:rPr>
              <w:t>Consolidated Statements of Stockholder's Equity - 13 weeks ended December 29, 2019 and December 30,</w:t>
            </w:r>
          </w:p>
        </w:tc>
        <w:tc>
          <w:tcPr>
            <w:tcW w:w="600" w:type="dxa"/>
            <w:vAlign w:val="bottom"/>
            <w:gridSpan w:val="3"/>
          </w:tcPr>
          <w:p>
            <w:pPr>
              <w:jc w:val="center"/>
              <w:ind w:left="410"/>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5</w:t>
              </w:r>
            </w:hyperlink>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920" w:type="dxa"/>
            <w:vAlign w:val="bottom"/>
          </w:tcPr>
          <w:p>
            <w:pPr>
              <w:ind w:left="80"/>
              <w:spacing w:after="0"/>
              <w:rPr>
                <w:sz w:val="20"/>
                <w:szCs w:val="20"/>
                <w:color w:val="auto"/>
              </w:rPr>
            </w:pPr>
            <w:r>
              <w:rPr>
                <w:rFonts w:ascii="Arial" w:cs="Arial" w:eastAsia="Arial" w:hAnsi="Arial"/>
                <w:sz w:val="18"/>
                <w:szCs w:val="18"/>
                <w:color w:val="auto"/>
              </w:rPr>
              <w:t>2018</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65"/>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920" w:type="dxa"/>
            <w:vAlign w:val="bottom"/>
          </w:tcPr>
          <w:p>
            <w:pPr>
              <w:ind w:left="80"/>
              <w:spacing w:after="0"/>
              <w:rPr>
                <w:sz w:val="20"/>
                <w:szCs w:val="20"/>
                <w:color w:val="auto"/>
              </w:rPr>
            </w:pPr>
            <w:r>
              <w:rPr>
                <w:rFonts w:ascii="Arial" w:cs="Arial" w:eastAsia="Arial" w:hAnsi="Arial"/>
                <w:sz w:val="18"/>
                <w:szCs w:val="18"/>
                <w:color w:val="auto"/>
              </w:rPr>
              <w:t>Consolidated Statements of Cash Flows - 13 weeks ended December 29, 2019 and December 30, 2018</w:t>
            </w:r>
          </w:p>
        </w:tc>
        <w:tc>
          <w:tcPr>
            <w:tcW w:w="600" w:type="dxa"/>
            <w:vAlign w:val="bottom"/>
            <w:gridSpan w:val="3"/>
          </w:tcPr>
          <w:p>
            <w:pPr>
              <w:jc w:val="center"/>
              <w:ind w:left="410"/>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6</w:t>
              </w:r>
            </w:hyperlink>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920" w:type="dxa"/>
            <w:vAlign w:val="bottom"/>
          </w:tcPr>
          <w:p>
            <w:pPr>
              <w:ind w:left="80"/>
              <w:spacing w:after="0"/>
              <w:rPr>
                <w:sz w:val="20"/>
                <w:szCs w:val="20"/>
                <w:color w:val="auto"/>
              </w:rPr>
            </w:pPr>
            <w:r>
              <w:rPr>
                <w:rFonts w:ascii="Arial" w:cs="Arial" w:eastAsia="Arial" w:hAnsi="Arial"/>
                <w:sz w:val="18"/>
                <w:szCs w:val="18"/>
                <w:color w:val="auto"/>
              </w:rPr>
              <w:t>Notes to Consolidated Financial Statements</w:t>
            </w:r>
          </w:p>
        </w:tc>
        <w:tc>
          <w:tcPr>
            <w:tcW w:w="600" w:type="dxa"/>
            <w:vAlign w:val="bottom"/>
            <w:gridSpan w:val="3"/>
          </w:tcPr>
          <w:p>
            <w:pPr>
              <w:jc w:val="center"/>
              <w:ind w:left="410"/>
              <w:spacing w:after="0"/>
              <w:rPr>
                <w:rFonts w:ascii="Arial" w:cs="Arial" w:eastAsia="Arial" w:hAnsi="Arial"/>
                <w:sz w:val="18"/>
                <w:szCs w:val="18"/>
                <w:color w:val="0000EE"/>
                <w:w w:val="99"/>
              </w:rPr>
            </w:pPr>
            <w:hyperlink w:anchor="page9">
              <w:r>
                <w:rPr>
                  <w:rFonts w:ascii="Arial" w:cs="Arial" w:eastAsia="Arial" w:hAnsi="Arial"/>
                  <w:sz w:val="18"/>
                  <w:szCs w:val="18"/>
                  <w:color w:val="0000EE"/>
                  <w:w w:val="99"/>
                </w:rPr>
                <w:t>7</w:t>
              </w:r>
            </w:hyperlink>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7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720" w:type="dxa"/>
            <w:vAlign w:val="bottom"/>
            <w:gridSpan w:val="2"/>
          </w:tcPr>
          <w:p>
            <w:pPr>
              <w:ind w:left="80"/>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tc>
        <w:tc>
          <w:tcPr>
            <w:tcW w:w="440" w:type="dxa"/>
            <w:vAlign w:val="bottom"/>
          </w:tcPr>
          <w:p>
            <w:pPr>
              <w:spacing w:after="0"/>
              <w:rPr>
                <w:sz w:val="24"/>
                <w:szCs w:val="24"/>
                <w:color w:val="auto"/>
              </w:rPr>
            </w:pPr>
          </w:p>
        </w:tc>
        <w:tc>
          <w:tcPr>
            <w:tcW w:w="200" w:type="dxa"/>
            <w:vAlign w:val="bottom"/>
            <w:tcBorders>
              <w:bottom w:val="single" w:sz="8" w:color="0000EE"/>
            </w:tcBorders>
            <w:gridSpan w:val="3"/>
          </w:tcPr>
          <w:p>
            <w:pPr>
              <w:jc w:val="center"/>
              <w:spacing w:after="0"/>
              <w:rPr>
                <w:rFonts w:ascii="Arial" w:cs="Arial" w:eastAsia="Arial" w:hAnsi="Arial"/>
                <w:sz w:val="18"/>
                <w:szCs w:val="18"/>
                <w:color w:val="0000EE"/>
                <w:w w:val="99"/>
              </w:rPr>
            </w:pPr>
            <w:hyperlink w:anchor="page23">
              <w:r>
                <w:rPr>
                  <w:rFonts w:ascii="Arial" w:cs="Arial" w:eastAsia="Arial" w:hAnsi="Arial"/>
                  <w:sz w:val="18"/>
                  <w:szCs w:val="18"/>
                  <w:color w:val="0000EE"/>
                  <w:w w:val="99"/>
                </w:rPr>
                <w:t>16</w:t>
              </w:r>
            </w:hyperlink>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5"/>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720" w:type="dxa"/>
            <w:vAlign w:val="bottom"/>
            <w:gridSpan w:val="2"/>
          </w:tcPr>
          <w:p>
            <w:pPr>
              <w:ind w:left="80"/>
              <w:spacing w:after="0"/>
              <w:rPr>
                <w:sz w:val="20"/>
                <w:szCs w:val="20"/>
                <w:color w:val="auto"/>
              </w:rPr>
            </w:pPr>
            <w:r>
              <w:rPr>
                <w:rFonts w:ascii="Arial" w:cs="Arial" w:eastAsia="Arial" w:hAnsi="Arial"/>
                <w:sz w:val="18"/>
                <w:szCs w:val="18"/>
                <w:color w:val="auto"/>
              </w:rPr>
              <w:t>Item 3.   Quantitative and Qualitative Disclosures About Market Risk</w:t>
            </w:r>
          </w:p>
        </w:tc>
        <w:tc>
          <w:tcPr>
            <w:tcW w:w="440" w:type="dxa"/>
            <w:vAlign w:val="bottom"/>
          </w:tcPr>
          <w:p>
            <w:pPr>
              <w:spacing w:after="0"/>
              <w:rPr>
                <w:sz w:val="24"/>
                <w:szCs w:val="24"/>
                <w:color w:val="auto"/>
              </w:rPr>
            </w:pPr>
          </w:p>
        </w:tc>
        <w:tc>
          <w:tcPr>
            <w:tcW w:w="200" w:type="dxa"/>
            <w:vAlign w:val="bottom"/>
            <w:tcBorders>
              <w:bottom w:val="single" w:sz="8" w:color="0000EE"/>
            </w:tcBorders>
            <w:gridSpan w:val="3"/>
          </w:tcPr>
          <w:p>
            <w:pPr>
              <w:jc w:val="center"/>
              <w:spacing w:after="0"/>
              <w:rPr>
                <w:rFonts w:ascii="Arial" w:cs="Arial" w:eastAsia="Arial" w:hAnsi="Arial"/>
                <w:sz w:val="18"/>
                <w:szCs w:val="18"/>
                <w:color w:val="0000EE"/>
                <w:w w:val="99"/>
              </w:rPr>
            </w:pPr>
            <w:hyperlink w:anchor="page29">
              <w:r>
                <w:rPr>
                  <w:rFonts w:ascii="Arial" w:cs="Arial" w:eastAsia="Arial" w:hAnsi="Arial"/>
                  <w:sz w:val="18"/>
                  <w:szCs w:val="18"/>
                  <w:color w:val="0000EE"/>
                  <w:w w:val="99"/>
                </w:rPr>
                <w:t>22</w:t>
              </w:r>
            </w:hyperlink>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5"/>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720" w:type="dxa"/>
            <w:vAlign w:val="bottom"/>
            <w:gridSpan w:val="2"/>
          </w:tcPr>
          <w:p>
            <w:pPr>
              <w:ind w:left="80"/>
              <w:spacing w:after="0"/>
              <w:rPr>
                <w:sz w:val="20"/>
                <w:szCs w:val="20"/>
                <w:color w:val="auto"/>
              </w:rPr>
            </w:pPr>
            <w:r>
              <w:rPr>
                <w:rFonts w:ascii="Arial" w:cs="Arial" w:eastAsia="Arial" w:hAnsi="Arial"/>
                <w:sz w:val="18"/>
                <w:szCs w:val="18"/>
                <w:color w:val="auto"/>
              </w:rPr>
              <w:t>Item 4.   Controls and Procedures</w:t>
            </w:r>
          </w:p>
        </w:tc>
        <w:tc>
          <w:tcPr>
            <w:tcW w:w="440" w:type="dxa"/>
            <w:vAlign w:val="bottom"/>
          </w:tcPr>
          <w:p>
            <w:pPr>
              <w:spacing w:after="0"/>
              <w:rPr>
                <w:sz w:val="24"/>
                <w:szCs w:val="24"/>
                <w:color w:val="auto"/>
              </w:rPr>
            </w:pPr>
          </w:p>
        </w:tc>
        <w:tc>
          <w:tcPr>
            <w:tcW w:w="200" w:type="dxa"/>
            <w:vAlign w:val="bottom"/>
            <w:tcBorders>
              <w:bottom w:val="single" w:sz="8" w:color="0000EE"/>
            </w:tcBorders>
            <w:gridSpan w:val="3"/>
          </w:tcPr>
          <w:p>
            <w:pPr>
              <w:jc w:val="center"/>
              <w:spacing w:after="0"/>
              <w:rPr>
                <w:rFonts w:ascii="Arial" w:cs="Arial" w:eastAsia="Arial" w:hAnsi="Arial"/>
                <w:sz w:val="18"/>
                <w:szCs w:val="18"/>
                <w:color w:val="0000EE"/>
                <w:w w:val="99"/>
              </w:rPr>
            </w:pPr>
            <w:hyperlink w:anchor="page30">
              <w:r>
                <w:rPr>
                  <w:rFonts w:ascii="Arial" w:cs="Arial" w:eastAsia="Arial" w:hAnsi="Arial"/>
                  <w:sz w:val="18"/>
                  <w:szCs w:val="18"/>
                  <w:color w:val="0000EE"/>
                  <w:w w:val="99"/>
                </w:rPr>
                <w:t>23</w:t>
              </w:r>
            </w:hyperlink>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5"/>
        </w:trPr>
        <w:tc>
          <w:tcPr>
            <w:tcW w:w="2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PART II</w:t>
            </w:r>
          </w:p>
        </w:tc>
        <w:tc>
          <w:tcPr>
            <w:tcW w:w="9720" w:type="dxa"/>
            <w:vAlign w:val="bottom"/>
            <w:gridSpan w:val="2"/>
          </w:tcPr>
          <w:p>
            <w:pPr>
              <w:ind w:left="80"/>
              <w:spacing w:after="0"/>
              <w:rPr>
                <w:sz w:val="20"/>
                <w:szCs w:val="20"/>
                <w:color w:val="auto"/>
              </w:rPr>
            </w:pPr>
            <w:r>
              <w:rPr>
                <w:rFonts w:ascii="Arial" w:cs="Arial" w:eastAsia="Arial" w:hAnsi="Arial"/>
                <w:sz w:val="18"/>
                <w:szCs w:val="18"/>
                <w:color w:val="auto"/>
              </w:rPr>
              <w:t>OTHER INFORMATION</w:t>
            </w:r>
          </w:p>
        </w:tc>
        <w:tc>
          <w:tcPr>
            <w:tcW w:w="440" w:type="dxa"/>
            <w:vAlign w:val="bottom"/>
          </w:tcPr>
          <w:p>
            <w:pPr>
              <w:spacing w:after="0"/>
              <w:rPr>
                <w:sz w:val="24"/>
                <w:szCs w:val="24"/>
                <w:color w:val="auto"/>
              </w:rPr>
            </w:pPr>
          </w:p>
        </w:tc>
        <w:tc>
          <w:tcPr>
            <w:tcW w:w="200" w:type="dxa"/>
            <w:vAlign w:val="bottom"/>
            <w:tcBorders>
              <w:bottom w:val="single" w:sz="8" w:color="0000EE"/>
            </w:tcBorders>
            <w:gridSpan w:val="3"/>
          </w:tcPr>
          <w:p>
            <w:pPr>
              <w:jc w:val="center"/>
              <w:spacing w:after="0"/>
              <w:rPr>
                <w:rFonts w:ascii="Arial" w:cs="Arial" w:eastAsia="Arial" w:hAnsi="Arial"/>
                <w:sz w:val="18"/>
                <w:szCs w:val="18"/>
                <w:color w:val="0000EE"/>
                <w:w w:val="99"/>
              </w:rPr>
            </w:pPr>
            <w:hyperlink w:anchor="page30">
              <w:r>
                <w:rPr>
                  <w:rFonts w:ascii="Arial" w:cs="Arial" w:eastAsia="Arial" w:hAnsi="Arial"/>
                  <w:sz w:val="18"/>
                  <w:szCs w:val="18"/>
                  <w:color w:val="0000EE"/>
                  <w:w w:val="99"/>
                </w:rPr>
                <w:t>23</w:t>
              </w:r>
            </w:hyperlink>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5"/>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auto"/>
              </w:rPr>
              <w:t>Item 1.</w:t>
            </w:r>
          </w:p>
        </w:tc>
        <w:tc>
          <w:tcPr>
            <w:tcW w:w="8920" w:type="dxa"/>
            <w:vAlign w:val="bottom"/>
          </w:tcPr>
          <w:p>
            <w:pPr>
              <w:ind w:left="80"/>
              <w:spacing w:after="0"/>
              <w:rPr>
                <w:sz w:val="20"/>
                <w:szCs w:val="20"/>
                <w:color w:val="auto"/>
              </w:rPr>
            </w:pPr>
            <w:r>
              <w:rPr>
                <w:rFonts w:ascii="Arial" w:cs="Arial" w:eastAsia="Arial" w:hAnsi="Arial"/>
                <w:sz w:val="18"/>
                <w:szCs w:val="18"/>
                <w:color w:val="auto"/>
              </w:rPr>
              <w:t>Legal Proceedings</w:t>
            </w:r>
          </w:p>
        </w:tc>
        <w:tc>
          <w:tcPr>
            <w:tcW w:w="440" w:type="dxa"/>
            <w:vAlign w:val="bottom"/>
          </w:tcPr>
          <w:p>
            <w:pPr>
              <w:spacing w:after="0"/>
              <w:rPr>
                <w:sz w:val="24"/>
                <w:szCs w:val="24"/>
                <w:color w:val="auto"/>
              </w:rPr>
            </w:pPr>
          </w:p>
        </w:tc>
        <w:tc>
          <w:tcPr>
            <w:tcW w:w="200" w:type="dxa"/>
            <w:vAlign w:val="bottom"/>
            <w:tcBorders>
              <w:bottom w:val="single" w:sz="8" w:color="0000EE"/>
            </w:tcBorders>
            <w:gridSpan w:val="3"/>
          </w:tcPr>
          <w:p>
            <w:pPr>
              <w:jc w:val="cente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23</w:t>
              </w:r>
            </w:hyperlink>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5"/>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auto"/>
              </w:rPr>
              <w:t>Item 6.</w:t>
            </w:r>
          </w:p>
        </w:tc>
        <w:tc>
          <w:tcPr>
            <w:tcW w:w="8920" w:type="dxa"/>
            <w:vAlign w:val="bottom"/>
          </w:tcPr>
          <w:p>
            <w:pPr>
              <w:ind w:left="80"/>
              <w:spacing w:after="0"/>
              <w:rPr>
                <w:sz w:val="20"/>
                <w:szCs w:val="20"/>
                <w:color w:val="auto"/>
              </w:rPr>
            </w:pPr>
            <w:r>
              <w:rPr>
                <w:rFonts w:ascii="Arial" w:cs="Arial" w:eastAsia="Arial" w:hAnsi="Arial"/>
                <w:sz w:val="18"/>
                <w:szCs w:val="18"/>
                <w:color w:val="auto"/>
              </w:rPr>
              <w:t>Exhibits</w:t>
            </w:r>
          </w:p>
        </w:tc>
        <w:tc>
          <w:tcPr>
            <w:tcW w:w="440" w:type="dxa"/>
            <w:vAlign w:val="bottom"/>
          </w:tcPr>
          <w:p>
            <w:pPr>
              <w:spacing w:after="0"/>
              <w:rPr>
                <w:sz w:val="24"/>
                <w:szCs w:val="24"/>
                <w:color w:val="auto"/>
              </w:rPr>
            </w:pPr>
          </w:p>
        </w:tc>
        <w:tc>
          <w:tcPr>
            <w:tcW w:w="200" w:type="dxa"/>
            <w:vAlign w:val="bottom"/>
            <w:tcBorders>
              <w:bottom w:val="single" w:sz="8" w:color="0000EE"/>
            </w:tcBorders>
            <w:gridSpan w:val="3"/>
          </w:tcPr>
          <w:p>
            <w:pPr>
              <w:jc w:val="center"/>
              <w:spacing w:after="0"/>
              <w:rPr>
                <w:rFonts w:ascii="Arial" w:cs="Arial" w:eastAsia="Arial" w:hAnsi="Arial"/>
                <w:sz w:val="18"/>
                <w:szCs w:val="18"/>
                <w:color w:val="0000EE"/>
                <w:w w:val="99"/>
              </w:rPr>
            </w:pPr>
            <w:hyperlink w:anchor="page30">
              <w:r>
                <w:rPr>
                  <w:rFonts w:ascii="Arial" w:cs="Arial" w:eastAsia="Arial" w:hAnsi="Arial"/>
                  <w:sz w:val="18"/>
                  <w:szCs w:val="18"/>
                  <w:color w:val="0000EE"/>
                  <w:w w:val="99"/>
                </w:rPr>
                <w:t>23</w:t>
              </w:r>
            </w:hyperlink>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5"/>
        </w:trPr>
        <w:tc>
          <w:tcPr>
            <w:tcW w:w="20" w:type="dxa"/>
            <w:vAlign w:val="bottom"/>
          </w:tcPr>
          <w:p>
            <w:pPr>
              <w:spacing w:after="0"/>
              <w:rPr>
                <w:sz w:val="24"/>
                <w:szCs w:val="24"/>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SIGNATURES</w:t>
            </w:r>
          </w:p>
        </w:tc>
        <w:tc>
          <w:tcPr>
            <w:tcW w:w="8920" w:type="dxa"/>
            <w:vAlign w:val="bottom"/>
          </w:tcPr>
          <w:p>
            <w:pPr>
              <w:spacing w:after="0"/>
              <w:rPr>
                <w:sz w:val="24"/>
                <w:szCs w:val="24"/>
                <w:color w:val="auto"/>
              </w:rPr>
            </w:pPr>
          </w:p>
        </w:tc>
        <w:tc>
          <w:tcPr>
            <w:tcW w:w="640" w:type="dxa"/>
            <w:vAlign w:val="bottom"/>
            <w:gridSpan w:val="4"/>
          </w:tcPr>
          <w:p>
            <w:pPr>
              <w:jc w:val="center"/>
              <w:ind w:left="350"/>
              <w:spacing w:after="0"/>
              <w:rPr>
                <w:rFonts w:ascii="Arial" w:cs="Arial" w:eastAsia="Arial" w:hAnsi="Arial"/>
                <w:sz w:val="18"/>
                <w:szCs w:val="18"/>
                <w:color w:val="0000EE"/>
                <w:w w:val="99"/>
              </w:rPr>
            </w:pPr>
            <w:hyperlink w:anchor="page31">
              <w:r>
                <w:rPr>
                  <w:rFonts w:ascii="Arial" w:cs="Arial" w:eastAsia="Arial" w:hAnsi="Arial"/>
                  <w:sz w:val="18"/>
                  <w:szCs w:val="18"/>
                  <w:color w:val="0000EE"/>
                  <w:w w:val="99"/>
                </w:rPr>
                <w:t>24</w:t>
              </w:r>
            </w:hyperlink>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8"/>
        </w:trPr>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9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24" w:right="239"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7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References to “we”, “our”, “us” and the like throughout this document refer to Lee Enterprises, Incorporated (the "Company"). References to "2020", "2019" and the like refer to the fiscal years ended the last Sunday in September.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This report contains information that may be deemed forward-looking that is based largely on our current expectations, and is subject to certain risks, trends and uncertainties that could cause actual results to differ materially from those anticipated. Among such risks, trends and other uncertainties, which in some instances are beyond our control, are:</w:t>
      </w:r>
    </w:p>
    <w:p>
      <w:pPr>
        <w:spacing w:after="0" w:line="188" w:lineRule="exact"/>
        <w:rPr>
          <w:sz w:val="20"/>
          <w:szCs w:val="20"/>
          <w:color w:val="auto"/>
        </w:rPr>
      </w:pPr>
    </w:p>
    <w:p>
      <w:pPr>
        <w:ind w:left="660" w:hanging="328"/>
        <w:spacing w:after="0" w:line="231"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On January 29, 2020, the Company entered into an Asset and Stock Purchase Agreement (“Purchase Agreement”) with Berkshire Hathaway Inc. (“Berkshire”) and BH Media Group, Inc. (“BH Media and “BHMG”). Under the Purchase Agreement, the Company has agreed to purchase certain assets and assume certain liabilities of BH Media’s newspapers and publications business (“BH Media Newspaper Business”), excluding real estate and production equipment, and purchase all of the issued and outstanding capital stock of The Buffalo News, Inc. (“Buffalo News”, collectively, the “Transactions”). Factors that could cause actual results to differ materially from these forward-looking statements include, but are not limited to, the possibility that (the “Transactions”) will not be pursued; failure to obtain necessary regulatory approvals or to satisfy any of the other conditions to the proposed Transactions; adverse effects on the market price of the Company’s common stock or the Company’s operating results because of a failure to complete the proposed Transactions; failure to realize the expected benefits of the proposed Transactions; failure to promptly and effectively integrate the newspaper operations of Berkshire Hathaway; negative effects relating to the announcement of the proposed Transactions or any further announcements relating to the proposed Transactions; significant transaction costs, unknown or inestimable liabilities and lack of indemnification from Berkshire other than environmental liabilities on real estate at BHMG; potential litigation associated with the proposed Transactions; general economic and business conditions that affect the combined company following the consummation of the proposed Transactions; and the retention of certain key employees;</w:t>
      </w:r>
    </w:p>
    <w:p>
      <w:pPr>
        <w:spacing w:after="0" w:line="2"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cash flows and maintain liquidity sufficient to service our debt;</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the financial covenants in our credit facilities;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refinance our debt as it comes due;</w:t>
      </w:r>
    </w:p>
    <w:p>
      <w:pPr>
        <w:spacing w:after="0" w:line="1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ability to manage declining print revenue;</w:t>
      </w:r>
    </w:p>
    <w:p>
      <w:pPr>
        <w:spacing w:after="0" w:line="12"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the warrants issued in our 2014 refinancing will not be exercised;</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and duration of adverse conditions in certain aspects of the economy affecting our business;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advertising and subscription demand;</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technology that impact our ability to deliver digital advertising;</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changes in newsprint, other commodities and energy costs;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Interest rates;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Labor costs;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cyber security breaches or failure of our information technology systems;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Legislative and regulatory rulings, including the 2017 Tax Act;</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planned expense reductions;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employee and customer relationships;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increased capital costs;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listing status on the NYSE;</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and</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detailed from time to time in our publicly filed documents.</w:t>
      </w:r>
    </w:p>
    <w:p>
      <w:pPr>
        <w:spacing w:after="0" w:line="23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Any statements that are not statements of historical fact (including statements containing the words “may”, “will”, “would”, “could”, “believes”, “expects”, “anticipates”, “intends”, “plans”, “projects”, “considers” and similar expressions) generally should be considered forward-looking statements. Readers are cautioned not to place undue reliance on such forward-looking statements, which are made as of the date of this report. We do not undertake to publicly update or revise our forward-looking statements, except as required by law.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3100" w:type="dxa"/>
            <w:vAlign w:val="bottom"/>
          </w:tcPr>
          <w:p>
            <w:pPr>
              <w:ind w:left="100"/>
              <w:spacing w:after="0"/>
              <w:rPr>
                <w:sz w:val="20"/>
                <w:szCs w:val="20"/>
                <w:color w:val="auto"/>
              </w:rPr>
            </w:pPr>
            <w:r>
              <w:rPr>
                <w:rFonts w:ascii="Arial" w:cs="Arial" w:eastAsia="Arial" w:hAnsi="Arial"/>
                <w:sz w:val="18"/>
                <w:szCs w:val="18"/>
                <w:b w:val="1"/>
                <w:bCs w:val="1"/>
                <w:color w:val="auto"/>
              </w:rPr>
              <w:t>Financial Statements</w:t>
            </w:r>
          </w:p>
        </w:tc>
        <w:tc>
          <w:tcPr>
            <w:tcW w:w="58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840" w:type="dxa"/>
            <w:vAlign w:val="bottom"/>
          </w:tcPr>
          <w:p>
            <w:pPr>
              <w:jc w:val="right"/>
              <w:ind w:right="2350"/>
              <w:spacing w:after="0"/>
              <w:rPr>
                <w:sz w:val="20"/>
                <w:szCs w:val="20"/>
                <w:color w:val="auto"/>
              </w:rPr>
            </w:pPr>
            <w:r>
              <w:rPr>
                <w:rFonts w:ascii="Arial" w:cs="Arial" w:eastAsia="Arial" w:hAnsi="Arial"/>
                <w:sz w:val="18"/>
                <w:szCs w:val="18"/>
                <w:b w:val="1"/>
                <w:bCs w:val="1"/>
                <w:color w:val="auto"/>
              </w:rPr>
              <w:t>LEE ENTERPRISES, INCORPORATED</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5840" w:type="dxa"/>
            <w:vAlign w:val="bottom"/>
          </w:tcPr>
          <w:p>
            <w:pPr>
              <w:jc w:val="right"/>
              <w:ind w:right="2390"/>
              <w:spacing w:after="0"/>
              <w:rPr>
                <w:sz w:val="20"/>
                <w:szCs w:val="20"/>
                <w:color w:val="auto"/>
              </w:rPr>
            </w:pPr>
            <w:r>
              <w:rPr>
                <w:rFonts w:ascii="Arial" w:cs="Arial" w:eastAsia="Arial" w:hAnsi="Arial"/>
                <w:sz w:val="18"/>
                <w:szCs w:val="18"/>
                <w:b w:val="1"/>
                <w:bCs w:val="1"/>
                <w:color w:val="auto"/>
              </w:rPr>
              <w:t>CONSOLIDATED BALANCE SHEETS</w:t>
            </w: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tcPr>
          <w:p>
            <w:pPr>
              <w:spacing w:after="0"/>
              <w:rPr>
                <w:sz w:val="17"/>
                <w:szCs w:val="17"/>
                <w:color w:val="auto"/>
              </w:rPr>
            </w:pPr>
          </w:p>
        </w:tc>
        <w:tc>
          <w:tcPr>
            <w:tcW w:w="584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(Unaudited)</w:t>
            </w:r>
          </w:p>
        </w:tc>
        <w:tc>
          <w:tcPr>
            <w:tcW w:w="1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5840" w:type="dxa"/>
            <w:vAlign w:val="bottom"/>
          </w:tcPr>
          <w:p>
            <w:pPr>
              <w:jc w:val="right"/>
              <w:ind w:right="270"/>
              <w:spacing w:after="0" w:line="195" w:lineRule="exact"/>
              <w:rPr>
                <w:sz w:val="20"/>
                <w:szCs w:val="20"/>
                <w:color w:val="auto"/>
              </w:rPr>
            </w:pPr>
            <w:r>
              <w:rPr>
                <w:rFonts w:ascii="Arial" w:cs="Arial" w:eastAsia="Arial" w:hAnsi="Arial"/>
                <w:sz w:val="18"/>
                <w:szCs w:val="18"/>
                <w:color w:val="auto"/>
              </w:rPr>
              <w:t>December 29,</w:t>
            </w:r>
          </w:p>
        </w:tc>
        <w:tc>
          <w:tcPr>
            <w:tcW w:w="1660" w:type="dxa"/>
            <w:vAlign w:val="bottom"/>
          </w:tcPr>
          <w:p>
            <w:pPr>
              <w:jc w:val="right"/>
              <w:ind w:right="10"/>
              <w:spacing w:after="0" w:line="195" w:lineRule="exact"/>
              <w:rPr>
                <w:sz w:val="20"/>
                <w:szCs w:val="20"/>
                <w:color w:val="auto"/>
              </w:rPr>
            </w:pPr>
            <w:r>
              <w:rPr>
                <w:rFonts w:ascii="Arial" w:cs="Arial" w:eastAsia="Arial" w:hAnsi="Arial"/>
                <w:sz w:val="18"/>
                <w:szCs w:val="18"/>
                <w:color w:val="auto"/>
              </w:rPr>
              <w:t>September 29,</w:t>
            </w:r>
          </w:p>
        </w:tc>
        <w:tc>
          <w:tcPr>
            <w:tcW w:w="0" w:type="dxa"/>
            <w:vAlign w:val="bottom"/>
          </w:tcPr>
          <w:p>
            <w:pPr>
              <w:spacing w:after="0"/>
              <w:rPr>
                <w:sz w:val="1"/>
                <w:szCs w:val="1"/>
                <w:color w:val="auto"/>
              </w:rPr>
            </w:pPr>
          </w:p>
        </w:tc>
      </w:tr>
      <w:tr>
        <w:trPr>
          <w:trHeight w:val="203"/>
        </w:trPr>
        <w:tc>
          <w:tcPr>
            <w:tcW w:w="3920" w:type="dxa"/>
            <w:vAlign w:val="bottom"/>
            <w:gridSpan w:val="3"/>
          </w:tcPr>
          <w:p>
            <w:pPr>
              <w:spacing w:after="0"/>
              <w:rPr>
                <w:sz w:val="20"/>
                <w:szCs w:val="20"/>
                <w:color w:val="auto"/>
              </w:rPr>
            </w:pPr>
            <w:r>
              <w:rPr>
                <w:rFonts w:ascii="Arial" w:cs="Arial" w:eastAsia="Arial" w:hAnsi="Arial"/>
                <w:sz w:val="16"/>
                <w:szCs w:val="16"/>
                <w:i w:val="1"/>
                <w:iCs w:val="1"/>
                <w:color w:val="auto"/>
              </w:rPr>
              <w:t>(Thousands of Dollars)</w:t>
            </w:r>
          </w:p>
        </w:tc>
        <w:tc>
          <w:tcPr>
            <w:tcW w:w="5840" w:type="dxa"/>
            <w:vAlign w:val="bottom"/>
          </w:tcPr>
          <w:p>
            <w:pPr>
              <w:jc w:val="right"/>
              <w:ind w:right="270"/>
              <w:spacing w:after="0" w:line="203" w:lineRule="exact"/>
              <w:rPr>
                <w:sz w:val="20"/>
                <w:szCs w:val="20"/>
                <w:color w:val="auto"/>
              </w:rPr>
            </w:pPr>
            <w:r>
              <w:rPr>
                <w:rFonts w:ascii="Arial" w:cs="Arial" w:eastAsia="Arial" w:hAnsi="Arial"/>
                <w:sz w:val="18"/>
                <w:szCs w:val="18"/>
                <w:color w:val="auto"/>
              </w:rPr>
              <w:t>2019</w:t>
            </w:r>
          </w:p>
        </w:tc>
        <w:tc>
          <w:tcPr>
            <w:tcW w:w="1660" w:type="dxa"/>
            <w:vAlign w:val="bottom"/>
          </w:tcPr>
          <w:p>
            <w:pPr>
              <w:jc w:val="right"/>
              <w:ind w:right="10"/>
              <w:spacing w:after="0" w:line="203" w:lineRule="exact"/>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100" w:type="dxa"/>
            <w:vAlign w:val="bottom"/>
            <w:tcBorders>
              <w:top w:val="single" w:sz="8" w:color="auto"/>
            </w:tcBorders>
          </w:tcPr>
          <w:p>
            <w:pPr>
              <w:spacing w:after="0"/>
              <w:rPr>
                <w:sz w:val="17"/>
                <w:szCs w:val="17"/>
                <w:color w:val="auto"/>
              </w:rPr>
            </w:pPr>
          </w:p>
        </w:tc>
        <w:tc>
          <w:tcPr>
            <w:tcW w:w="584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w:t>
            </w:r>
          </w:p>
        </w:tc>
        <w:tc>
          <w:tcPr>
            <w:tcW w:w="3100" w:type="dxa"/>
            <w:vAlign w:val="bottom"/>
            <w:shd w:val="clear" w:color="auto" w:fill="CCEEFF"/>
          </w:tcPr>
          <w:p>
            <w:pPr>
              <w:spacing w:after="0"/>
              <w:rPr>
                <w:sz w:val="17"/>
                <w:szCs w:val="17"/>
                <w:color w:val="auto"/>
              </w:rPr>
            </w:pPr>
          </w:p>
        </w:tc>
        <w:tc>
          <w:tcPr>
            <w:tcW w:w="58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900" w:type="dxa"/>
            <w:vAlign w:val="bottom"/>
            <w:gridSpan w:val="2"/>
          </w:tcPr>
          <w:p>
            <w:pPr>
              <w:spacing w:after="0"/>
              <w:rPr>
                <w:sz w:val="17"/>
                <w:szCs w:val="17"/>
                <w:color w:val="auto"/>
              </w:rPr>
            </w:pPr>
          </w:p>
        </w:tc>
        <w:tc>
          <w:tcPr>
            <w:tcW w:w="58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Current assets:</w:t>
            </w:r>
          </w:p>
        </w:tc>
        <w:tc>
          <w:tcPr>
            <w:tcW w:w="58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Cash and cash equivalents</w:t>
            </w:r>
          </w:p>
        </w:tc>
        <w:tc>
          <w:tcPr>
            <w:tcW w:w="58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4,468</w:t>
            </w:r>
          </w:p>
        </w:tc>
        <w:tc>
          <w:tcPr>
            <w:tcW w:w="16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8,645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Accounts receivable and contract assets, net</w:t>
            </w:r>
          </w:p>
        </w:tc>
        <w:tc>
          <w:tcPr>
            <w:tcW w:w="584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50,650</w:t>
            </w:r>
          </w:p>
        </w:tc>
        <w:tc>
          <w:tcPr>
            <w:tcW w:w="16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42,536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Inventories</w:t>
            </w:r>
          </w:p>
        </w:tc>
        <w:tc>
          <w:tcPr>
            <w:tcW w:w="58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3,373</w:t>
            </w:r>
          </w:p>
        </w:tc>
        <w:tc>
          <w:tcPr>
            <w:tcW w:w="16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Borders>
              <w:bottom w:val="single" w:sz="8" w:color="auto"/>
            </w:tcBorders>
            <w:gridSpan w:val="2"/>
            <w:shd w:val="clear" w:color="auto" w:fill="CCEEFF"/>
          </w:tcPr>
          <w:p>
            <w:pPr>
              <w:ind w:left="160"/>
              <w:spacing w:after="0"/>
              <w:rPr>
                <w:sz w:val="20"/>
                <w:szCs w:val="20"/>
                <w:color w:val="auto"/>
              </w:rPr>
            </w:pPr>
            <w:r>
              <w:rPr>
                <w:rFonts w:ascii="Arial" w:cs="Arial" w:eastAsia="Arial" w:hAnsi="Arial"/>
                <w:sz w:val="18"/>
                <w:szCs w:val="18"/>
                <w:color w:val="auto"/>
              </w:rPr>
              <w:t>Prepaids and other</w:t>
            </w:r>
          </w:p>
        </w:tc>
        <w:tc>
          <w:tcPr>
            <w:tcW w:w="58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4,659</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5,353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Total current assets</w:t>
            </w:r>
          </w:p>
        </w:tc>
        <w:tc>
          <w:tcPr>
            <w:tcW w:w="584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63,150</w:t>
            </w:r>
          </w:p>
        </w:tc>
        <w:tc>
          <w:tcPr>
            <w:tcW w:w="16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60,303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58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Associated companies</w:t>
            </w:r>
          </w:p>
        </w:tc>
        <w:tc>
          <w:tcPr>
            <w:tcW w:w="58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29,573</w:t>
            </w:r>
          </w:p>
        </w:tc>
        <w:tc>
          <w:tcPr>
            <w:tcW w:w="16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28,742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3100" w:type="dxa"/>
            <w:vAlign w:val="bottom"/>
            <w:tcBorders>
              <w:bottom w:val="single" w:sz="8" w:color="auto"/>
            </w:tcBorders>
            <w:shd w:val="clear" w:color="auto" w:fill="CCEEFF"/>
          </w:tcPr>
          <w:p>
            <w:pPr>
              <w:spacing w:after="0"/>
              <w:rPr>
                <w:sz w:val="18"/>
                <w:szCs w:val="18"/>
                <w:color w:val="auto"/>
              </w:rPr>
            </w:pPr>
          </w:p>
        </w:tc>
        <w:tc>
          <w:tcPr>
            <w:tcW w:w="58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10,847</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10,684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Total investments</w:t>
            </w:r>
          </w:p>
        </w:tc>
        <w:tc>
          <w:tcPr>
            <w:tcW w:w="584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40,420</w:t>
            </w:r>
          </w:p>
        </w:tc>
        <w:tc>
          <w:tcPr>
            <w:tcW w:w="16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39,426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Property and equipment:</w:t>
            </w:r>
          </w:p>
        </w:tc>
        <w:tc>
          <w:tcPr>
            <w:tcW w:w="58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Land and improvements</w:t>
            </w:r>
          </w:p>
        </w:tc>
        <w:tc>
          <w:tcPr>
            <w:tcW w:w="58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17,028</w:t>
            </w:r>
          </w:p>
        </w:tc>
        <w:tc>
          <w:tcPr>
            <w:tcW w:w="16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16,979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Buildings and improvements</w:t>
            </w:r>
          </w:p>
        </w:tc>
        <w:tc>
          <w:tcPr>
            <w:tcW w:w="584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148,690</w:t>
            </w:r>
          </w:p>
        </w:tc>
        <w:tc>
          <w:tcPr>
            <w:tcW w:w="16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148,514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Equipment</w:t>
            </w:r>
          </w:p>
        </w:tc>
        <w:tc>
          <w:tcPr>
            <w:tcW w:w="58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230,561</w:t>
            </w:r>
          </w:p>
        </w:tc>
        <w:tc>
          <w:tcPr>
            <w:tcW w:w="16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237,289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Borders>
              <w:bottom w:val="single" w:sz="8" w:color="auto"/>
            </w:tcBorders>
            <w:gridSpan w:val="2"/>
            <w:shd w:val="clear" w:color="auto" w:fill="CCEEFF"/>
          </w:tcPr>
          <w:p>
            <w:pPr>
              <w:ind w:left="160"/>
              <w:spacing w:after="0"/>
              <w:rPr>
                <w:sz w:val="20"/>
                <w:szCs w:val="20"/>
                <w:color w:val="auto"/>
              </w:rPr>
            </w:pPr>
            <w:r>
              <w:rPr>
                <w:rFonts w:ascii="Arial" w:cs="Arial" w:eastAsia="Arial" w:hAnsi="Arial"/>
                <w:sz w:val="18"/>
                <w:szCs w:val="18"/>
                <w:color w:val="auto"/>
              </w:rPr>
              <w:t>Construction in process</w:t>
            </w:r>
          </w:p>
        </w:tc>
        <w:tc>
          <w:tcPr>
            <w:tcW w:w="58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3,432</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1,980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584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399,711</w:t>
            </w:r>
          </w:p>
        </w:tc>
        <w:tc>
          <w:tcPr>
            <w:tcW w:w="16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404,762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Borders>
              <w:bottom w:val="single" w:sz="8" w:color="auto"/>
            </w:tcBorders>
            <w:gridSpan w:val="2"/>
            <w:shd w:val="clear" w:color="auto" w:fill="CCEEFF"/>
          </w:tcPr>
          <w:p>
            <w:pPr>
              <w:ind w:left="160"/>
              <w:spacing w:after="0"/>
              <w:rPr>
                <w:sz w:val="20"/>
                <w:szCs w:val="20"/>
                <w:color w:val="auto"/>
              </w:rPr>
            </w:pPr>
            <w:r>
              <w:rPr>
                <w:rFonts w:ascii="Arial" w:cs="Arial" w:eastAsia="Arial" w:hAnsi="Arial"/>
                <w:sz w:val="18"/>
                <w:szCs w:val="18"/>
                <w:color w:val="auto"/>
              </w:rPr>
              <w:t>Less accumulated depreciation</w:t>
            </w:r>
          </w:p>
        </w:tc>
        <w:tc>
          <w:tcPr>
            <w:tcW w:w="58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318,598</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322,723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Property and equipment, net</w:t>
            </w:r>
          </w:p>
        </w:tc>
        <w:tc>
          <w:tcPr>
            <w:tcW w:w="584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81,113</w:t>
            </w:r>
          </w:p>
        </w:tc>
        <w:tc>
          <w:tcPr>
            <w:tcW w:w="16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82,039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Operating lease right-of-use assets</w:t>
            </w:r>
          </w:p>
        </w:tc>
        <w:tc>
          <w:tcPr>
            <w:tcW w:w="5840" w:type="dxa"/>
            <w:vAlign w:val="bottom"/>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10,125</w:t>
            </w:r>
          </w:p>
        </w:tc>
        <w:tc>
          <w:tcPr>
            <w:tcW w:w="166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3100" w:type="dxa"/>
            <w:vAlign w:val="bottom"/>
          </w:tcPr>
          <w:p>
            <w:pPr>
              <w:spacing w:after="0"/>
              <w:rPr>
                <w:sz w:val="17"/>
                <w:szCs w:val="17"/>
                <w:color w:val="auto"/>
              </w:rPr>
            </w:pPr>
          </w:p>
        </w:tc>
        <w:tc>
          <w:tcPr>
            <w:tcW w:w="58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250,309</w:t>
            </w:r>
          </w:p>
        </w:tc>
        <w:tc>
          <w:tcPr>
            <w:tcW w:w="16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250,309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intangible assets, net</w:t>
            </w:r>
          </w:p>
        </w:tc>
        <w:tc>
          <w:tcPr>
            <w:tcW w:w="584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104,395</w:t>
            </w:r>
          </w:p>
        </w:tc>
        <w:tc>
          <w:tcPr>
            <w:tcW w:w="16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107,393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gridSpan w:val="2"/>
          </w:tcPr>
          <w:p>
            <w:pPr>
              <w:spacing w:after="0" w:line="202" w:lineRule="exact"/>
              <w:rPr>
                <w:sz w:val="20"/>
                <w:szCs w:val="20"/>
                <w:color w:val="auto"/>
              </w:rPr>
            </w:pPr>
            <w:r>
              <w:rPr>
                <w:rFonts w:ascii="Arial" w:cs="Arial" w:eastAsia="Arial" w:hAnsi="Arial"/>
                <w:sz w:val="18"/>
                <w:szCs w:val="18"/>
                <w:color w:val="auto"/>
              </w:rPr>
              <w:t>Medical plan assets, net</w:t>
            </w:r>
          </w:p>
        </w:tc>
        <w:tc>
          <w:tcPr>
            <w:tcW w:w="58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14,791</w:t>
            </w:r>
          </w:p>
        </w:tc>
        <w:tc>
          <w:tcPr>
            <w:tcW w:w="16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14,338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3100" w:type="dxa"/>
            <w:vAlign w:val="bottom"/>
            <w:shd w:val="clear" w:color="auto" w:fill="CCEEFF"/>
          </w:tcPr>
          <w:p>
            <w:pPr>
              <w:spacing w:after="0"/>
              <w:rPr>
                <w:sz w:val="17"/>
                <w:szCs w:val="17"/>
                <w:color w:val="auto"/>
              </w:rPr>
            </w:pPr>
          </w:p>
        </w:tc>
        <w:tc>
          <w:tcPr>
            <w:tcW w:w="584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1,427</w:t>
            </w:r>
          </w:p>
        </w:tc>
        <w:tc>
          <w:tcPr>
            <w:tcW w:w="16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1,394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100" w:type="dxa"/>
            <w:vAlign w:val="bottom"/>
            <w:shd w:val="clear" w:color="auto" w:fill="CCEEFF"/>
          </w:tcPr>
          <w:p>
            <w:pPr>
              <w:spacing w:after="0"/>
              <w:rPr>
                <w:sz w:val="17"/>
                <w:szCs w:val="17"/>
                <w:color w:val="auto"/>
              </w:rPr>
            </w:pPr>
          </w:p>
        </w:tc>
        <w:tc>
          <w:tcPr>
            <w:tcW w:w="58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100" w:type="dxa"/>
            <w:vAlign w:val="bottom"/>
            <w:shd w:val="clear" w:color="auto" w:fill="CCEEFF"/>
          </w:tcPr>
          <w:p>
            <w:pPr>
              <w:spacing w:after="0"/>
              <w:rPr>
                <w:sz w:val="17"/>
                <w:szCs w:val="17"/>
                <w:color w:val="auto"/>
              </w:rPr>
            </w:pPr>
          </w:p>
        </w:tc>
        <w:tc>
          <w:tcPr>
            <w:tcW w:w="58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840" w:type="dxa"/>
            <w:vAlign w:val="bottom"/>
            <w:tcBorders>
              <w:bottom w:val="single" w:sz="8" w:color="auto"/>
            </w:tcBorders>
            <w:shd w:val="clear" w:color="auto" w:fill="CCEEFF"/>
          </w:tcPr>
          <w:p>
            <w:pPr>
              <w:spacing w:after="0"/>
              <w:rPr>
                <w:sz w:val="17"/>
                <w:szCs w:val="17"/>
                <w:color w:val="auto"/>
              </w:rPr>
            </w:pPr>
          </w:p>
        </w:tc>
        <w:tc>
          <w:tcPr>
            <w:tcW w:w="51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spacing w:after="0"/>
              <w:rPr>
                <w:sz w:val="17"/>
                <w:szCs w:val="17"/>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8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assets</w:t>
            </w:r>
          </w:p>
        </w:tc>
        <w:tc>
          <w:tcPr>
            <w:tcW w:w="516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color w:val="auto"/>
              </w:rPr>
              <w:t>565,730</w:t>
            </w:r>
          </w:p>
        </w:tc>
        <w:tc>
          <w:tcPr>
            <w:tcW w:w="14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555,202</w:t>
            </w:r>
          </w:p>
        </w:tc>
      </w:tr>
      <w:tr>
        <w:trPr>
          <w:trHeight w:val="20"/>
        </w:trPr>
        <w:tc>
          <w:tcPr>
            <w:tcW w:w="20" w:type="dxa"/>
            <w:vAlign w:val="bottom"/>
          </w:tcPr>
          <w:p>
            <w:pPr>
              <w:spacing w:after="0" w:line="20" w:lineRule="exact"/>
              <w:rPr>
                <w:sz w:val="1"/>
                <w:szCs w:val="1"/>
                <w:color w:val="auto"/>
              </w:rPr>
            </w:pPr>
          </w:p>
        </w:tc>
        <w:tc>
          <w:tcPr>
            <w:tcW w:w="4840" w:type="dxa"/>
            <w:vAlign w:val="bottom"/>
            <w:tcBorders>
              <w:bottom w:val="single" w:sz="8" w:color="auto"/>
            </w:tcBorders>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00" w:type="dxa"/>
            <w:vAlign w:val="bottom"/>
            <w:tcBorders>
              <w:top w:val="single" w:sz="8" w:color="auto"/>
              <w:bottom w:val="single" w:sz="8" w:color="auto"/>
            </w:tcBorders>
          </w:tcPr>
          <w:p>
            <w:pPr>
              <w:spacing w:after="0"/>
              <w:rPr>
                <w:sz w:val="18"/>
                <w:szCs w:val="18"/>
                <w:color w:val="auto"/>
              </w:rPr>
            </w:pPr>
          </w:p>
        </w:tc>
        <w:tc>
          <w:tcPr>
            <w:tcW w:w="21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(Unaudited)</w:t>
            </w:r>
          </w:p>
        </w:tc>
        <w:tc>
          <w:tcPr>
            <w:tcW w:w="16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2180" w:type="dxa"/>
            <w:vAlign w:val="bottom"/>
          </w:tcPr>
          <w:p>
            <w:pPr>
              <w:jc w:val="right"/>
              <w:ind w:right="310"/>
              <w:spacing w:after="0" w:line="195" w:lineRule="exact"/>
              <w:rPr>
                <w:sz w:val="20"/>
                <w:szCs w:val="20"/>
                <w:color w:val="auto"/>
              </w:rPr>
            </w:pPr>
            <w:r>
              <w:rPr>
                <w:rFonts w:ascii="Arial" w:cs="Arial" w:eastAsia="Arial" w:hAnsi="Arial"/>
                <w:sz w:val="18"/>
                <w:szCs w:val="18"/>
                <w:color w:val="auto"/>
              </w:rPr>
              <w:t>December 29,</w:t>
            </w:r>
          </w:p>
        </w:tc>
        <w:tc>
          <w:tcPr>
            <w:tcW w:w="16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September 29,</w:t>
            </w:r>
          </w:p>
        </w:tc>
        <w:tc>
          <w:tcPr>
            <w:tcW w:w="0" w:type="dxa"/>
            <w:vAlign w:val="bottom"/>
          </w:tcPr>
          <w:p>
            <w:pPr>
              <w:spacing w:after="0"/>
              <w:rPr>
                <w:sz w:val="1"/>
                <w:szCs w:val="1"/>
                <w:color w:val="auto"/>
              </w:rPr>
            </w:pPr>
          </w:p>
        </w:tc>
      </w:tr>
      <w:tr>
        <w:trPr>
          <w:trHeight w:val="203"/>
        </w:trPr>
        <w:tc>
          <w:tcPr>
            <w:tcW w:w="7620" w:type="dxa"/>
            <w:vAlign w:val="bottom"/>
            <w:gridSpan w:val="2"/>
          </w:tcPr>
          <w:p>
            <w:pPr>
              <w:spacing w:after="0"/>
              <w:rPr>
                <w:sz w:val="20"/>
                <w:szCs w:val="20"/>
                <w:color w:val="auto"/>
              </w:rPr>
            </w:pPr>
            <w:r>
              <w:rPr>
                <w:rFonts w:ascii="Arial" w:cs="Arial" w:eastAsia="Arial" w:hAnsi="Arial"/>
                <w:sz w:val="16"/>
                <w:szCs w:val="16"/>
                <w:i w:val="1"/>
                <w:iCs w:val="1"/>
                <w:color w:val="auto"/>
              </w:rPr>
              <w:t>(Thousands of Dollars and Shares, Except Per Share Data)</w:t>
            </w:r>
          </w:p>
        </w:tc>
        <w:tc>
          <w:tcPr>
            <w:tcW w:w="2180" w:type="dxa"/>
            <w:vAlign w:val="bottom"/>
          </w:tcPr>
          <w:p>
            <w:pPr>
              <w:jc w:val="right"/>
              <w:ind w:right="310"/>
              <w:spacing w:after="0" w:line="203" w:lineRule="exact"/>
              <w:rPr>
                <w:sz w:val="20"/>
                <w:szCs w:val="20"/>
                <w:color w:val="auto"/>
              </w:rPr>
            </w:pPr>
            <w:r>
              <w:rPr>
                <w:rFonts w:ascii="Arial" w:cs="Arial" w:eastAsia="Arial" w:hAnsi="Arial"/>
                <w:sz w:val="18"/>
                <w:szCs w:val="18"/>
                <w:color w:val="auto"/>
              </w:rPr>
              <w:t>2019</w:t>
            </w:r>
          </w:p>
        </w:tc>
        <w:tc>
          <w:tcPr>
            <w:tcW w:w="1620" w:type="dxa"/>
            <w:vAlign w:val="bottom"/>
          </w:tcPr>
          <w:p>
            <w:pPr>
              <w:jc w:val="right"/>
              <w:ind w:right="10"/>
              <w:spacing w:after="0" w:line="203" w:lineRule="exact"/>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600" w:type="dxa"/>
            <w:vAlign w:val="bottom"/>
            <w:tcBorders>
              <w:top w:val="single" w:sz="8" w:color="auto"/>
            </w:tcBorders>
            <w:shd w:val="clear" w:color="auto" w:fill="CCEEFF"/>
          </w:tcPr>
          <w:p>
            <w:pPr>
              <w:spacing w:after="0"/>
              <w:rPr>
                <w:sz w:val="17"/>
                <w:szCs w:val="17"/>
                <w:color w:val="auto"/>
              </w:rPr>
            </w:pPr>
          </w:p>
        </w:tc>
        <w:tc>
          <w:tcPr>
            <w:tcW w:w="218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600" w:type="dxa"/>
            <w:vAlign w:val="bottom"/>
          </w:tcPr>
          <w:p>
            <w:pPr>
              <w:spacing w:after="0" w:line="202" w:lineRule="exact"/>
              <w:rPr>
                <w:sz w:val="20"/>
                <w:szCs w:val="20"/>
                <w:color w:val="auto"/>
              </w:rPr>
            </w:pPr>
            <w:r>
              <w:rPr>
                <w:rFonts w:ascii="Arial" w:cs="Arial" w:eastAsia="Arial" w:hAnsi="Arial"/>
                <w:sz w:val="18"/>
                <w:szCs w:val="18"/>
                <w:color w:val="auto"/>
              </w:rPr>
              <w:t>LIABILITIES AND EQUITY</w:t>
            </w:r>
          </w:p>
        </w:tc>
        <w:tc>
          <w:tcPr>
            <w:tcW w:w="2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60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60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2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Current portion of lease liabilities</w:t>
            </w:r>
          </w:p>
        </w:tc>
        <w:tc>
          <w:tcPr>
            <w:tcW w:w="218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2,341</w:t>
            </w: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tcPr>
          <w:p>
            <w:pPr>
              <w:ind w:left="160"/>
              <w:spacing w:after="0" w:line="202" w:lineRule="exact"/>
              <w:rPr>
                <w:sz w:val="20"/>
                <w:szCs w:val="20"/>
                <w:color w:val="auto"/>
              </w:rPr>
            </w:pPr>
            <w:r>
              <w:rPr>
                <w:rFonts w:ascii="Arial" w:cs="Arial" w:eastAsia="Arial" w:hAnsi="Arial"/>
                <w:sz w:val="18"/>
                <w:szCs w:val="18"/>
                <w:color w:val="auto"/>
              </w:rPr>
              <w:t>Current maturities of long-term debt</w:t>
            </w:r>
          </w:p>
        </w:tc>
        <w:tc>
          <w:tcPr>
            <w:tcW w:w="218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1,892</w:t>
            </w:r>
          </w:p>
        </w:tc>
        <w:tc>
          <w:tcPr>
            <w:tcW w:w="16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Accounts payable</w:t>
            </w:r>
          </w:p>
        </w:tc>
        <w:tc>
          <w:tcPr>
            <w:tcW w:w="218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14,132</w:t>
            </w: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16,750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tcPr>
          <w:p>
            <w:pPr>
              <w:ind w:left="160"/>
              <w:spacing w:after="0" w:line="202" w:lineRule="exact"/>
              <w:rPr>
                <w:sz w:val="20"/>
                <w:szCs w:val="20"/>
                <w:color w:val="auto"/>
              </w:rPr>
            </w:pPr>
            <w:r>
              <w:rPr>
                <w:rFonts w:ascii="Arial" w:cs="Arial" w:eastAsia="Arial" w:hAnsi="Arial"/>
                <w:sz w:val="18"/>
                <w:szCs w:val="18"/>
                <w:color w:val="auto"/>
              </w:rPr>
              <w:t>Compensation and other accrued liabilities</w:t>
            </w:r>
          </w:p>
        </w:tc>
        <w:tc>
          <w:tcPr>
            <w:tcW w:w="218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15,422</w:t>
            </w:r>
          </w:p>
        </w:tc>
        <w:tc>
          <w:tcPr>
            <w:tcW w:w="16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17,711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Accrued interest</w:t>
            </w:r>
          </w:p>
        </w:tc>
        <w:tc>
          <w:tcPr>
            <w:tcW w:w="218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10,395</w:t>
            </w: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Unearned revenue</w:t>
            </w:r>
          </w:p>
        </w:tc>
        <w:tc>
          <w:tcPr>
            <w:tcW w:w="2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22,966</w:t>
            </w:r>
          </w:p>
        </w:tc>
        <w:tc>
          <w:tcPr>
            <w:tcW w:w="1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21,720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current liabilities</w:t>
            </w:r>
          </w:p>
        </w:tc>
        <w:tc>
          <w:tcPr>
            <w:tcW w:w="2180" w:type="dxa"/>
            <w:vAlign w:val="bottom"/>
            <w:tcBorders>
              <w:bottom w:val="single" w:sz="8" w:color="auto"/>
            </w:tcBorders>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rPr>
              <w:t>67,148</w:t>
            </w:r>
          </w:p>
        </w:tc>
        <w:tc>
          <w:tcPr>
            <w:tcW w:w="16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61,038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0" w:type="dxa"/>
            <w:vAlign w:val="bottom"/>
          </w:tcPr>
          <w:p>
            <w:pPr>
              <w:spacing w:after="0" w:line="196" w:lineRule="exact"/>
              <w:rPr>
                <w:sz w:val="20"/>
                <w:szCs w:val="20"/>
                <w:color w:val="auto"/>
              </w:rPr>
            </w:pPr>
            <w:r>
              <w:rPr>
                <w:rFonts w:ascii="Arial" w:cs="Arial" w:eastAsia="Arial" w:hAnsi="Arial"/>
                <w:sz w:val="18"/>
                <w:szCs w:val="18"/>
                <w:color w:val="auto"/>
              </w:rPr>
              <w:t>Long-term debt, net of current maturities</w:t>
            </w:r>
          </w:p>
        </w:tc>
        <w:tc>
          <w:tcPr>
            <w:tcW w:w="218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421,248</w:t>
            </w:r>
          </w:p>
        </w:tc>
        <w:tc>
          <w:tcPr>
            <w:tcW w:w="16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429,391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liabilities</w:t>
            </w:r>
          </w:p>
        </w:tc>
        <w:tc>
          <w:tcPr>
            <w:tcW w:w="218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7,787</w:t>
            </w: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tcPr>
          <w:p>
            <w:pPr>
              <w:spacing w:after="0" w:line="202" w:lineRule="exact"/>
              <w:rPr>
                <w:sz w:val="20"/>
                <w:szCs w:val="20"/>
                <w:color w:val="auto"/>
              </w:rPr>
            </w:pPr>
            <w:r>
              <w:rPr>
                <w:rFonts w:ascii="Arial" w:cs="Arial" w:eastAsia="Arial" w:hAnsi="Arial"/>
                <w:sz w:val="18"/>
                <w:szCs w:val="18"/>
                <w:color w:val="auto"/>
              </w:rPr>
              <w:t>Pension obligations</w:t>
            </w:r>
          </w:p>
        </w:tc>
        <w:tc>
          <w:tcPr>
            <w:tcW w:w="218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46,311</w:t>
            </w:r>
          </w:p>
        </w:tc>
        <w:tc>
          <w:tcPr>
            <w:tcW w:w="16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47,037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Postretirement and postemployment benefit obligations</w:t>
            </w:r>
          </w:p>
        </w:tc>
        <w:tc>
          <w:tcPr>
            <w:tcW w:w="218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2,569</w:t>
            </w: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2,550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218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21,614</w:t>
            </w:r>
          </w:p>
        </w:tc>
        <w:tc>
          <w:tcPr>
            <w:tcW w:w="16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29,806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taxes payable</w:t>
            </w:r>
          </w:p>
        </w:tc>
        <w:tc>
          <w:tcPr>
            <w:tcW w:w="218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17,299</w:t>
            </w: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8,742</w:t>
            </w:r>
          </w:p>
        </w:tc>
        <w:tc>
          <w:tcPr>
            <w:tcW w:w="0" w:type="dxa"/>
            <w:vAlign w:val="bottom"/>
          </w:tcPr>
          <w:p>
            <w:pPr>
              <w:spacing w:after="0"/>
              <w:rPr>
                <w:sz w:val="1"/>
                <w:szCs w:val="1"/>
                <w:color w:val="auto"/>
              </w:rPr>
            </w:pPr>
          </w:p>
        </w:tc>
      </w:tr>
      <w:tr>
        <w:trPr>
          <w:trHeight w:val="216"/>
        </w:trPr>
        <w:tc>
          <w:tcPr>
            <w:tcW w:w="7620" w:type="dxa"/>
            <w:vAlign w:val="bottom"/>
            <w:gridSpan w:val="2"/>
          </w:tcPr>
          <w:p>
            <w:pPr>
              <w:spacing w:after="0"/>
              <w:rPr>
                <w:sz w:val="20"/>
                <w:szCs w:val="20"/>
                <w:color w:val="auto"/>
              </w:rPr>
            </w:pPr>
            <w:r>
              <w:rPr>
                <w:rFonts w:ascii="Arial" w:cs="Arial" w:eastAsia="Arial" w:hAnsi="Arial"/>
                <w:sz w:val="18"/>
                <w:szCs w:val="18"/>
                <w:color w:val="auto"/>
              </w:rPr>
              <w:t>Warrants and other</w:t>
            </w:r>
          </w:p>
        </w:tc>
        <w:tc>
          <w:tcPr>
            <w:tcW w:w="2180" w:type="dxa"/>
            <w:vAlign w:val="bottom"/>
          </w:tcPr>
          <w:p>
            <w:pPr>
              <w:jc w:val="right"/>
              <w:ind w:right="310"/>
              <w:spacing w:after="0"/>
              <w:rPr>
                <w:sz w:val="20"/>
                <w:szCs w:val="20"/>
                <w:color w:val="auto"/>
              </w:rPr>
            </w:pPr>
            <w:r>
              <w:rPr>
                <w:rFonts w:ascii="Arial" w:cs="Arial" w:eastAsia="Arial" w:hAnsi="Arial"/>
                <w:sz w:val="18"/>
                <w:szCs w:val="18"/>
                <w:color w:val="auto"/>
              </w:rPr>
              <w:t>12,724</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13,469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liabilities</w:t>
            </w:r>
          </w:p>
        </w:tc>
        <w:tc>
          <w:tcPr>
            <w:tcW w:w="2180" w:type="dxa"/>
            <w:vAlign w:val="bottom"/>
            <w:tcBorders>
              <w:top w:val="single" w:sz="8" w:color="auto"/>
              <w:bottom w:val="single" w:sz="8" w:color="auto"/>
            </w:tcBorders>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rPr>
              <w:t>596,700</w:t>
            </w:r>
          </w:p>
        </w:tc>
        <w:tc>
          <w:tcPr>
            <w:tcW w:w="162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592,033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0" w:type="dxa"/>
            <w:vAlign w:val="bottom"/>
          </w:tcPr>
          <w:p>
            <w:pPr>
              <w:spacing w:after="0" w:line="196" w:lineRule="exact"/>
              <w:rPr>
                <w:sz w:val="20"/>
                <w:szCs w:val="20"/>
                <w:color w:val="auto"/>
              </w:rPr>
            </w:pPr>
            <w:r>
              <w:rPr>
                <w:rFonts w:ascii="Arial" w:cs="Arial" w:eastAsia="Arial" w:hAnsi="Arial"/>
                <w:sz w:val="18"/>
                <w:szCs w:val="18"/>
                <w:color w:val="auto"/>
              </w:rPr>
              <w:t>Equity (deficit):</w:t>
            </w:r>
          </w:p>
        </w:tc>
        <w:tc>
          <w:tcPr>
            <w:tcW w:w="2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Stockholders' equity (deficit):</w:t>
            </w:r>
          </w:p>
        </w:tc>
        <w:tc>
          <w:tcPr>
            <w:tcW w:w="21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tcPr>
          <w:p>
            <w:pPr>
              <w:ind w:left="160"/>
              <w:spacing w:after="0" w:line="202" w:lineRule="exact"/>
              <w:rPr>
                <w:sz w:val="20"/>
                <w:szCs w:val="20"/>
                <w:color w:val="auto"/>
              </w:rPr>
            </w:pPr>
            <w:r>
              <w:rPr>
                <w:rFonts w:ascii="Arial" w:cs="Arial" w:eastAsia="Arial" w:hAnsi="Arial"/>
                <w:sz w:val="18"/>
                <w:szCs w:val="18"/>
                <w:color w:val="auto"/>
              </w:rPr>
              <w:t>Serial convertible preferred stock, no par value; authorized 500 shares; none issued</w:t>
            </w:r>
          </w:p>
        </w:tc>
        <w:tc>
          <w:tcPr>
            <w:tcW w:w="218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Common Stock, $0.01 par value; authorized 120,000 shares; issued and outstanding:</w:t>
            </w:r>
          </w:p>
        </w:tc>
        <w:tc>
          <w:tcPr>
            <w:tcW w:w="218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581</w:t>
            </w: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tcPr>
          <w:p>
            <w:pPr>
              <w:ind w:left="480"/>
              <w:spacing w:after="0" w:line="202" w:lineRule="exact"/>
              <w:rPr>
                <w:sz w:val="20"/>
                <w:szCs w:val="20"/>
                <w:color w:val="auto"/>
              </w:rPr>
            </w:pPr>
            <w:r>
              <w:rPr>
                <w:rFonts w:ascii="Arial" w:cs="Arial" w:eastAsia="Arial" w:hAnsi="Arial"/>
                <w:sz w:val="18"/>
                <w:szCs w:val="18"/>
                <w:color w:val="auto"/>
              </w:rPr>
              <w:t>December 29, 2019; 58,136 shares; $0.01 par value</w:t>
            </w:r>
          </w:p>
        </w:tc>
        <w:tc>
          <w:tcPr>
            <w:tcW w:w="2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shd w:val="clear" w:color="auto" w:fill="CCEEFF"/>
          </w:tcPr>
          <w:p>
            <w:pPr>
              <w:ind w:left="480"/>
              <w:spacing w:after="0" w:line="202" w:lineRule="exact"/>
              <w:rPr>
                <w:sz w:val="20"/>
                <w:szCs w:val="20"/>
                <w:color w:val="auto"/>
              </w:rPr>
            </w:pPr>
            <w:r>
              <w:rPr>
                <w:rFonts w:ascii="Arial" w:cs="Arial" w:eastAsia="Arial" w:hAnsi="Arial"/>
                <w:sz w:val="18"/>
                <w:szCs w:val="18"/>
                <w:color w:val="auto"/>
              </w:rPr>
              <w:t>September 29, 2019; 57,646 shares; $0.01 par value</w:t>
            </w:r>
          </w:p>
        </w:tc>
        <w:tc>
          <w:tcPr>
            <w:tcW w:w="21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tcPr>
          <w:p>
            <w:pPr>
              <w:ind w:left="160"/>
              <w:spacing w:after="0" w:line="202" w:lineRule="exact"/>
              <w:rPr>
                <w:sz w:val="20"/>
                <w:szCs w:val="20"/>
                <w:color w:val="auto"/>
              </w:rPr>
            </w:pPr>
            <w:r>
              <w:rPr>
                <w:rFonts w:ascii="Arial" w:cs="Arial" w:eastAsia="Arial" w:hAnsi="Arial"/>
                <w:sz w:val="18"/>
                <w:szCs w:val="18"/>
                <w:color w:val="auto"/>
              </w:rPr>
              <w:t>Class B Common Stock, $2 par value; authorized 30,000 shares; none issued</w:t>
            </w:r>
          </w:p>
        </w:tc>
        <w:tc>
          <w:tcPr>
            <w:tcW w:w="218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Additional paid-in capital</w:t>
            </w:r>
          </w:p>
        </w:tc>
        <w:tc>
          <w:tcPr>
            <w:tcW w:w="218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255,642</w:t>
            </w: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255,476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tcPr>
          <w:p>
            <w:pPr>
              <w:ind w:left="160"/>
              <w:spacing w:after="0" w:line="202" w:lineRule="exact"/>
              <w:rPr>
                <w:sz w:val="20"/>
                <w:szCs w:val="20"/>
                <w:color w:val="auto"/>
              </w:rPr>
            </w:pPr>
            <w:r>
              <w:rPr>
                <w:rFonts w:ascii="Arial" w:cs="Arial" w:eastAsia="Arial" w:hAnsi="Arial"/>
                <w:sz w:val="18"/>
                <w:szCs w:val="18"/>
                <w:color w:val="auto"/>
              </w:rPr>
              <w:t>Accumulated deficit</w:t>
            </w:r>
          </w:p>
        </w:tc>
        <w:tc>
          <w:tcPr>
            <w:tcW w:w="218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(260,103)</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(265,423)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tcBorders>
              <w:bottom w:val="single" w:sz="8" w:color="auto"/>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Accumulated other comprehensive loss</w:t>
            </w:r>
          </w:p>
        </w:tc>
        <w:tc>
          <w:tcPr>
            <w:tcW w:w="2180" w:type="dxa"/>
            <w:vAlign w:val="bottom"/>
            <w:tcBorders>
              <w:bottom w:val="single" w:sz="8" w:color="auto"/>
            </w:tcBorders>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(28,797)</w:t>
            </w:r>
          </w:p>
        </w:tc>
        <w:tc>
          <w:tcPr>
            <w:tcW w:w="1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(29,114)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0" w:type="dxa"/>
            <w:vAlign w:val="bottom"/>
          </w:tcPr>
          <w:p>
            <w:pPr>
              <w:ind w:left="160"/>
              <w:spacing w:after="0" w:line="196" w:lineRule="exact"/>
              <w:rPr>
                <w:sz w:val="20"/>
                <w:szCs w:val="20"/>
                <w:color w:val="auto"/>
              </w:rPr>
            </w:pPr>
            <w:r>
              <w:rPr>
                <w:rFonts w:ascii="Arial" w:cs="Arial" w:eastAsia="Arial" w:hAnsi="Arial"/>
                <w:sz w:val="18"/>
                <w:szCs w:val="18"/>
                <w:color w:val="auto"/>
              </w:rPr>
              <w:t>Total stockholders' deficit</w:t>
            </w:r>
          </w:p>
        </w:tc>
        <w:tc>
          <w:tcPr>
            <w:tcW w:w="218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(32,677)</w:t>
            </w:r>
          </w:p>
        </w:tc>
        <w:tc>
          <w:tcPr>
            <w:tcW w:w="1620" w:type="dxa"/>
            <w:vAlign w:val="bottom"/>
          </w:tcPr>
          <w:p>
            <w:pPr>
              <w:jc w:val="right"/>
              <w:spacing w:after="0" w:line="196" w:lineRule="exact"/>
              <w:rPr>
                <w:sz w:val="20"/>
                <w:szCs w:val="20"/>
                <w:color w:val="auto"/>
              </w:rPr>
            </w:pPr>
            <w:r>
              <w:rPr>
                <w:rFonts w:ascii="Arial" w:cs="Arial" w:eastAsia="Arial" w:hAnsi="Arial"/>
                <w:sz w:val="18"/>
                <w:szCs w:val="18"/>
                <w:color w:val="auto"/>
              </w:rPr>
              <w:t>(38,484)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Non-controlling interests</w:t>
            </w:r>
          </w:p>
        </w:tc>
        <w:tc>
          <w:tcPr>
            <w:tcW w:w="21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1,707</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0" w:type="dxa"/>
            <w:vAlign w:val="bottom"/>
          </w:tcPr>
          <w:p>
            <w:pPr>
              <w:spacing w:after="0" w:line="196" w:lineRule="exact"/>
              <w:rPr>
                <w:sz w:val="20"/>
                <w:szCs w:val="20"/>
                <w:color w:val="auto"/>
              </w:rPr>
            </w:pPr>
            <w:r>
              <w:rPr>
                <w:rFonts w:ascii="Arial" w:cs="Arial" w:eastAsia="Arial" w:hAnsi="Arial"/>
                <w:sz w:val="18"/>
                <w:szCs w:val="18"/>
                <w:color w:val="auto"/>
              </w:rPr>
              <w:t>Total deficit</w:t>
            </w:r>
          </w:p>
        </w:tc>
        <w:tc>
          <w:tcPr>
            <w:tcW w:w="218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(30,970)</w:t>
            </w:r>
          </w:p>
        </w:tc>
        <w:tc>
          <w:tcPr>
            <w:tcW w:w="1620" w:type="dxa"/>
            <w:vAlign w:val="bottom"/>
          </w:tcPr>
          <w:p>
            <w:pPr>
              <w:jc w:val="right"/>
              <w:spacing w:after="0" w:line="196" w:lineRule="exact"/>
              <w:rPr>
                <w:sz w:val="20"/>
                <w:szCs w:val="20"/>
                <w:color w:val="auto"/>
              </w:rPr>
            </w:pPr>
            <w:r>
              <w:rPr>
                <w:rFonts w:ascii="Arial" w:cs="Arial" w:eastAsia="Arial" w:hAnsi="Arial"/>
                <w:sz w:val="18"/>
                <w:szCs w:val="18"/>
                <w:color w:val="auto"/>
              </w:rPr>
              <w:t>(36,831)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Total liabilities and deficit</w:t>
            </w:r>
          </w:p>
        </w:tc>
        <w:tc>
          <w:tcPr>
            <w:tcW w:w="2180" w:type="dxa"/>
            <w:vAlign w:val="bottom"/>
            <w:tcBorders>
              <w:bottom w:val="single" w:sz="8" w:color="auto"/>
            </w:tcBorders>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565,730</w:t>
            </w:r>
          </w:p>
        </w:tc>
        <w:tc>
          <w:tcPr>
            <w:tcW w:w="16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555,202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LEE ENTERPRISES, INCORPORATED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jc w:val="center"/>
        <w:spacing w:after="0"/>
        <w:rPr>
          <w:sz w:val="20"/>
          <w:szCs w:val="20"/>
          <w:color w:val="auto"/>
        </w:rPr>
      </w:pPr>
      <w:r>
        <w:rPr>
          <w:rFonts w:ascii="Arial" w:cs="Arial" w:eastAsia="Arial" w:hAnsi="Arial"/>
          <w:sz w:val="18"/>
          <w:szCs w:val="18"/>
          <w:color w:val="auto"/>
        </w:rPr>
        <w:t>(Unaudited)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80" w:type="dxa"/>
            <w:vAlign w:val="bottom"/>
            <w:tcBorders>
              <w:top w:val="single" w:sz="8" w:color="auto"/>
              <w:bottom w:val="single" w:sz="8" w:color="auto"/>
            </w:tcBorders>
          </w:tcPr>
          <w:p>
            <w:pPr>
              <w:spacing w:after="0"/>
              <w:rPr>
                <w:sz w:val="18"/>
                <w:szCs w:val="18"/>
                <w:color w:val="auto"/>
              </w:rPr>
            </w:pPr>
          </w:p>
        </w:tc>
        <w:tc>
          <w:tcPr>
            <w:tcW w:w="282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 Weeks Ended</w:t>
            </w:r>
          </w:p>
        </w:tc>
        <w:tc>
          <w:tcPr>
            <w:tcW w:w="0" w:type="dxa"/>
            <w:vAlign w:val="bottom"/>
          </w:tcPr>
          <w:p>
            <w:pPr>
              <w:spacing w:after="0"/>
              <w:rPr>
                <w:sz w:val="1"/>
                <w:szCs w:val="1"/>
                <w:color w:val="auto"/>
              </w:rPr>
            </w:pPr>
          </w:p>
        </w:tc>
      </w:tr>
      <w:tr>
        <w:trPr>
          <w:trHeight w:val="195"/>
        </w:trPr>
        <w:tc>
          <w:tcPr>
            <w:tcW w:w="71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(Thousands of Dollars, Except Per Common Share Data)</w:t>
            </w:r>
          </w:p>
        </w:tc>
        <w:tc>
          <w:tcPr>
            <w:tcW w:w="2820" w:type="dxa"/>
            <w:vAlign w:val="bottom"/>
          </w:tcPr>
          <w:p>
            <w:pPr>
              <w:jc w:val="right"/>
              <w:spacing w:after="0" w:line="195" w:lineRule="exact"/>
              <w:rPr>
                <w:sz w:val="20"/>
                <w:szCs w:val="20"/>
                <w:color w:val="auto"/>
              </w:rPr>
            </w:pPr>
            <w:r>
              <w:rPr>
                <w:rFonts w:ascii="Arial" w:cs="Arial" w:eastAsia="Arial" w:hAnsi="Arial"/>
                <w:sz w:val="18"/>
                <w:szCs w:val="18"/>
                <w:color w:val="auto"/>
              </w:rPr>
              <w:t>December 29,</w:t>
            </w:r>
          </w:p>
        </w:tc>
        <w:tc>
          <w:tcPr>
            <w:tcW w:w="15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December 30,</w:t>
            </w:r>
          </w:p>
        </w:tc>
        <w:tc>
          <w:tcPr>
            <w:tcW w:w="0" w:type="dxa"/>
            <w:vAlign w:val="bottom"/>
          </w:tcPr>
          <w:p>
            <w:pPr>
              <w:spacing w:after="0"/>
              <w:rPr>
                <w:sz w:val="1"/>
                <w:szCs w:val="1"/>
                <w:color w:val="auto"/>
              </w:rPr>
            </w:pPr>
          </w:p>
        </w:tc>
      </w:tr>
      <w:tr>
        <w:trPr>
          <w:trHeight w:val="203"/>
        </w:trPr>
        <w:tc>
          <w:tcPr>
            <w:tcW w:w="7100" w:type="dxa"/>
            <w:vAlign w:val="bottom"/>
            <w:gridSpan w:val="2"/>
            <w:vMerge w:val="continue"/>
          </w:tcPr>
          <w:p>
            <w:pPr>
              <w:spacing w:after="0"/>
              <w:rPr>
                <w:sz w:val="17"/>
                <w:szCs w:val="17"/>
                <w:color w:val="auto"/>
              </w:rPr>
            </w:pPr>
          </w:p>
        </w:tc>
        <w:tc>
          <w:tcPr>
            <w:tcW w:w="2820" w:type="dxa"/>
            <w:vAlign w:val="bottom"/>
          </w:tcPr>
          <w:p>
            <w:pPr>
              <w:jc w:val="right"/>
              <w:spacing w:after="0" w:line="203" w:lineRule="exact"/>
              <w:rPr>
                <w:sz w:val="20"/>
                <w:szCs w:val="20"/>
                <w:color w:val="auto"/>
              </w:rPr>
            </w:pPr>
            <w:r>
              <w:rPr>
                <w:rFonts w:ascii="Arial" w:cs="Arial" w:eastAsia="Arial" w:hAnsi="Arial"/>
                <w:sz w:val="18"/>
                <w:szCs w:val="18"/>
                <w:color w:val="auto"/>
              </w:rPr>
              <w:t>2019</w:t>
            </w:r>
          </w:p>
        </w:tc>
        <w:tc>
          <w:tcPr>
            <w:tcW w:w="1500" w:type="dxa"/>
            <w:vAlign w:val="bottom"/>
          </w:tcPr>
          <w:p>
            <w:pPr>
              <w:jc w:val="right"/>
              <w:ind w:right="10"/>
              <w:spacing w:after="0" w:line="203" w:lineRule="exact"/>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080" w:type="dxa"/>
            <w:vAlign w:val="bottom"/>
            <w:tcBorders>
              <w:top w:val="single" w:sz="8" w:color="auto"/>
            </w:tcBorders>
          </w:tcPr>
          <w:p>
            <w:pPr>
              <w:spacing w:after="0"/>
              <w:rPr>
                <w:sz w:val="17"/>
                <w:szCs w:val="17"/>
                <w:color w:val="auto"/>
              </w:rPr>
            </w:pPr>
          </w:p>
        </w:tc>
        <w:tc>
          <w:tcPr>
            <w:tcW w:w="28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w:t>
            </w:r>
          </w:p>
        </w:tc>
        <w:tc>
          <w:tcPr>
            <w:tcW w:w="28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Pr>
          <w:p>
            <w:pPr>
              <w:ind w:left="160"/>
              <w:spacing w:after="0" w:line="202" w:lineRule="exact"/>
              <w:rPr>
                <w:sz w:val="20"/>
                <w:szCs w:val="20"/>
                <w:color w:val="auto"/>
              </w:rPr>
            </w:pPr>
            <w:r>
              <w:rPr>
                <w:rFonts w:ascii="Arial" w:cs="Arial" w:eastAsia="Arial" w:hAnsi="Arial"/>
                <w:sz w:val="18"/>
                <w:szCs w:val="18"/>
                <w:color w:val="auto"/>
              </w:rPr>
              <w:t>Advertising and marketing services</w:t>
            </w:r>
          </w:p>
        </w:tc>
        <w:tc>
          <w:tcPr>
            <w:tcW w:w="2820" w:type="dxa"/>
            <w:vAlign w:val="bottom"/>
          </w:tcPr>
          <w:p>
            <w:pPr>
              <w:jc w:val="right"/>
              <w:spacing w:after="0" w:line="202" w:lineRule="exact"/>
              <w:rPr>
                <w:sz w:val="20"/>
                <w:szCs w:val="20"/>
                <w:color w:val="auto"/>
              </w:rPr>
            </w:pPr>
            <w:r>
              <w:rPr>
                <w:rFonts w:ascii="Arial" w:cs="Arial" w:eastAsia="Arial" w:hAnsi="Arial"/>
                <w:sz w:val="18"/>
                <w:szCs w:val="18"/>
                <w:color w:val="auto"/>
              </w:rPr>
              <w:t>65,727</w:t>
            </w:r>
          </w:p>
        </w:tc>
        <w:tc>
          <w:tcPr>
            <w:tcW w:w="1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75,962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Subscription</w:t>
            </w:r>
          </w:p>
        </w:tc>
        <w:tc>
          <w:tcPr>
            <w:tcW w:w="2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41,694</w:t>
            </w:r>
          </w:p>
        </w:tc>
        <w:tc>
          <w:tcPr>
            <w:tcW w:w="15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46,268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Borders>
              <w:bottom w:val="single" w:sz="8" w:color="auto"/>
            </w:tcBorders>
          </w:tcPr>
          <w:p>
            <w:pPr>
              <w:ind w:left="160"/>
              <w:spacing w:after="0" w:line="202" w:lineRule="exact"/>
              <w:rPr>
                <w:sz w:val="20"/>
                <w:szCs w:val="20"/>
                <w:color w:val="auto"/>
              </w:rPr>
            </w:pPr>
            <w:r>
              <w:rPr>
                <w:rFonts w:ascii="Arial" w:cs="Arial" w:eastAsia="Arial" w:hAnsi="Arial"/>
                <w:sz w:val="18"/>
                <w:szCs w:val="18"/>
                <w:color w:val="auto"/>
              </w:rPr>
              <w:t>Other</w:t>
            </w:r>
          </w:p>
        </w:tc>
        <w:tc>
          <w:tcPr>
            <w:tcW w:w="2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14,922</w:t>
            </w:r>
          </w:p>
        </w:tc>
        <w:tc>
          <w:tcPr>
            <w:tcW w:w="15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13,971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operating revenue</w:t>
            </w:r>
          </w:p>
        </w:tc>
        <w:tc>
          <w:tcPr>
            <w:tcW w:w="2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122,343</w:t>
            </w:r>
          </w:p>
        </w:tc>
        <w:tc>
          <w:tcPr>
            <w:tcW w:w="15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136,201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8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2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Compensation</w:t>
            </w:r>
          </w:p>
        </w:tc>
        <w:tc>
          <w:tcPr>
            <w:tcW w:w="2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43,243</w:t>
            </w:r>
          </w:p>
        </w:tc>
        <w:tc>
          <w:tcPr>
            <w:tcW w:w="15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47,038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Pr>
          <w:p>
            <w:pPr>
              <w:ind w:left="160"/>
              <w:spacing w:after="0" w:line="202" w:lineRule="exact"/>
              <w:rPr>
                <w:sz w:val="20"/>
                <w:szCs w:val="20"/>
                <w:color w:val="auto"/>
              </w:rPr>
            </w:pPr>
            <w:r>
              <w:rPr>
                <w:rFonts w:ascii="Arial" w:cs="Arial" w:eastAsia="Arial" w:hAnsi="Arial"/>
                <w:sz w:val="18"/>
                <w:szCs w:val="18"/>
                <w:color w:val="auto"/>
              </w:rPr>
              <w:t>Newsprint and ink</w:t>
            </w:r>
          </w:p>
        </w:tc>
        <w:tc>
          <w:tcPr>
            <w:tcW w:w="2820" w:type="dxa"/>
            <w:vAlign w:val="bottom"/>
          </w:tcPr>
          <w:p>
            <w:pPr>
              <w:jc w:val="right"/>
              <w:spacing w:after="0" w:line="202" w:lineRule="exact"/>
              <w:rPr>
                <w:sz w:val="20"/>
                <w:szCs w:val="20"/>
                <w:color w:val="auto"/>
              </w:rPr>
            </w:pPr>
            <w:r>
              <w:rPr>
                <w:rFonts w:ascii="Arial" w:cs="Arial" w:eastAsia="Arial" w:hAnsi="Arial"/>
                <w:sz w:val="18"/>
                <w:szCs w:val="18"/>
                <w:color w:val="auto"/>
              </w:rPr>
              <w:t>4,736</w:t>
            </w:r>
          </w:p>
        </w:tc>
        <w:tc>
          <w:tcPr>
            <w:tcW w:w="1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6,339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Other operating expenses</w:t>
            </w:r>
          </w:p>
        </w:tc>
        <w:tc>
          <w:tcPr>
            <w:tcW w:w="2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48,462</w:t>
            </w:r>
          </w:p>
        </w:tc>
        <w:tc>
          <w:tcPr>
            <w:tcW w:w="15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49,743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Pr>
          <w:p>
            <w:pPr>
              <w:ind w:left="160"/>
              <w:spacing w:after="0" w:line="202" w:lineRule="exact"/>
              <w:rPr>
                <w:sz w:val="20"/>
                <w:szCs w:val="20"/>
                <w:color w:val="auto"/>
              </w:rPr>
            </w:pPr>
            <w:r>
              <w:rPr>
                <w:rFonts w:ascii="Arial" w:cs="Arial" w:eastAsia="Arial" w:hAnsi="Arial"/>
                <w:sz w:val="18"/>
                <w:szCs w:val="18"/>
                <w:color w:val="auto"/>
              </w:rPr>
              <w:t>Depreciation and amortization</w:t>
            </w:r>
          </w:p>
        </w:tc>
        <w:tc>
          <w:tcPr>
            <w:tcW w:w="2820" w:type="dxa"/>
            <w:vAlign w:val="bottom"/>
          </w:tcPr>
          <w:p>
            <w:pPr>
              <w:jc w:val="right"/>
              <w:spacing w:after="0" w:line="202" w:lineRule="exact"/>
              <w:rPr>
                <w:sz w:val="20"/>
                <w:szCs w:val="20"/>
                <w:color w:val="auto"/>
              </w:rPr>
            </w:pPr>
            <w:r>
              <w:rPr>
                <w:rFonts w:ascii="Arial" w:cs="Arial" w:eastAsia="Arial" w:hAnsi="Arial"/>
                <w:sz w:val="18"/>
                <w:szCs w:val="18"/>
                <w:color w:val="auto"/>
              </w:rPr>
              <w:t>6,719</w:t>
            </w:r>
          </w:p>
        </w:tc>
        <w:tc>
          <w:tcPr>
            <w:tcW w:w="1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7,529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Assets loss (gain) on sales, impairments and other, net</w:t>
            </w:r>
          </w:p>
        </w:tc>
        <w:tc>
          <w:tcPr>
            <w:tcW w:w="2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814</w:t>
            </w: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Borders>
              <w:bottom w:val="single" w:sz="8" w:color="auto"/>
            </w:tcBorders>
          </w:tcPr>
          <w:p>
            <w:pPr>
              <w:ind w:left="160"/>
              <w:spacing w:after="0" w:line="202" w:lineRule="exact"/>
              <w:rPr>
                <w:sz w:val="20"/>
                <w:szCs w:val="20"/>
                <w:color w:val="auto"/>
              </w:rPr>
            </w:pPr>
            <w:r>
              <w:rPr>
                <w:rFonts w:ascii="Arial" w:cs="Arial" w:eastAsia="Arial" w:hAnsi="Arial"/>
                <w:sz w:val="18"/>
                <w:szCs w:val="18"/>
                <w:color w:val="auto"/>
              </w:rPr>
              <w:t>Restructuring costs and other</w:t>
            </w:r>
          </w:p>
        </w:tc>
        <w:tc>
          <w:tcPr>
            <w:tcW w:w="2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1,632</w:t>
            </w:r>
          </w:p>
        </w:tc>
        <w:tc>
          <w:tcPr>
            <w:tcW w:w="15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operating expenses</w:t>
            </w:r>
          </w:p>
        </w:tc>
        <w:tc>
          <w:tcPr>
            <w:tcW w:w="2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105,606</w:t>
            </w:r>
          </w:p>
        </w:tc>
        <w:tc>
          <w:tcPr>
            <w:tcW w:w="15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110,611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Equity in earnings of associated companies</w:t>
            </w:r>
          </w:p>
        </w:tc>
        <w:tc>
          <w:tcPr>
            <w:tcW w:w="2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1,569</w:t>
            </w:r>
          </w:p>
        </w:tc>
        <w:tc>
          <w:tcPr>
            <w:tcW w:w="15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2,129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2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18,306</w:t>
            </w:r>
          </w:p>
        </w:tc>
        <w:tc>
          <w:tcPr>
            <w:tcW w:w="15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27,719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80" w:type="dxa"/>
            <w:vAlign w:val="bottom"/>
          </w:tcPr>
          <w:p>
            <w:pPr>
              <w:spacing w:after="0" w:line="196" w:lineRule="exact"/>
              <w:rPr>
                <w:sz w:val="20"/>
                <w:szCs w:val="20"/>
                <w:color w:val="auto"/>
              </w:rPr>
            </w:pPr>
            <w:r>
              <w:rPr>
                <w:rFonts w:ascii="Arial" w:cs="Arial" w:eastAsia="Arial" w:hAnsi="Arial"/>
                <w:sz w:val="18"/>
                <w:szCs w:val="18"/>
                <w:color w:val="auto"/>
              </w:rPr>
              <w:t>Non-operating income (expense):</w:t>
            </w:r>
          </w:p>
        </w:tc>
        <w:tc>
          <w:tcPr>
            <w:tcW w:w="2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Interest expense</w:t>
            </w:r>
          </w:p>
        </w:tc>
        <w:tc>
          <w:tcPr>
            <w:tcW w:w="2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(11,115)</w:t>
            </w: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(12,256)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Pr>
          <w:p>
            <w:pPr>
              <w:ind w:left="160"/>
              <w:spacing w:after="0" w:line="202" w:lineRule="exact"/>
              <w:rPr>
                <w:sz w:val="20"/>
                <w:szCs w:val="20"/>
                <w:color w:val="auto"/>
              </w:rPr>
            </w:pPr>
            <w:r>
              <w:rPr>
                <w:rFonts w:ascii="Arial" w:cs="Arial" w:eastAsia="Arial" w:hAnsi="Arial"/>
                <w:sz w:val="18"/>
                <w:szCs w:val="18"/>
                <w:color w:val="auto"/>
              </w:rPr>
              <w:t>Debt financing and administrative costs</w:t>
            </w:r>
          </w:p>
        </w:tc>
        <w:tc>
          <w:tcPr>
            <w:tcW w:w="2820" w:type="dxa"/>
            <w:vAlign w:val="bottom"/>
          </w:tcPr>
          <w:p>
            <w:pPr>
              <w:jc w:val="right"/>
              <w:spacing w:after="0" w:line="202" w:lineRule="exact"/>
              <w:rPr>
                <w:sz w:val="20"/>
                <w:szCs w:val="20"/>
                <w:color w:val="auto"/>
              </w:rPr>
            </w:pPr>
            <w:r>
              <w:rPr>
                <w:rFonts w:ascii="Arial" w:cs="Arial" w:eastAsia="Arial" w:hAnsi="Arial"/>
                <w:sz w:val="18"/>
                <w:szCs w:val="18"/>
                <w:color w:val="auto"/>
              </w:rPr>
              <w:t>(1,196)</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Borders>
              <w:bottom w:val="single" w:sz="8" w:color="auto"/>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Other, net</w:t>
            </w:r>
          </w:p>
        </w:tc>
        <w:tc>
          <w:tcPr>
            <w:tcW w:w="2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1,593</w:t>
            </w:r>
          </w:p>
        </w:tc>
        <w:tc>
          <w:tcPr>
            <w:tcW w:w="15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non-operating expense, net</w:t>
            </w:r>
          </w:p>
        </w:tc>
        <w:tc>
          <w:tcPr>
            <w:tcW w:w="2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(10,718)</w:t>
            </w: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(12,487)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before income taxes</w:t>
            </w:r>
          </w:p>
        </w:tc>
        <w:tc>
          <w:tcPr>
            <w:tcW w:w="2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7,588</w:t>
            </w:r>
          </w:p>
        </w:tc>
        <w:tc>
          <w:tcPr>
            <w:tcW w:w="15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15,232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Income tax expense</w:t>
            </w:r>
          </w:p>
        </w:tc>
        <w:tc>
          <w:tcPr>
            <w:tcW w:w="2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1,871</w:t>
            </w:r>
          </w:p>
        </w:tc>
        <w:tc>
          <w:tcPr>
            <w:tcW w:w="15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4,513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2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5,717</w:t>
            </w:r>
          </w:p>
        </w:tc>
        <w:tc>
          <w:tcPr>
            <w:tcW w:w="15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10,719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2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(397)</w:t>
            </w:r>
          </w:p>
        </w:tc>
        <w:tc>
          <w:tcPr>
            <w:tcW w:w="1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attributable to Lee Enterprises, Incorporated</w:t>
            </w:r>
          </w:p>
        </w:tc>
        <w:tc>
          <w:tcPr>
            <w:tcW w:w="2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5,320</w:t>
            </w:r>
          </w:p>
        </w:tc>
        <w:tc>
          <w:tcPr>
            <w:tcW w:w="15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10,361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 comprehensive income (loss), net of income taxes</w:t>
            </w:r>
          </w:p>
        </w:tc>
        <w:tc>
          <w:tcPr>
            <w:tcW w:w="2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317</w:t>
            </w:r>
          </w:p>
        </w:tc>
        <w:tc>
          <w:tcPr>
            <w:tcW w:w="1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0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Comprehensive income attributable to Lee Enterprises, Incorporated</w:t>
            </w:r>
          </w:p>
        </w:tc>
        <w:tc>
          <w:tcPr>
            <w:tcW w:w="2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5,637</w:t>
            </w:r>
          </w:p>
        </w:tc>
        <w:tc>
          <w:tcPr>
            <w:tcW w:w="15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10,239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80" w:type="dxa"/>
            <w:vAlign w:val="bottom"/>
          </w:tcPr>
          <w:p>
            <w:pPr>
              <w:spacing w:after="0" w:line="183" w:lineRule="exact"/>
              <w:rPr>
                <w:sz w:val="20"/>
                <w:szCs w:val="20"/>
                <w:color w:val="auto"/>
              </w:rPr>
            </w:pPr>
            <w:r>
              <w:rPr>
                <w:rFonts w:ascii="Arial" w:cs="Arial" w:eastAsia="Arial" w:hAnsi="Arial"/>
                <w:sz w:val="18"/>
                <w:szCs w:val="18"/>
                <w:color w:val="auto"/>
              </w:rPr>
              <w:t>Earnings per common share:</w:t>
            </w:r>
          </w:p>
        </w:tc>
        <w:tc>
          <w:tcPr>
            <w:tcW w:w="28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Basic:</w:t>
            </w:r>
          </w:p>
        </w:tc>
        <w:tc>
          <w:tcPr>
            <w:tcW w:w="2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0.09</w:t>
            </w:r>
          </w:p>
        </w:tc>
        <w:tc>
          <w:tcPr>
            <w:tcW w:w="15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Borders>
              <w:bottom w:val="single" w:sz="8" w:color="auto"/>
            </w:tcBorders>
          </w:tcPr>
          <w:p>
            <w:pPr>
              <w:ind w:left="160"/>
              <w:spacing w:after="0" w:line="202" w:lineRule="exact"/>
              <w:rPr>
                <w:sz w:val="20"/>
                <w:szCs w:val="20"/>
                <w:color w:val="auto"/>
              </w:rPr>
            </w:pPr>
            <w:r>
              <w:rPr>
                <w:rFonts w:ascii="Arial" w:cs="Arial" w:eastAsia="Arial" w:hAnsi="Arial"/>
                <w:sz w:val="18"/>
                <w:szCs w:val="18"/>
                <w:color w:val="auto"/>
              </w:rPr>
              <w:t>Diluted:</w:t>
            </w:r>
          </w:p>
        </w:tc>
        <w:tc>
          <w:tcPr>
            <w:tcW w:w="2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0.09</w:t>
            </w:r>
          </w:p>
        </w:tc>
        <w:tc>
          <w:tcPr>
            <w:tcW w:w="15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40" w:type="dxa"/>
            <w:vAlign w:val="bottom"/>
          </w:tcPr>
          <w:p>
            <w:pPr>
              <w:jc w:val="right"/>
              <w:ind w:right="310"/>
              <w:spacing w:after="0"/>
              <w:rPr>
                <w:sz w:val="20"/>
                <w:szCs w:val="20"/>
                <w:color w:val="auto"/>
              </w:rPr>
            </w:pPr>
            <w:r>
              <w:rPr>
                <w:rFonts w:ascii="Arial" w:cs="Arial" w:eastAsia="Arial" w:hAnsi="Arial"/>
                <w:sz w:val="18"/>
                <w:szCs w:val="18"/>
                <w:color w:val="auto"/>
              </w:rPr>
              <w:t>Accumulated</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4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Other</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16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Accumulated</w:t>
            </w: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Common</w:t>
            </w:r>
          </w:p>
        </w:tc>
        <w:tc>
          <w:tcPr>
            <w:tcW w:w="13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Additional</w:t>
            </w:r>
          </w:p>
        </w:tc>
        <w:tc>
          <w:tcPr>
            <w:tcW w:w="174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Comprehensive</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gridSpan w:val="2"/>
          </w:tcPr>
          <w:p>
            <w:pPr>
              <w:spacing w:after="0"/>
              <w:rPr>
                <w:sz w:val="20"/>
                <w:szCs w:val="20"/>
                <w:color w:val="auto"/>
              </w:rPr>
            </w:pPr>
            <w:r>
              <w:rPr>
                <w:rFonts w:ascii="Arial" w:cs="Arial" w:eastAsia="Arial" w:hAnsi="Arial"/>
                <w:sz w:val="16"/>
                <w:szCs w:val="16"/>
                <w:i w:val="1"/>
                <w:iCs w:val="1"/>
                <w:color w:val="auto"/>
              </w:rPr>
              <w:t>(Thousands of Dollars)</w:t>
            </w:r>
          </w:p>
        </w:tc>
        <w:tc>
          <w:tcPr>
            <w:tcW w:w="1660" w:type="dxa"/>
            <w:vAlign w:val="bottom"/>
          </w:tcPr>
          <w:p>
            <w:pPr>
              <w:jc w:val="right"/>
              <w:ind w:right="250"/>
              <w:spacing w:after="0" w:line="203" w:lineRule="exact"/>
              <w:rPr>
                <w:sz w:val="20"/>
                <w:szCs w:val="20"/>
                <w:color w:val="auto"/>
              </w:rPr>
            </w:pPr>
            <w:r>
              <w:rPr>
                <w:rFonts w:ascii="Arial" w:cs="Arial" w:eastAsia="Arial" w:hAnsi="Arial"/>
                <w:sz w:val="18"/>
                <w:szCs w:val="18"/>
                <w:color w:val="auto"/>
              </w:rPr>
              <w:t>Deficit</w:t>
            </w:r>
          </w:p>
        </w:tc>
        <w:tc>
          <w:tcPr>
            <w:tcW w:w="1140" w:type="dxa"/>
            <w:vAlign w:val="bottom"/>
          </w:tcPr>
          <w:p>
            <w:pPr>
              <w:jc w:val="right"/>
              <w:ind w:right="30"/>
              <w:spacing w:after="0" w:line="203" w:lineRule="exact"/>
              <w:rPr>
                <w:sz w:val="20"/>
                <w:szCs w:val="20"/>
                <w:color w:val="auto"/>
              </w:rPr>
            </w:pPr>
            <w:r>
              <w:rPr>
                <w:rFonts w:ascii="Arial" w:cs="Arial" w:eastAsia="Arial" w:hAnsi="Arial"/>
                <w:sz w:val="18"/>
                <w:szCs w:val="18"/>
                <w:color w:val="auto"/>
              </w:rPr>
              <w:t>Stock</w:t>
            </w:r>
          </w:p>
        </w:tc>
        <w:tc>
          <w:tcPr>
            <w:tcW w:w="1360" w:type="dxa"/>
            <w:vAlign w:val="bottom"/>
          </w:tcPr>
          <w:p>
            <w:pPr>
              <w:jc w:val="right"/>
              <w:ind w:right="50"/>
              <w:spacing w:after="0" w:line="203" w:lineRule="exact"/>
              <w:rPr>
                <w:sz w:val="20"/>
                <w:szCs w:val="20"/>
                <w:color w:val="auto"/>
              </w:rPr>
            </w:pPr>
            <w:r>
              <w:rPr>
                <w:rFonts w:ascii="Arial" w:cs="Arial" w:eastAsia="Arial" w:hAnsi="Arial"/>
                <w:sz w:val="18"/>
                <w:szCs w:val="18"/>
                <w:color w:val="auto"/>
              </w:rPr>
              <w:t>paid-in capital</w:t>
            </w:r>
          </w:p>
        </w:tc>
        <w:tc>
          <w:tcPr>
            <w:tcW w:w="1740" w:type="dxa"/>
            <w:vAlign w:val="bottom"/>
          </w:tcPr>
          <w:p>
            <w:pPr>
              <w:jc w:val="right"/>
              <w:ind w:right="310"/>
              <w:spacing w:after="0" w:line="203" w:lineRule="exact"/>
              <w:rPr>
                <w:sz w:val="20"/>
                <w:szCs w:val="20"/>
                <w:color w:val="auto"/>
              </w:rPr>
            </w:pPr>
            <w:r>
              <w:rPr>
                <w:rFonts w:ascii="Arial" w:cs="Arial" w:eastAsia="Arial" w:hAnsi="Arial"/>
                <w:sz w:val="18"/>
                <w:szCs w:val="18"/>
                <w:color w:val="auto"/>
              </w:rPr>
              <w:t>Loss</w:t>
            </w:r>
          </w:p>
        </w:tc>
        <w:tc>
          <w:tcPr>
            <w:tcW w:w="1060" w:type="dxa"/>
            <w:vAlign w:val="bottom"/>
          </w:tcPr>
          <w:p>
            <w:pPr>
              <w:jc w:val="right"/>
              <w:ind w:right="10"/>
              <w:spacing w:after="0" w:line="203" w:lineRule="exact"/>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44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September 30, 2019</w:t>
            </w:r>
          </w:p>
        </w:tc>
        <w:tc>
          <w:tcPr>
            <w:tcW w:w="16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(265,423)</w:t>
            </w:r>
          </w:p>
        </w:tc>
        <w:tc>
          <w:tcPr>
            <w:tcW w:w="11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577</w:t>
            </w:r>
          </w:p>
        </w:tc>
        <w:tc>
          <w:tcPr>
            <w:tcW w:w="13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255,476</w:t>
            </w:r>
          </w:p>
        </w:tc>
        <w:tc>
          <w:tcPr>
            <w:tcW w:w="174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(29,114)</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(38,484)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Shares issued (redeemed)</w:t>
            </w:r>
          </w:p>
        </w:tc>
        <w:tc>
          <w:tcPr>
            <w:tcW w:w="16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(379)</w:t>
            </w:r>
          </w:p>
        </w:tc>
        <w:tc>
          <w:tcPr>
            <w:tcW w:w="174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attributable to Lee Enterprises, Incorporated</w:t>
            </w:r>
          </w:p>
        </w:tc>
        <w:tc>
          <w:tcPr>
            <w:tcW w:w="166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5,320</w:t>
            </w:r>
          </w:p>
        </w:tc>
        <w:tc>
          <w:tcPr>
            <w:tcW w:w="11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5,320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Stock compensation</w:t>
            </w:r>
          </w:p>
        </w:tc>
        <w:tc>
          <w:tcPr>
            <w:tcW w:w="16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545</w:t>
            </w:r>
          </w:p>
        </w:tc>
        <w:tc>
          <w:tcPr>
            <w:tcW w:w="174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loss</w:t>
            </w:r>
          </w:p>
        </w:tc>
        <w:tc>
          <w:tcPr>
            <w:tcW w:w="166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452</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Deferred income taxes, net</w:t>
            </w:r>
          </w:p>
        </w:tc>
        <w:tc>
          <w:tcPr>
            <w:tcW w:w="1660" w:type="dxa"/>
            <w:vAlign w:val="bottom"/>
            <w:tcBorders>
              <w:bottom w:val="single" w:sz="8" w:color="auto"/>
            </w:tcBorders>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ind w:right="250"/>
              <w:spacing w:after="0" w:line="202" w:lineRule="exact"/>
              <w:rPr>
                <w:sz w:val="20"/>
                <w:szCs w:val="20"/>
                <w:color w:val="auto"/>
              </w:rPr>
            </w:pPr>
            <w:r>
              <w:rPr>
                <w:rFonts w:ascii="Arial" w:cs="Arial" w:eastAsia="Arial" w:hAnsi="Arial"/>
                <w:sz w:val="18"/>
                <w:szCs w:val="18"/>
                <w:color w:val="auto"/>
              </w:rPr>
              <w:t>(135)</w:t>
            </w: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4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December 29, 2019</w:t>
            </w:r>
          </w:p>
        </w:tc>
        <w:tc>
          <w:tcPr>
            <w:tcW w:w="166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(260,103)</w:t>
            </w:r>
          </w:p>
        </w:tc>
        <w:tc>
          <w:tcPr>
            <w:tcW w:w="11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581</w:t>
            </w:r>
          </w:p>
        </w:tc>
        <w:tc>
          <w:tcPr>
            <w:tcW w:w="13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255,642</w:t>
            </w:r>
          </w:p>
        </w:tc>
        <w:tc>
          <w:tcPr>
            <w:tcW w:w="17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rPr>
              <w:t>(28,797)</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(32,677)</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40" w:type="dxa"/>
            <w:vAlign w:val="bottom"/>
          </w:tcPr>
          <w:p>
            <w:pPr>
              <w:jc w:val="right"/>
              <w:ind w:right="310"/>
              <w:spacing w:after="0"/>
              <w:rPr>
                <w:sz w:val="20"/>
                <w:szCs w:val="20"/>
                <w:color w:val="auto"/>
              </w:rPr>
            </w:pPr>
            <w:r>
              <w:rPr>
                <w:rFonts w:ascii="Arial" w:cs="Arial" w:eastAsia="Arial" w:hAnsi="Arial"/>
                <w:sz w:val="18"/>
                <w:szCs w:val="18"/>
                <w:color w:val="auto"/>
              </w:rPr>
              <w:t>Accumulated</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4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Other</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16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Accumulated</w:t>
            </w: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Common</w:t>
            </w:r>
          </w:p>
        </w:tc>
        <w:tc>
          <w:tcPr>
            <w:tcW w:w="13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Additional</w:t>
            </w:r>
          </w:p>
        </w:tc>
        <w:tc>
          <w:tcPr>
            <w:tcW w:w="174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Comprehensive</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gridSpan w:val="2"/>
          </w:tcPr>
          <w:p>
            <w:pPr>
              <w:spacing w:after="0"/>
              <w:rPr>
                <w:sz w:val="20"/>
                <w:szCs w:val="20"/>
                <w:color w:val="auto"/>
              </w:rPr>
            </w:pPr>
            <w:r>
              <w:rPr>
                <w:rFonts w:ascii="Arial" w:cs="Arial" w:eastAsia="Arial" w:hAnsi="Arial"/>
                <w:sz w:val="16"/>
                <w:szCs w:val="16"/>
                <w:i w:val="1"/>
                <w:iCs w:val="1"/>
                <w:color w:val="auto"/>
              </w:rPr>
              <w:t>(Thousands of Dollars)</w:t>
            </w:r>
          </w:p>
        </w:tc>
        <w:tc>
          <w:tcPr>
            <w:tcW w:w="1660" w:type="dxa"/>
            <w:vAlign w:val="bottom"/>
          </w:tcPr>
          <w:p>
            <w:pPr>
              <w:jc w:val="right"/>
              <w:ind w:right="250"/>
              <w:spacing w:after="0" w:line="203" w:lineRule="exact"/>
              <w:rPr>
                <w:sz w:val="20"/>
                <w:szCs w:val="20"/>
                <w:color w:val="auto"/>
              </w:rPr>
            </w:pPr>
            <w:r>
              <w:rPr>
                <w:rFonts w:ascii="Arial" w:cs="Arial" w:eastAsia="Arial" w:hAnsi="Arial"/>
                <w:sz w:val="18"/>
                <w:szCs w:val="18"/>
                <w:color w:val="auto"/>
              </w:rPr>
              <w:t>Deficit</w:t>
            </w:r>
          </w:p>
        </w:tc>
        <w:tc>
          <w:tcPr>
            <w:tcW w:w="1140" w:type="dxa"/>
            <w:vAlign w:val="bottom"/>
          </w:tcPr>
          <w:p>
            <w:pPr>
              <w:jc w:val="right"/>
              <w:ind w:right="30"/>
              <w:spacing w:after="0" w:line="203" w:lineRule="exact"/>
              <w:rPr>
                <w:sz w:val="20"/>
                <w:szCs w:val="20"/>
                <w:color w:val="auto"/>
              </w:rPr>
            </w:pPr>
            <w:r>
              <w:rPr>
                <w:rFonts w:ascii="Arial" w:cs="Arial" w:eastAsia="Arial" w:hAnsi="Arial"/>
                <w:sz w:val="18"/>
                <w:szCs w:val="18"/>
                <w:color w:val="auto"/>
              </w:rPr>
              <w:t>Stock</w:t>
            </w:r>
          </w:p>
        </w:tc>
        <w:tc>
          <w:tcPr>
            <w:tcW w:w="1360" w:type="dxa"/>
            <w:vAlign w:val="bottom"/>
          </w:tcPr>
          <w:p>
            <w:pPr>
              <w:jc w:val="right"/>
              <w:ind w:right="50"/>
              <w:spacing w:after="0" w:line="203" w:lineRule="exact"/>
              <w:rPr>
                <w:sz w:val="20"/>
                <w:szCs w:val="20"/>
                <w:color w:val="auto"/>
              </w:rPr>
            </w:pPr>
            <w:r>
              <w:rPr>
                <w:rFonts w:ascii="Arial" w:cs="Arial" w:eastAsia="Arial" w:hAnsi="Arial"/>
                <w:sz w:val="18"/>
                <w:szCs w:val="18"/>
                <w:color w:val="auto"/>
              </w:rPr>
              <w:t>paid-in capital</w:t>
            </w:r>
          </w:p>
        </w:tc>
        <w:tc>
          <w:tcPr>
            <w:tcW w:w="1740" w:type="dxa"/>
            <w:vAlign w:val="bottom"/>
          </w:tcPr>
          <w:p>
            <w:pPr>
              <w:jc w:val="right"/>
              <w:ind w:right="310"/>
              <w:spacing w:after="0" w:line="203" w:lineRule="exact"/>
              <w:rPr>
                <w:sz w:val="20"/>
                <w:szCs w:val="20"/>
                <w:color w:val="auto"/>
              </w:rPr>
            </w:pPr>
            <w:r>
              <w:rPr>
                <w:rFonts w:ascii="Arial" w:cs="Arial" w:eastAsia="Arial" w:hAnsi="Arial"/>
                <w:sz w:val="18"/>
                <w:szCs w:val="18"/>
                <w:color w:val="auto"/>
              </w:rPr>
              <w:t>Loss</w:t>
            </w:r>
          </w:p>
        </w:tc>
        <w:tc>
          <w:tcPr>
            <w:tcW w:w="1060" w:type="dxa"/>
            <w:vAlign w:val="bottom"/>
          </w:tcPr>
          <w:p>
            <w:pPr>
              <w:jc w:val="right"/>
              <w:ind w:right="10"/>
              <w:spacing w:after="0" w:line="203" w:lineRule="exact"/>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44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October 1, 2018</w:t>
            </w:r>
          </w:p>
        </w:tc>
        <w:tc>
          <w:tcPr>
            <w:tcW w:w="16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(279,691)</w:t>
            </w:r>
          </w:p>
        </w:tc>
        <w:tc>
          <w:tcPr>
            <w:tcW w:w="11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572</w:t>
            </w:r>
          </w:p>
        </w:tc>
        <w:tc>
          <w:tcPr>
            <w:tcW w:w="13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253,511</w:t>
            </w:r>
          </w:p>
        </w:tc>
        <w:tc>
          <w:tcPr>
            <w:tcW w:w="174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(11,746)</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(37,354)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Shares issued (redeemed)</w:t>
            </w:r>
          </w:p>
        </w:tc>
        <w:tc>
          <w:tcPr>
            <w:tcW w:w="16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(453)</w:t>
            </w:r>
          </w:p>
        </w:tc>
        <w:tc>
          <w:tcPr>
            <w:tcW w:w="174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attributable to Lee Enterprises, Incorporated</w:t>
            </w:r>
          </w:p>
        </w:tc>
        <w:tc>
          <w:tcPr>
            <w:tcW w:w="166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10,361</w:t>
            </w:r>
          </w:p>
        </w:tc>
        <w:tc>
          <w:tcPr>
            <w:tcW w:w="11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10,361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Stock compensation</w:t>
            </w:r>
          </w:p>
        </w:tc>
        <w:tc>
          <w:tcPr>
            <w:tcW w:w="16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385</w:t>
            </w:r>
          </w:p>
        </w:tc>
        <w:tc>
          <w:tcPr>
            <w:tcW w:w="174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income</w:t>
            </w:r>
          </w:p>
        </w:tc>
        <w:tc>
          <w:tcPr>
            <w:tcW w:w="166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(163)</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Deferred income taxes, net</w:t>
            </w:r>
          </w:p>
        </w:tc>
        <w:tc>
          <w:tcPr>
            <w:tcW w:w="1660" w:type="dxa"/>
            <w:vAlign w:val="bottom"/>
            <w:tcBorders>
              <w:bottom w:val="single" w:sz="8" w:color="auto"/>
            </w:tcBorders>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41</w:t>
            </w:r>
          </w:p>
        </w:tc>
        <w:tc>
          <w:tcPr>
            <w:tcW w:w="10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4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December 30, 2018</w:t>
            </w:r>
          </w:p>
        </w:tc>
        <w:tc>
          <w:tcPr>
            <w:tcW w:w="166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(269,330)</w:t>
            </w:r>
          </w:p>
        </w:tc>
        <w:tc>
          <w:tcPr>
            <w:tcW w:w="11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577</w:t>
            </w:r>
          </w:p>
        </w:tc>
        <w:tc>
          <w:tcPr>
            <w:tcW w:w="13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253,443</w:t>
            </w:r>
          </w:p>
        </w:tc>
        <w:tc>
          <w:tcPr>
            <w:tcW w:w="17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rPr>
              <w:t>(11,868)</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(27,178)</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LEE ENTERPRISES, INCORPORATED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color w:val="auto"/>
        </w:rPr>
        <w:t>(Unaudited)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2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 Weeks Ended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920" w:type="dxa"/>
            <w:vAlign w:val="bottom"/>
          </w:tcPr>
          <w:p>
            <w:pPr>
              <w:spacing w:after="0"/>
              <w:rPr>
                <w:sz w:val="16"/>
                <w:szCs w:val="16"/>
                <w:color w:val="auto"/>
              </w:rPr>
            </w:pPr>
          </w:p>
        </w:tc>
        <w:tc>
          <w:tcPr>
            <w:tcW w:w="188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December 29,</w:t>
            </w:r>
          </w:p>
        </w:tc>
        <w:tc>
          <w:tcPr>
            <w:tcW w:w="16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December 30,</w:t>
            </w:r>
          </w:p>
        </w:tc>
        <w:tc>
          <w:tcPr>
            <w:tcW w:w="0" w:type="dxa"/>
            <w:vAlign w:val="bottom"/>
          </w:tcPr>
          <w:p>
            <w:pPr>
              <w:spacing w:after="0"/>
              <w:rPr>
                <w:sz w:val="1"/>
                <w:szCs w:val="1"/>
                <w:color w:val="auto"/>
              </w:rPr>
            </w:pPr>
          </w:p>
        </w:tc>
      </w:tr>
      <w:tr>
        <w:trPr>
          <w:trHeight w:val="203"/>
        </w:trPr>
        <w:tc>
          <w:tcPr>
            <w:tcW w:w="7940" w:type="dxa"/>
            <w:vAlign w:val="bottom"/>
            <w:gridSpan w:val="2"/>
          </w:tcPr>
          <w:p>
            <w:pPr>
              <w:spacing w:after="0"/>
              <w:rPr>
                <w:sz w:val="20"/>
                <w:szCs w:val="20"/>
                <w:color w:val="auto"/>
              </w:rPr>
            </w:pPr>
            <w:r>
              <w:rPr>
                <w:rFonts w:ascii="Arial" w:cs="Arial" w:eastAsia="Arial" w:hAnsi="Arial"/>
                <w:sz w:val="16"/>
                <w:szCs w:val="16"/>
                <w:i w:val="1"/>
                <w:iCs w:val="1"/>
                <w:color w:val="auto"/>
              </w:rPr>
              <w:t>(Thousands of Dollars)</w:t>
            </w:r>
          </w:p>
        </w:tc>
        <w:tc>
          <w:tcPr>
            <w:tcW w:w="1880" w:type="dxa"/>
            <w:vAlign w:val="bottom"/>
          </w:tcPr>
          <w:p>
            <w:pPr>
              <w:jc w:val="right"/>
              <w:ind w:right="110"/>
              <w:spacing w:after="0" w:line="203" w:lineRule="exact"/>
              <w:rPr>
                <w:sz w:val="20"/>
                <w:szCs w:val="20"/>
                <w:color w:val="auto"/>
              </w:rPr>
            </w:pPr>
            <w:r>
              <w:rPr>
                <w:rFonts w:ascii="Arial" w:cs="Arial" w:eastAsia="Arial" w:hAnsi="Arial"/>
                <w:sz w:val="18"/>
                <w:szCs w:val="18"/>
                <w:color w:val="auto"/>
              </w:rPr>
              <w:t>2019</w:t>
            </w:r>
          </w:p>
        </w:tc>
        <w:tc>
          <w:tcPr>
            <w:tcW w:w="1600" w:type="dxa"/>
            <w:vAlign w:val="bottom"/>
          </w:tcPr>
          <w:p>
            <w:pPr>
              <w:jc w:val="right"/>
              <w:ind w:right="10"/>
              <w:spacing w:after="0" w:line="203" w:lineRule="exact"/>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92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provided by (required for) operating activities:</w:t>
            </w:r>
          </w:p>
        </w:tc>
        <w:tc>
          <w:tcPr>
            <w:tcW w:w="18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20" w:type="dxa"/>
            <w:vAlign w:val="bottom"/>
          </w:tcPr>
          <w:p>
            <w:pPr>
              <w:ind w:left="160"/>
              <w:spacing w:after="0" w:line="202" w:lineRule="exact"/>
              <w:rPr>
                <w:sz w:val="20"/>
                <w:szCs w:val="20"/>
                <w:color w:val="auto"/>
              </w:rPr>
            </w:pPr>
            <w:r>
              <w:rPr>
                <w:rFonts w:ascii="Arial" w:cs="Arial" w:eastAsia="Arial" w:hAnsi="Arial"/>
                <w:sz w:val="18"/>
                <w:szCs w:val="18"/>
                <w:color w:val="auto"/>
              </w:rPr>
              <w:t>Net income</w:t>
            </w:r>
          </w:p>
        </w:tc>
        <w:tc>
          <w:tcPr>
            <w:tcW w:w="18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5,717</w:t>
            </w: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10,719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18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20" w:type="dxa"/>
            <w:vAlign w:val="bottom"/>
          </w:tcPr>
          <w:p>
            <w:pPr>
              <w:ind w:left="160"/>
              <w:spacing w:after="0" w:line="202" w:lineRule="exact"/>
              <w:rPr>
                <w:sz w:val="20"/>
                <w:szCs w:val="20"/>
                <w:color w:val="auto"/>
              </w:rPr>
            </w:pPr>
            <w:r>
              <w:rPr>
                <w:rFonts w:ascii="Arial" w:cs="Arial" w:eastAsia="Arial" w:hAnsi="Arial"/>
                <w:sz w:val="18"/>
                <w:szCs w:val="18"/>
                <w:color w:val="auto"/>
              </w:rPr>
              <w:t>Depreciation and amortization</w:t>
            </w:r>
          </w:p>
        </w:tc>
        <w:tc>
          <w:tcPr>
            <w:tcW w:w="18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6,719</w:t>
            </w: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7,529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Stock compensation expense</w:t>
            </w:r>
          </w:p>
        </w:tc>
        <w:tc>
          <w:tcPr>
            <w:tcW w:w="188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302</w:t>
            </w:r>
          </w:p>
        </w:tc>
        <w:tc>
          <w:tcPr>
            <w:tcW w:w="16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20" w:type="dxa"/>
            <w:vAlign w:val="bottom"/>
          </w:tcPr>
          <w:p>
            <w:pPr>
              <w:ind w:left="160"/>
              <w:spacing w:after="0" w:line="202" w:lineRule="exact"/>
              <w:rPr>
                <w:sz w:val="20"/>
                <w:szCs w:val="20"/>
                <w:color w:val="auto"/>
              </w:rPr>
            </w:pPr>
            <w:r>
              <w:rPr>
                <w:rFonts w:ascii="Arial" w:cs="Arial" w:eastAsia="Arial" w:hAnsi="Arial"/>
                <w:sz w:val="18"/>
                <w:szCs w:val="18"/>
                <w:color w:val="auto"/>
              </w:rPr>
              <w:t>Distributions greater (less) than earnings of MNI</w:t>
            </w:r>
          </w:p>
        </w:tc>
        <w:tc>
          <w:tcPr>
            <w:tcW w:w="18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(658)</w:t>
            </w: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Deferred income taxes</w:t>
            </w:r>
          </w:p>
        </w:tc>
        <w:tc>
          <w:tcPr>
            <w:tcW w:w="188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(8,328)</w:t>
            </w:r>
          </w:p>
        </w:tc>
        <w:tc>
          <w:tcPr>
            <w:tcW w:w="16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20" w:type="dxa"/>
            <w:vAlign w:val="bottom"/>
          </w:tcPr>
          <w:p>
            <w:pPr>
              <w:ind w:left="160"/>
              <w:spacing w:after="0" w:line="202" w:lineRule="exact"/>
              <w:rPr>
                <w:sz w:val="20"/>
                <w:szCs w:val="20"/>
                <w:color w:val="auto"/>
              </w:rPr>
            </w:pPr>
            <w:r>
              <w:rPr>
                <w:rFonts w:ascii="Arial" w:cs="Arial" w:eastAsia="Arial" w:hAnsi="Arial"/>
                <w:sz w:val="18"/>
                <w:szCs w:val="18"/>
                <w:color w:val="auto"/>
              </w:rPr>
              <w:t>Debt financing and administrative costs</w:t>
            </w:r>
          </w:p>
        </w:tc>
        <w:tc>
          <w:tcPr>
            <w:tcW w:w="18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1,196</w:t>
            </w: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Pension contributions</w:t>
            </w:r>
          </w:p>
        </w:tc>
        <w:tc>
          <w:tcPr>
            <w:tcW w:w="188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20" w:type="dxa"/>
            <w:vAlign w:val="bottom"/>
          </w:tcPr>
          <w:p>
            <w:pPr>
              <w:ind w:left="160"/>
              <w:spacing w:after="0" w:line="202" w:lineRule="exact"/>
              <w:rPr>
                <w:sz w:val="20"/>
                <w:szCs w:val="20"/>
                <w:color w:val="auto"/>
              </w:rPr>
            </w:pPr>
            <w:r>
              <w:rPr>
                <w:rFonts w:ascii="Arial" w:cs="Arial" w:eastAsia="Arial" w:hAnsi="Arial"/>
                <w:sz w:val="18"/>
                <w:szCs w:val="18"/>
                <w:color w:val="auto"/>
              </w:rPr>
              <w:t>Other, net</w:t>
            </w:r>
          </w:p>
        </w:tc>
        <w:tc>
          <w:tcPr>
            <w:tcW w:w="18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713</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8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20" w:type="dxa"/>
            <w:vAlign w:val="bottom"/>
          </w:tcPr>
          <w:p>
            <w:pPr>
              <w:ind w:left="480"/>
              <w:spacing w:after="0" w:line="202" w:lineRule="exact"/>
              <w:rPr>
                <w:sz w:val="20"/>
                <w:szCs w:val="20"/>
                <w:color w:val="auto"/>
              </w:rPr>
            </w:pPr>
            <w:r>
              <w:rPr>
                <w:rFonts w:ascii="Arial" w:cs="Arial" w:eastAsia="Arial" w:hAnsi="Arial"/>
                <w:sz w:val="18"/>
                <w:szCs w:val="18"/>
                <w:color w:val="auto"/>
              </w:rPr>
              <w:t>Increase in receivables and contract assets</w:t>
            </w:r>
          </w:p>
        </w:tc>
        <w:tc>
          <w:tcPr>
            <w:tcW w:w="18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(8,137)</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(7,479)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20" w:type="dxa"/>
            <w:vAlign w:val="bottom"/>
            <w:shd w:val="clear" w:color="auto" w:fill="CCEEFF"/>
          </w:tcPr>
          <w:p>
            <w:pPr>
              <w:ind w:left="480"/>
              <w:spacing w:after="0" w:line="202" w:lineRule="exact"/>
              <w:rPr>
                <w:sz w:val="20"/>
                <w:szCs w:val="20"/>
                <w:color w:val="auto"/>
              </w:rPr>
            </w:pPr>
            <w:r>
              <w:rPr>
                <w:rFonts w:ascii="Arial" w:cs="Arial" w:eastAsia="Arial" w:hAnsi="Arial"/>
                <w:sz w:val="18"/>
                <w:szCs w:val="18"/>
                <w:color w:val="auto"/>
              </w:rPr>
              <w:t>Decrease in inventories and other</w:t>
            </w:r>
          </w:p>
        </w:tc>
        <w:tc>
          <w:tcPr>
            <w:tcW w:w="188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280</w:t>
            </w:r>
          </w:p>
        </w:tc>
        <w:tc>
          <w:tcPr>
            <w:tcW w:w="16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20" w:type="dxa"/>
            <w:vAlign w:val="bottom"/>
          </w:tcPr>
          <w:p>
            <w:pPr>
              <w:ind w:left="480"/>
              <w:spacing w:after="0" w:line="202" w:lineRule="exact"/>
              <w:rPr>
                <w:sz w:val="20"/>
                <w:szCs w:val="20"/>
                <w:color w:val="auto"/>
              </w:rPr>
            </w:pPr>
            <w:r>
              <w:rPr>
                <w:rFonts w:ascii="Arial" w:cs="Arial" w:eastAsia="Arial" w:hAnsi="Arial"/>
                <w:sz w:val="18"/>
                <w:szCs w:val="18"/>
                <w:color w:val="auto"/>
              </w:rPr>
              <w:t>Increase in accounts payable and other accrued liabilities</w:t>
            </w:r>
          </w:p>
        </w:tc>
        <w:tc>
          <w:tcPr>
            <w:tcW w:w="18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4,016</w:t>
            </w: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4,088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20" w:type="dxa"/>
            <w:vAlign w:val="bottom"/>
            <w:shd w:val="clear" w:color="auto" w:fill="CCEEFF"/>
          </w:tcPr>
          <w:p>
            <w:pPr>
              <w:ind w:left="480"/>
              <w:spacing w:after="0" w:line="202" w:lineRule="exact"/>
              <w:rPr>
                <w:sz w:val="20"/>
                <w:szCs w:val="20"/>
                <w:color w:val="auto"/>
              </w:rPr>
            </w:pPr>
            <w:r>
              <w:rPr>
                <w:rFonts w:ascii="Arial" w:cs="Arial" w:eastAsia="Arial" w:hAnsi="Arial"/>
                <w:sz w:val="18"/>
                <w:szCs w:val="18"/>
                <w:color w:val="auto"/>
              </w:rPr>
              <w:t>Decrease in pension and other postretirement and postemployment benefit obligations</w:t>
            </w:r>
          </w:p>
        </w:tc>
        <w:tc>
          <w:tcPr>
            <w:tcW w:w="188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(709)</w:t>
            </w:r>
          </w:p>
        </w:tc>
        <w:tc>
          <w:tcPr>
            <w:tcW w:w="1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20" w:type="dxa"/>
            <w:vAlign w:val="bottom"/>
          </w:tcPr>
          <w:p>
            <w:pPr>
              <w:ind w:left="160"/>
              <w:spacing w:after="0" w:line="202" w:lineRule="exact"/>
              <w:rPr>
                <w:sz w:val="20"/>
                <w:szCs w:val="20"/>
                <w:color w:val="auto"/>
              </w:rPr>
            </w:pPr>
            <w:r>
              <w:rPr>
                <w:rFonts w:ascii="Arial" w:cs="Arial" w:eastAsia="Arial" w:hAnsi="Arial"/>
                <w:sz w:val="18"/>
                <w:szCs w:val="18"/>
                <w:color w:val="auto"/>
              </w:rPr>
              <w:t>Change in income taxes payable</w:t>
            </w:r>
          </w:p>
        </w:tc>
        <w:tc>
          <w:tcPr>
            <w:tcW w:w="18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10,189</w:t>
            </w: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Other, including warrants</w:t>
            </w:r>
          </w:p>
        </w:tc>
        <w:tc>
          <w:tcPr>
            <w:tcW w:w="1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(939)</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188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10,361</w:t>
            </w:r>
          </w:p>
        </w:tc>
        <w:tc>
          <w:tcPr>
            <w:tcW w:w="16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19,407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required for investing activities:</w:t>
            </w:r>
          </w:p>
        </w:tc>
        <w:tc>
          <w:tcPr>
            <w:tcW w:w="18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20" w:type="dxa"/>
            <w:vAlign w:val="bottom"/>
          </w:tcPr>
          <w:p>
            <w:pPr>
              <w:ind w:left="160"/>
              <w:spacing w:after="0" w:line="202" w:lineRule="exact"/>
              <w:rPr>
                <w:sz w:val="20"/>
                <w:szCs w:val="20"/>
                <w:color w:val="auto"/>
              </w:rPr>
            </w:pPr>
            <w:r>
              <w:rPr>
                <w:rFonts w:ascii="Arial" w:cs="Arial" w:eastAsia="Arial" w:hAnsi="Arial"/>
                <w:sz w:val="18"/>
                <w:szCs w:val="18"/>
                <w:color w:val="auto"/>
              </w:rPr>
              <w:t>Purchases of property and equipment</w:t>
            </w:r>
          </w:p>
        </w:tc>
        <w:tc>
          <w:tcPr>
            <w:tcW w:w="18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(2,458)</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Proceeds from sales of assets</w:t>
            </w:r>
          </w:p>
        </w:tc>
        <w:tc>
          <w:tcPr>
            <w:tcW w:w="188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12</w:t>
            </w:r>
          </w:p>
        </w:tc>
        <w:tc>
          <w:tcPr>
            <w:tcW w:w="16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20" w:type="dxa"/>
            <w:vAlign w:val="bottom"/>
          </w:tcPr>
          <w:p>
            <w:pPr>
              <w:ind w:left="160"/>
              <w:spacing w:after="0" w:line="202" w:lineRule="exact"/>
              <w:rPr>
                <w:sz w:val="20"/>
                <w:szCs w:val="20"/>
                <w:color w:val="auto"/>
              </w:rPr>
            </w:pPr>
            <w:r>
              <w:rPr>
                <w:rFonts w:ascii="Arial" w:cs="Arial" w:eastAsia="Arial" w:hAnsi="Arial"/>
                <w:sz w:val="18"/>
                <w:szCs w:val="18"/>
                <w:color w:val="auto"/>
              </w:rPr>
              <w:t>Acquisitions</w:t>
            </w:r>
          </w:p>
        </w:tc>
        <w:tc>
          <w:tcPr>
            <w:tcW w:w="18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(1,121)</w:t>
            </w: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Distributions less than earnings of TNI</w:t>
            </w:r>
          </w:p>
        </w:tc>
        <w:tc>
          <w:tcPr>
            <w:tcW w:w="188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(173)</w:t>
            </w:r>
          </w:p>
        </w:tc>
        <w:tc>
          <w:tcPr>
            <w:tcW w:w="1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Other, net</w:t>
            </w:r>
          </w:p>
        </w:tc>
        <w:tc>
          <w:tcPr>
            <w:tcW w:w="1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Net cash required for investing activities</w:t>
            </w:r>
          </w:p>
        </w:tc>
        <w:tc>
          <w:tcPr>
            <w:tcW w:w="188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(3,740)</w:t>
            </w:r>
          </w:p>
        </w:tc>
        <w:tc>
          <w:tcPr>
            <w:tcW w:w="1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20" w:type="dxa"/>
            <w:vAlign w:val="bottom"/>
          </w:tcPr>
          <w:p>
            <w:pPr>
              <w:spacing w:after="0" w:line="196" w:lineRule="exact"/>
              <w:rPr>
                <w:sz w:val="20"/>
                <w:szCs w:val="20"/>
                <w:color w:val="auto"/>
              </w:rPr>
            </w:pPr>
            <w:r>
              <w:rPr>
                <w:rFonts w:ascii="Arial" w:cs="Arial" w:eastAsia="Arial" w:hAnsi="Arial"/>
                <w:sz w:val="18"/>
                <w:szCs w:val="18"/>
                <w:color w:val="auto"/>
              </w:rPr>
              <w:t>Cash required for financing activities:</w:t>
            </w:r>
          </w:p>
        </w:tc>
        <w:tc>
          <w:tcPr>
            <w:tcW w:w="18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Payments on long-term debt</w:t>
            </w:r>
          </w:p>
        </w:tc>
        <w:tc>
          <w:tcPr>
            <w:tcW w:w="188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(10,233)</w:t>
            </w:r>
          </w:p>
        </w:tc>
        <w:tc>
          <w:tcPr>
            <w:tcW w:w="1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20" w:type="dxa"/>
            <w:vAlign w:val="bottom"/>
          </w:tcPr>
          <w:p>
            <w:pPr>
              <w:ind w:left="160"/>
              <w:spacing w:after="0" w:line="202" w:lineRule="exact"/>
              <w:rPr>
                <w:sz w:val="20"/>
                <w:szCs w:val="20"/>
                <w:color w:val="auto"/>
              </w:rPr>
            </w:pPr>
            <w:r>
              <w:rPr>
                <w:rFonts w:ascii="Arial" w:cs="Arial" w:eastAsia="Arial" w:hAnsi="Arial"/>
                <w:sz w:val="18"/>
                <w:szCs w:val="18"/>
                <w:color w:val="auto"/>
              </w:rPr>
              <w:t>Debt financing and administrative costs paid</w:t>
            </w:r>
          </w:p>
        </w:tc>
        <w:tc>
          <w:tcPr>
            <w:tcW w:w="18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(193)</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Common stock transactions, net</w:t>
            </w:r>
          </w:p>
        </w:tc>
        <w:tc>
          <w:tcPr>
            <w:tcW w:w="1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(372)</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cash required for financing activities</w:t>
            </w:r>
          </w:p>
        </w:tc>
        <w:tc>
          <w:tcPr>
            <w:tcW w:w="18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(10,798)</w:t>
            </w: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(7,483)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increase (decrease) in cash and cash equivalents</w:t>
            </w:r>
          </w:p>
        </w:tc>
        <w:tc>
          <w:tcPr>
            <w:tcW w:w="188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(4,177)</w:t>
            </w:r>
          </w:p>
        </w:tc>
        <w:tc>
          <w:tcPr>
            <w:tcW w:w="16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10,529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2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18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Beginning of period</w:t>
            </w:r>
          </w:p>
        </w:tc>
        <w:tc>
          <w:tcPr>
            <w:tcW w:w="18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8,645</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5,380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End of period</w:t>
            </w:r>
          </w:p>
        </w:tc>
        <w:tc>
          <w:tcPr>
            <w:tcW w:w="1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4,468</w:t>
            </w:r>
          </w:p>
        </w:tc>
        <w:tc>
          <w:tcPr>
            <w:tcW w:w="1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15,909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LEE ENTERPRISES, INCORPORATED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9" w:lineRule="exact"/>
        <w:rPr>
          <w:sz w:val="20"/>
          <w:szCs w:val="20"/>
          <w:color w:val="auto"/>
        </w:rPr>
      </w:pPr>
    </w:p>
    <w:p>
      <w:pPr>
        <w:ind w:left="4800" w:right="3400" w:hanging="4792"/>
        <w:spacing w:after="0" w:line="482" w:lineRule="auto"/>
        <w:tabs>
          <w:tab w:leader="none" w:pos="662"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 Basis of Presentation</w:t>
      </w:r>
    </w:p>
    <w:p>
      <w:pPr>
        <w:spacing w:after="0" w:line="1" w:lineRule="exact"/>
        <w:rPr>
          <w:sz w:val="20"/>
          <w:szCs w:val="20"/>
          <w:color w:val="auto"/>
        </w:rPr>
      </w:pPr>
    </w:p>
    <w:p>
      <w:pPr>
        <w:jc w:val="both"/>
        <w:ind w:left="660"/>
        <w:spacing w:after="0" w:line="237" w:lineRule="auto"/>
        <w:rPr>
          <w:sz w:val="20"/>
          <w:szCs w:val="20"/>
          <w:color w:val="auto"/>
        </w:rPr>
      </w:pPr>
      <w:r>
        <w:rPr>
          <w:rFonts w:ascii="Arial" w:cs="Arial" w:eastAsia="Arial" w:hAnsi="Arial"/>
          <w:sz w:val="18"/>
          <w:szCs w:val="18"/>
          <w:color w:val="auto"/>
        </w:rPr>
        <w:t>The accompanying unaudited, interim, Consolidated Financial Statements included herein have been prepared pursuant to the rules and regulations of the Securities and Exchange Commission for quarterly reports. In the opinion of management, these financial statements contain all adjustments (consisting of only normal recurring items) necessary to present fairly the financial position of Lee Enterprises, Incorporated and subsidiaries (the “Company”) as of December 29, 2019 and our results of operations and cash flows for the periods presented. The Consolidated Financial Statements should be read in conjunction with the Consolidated Financial Statements and Notes thereto included in the Company's 2019 Annual Report on Form 10-K.</w:t>
      </w:r>
    </w:p>
    <w:p>
      <w:pPr>
        <w:spacing w:after="0" w:line="192" w:lineRule="exact"/>
        <w:rPr>
          <w:sz w:val="20"/>
          <w:szCs w:val="20"/>
          <w:color w:val="auto"/>
        </w:rPr>
      </w:pPr>
    </w:p>
    <w:p>
      <w:pPr>
        <w:jc w:val="both"/>
        <w:ind w:left="660"/>
        <w:spacing w:after="0" w:line="246" w:lineRule="auto"/>
        <w:rPr>
          <w:sz w:val="20"/>
          <w:szCs w:val="20"/>
          <w:color w:val="auto"/>
        </w:rPr>
      </w:pPr>
      <w:r>
        <w:rPr>
          <w:rFonts w:ascii="Arial" w:cs="Arial" w:eastAsia="Arial" w:hAnsi="Arial"/>
          <w:sz w:val="18"/>
          <w:szCs w:val="18"/>
          <w:color w:val="auto"/>
        </w:rPr>
        <w:t>Because of seasonal and other factors, the results of operations for the 13 weeks ended December 29, 2019 are not necessarily indicative of the results to be expected for the full year.</w:t>
      </w:r>
    </w:p>
    <w:p>
      <w:pPr>
        <w:spacing w:after="0" w:line="183" w:lineRule="exact"/>
        <w:rPr>
          <w:sz w:val="20"/>
          <w:szCs w:val="20"/>
          <w:color w:val="auto"/>
        </w:rPr>
      </w:pPr>
    </w:p>
    <w:p>
      <w:pPr>
        <w:jc w:val="both"/>
        <w:ind w:left="660"/>
        <w:spacing w:after="0" w:line="246" w:lineRule="auto"/>
        <w:rPr>
          <w:sz w:val="20"/>
          <w:szCs w:val="20"/>
          <w:color w:val="auto"/>
        </w:rPr>
      </w:pPr>
      <w:r>
        <w:rPr>
          <w:rFonts w:ascii="Arial" w:cs="Arial" w:eastAsia="Arial" w:hAnsi="Arial"/>
          <w:sz w:val="18"/>
          <w:szCs w:val="18"/>
          <w:color w:val="auto"/>
        </w:rPr>
        <w:t>References to “we”, “our”, “us” and the like throughout the Consolidated Financial Statements refer to the Company. References to “2020”, “2019” and the like refer to the fiscal years ended the last Sunday in September.</w:t>
      </w:r>
    </w:p>
    <w:p>
      <w:pPr>
        <w:spacing w:after="0" w:line="183" w:lineRule="exact"/>
        <w:rPr>
          <w:sz w:val="20"/>
          <w:szCs w:val="20"/>
          <w:color w:val="auto"/>
        </w:rPr>
      </w:pPr>
    </w:p>
    <w:p>
      <w:pPr>
        <w:jc w:val="both"/>
        <w:ind w:left="660"/>
        <w:spacing w:after="0"/>
        <w:rPr>
          <w:sz w:val="20"/>
          <w:szCs w:val="20"/>
          <w:color w:val="auto"/>
        </w:rPr>
      </w:pPr>
      <w:r>
        <w:rPr>
          <w:rFonts w:ascii="Arial" w:cs="Arial" w:eastAsia="Arial" w:hAnsi="Arial"/>
          <w:sz w:val="18"/>
          <w:szCs w:val="18"/>
          <w:color w:val="auto"/>
        </w:rPr>
        <w:t>The Consolidated Financial Statements include our accounts and those of our subsidiaries, all of which are wholly-owned, except for our 82.5% interest in INN Partners, L.C. ("TownNews.com"), 50% interest in TNI Partners (“TNI”) and 50% interest in Madison Newspapers, Inc. (“MNI”).</w:t>
      </w:r>
    </w:p>
    <w:p>
      <w:pPr>
        <w:spacing w:after="0" w:line="189" w:lineRule="exact"/>
        <w:rPr>
          <w:sz w:val="20"/>
          <w:szCs w:val="20"/>
          <w:color w:val="auto"/>
        </w:rPr>
      </w:pPr>
    </w:p>
    <w:p>
      <w:pPr>
        <w:jc w:val="both"/>
        <w:ind w:left="660"/>
        <w:spacing w:after="0" w:line="246" w:lineRule="auto"/>
        <w:rPr>
          <w:sz w:val="20"/>
          <w:szCs w:val="20"/>
          <w:color w:val="auto"/>
        </w:rPr>
      </w:pPr>
      <w:r>
        <w:rPr>
          <w:rFonts w:ascii="Arial" w:cs="Arial" w:eastAsia="Arial" w:hAnsi="Arial"/>
          <w:sz w:val="18"/>
          <w:szCs w:val="18"/>
          <w:color w:val="auto"/>
        </w:rPr>
        <w:t>Investments in TNI and MNI are accounted for using the equity method and are reported at cost, plus our share of undistributed earnings since acquisition less, for TNI, amortization of intangible assets.</w:t>
      </w:r>
    </w:p>
    <w:p>
      <w:pPr>
        <w:spacing w:after="0" w:line="16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Subsequent Events</w:t>
      </w:r>
    </w:p>
    <w:p>
      <w:pPr>
        <w:spacing w:after="0" w:line="19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Purchase Agreement with Berkshire Hathaway</w:t>
      </w:r>
    </w:p>
    <w:p>
      <w:pPr>
        <w:spacing w:after="0" w:line="220" w:lineRule="exact"/>
        <w:rPr>
          <w:sz w:val="20"/>
          <w:szCs w:val="20"/>
          <w:color w:val="auto"/>
        </w:rPr>
      </w:pPr>
    </w:p>
    <w:p>
      <w:pPr>
        <w:jc w:val="both"/>
        <w:ind w:left="660"/>
        <w:spacing w:after="0" w:line="237" w:lineRule="auto"/>
        <w:rPr>
          <w:sz w:val="20"/>
          <w:szCs w:val="20"/>
          <w:color w:val="auto"/>
        </w:rPr>
      </w:pPr>
      <w:r>
        <w:rPr>
          <w:rFonts w:ascii="Arial" w:cs="Arial" w:eastAsia="Arial" w:hAnsi="Arial"/>
          <w:sz w:val="18"/>
          <w:szCs w:val="18"/>
          <w:color w:val="auto"/>
        </w:rPr>
        <w:t>On January 29, 2020, the Company entered into an Asset and Stock Purchase Agreement (“Purchase Agreement”) with Berkshire Hathaway Inc., a Delaware corporation (“Berkshire”) and BH Media Group, Inc., a Delaware corporation (“BHMG”). Subject to the terms and conditions of the Purchase Agreement, The Company has agreed to purchase certain assets and assume certain liabilities of BHMG’s newspapers and related community publications business (“BH Media Newspaper Business”), excluding real estate and fixtures such as production equipment, for a purchase price of $130,000,000, and all of the issued and outstanding capital stock of The Buffalo News, Inc., a Delaware corporation (“Buffalo News”) for a purchase price of $10,000,000 (collectively, the “Transactions”).</w:t>
      </w:r>
    </w:p>
    <w:p>
      <w:pPr>
        <w:spacing w:after="0" w:line="192" w:lineRule="exact"/>
        <w:rPr>
          <w:sz w:val="20"/>
          <w:szCs w:val="20"/>
          <w:color w:val="auto"/>
        </w:rPr>
      </w:pPr>
    </w:p>
    <w:p>
      <w:pPr>
        <w:jc w:val="both"/>
        <w:ind w:left="660"/>
        <w:spacing w:after="0" w:line="246" w:lineRule="auto"/>
        <w:rPr>
          <w:sz w:val="20"/>
          <w:szCs w:val="20"/>
          <w:color w:val="auto"/>
        </w:rPr>
      </w:pPr>
      <w:r>
        <w:rPr>
          <w:rFonts w:ascii="Arial" w:cs="Arial" w:eastAsia="Arial" w:hAnsi="Arial"/>
          <w:sz w:val="18"/>
          <w:szCs w:val="18"/>
          <w:color w:val="auto"/>
        </w:rPr>
        <w:t>The Company expects that the $140,000,000 purchase price will be financed with new debt. As further discussed below, the Company has entered into an agreement for the financing of the Transactions.</w:t>
      </w:r>
    </w:p>
    <w:p>
      <w:pPr>
        <w:spacing w:after="0" w:line="183" w:lineRule="exact"/>
        <w:rPr>
          <w:sz w:val="20"/>
          <w:szCs w:val="20"/>
          <w:color w:val="auto"/>
        </w:rPr>
      </w:pPr>
    </w:p>
    <w:p>
      <w:pPr>
        <w:jc w:val="both"/>
        <w:ind w:left="660"/>
        <w:spacing w:after="0" w:line="239" w:lineRule="auto"/>
        <w:rPr>
          <w:sz w:val="20"/>
          <w:szCs w:val="20"/>
          <w:color w:val="auto"/>
        </w:rPr>
      </w:pPr>
      <w:r>
        <w:rPr>
          <w:rFonts w:ascii="Arial" w:cs="Arial" w:eastAsia="Arial" w:hAnsi="Arial"/>
          <w:sz w:val="18"/>
          <w:szCs w:val="18"/>
          <w:color w:val="auto"/>
        </w:rPr>
        <w:t>Since July 2, 2018, The Company has managed the BH Media Newspaper Business pursuant to a Management Agreement between BHMG and the Company dated June 26, 2018 (“Management Agreement”). BHMG includes 30 daily newspapers and digital operations, in addition to 49 paid weekly newspapers with websites and 32 other print products. Buffalo News is a provider of local print and digital news to the Buffalo, NY area.</w:t>
      </w:r>
    </w:p>
    <w:p>
      <w:pPr>
        <w:spacing w:after="0" w:line="188" w:lineRule="exact"/>
        <w:rPr>
          <w:sz w:val="20"/>
          <w:szCs w:val="20"/>
          <w:color w:val="auto"/>
        </w:rPr>
      </w:pPr>
    </w:p>
    <w:p>
      <w:pPr>
        <w:jc w:val="both"/>
        <w:ind w:left="660"/>
        <w:spacing w:after="0" w:line="237" w:lineRule="auto"/>
        <w:rPr>
          <w:sz w:val="20"/>
          <w:szCs w:val="20"/>
          <w:color w:val="auto"/>
        </w:rPr>
      </w:pPr>
      <w:r>
        <w:rPr>
          <w:rFonts w:ascii="Arial" w:cs="Arial" w:eastAsia="Arial" w:hAnsi="Arial"/>
          <w:sz w:val="18"/>
          <w:szCs w:val="18"/>
          <w:color w:val="auto"/>
        </w:rPr>
        <w:t>Consummation of the Transactions is subject to certain closing conditions, including the closing of the refinancing of the Company’s existing credit facilities under the Credit Agreement, as described below (“Debt Financing”), the execution and delivery of specified ancillary agreements, including a 10-year term lease between BHMG and the Company as described below (the “Lease”) and review by the U.S. Department of Justice. The Transactions are expected to close March 16, 2020, although there can be no assurance that the closing of the Transactions will occur by such date. Either party may terminate the Purchase Agreement if the Transactions are not consummated on or before April 30,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Agreement with BH Media Group</w:t>
      </w:r>
    </w:p>
    <w:p>
      <w:pPr>
        <w:spacing w:after="0" w:line="220" w:lineRule="exact"/>
        <w:rPr>
          <w:sz w:val="20"/>
          <w:szCs w:val="20"/>
          <w:color w:val="auto"/>
        </w:rPr>
      </w:pPr>
    </w:p>
    <w:p>
      <w:pPr>
        <w:jc w:val="both"/>
        <w:ind w:left="660"/>
        <w:spacing w:after="0" w:line="239" w:lineRule="auto"/>
        <w:rPr>
          <w:sz w:val="20"/>
          <w:szCs w:val="20"/>
          <w:color w:val="auto"/>
        </w:rPr>
      </w:pPr>
      <w:r>
        <w:rPr>
          <w:rFonts w:ascii="Arial" w:cs="Arial" w:eastAsia="Arial" w:hAnsi="Arial"/>
          <w:sz w:val="18"/>
          <w:szCs w:val="18"/>
          <w:color w:val="auto"/>
        </w:rPr>
        <w:t>In connection with the Transactions, the Management Agreement will terminate at the closing of the Transactions. Amounts due under the Management Agreement will be credited to the purchase price of the Transactions. We expect the credits to total approximately $5,425,000, including an estimated $4,180,000 reflective of the pro-rated variable portion of the Management Agreement based on the year-to-date performance of BHMG.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Financing</w:t>
      </w:r>
    </w:p>
    <w:p>
      <w:pPr>
        <w:spacing w:after="0" w:line="220" w:lineRule="exact"/>
        <w:rPr>
          <w:sz w:val="20"/>
          <w:szCs w:val="20"/>
          <w:color w:val="auto"/>
        </w:rPr>
      </w:pPr>
    </w:p>
    <w:p>
      <w:pPr>
        <w:jc w:val="both"/>
        <w:ind w:left="660"/>
        <w:spacing w:after="0" w:line="236" w:lineRule="auto"/>
        <w:rPr>
          <w:sz w:val="20"/>
          <w:szCs w:val="20"/>
          <w:color w:val="auto"/>
        </w:rPr>
      </w:pPr>
      <w:r>
        <w:rPr>
          <w:rFonts w:ascii="Arial" w:cs="Arial" w:eastAsia="Arial" w:hAnsi="Arial"/>
          <w:sz w:val="18"/>
          <w:szCs w:val="18"/>
          <w:color w:val="auto"/>
        </w:rPr>
        <w:t>In connection with the Purchase Agreement, the Company entered into a Credit Agreement dated as of January 29, 2020, with BH Finance, LLC, a Nebraska limited liability company (“BH Finance”), as lender (“Credit Agreement”) pursuant to which BH Finance will provide a secured 25-year term loan in an aggregate principal amount of approximately $576,000,000, subject to the satisfaction of certain customary closing conditions, including the simultaneous closing of the Transactions and the Debt Financing. The Debt Financing under the Credit Agreement will bear interest at a per annum rate equal to 9.00%, payable monthly. Principal reductions will be required periodically in the amount equal to the Company’s excess cash flow (as defined in the Credit Agreement) for each fiscal quarter beginning with the period ended June 28, 2020, and from the proceeds of the sale of assets as they may be received from time to time. Substantially all of the proceeds of the Debt Financing will be used to finance the Transactions; refinance the Company’s existing indebtedness, including payment in full of its outstanding senior secured notes, second lien loans and revolving loan indebtedness; and provide working capital to the Company in lieu of a revolving credit facility.</w:t>
      </w:r>
    </w:p>
    <w:p>
      <w:pPr>
        <w:spacing w:after="0" w:line="193" w:lineRule="exact"/>
        <w:rPr>
          <w:sz w:val="20"/>
          <w:szCs w:val="20"/>
          <w:color w:val="auto"/>
        </w:rPr>
      </w:pPr>
    </w:p>
    <w:p>
      <w:pPr>
        <w:jc w:val="both"/>
        <w:ind w:left="660"/>
        <w:spacing w:after="0"/>
        <w:rPr>
          <w:sz w:val="20"/>
          <w:szCs w:val="20"/>
          <w:color w:val="auto"/>
        </w:rPr>
      </w:pPr>
      <w:r>
        <w:rPr>
          <w:rFonts w:ascii="Arial" w:cs="Arial" w:eastAsia="Arial" w:hAnsi="Arial"/>
          <w:sz w:val="18"/>
          <w:szCs w:val="18"/>
          <w:color w:val="auto"/>
        </w:rPr>
        <w:t>The Credit Agreement also contains certain customary representations and warranties, certain affirmative and negative covenants and certain conditions, including restrictions on incurring additional indebtedness, creating certain liens, making certain investments or acquisitions, issuing dividends, repurchasing shares of stock of the Company and certain other capital transactions. Certain existing</w:t>
      </w:r>
    </w:p>
    <w:p>
      <w:pPr>
        <w:sectPr>
          <w:pgSz w:w="11900" w:h="16838" w:orient="portrait"/>
          <w:cols w:equalWidth="0" w:num="1">
            <w:col w:w="11420"/>
          </w:cols>
          <w:pgMar w:left="240" w:top="118" w:right="239" w:bottom="0" w:gutter="0" w:footer="0" w:header="0"/>
        </w:sectPr>
      </w:pPr>
    </w:p>
    <w:bookmarkStart w:id="9" w:name="page10"/>
    <w:bookmarkEnd w:id="9"/>
    <w:p>
      <w:pPr>
        <w:spacing w:after="0" w:line="245" w:lineRule="auto"/>
        <w:rPr>
          <w:sz w:val="20"/>
          <w:szCs w:val="20"/>
          <w:color w:val="auto"/>
        </w:rPr>
      </w:pPr>
      <w:r>
        <w:rPr>
          <w:rFonts w:ascii="Arial" w:cs="Arial" w:eastAsia="Arial" w:hAnsi="Arial"/>
          <w:sz w:val="18"/>
          <w:szCs w:val="18"/>
          <w:color w:val="auto"/>
        </w:rPr>
        <w:t>and future direct and indirect material domestic subsidiaries of the Company are guarantors of the Company’s obligations under the Credit Agreement.</w:t>
      </w:r>
    </w:p>
    <w:p>
      <w:pPr>
        <w:spacing w:after="0" w:line="184"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66040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140" w:right="239" w:bottom="1440" w:gutter="0" w:footer="0" w:header="0"/>
        </w:sectPr>
      </w:pPr>
    </w:p>
    <w:bookmarkStart w:id="10" w:name="page11"/>
    <w:bookmarkEnd w:id="1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Lease Agreement</w:t>
      </w:r>
    </w:p>
    <w:p>
      <w:pPr>
        <w:spacing w:after="0" w:line="220" w:lineRule="exact"/>
        <w:rPr>
          <w:sz w:val="20"/>
          <w:szCs w:val="20"/>
          <w:color w:val="auto"/>
        </w:rPr>
      </w:pPr>
    </w:p>
    <w:p>
      <w:pPr>
        <w:jc w:val="both"/>
        <w:ind w:left="660" w:right="60"/>
        <w:spacing w:after="0" w:line="238" w:lineRule="auto"/>
        <w:rPr>
          <w:sz w:val="20"/>
          <w:szCs w:val="20"/>
          <w:color w:val="auto"/>
        </w:rPr>
      </w:pPr>
      <w:r>
        <w:rPr>
          <w:rFonts w:ascii="Arial" w:cs="Arial" w:eastAsia="Arial" w:hAnsi="Arial"/>
          <w:sz w:val="18"/>
          <w:szCs w:val="18"/>
          <w:color w:val="auto"/>
        </w:rPr>
        <w:t>In connection with the Purchase Agreement, the Company will enter into a 10-year term lease with BHMG, as landlord, of the real estate and fixtures used in the BH Media Newspaper Business. The Lease will commence upon closing of the Transactions, and requires the Company to pay annual rents of $8,000,000, payable in equal monthly installments, as well as all operating costs of the properties, including real estate taxes, insurance, maintenance and repairs. Rent payments will be subject to a credit for any leased real estate sold by BH Media during the term of the Lease equal to 8.00% of the net sales proceeds from such transactions.</w:t>
      </w:r>
    </w:p>
    <w:p>
      <w:pPr>
        <w:spacing w:after="0" w:line="16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Use of Estimates</w:t>
      </w:r>
    </w:p>
    <w:p>
      <w:pPr>
        <w:spacing w:after="0" w:line="220" w:lineRule="exact"/>
        <w:rPr>
          <w:sz w:val="20"/>
          <w:szCs w:val="20"/>
          <w:color w:val="auto"/>
        </w:rPr>
      </w:pPr>
    </w:p>
    <w:p>
      <w:pPr>
        <w:jc w:val="both"/>
        <w:ind w:left="660" w:right="60"/>
        <w:spacing w:after="0"/>
        <w:rPr>
          <w:sz w:val="20"/>
          <w:szCs w:val="20"/>
          <w:color w:val="auto"/>
        </w:rPr>
      </w:pPr>
      <w:r>
        <w:rPr>
          <w:rFonts w:ascii="Arial" w:cs="Arial" w:eastAsia="Arial" w:hAnsi="Arial"/>
          <w:sz w:val="18"/>
          <w:szCs w:val="18"/>
          <w:color w:val="auto"/>
        </w:rPr>
        <w:t>The preparation of the Consolidated Financial Statements in conformity with U.S. generally accepted accounting principles ("GAAP") requires us to make estimates and judgments that affect the reported amounts of assets, liabilities, revenue and expenses, and related disclosure of contingent assets and liabilities. We evaluate these estimates and judgments on an ongoing basis.</w:t>
      </w:r>
    </w:p>
    <w:p>
      <w:pPr>
        <w:spacing w:after="0" w:line="189" w:lineRule="exact"/>
        <w:rPr>
          <w:sz w:val="20"/>
          <w:szCs w:val="20"/>
          <w:color w:val="auto"/>
        </w:rPr>
      </w:pPr>
    </w:p>
    <w:p>
      <w:pPr>
        <w:jc w:val="both"/>
        <w:ind w:left="660" w:right="60"/>
        <w:spacing w:after="0"/>
        <w:rPr>
          <w:sz w:val="20"/>
          <w:szCs w:val="20"/>
          <w:color w:val="auto"/>
        </w:rPr>
      </w:pPr>
      <w:r>
        <w:rPr>
          <w:rFonts w:ascii="Arial" w:cs="Arial" w:eastAsia="Arial" w:hAnsi="Arial"/>
          <w:sz w:val="18"/>
          <w:szCs w:val="18"/>
          <w:color w:val="auto"/>
        </w:rPr>
        <w:t>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67"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Recently Issued Accounting Standards - Standards Adopted in 2020</w:t>
      </w:r>
    </w:p>
    <w:p>
      <w:pPr>
        <w:spacing w:after="0" w:line="220" w:lineRule="exact"/>
        <w:rPr>
          <w:sz w:val="20"/>
          <w:szCs w:val="20"/>
          <w:color w:val="auto"/>
        </w:rPr>
      </w:pPr>
    </w:p>
    <w:p>
      <w:pPr>
        <w:jc w:val="both"/>
        <w:ind w:left="620" w:right="180"/>
        <w:spacing w:after="0" w:line="238" w:lineRule="auto"/>
        <w:rPr>
          <w:sz w:val="20"/>
          <w:szCs w:val="20"/>
          <w:color w:val="auto"/>
        </w:rPr>
      </w:pPr>
      <w:r>
        <w:rPr>
          <w:rFonts w:ascii="Arial" w:cs="Arial" w:eastAsia="Arial" w:hAnsi="Arial"/>
          <w:sz w:val="18"/>
          <w:szCs w:val="18"/>
          <w:color w:val="auto"/>
        </w:rPr>
        <w:t>In February 2016, the FASB issued a new standard for the accounting treatment of leases, known as Accounting Standards 842 ("ASC 842"). The new standard is based on the principle that entities should recognize assets and liabilities arising from leases. The new standard's primary change is the requirement for entities to recognize a lease liability for payments and a right of use asset representing the right to use the leased asset during the term on most operating lease arrangements. We adopted the standard effective September 30, 2019, the first day of fiscal year 2020.</w:t>
      </w:r>
    </w:p>
    <w:p>
      <w:pPr>
        <w:spacing w:after="0" w:line="189" w:lineRule="exact"/>
        <w:rPr>
          <w:sz w:val="20"/>
          <w:szCs w:val="20"/>
          <w:color w:val="auto"/>
        </w:rPr>
      </w:pPr>
    </w:p>
    <w:p>
      <w:pPr>
        <w:jc w:val="both"/>
        <w:ind w:left="620" w:right="180"/>
        <w:spacing w:after="0" w:line="237" w:lineRule="auto"/>
        <w:rPr>
          <w:sz w:val="20"/>
          <w:szCs w:val="20"/>
          <w:color w:val="auto"/>
        </w:rPr>
      </w:pPr>
      <w:r>
        <w:rPr>
          <w:rFonts w:ascii="Arial" w:cs="Arial" w:eastAsia="Arial" w:hAnsi="Arial"/>
          <w:sz w:val="18"/>
          <w:szCs w:val="18"/>
          <w:color w:val="auto"/>
        </w:rPr>
        <w:t>We elected the package of practical expedients which permits the Company to not reassess under the new standard the prior conclusions about lease identification, lease classification, or initial direct costs. In addition, we did reassess whether existing land easements which were previously not accounted for as leases are or contain leases under the new guidance. We have elected to combine non-lease and lease components when accounting for leases. The Company has made a policy election to exclude short-term leases, those with an original term of less than twelve months, from recognition and measurement under ASC 842. As such, we have not recognized a right-of-use (“ROU”) asset or lease liability for these leases. Additional information and disclosures required by this new standard are contained in Note 6.</w:t>
      </w:r>
    </w:p>
    <w:p>
      <w:pPr>
        <w:spacing w:after="0" w:line="181"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Recently Issued Accounting Standards - Standards Not Yet Adopted</w:t>
      </w:r>
    </w:p>
    <w:p>
      <w:pPr>
        <w:spacing w:after="0" w:line="220" w:lineRule="exact"/>
        <w:rPr>
          <w:sz w:val="20"/>
          <w:szCs w:val="20"/>
          <w:color w:val="auto"/>
        </w:rPr>
      </w:pPr>
    </w:p>
    <w:p>
      <w:pPr>
        <w:jc w:val="both"/>
        <w:ind w:left="620" w:right="200"/>
        <w:spacing w:after="0" w:line="237" w:lineRule="auto"/>
        <w:rPr>
          <w:sz w:val="20"/>
          <w:szCs w:val="20"/>
          <w:color w:val="auto"/>
        </w:rPr>
      </w:pPr>
      <w:r>
        <w:rPr>
          <w:rFonts w:ascii="Arial" w:cs="Arial" w:eastAsia="Arial" w:hAnsi="Arial"/>
          <w:sz w:val="18"/>
          <w:szCs w:val="18"/>
          <w:color w:val="auto"/>
        </w:rPr>
        <w:t>In June 2016, the FASB issued a new standard to replace the incurred loss impairment methodology under then current GAAP with a methodology that reflects expected credit losses and requires consideration of a wider array of reasonable and supportable information to inform and develop credit loss estimates. We will be required to use a forward-looking expected credit loss model for both accounts receivables and other financial instruments. The new standard will be adopted beginning September 28, 2020 using a modified retrospective approach through a cumulative-effect adjustment to retained earnings as of the effective date to align our credit loss methodology with the new standard. We are currently evaluating the impact of this standard on our consolidated financial statements.</w:t>
      </w:r>
    </w:p>
    <w:p>
      <w:pPr>
        <w:spacing w:after="0" w:line="200" w:lineRule="exact"/>
        <w:rPr>
          <w:sz w:val="20"/>
          <w:szCs w:val="20"/>
          <w:color w:val="auto"/>
        </w:rPr>
      </w:pPr>
    </w:p>
    <w:p>
      <w:pPr>
        <w:spacing w:after="0" w:line="251"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our revenue disaggregated by source:</w:t>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20" w:type="dxa"/>
            <w:vAlign w:val="bottom"/>
            <w:tcBorders>
              <w:top w:val="single" w:sz="8" w:color="auto"/>
              <w:bottom w:val="single" w:sz="8" w:color="auto"/>
            </w:tcBorders>
          </w:tcPr>
          <w:p>
            <w:pPr>
              <w:spacing w:after="0"/>
              <w:rPr>
                <w:sz w:val="18"/>
                <w:szCs w:val="18"/>
                <w:color w:val="auto"/>
              </w:rPr>
            </w:pPr>
          </w:p>
        </w:tc>
        <w:tc>
          <w:tcPr>
            <w:tcW w:w="344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 Weeks Ended</w:t>
            </w:r>
          </w:p>
        </w:tc>
        <w:tc>
          <w:tcPr>
            <w:tcW w:w="0" w:type="dxa"/>
            <w:vAlign w:val="bottom"/>
          </w:tcPr>
          <w:p>
            <w:pPr>
              <w:spacing w:after="0"/>
              <w:rPr>
                <w:sz w:val="1"/>
                <w:szCs w:val="1"/>
                <w:color w:val="auto"/>
              </w:rPr>
            </w:pPr>
          </w:p>
        </w:tc>
      </w:tr>
      <w:tr>
        <w:trPr>
          <w:trHeight w:val="195"/>
        </w:trPr>
        <w:tc>
          <w:tcPr>
            <w:tcW w:w="57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3440" w:type="dxa"/>
            <w:vAlign w:val="bottom"/>
          </w:tcPr>
          <w:p>
            <w:pPr>
              <w:jc w:val="right"/>
              <w:ind w:right="90"/>
              <w:spacing w:after="0" w:line="195" w:lineRule="exact"/>
              <w:rPr>
                <w:sz w:val="20"/>
                <w:szCs w:val="20"/>
                <w:color w:val="auto"/>
              </w:rPr>
            </w:pPr>
            <w:r>
              <w:rPr>
                <w:rFonts w:ascii="Arial" w:cs="Arial" w:eastAsia="Arial" w:hAnsi="Arial"/>
                <w:sz w:val="18"/>
                <w:szCs w:val="18"/>
                <w:color w:val="auto"/>
              </w:rPr>
              <w:t>December 29,</w:t>
            </w:r>
          </w:p>
        </w:tc>
        <w:tc>
          <w:tcPr>
            <w:tcW w:w="16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December 30,</w:t>
            </w:r>
          </w:p>
        </w:tc>
        <w:tc>
          <w:tcPr>
            <w:tcW w:w="0" w:type="dxa"/>
            <w:vAlign w:val="bottom"/>
          </w:tcPr>
          <w:p>
            <w:pPr>
              <w:spacing w:after="0"/>
              <w:rPr>
                <w:sz w:val="1"/>
                <w:szCs w:val="1"/>
                <w:color w:val="auto"/>
              </w:rPr>
            </w:pPr>
          </w:p>
        </w:tc>
      </w:tr>
      <w:tr>
        <w:trPr>
          <w:trHeight w:val="203"/>
        </w:trPr>
        <w:tc>
          <w:tcPr>
            <w:tcW w:w="5740" w:type="dxa"/>
            <w:vAlign w:val="bottom"/>
            <w:gridSpan w:val="2"/>
            <w:vMerge w:val="continue"/>
          </w:tcPr>
          <w:p>
            <w:pPr>
              <w:spacing w:after="0"/>
              <w:rPr>
                <w:sz w:val="17"/>
                <w:szCs w:val="17"/>
                <w:color w:val="auto"/>
              </w:rPr>
            </w:pPr>
          </w:p>
        </w:tc>
        <w:tc>
          <w:tcPr>
            <w:tcW w:w="3440" w:type="dxa"/>
            <w:vAlign w:val="bottom"/>
          </w:tcPr>
          <w:p>
            <w:pPr>
              <w:jc w:val="right"/>
              <w:ind w:right="90"/>
              <w:spacing w:after="0" w:line="203" w:lineRule="exact"/>
              <w:rPr>
                <w:sz w:val="20"/>
                <w:szCs w:val="20"/>
                <w:color w:val="auto"/>
              </w:rPr>
            </w:pPr>
            <w:r>
              <w:rPr>
                <w:rFonts w:ascii="Arial" w:cs="Arial" w:eastAsia="Arial" w:hAnsi="Arial"/>
                <w:sz w:val="18"/>
                <w:szCs w:val="18"/>
                <w:color w:val="auto"/>
              </w:rPr>
              <w:t>2019</w:t>
            </w:r>
          </w:p>
        </w:tc>
        <w:tc>
          <w:tcPr>
            <w:tcW w:w="1640" w:type="dxa"/>
            <w:vAlign w:val="bottom"/>
          </w:tcPr>
          <w:p>
            <w:pPr>
              <w:jc w:val="right"/>
              <w:ind w:right="10"/>
              <w:spacing w:after="0" w:line="203" w:lineRule="exact"/>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720" w:type="dxa"/>
            <w:vAlign w:val="bottom"/>
            <w:tcBorders>
              <w:top w:val="single" w:sz="8" w:color="auto"/>
            </w:tcBorders>
          </w:tcPr>
          <w:p>
            <w:pPr>
              <w:spacing w:after="0"/>
              <w:rPr>
                <w:sz w:val="17"/>
                <w:szCs w:val="17"/>
                <w:color w:val="auto"/>
              </w:rPr>
            </w:pPr>
          </w:p>
        </w:tc>
        <w:tc>
          <w:tcPr>
            <w:tcW w:w="344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Advertising and marketing services revenue</w:t>
            </w:r>
          </w:p>
        </w:tc>
        <w:tc>
          <w:tcPr>
            <w:tcW w:w="344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65,727</w:t>
            </w:r>
          </w:p>
        </w:tc>
        <w:tc>
          <w:tcPr>
            <w:tcW w:w="16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75,962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Pr>
          <w:p>
            <w:pPr>
              <w:spacing w:after="0" w:line="202" w:lineRule="exact"/>
              <w:rPr>
                <w:sz w:val="20"/>
                <w:szCs w:val="20"/>
                <w:color w:val="auto"/>
              </w:rPr>
            </w:pPr>
            <w:r>
              <w:rPr>
                <w:rFonts w:ascii="Arial" w:cs="Arial" w:eastAsia="Arial" w:hAnsi="Arial"/>
                <w:sz w:val="18"/>
                <w:szCs w:val="18"/>
                <w:color w:val="auto"/>
              </w:rPr>
              <w:t>Subscription Revenue</w:t>
            </w:r>
          </w:p>
        </w:tc>
        <w:tc>
          <w:tcPr>
            <w:tcW w:w="34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41,694</w:t>
            </w: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46,268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TownNews and other digital services revenue</w:t>
            </w:r>
          </w:p>
        </w:tc>
        <w:tc>
          <w:tcPr>
            <w:tcW w:w="344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5,218</w:t>
            </w:r>
          </w:p>
        </w:tc>
        <w:tc>
          <w:tcPr>
            <w:tcW w:w="16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4,677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 revenue</w:t>
            </w:r>
          </w:p>
        </w:tc>
        <w:tc>
          <w:tcPr>
            <w:tcW w:w="344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9,704</w:t>
            </w:r>
          </w:p>
        </w:tc>
        <w:tc>
          <w:tcPr>
            <w:tcW w:w="16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9,294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7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operating revenue</w:t>
            </w:r>
          </w:p>
        </w:tc>
        <w:tc>
          <w:tcPr>
            <w:tcW w:w="344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122,343</w:t>
            </w:r>
          </w:p>
        </w:tc>
        <w:tc>
          <w:tcPr>
            <w:tcW w:w="16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136,201</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660" w:right="60"/>
        <w:spacing w:after="0" w:line="251" w:lineRule="auto"/>
        <w:rPr>
          <w:sz w:val="20"/>
          <w:szCs w:val="20"/>
          <w:color w:val="auto"/>
        </w:rPr>
      </w:pPr>
      <w:r>
        <w:rPr>
          <w:rFonts w:ascii="Arial" w:cs="Arial" w:eastAsia="Arial" w:hAnsi="Arial"/>
          <w:sz w:val="18"/>
          <w:szCs w:val="18"/>
          <w:i w:val="1"/>
          <w:iCs w:val="1"/>
          <w:color w:val="auto"/>
        </w:rPr>
        <w:t xml:space="preserve">Recognition principles: </w:t>
      </w:r>
      <w:r>
        <w:rPr>
          <w:rFonts w:ascii="Arial" w:cs="Arial" w:eastAsia="Arial" w:hAnsi="Arial"/>
          <w:sz w:val="18"/>
          <w:szCs w:val="18"/>
          <w:color w:val="auto"/>
        </w:rPr>
        <w:t>Revenue is recognized when a performance obligation is satisfied by the transfer of control of the contracted</w:t>
      </w:r>
      <w:r>
        <w:rPr>
          <w:rFonts w:ascii="Arial" w:cs="Arial" w:eastAsia="Arial" w:hAnsi="Arial"/>
          <w:sz w:val="18"/>
          <w:szCs w:val="18"/>
          <w:i w:val="1"/>
          <w:iCs w:val="1"/>
          <w:color w:val="auto"/>
        </w:rPr>
        <w:t xml:space="preserve"> </w:t>
      </w:r>
      <w:r>
        <w:rPr>
          <w:rFonts w:ascii="Arial" w:cs="Arial" w:eastAsia="Arial" w:hAnsi="Arial"/>
          <w:sz w:val="18"/>
          <w:szCs w:val="18"/>
          <w:color w:val="auto"/>
        </w:rPr>
        <w:t>goods or services to our customers, in an amount that reflects the consideration we expect to receive in exchange for those goods or services.</w:t>
      </w:r>
    </w:p>
    <w:p>
      <w:pPr>
        <w:spacing w:after="0" w:line="161" w:lineRule="exact"/>
        <w:rPr>
          <w:sz w:val="20"/>
          <w:szCs w:val="20"/>
          <w:color w:val="auto"/>
        </w:rPr>
      </w:pPr>
    </w:p>
    <w:p>
      <w:pPr>
        <w:jc w:val="both"/>
        <w:ind w:left="660" w:right="60"/>
        <w:spacing w:after="0" w:line="245" w:lineRule="auto"/>
        <w:rPr>
          <w:sz w:val="20"/>
          <w:szCs w:val="20"/>
          <w:color w:val="auto"/>
        </w:rPr>
      </w:pPr>
      <w:r>
        <w:rPr>
          <w:rFonts w:ascii="Arial" w:cs="Arial" w:eastAsia="Arial" w:hAnsi="Arial"/>
          <w:sz w:val="18"/>
          <w:szCs w:val="18"/>
          <w:i w:val="1"/>
          <w:iCs w:val="1"/>
          <w:color w:val="auto"/>
        </w:rPr>
        <w:t xml:space="preserve">Arrangements with multiple performance obligations: </w:t>
      </w:r>
      <w:r>
        <w:rPr>
          <w:rFonts w:ascii="Arial" w:cs="Arial" w:eastAsia="Arial" w:hAnsi="Arial"/>
          <w:sz w:val="18"/>
          <w:szCs w:val="18"/>
          <w:color w:val="auto"/>
        </w:rPr>
        <w:t>We have various advertising and subscription agreements which include both</w:t>
      </w:r>
      <w:r>
        <w:rPr>
          <w:rFonts w:ascii="Arial" w:cs="Arial" w:eastAsia="Arial" w:hAnsi="Arial"/>
          <w:sz w:val="18"/>
          <w:szCs w:val="18"/>
          <w:i w:val="1"/>
          <w:iCs w:val="1"/>
          <w:color w:val="auto"/>
        </w:rPr>
        <w:t xml:space="preserve"> </w:t>
      </w:r>
      <w:r>
        <w:rPr>
          <w:rFonts w:ascii="Arial" w:cs="Arial" w:eastAsia="Arial" w:hAnsi="Arial"/>
          <w:sz w:val="18"/>
          <w:szCs w:val="18"/>
          <w:color w:val="auto"/>
        </w:rPr>
        <w:t>print and digital performance obligations. Revenue from sales agreements that contain multiple performance obligations are allocated to each obligation based on the relative standalone selling price. We determine standalone selling prices based on observable prices charged to customers.</w:t>
      </w:r>
    </w:p>
    <w:p>
      <w:pPr>
        <w:spacing w:after="0" w:line="168" w:lineRule="exact"/>
        <w:rPr>
          <w:sz w:val="20"/>
          <w:szCs w:val="20"/>
          <w:color w:val="auto"/>
        </w:rPr>
      </w:pPr>
    </w:p>
    <w:p>
      <w:pPr>
        <w:jc w:val="both"/>
        <w:ind w:left="660" w:right="60"/>
        <w:spacing w:after="0" w:line="241" w:lineRule="auto"/>
        <w:rPr>
          <w:sz w:val="20"/>
          <w:szCs w:val="20"/>
          <w:color w:val="auto"/>
        </w:rPr>
      </w:pPr>
      <w:r>
        <w:rPr>
          <w:rFonts w:ascii="Arial" w:cs="Arial" w:eastAsia="Arial" w:hAnsi="Arial"/>
          <w:sz w:val="18"/>
          <w:szCs w:val="18"/>
          <w:i w:val="1"/>
          <w:iCs w:val="1"/>
          <w:color w:val="auto"/>
        </w:rPr>
        <w:t xml:space="preserve">Contract Assets and Liabilities: </w:t>
      </w:r>
      <w:r>
        <w:rPr>
          <w:rFonts w:ascii="Arial" w:cs="Arial" w:eastAsia="Arial" w:hAnsi="Arial"/>
          <w:sz w:val="18"/>
          <w:szCs w:val="18"/>
          <w:color w:val="auto"/>
        </w:rPr>
        <w:t>The Company’s primary source of unearned revenue is from subscriptions paid in advance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provided. The Company expects to recognize the revenue related to unsatisfied performance obligations over the next twelve months in accordance with the terms of the subscriptions and other contracts with customers. The unearned revenue balances described herein are the Company's only contract liability. Unearned revenue was $22,966,000 as of December 29, 2019 and $21,720,000 as of September 29, 2019. Revenue recognized in the 13 weeks ended December 29, 2019 that was included in the contract liability as of September 29, 2019 was $13,399,000.</w:t>
      </w:r>
    </w:p>
    <w:p>
      <w:pPr>
        <w:spacing w:after="0" w:line="189" w:lineRule="exact"/>
        <w:rPr>
          <w:sz w:val="20"/>
          <w:szCs w:val="20"/>
          <w:color w:val="auto"/>
        </w:rPr>
      </w:pPr>
    </w:p>
    <w:p>
      <w:pPr>
        <w:jc w:val="both"/>
        <w:ind w:left="660" w:right="60"/>
        <w:spacing w:after="0"/>
        <w:rPr>
          <w:sz w:val="20"/>
          <w:szCs w:val="20"/>
          <w:color w:val="auto"/>
        </w:rPr>
      </w:pPr>
      <w:r>
        <w:rPr>
          <w:rFonts w:ascii="Arial" w:cs="Arial" w:eastAsia="Arial" w:hAnsi="Arial"/>
          <w:sz w:val="18"/>
          <w:szCs w:val="18"/>
          <w:color w:val="auto"/>
        </w:rPr>
        <w:t>Contract asset balances relate to our Management Agreement revenue and were $3,589,000 as of December 29, 2019 and $1,107,000 as of September 29, 2019 and consisted solely of the variable portion of the contract.These contract asset balances are included in accounts receivable and contract assets, net. There are no other contract assets recorded. Accounts receivable, excluding</w:t>
      </w:r>
    </w:p>
    <w:p>
      <w:pPr>
        <w:sectPr>
          <w:pgSz w:w="11900" w:h="16838" w:orient="portrait"/>
          <w:cols w:equalWidth="0" w:num="1">
            <w:col w:w="11480"/>
          </w:cols>
          <w:pgMar w:left="240" w:top="118" w:right="179" w:bottom="0" w:gutter="0" w:footer="0" w:header="0"/>
        </w:sectPr>
      </w:pPr>
    </w:p>
    <w:bookmarkStart w:id="11" w:name="page12"/>
    <w:bookmarkEnd w:id="11"/>
    <w:p>
      <w:pPr>
        <w:jc w:val="both"/>
        <w:spacing w:after="0"/>
        <w:rPr>
          <w:sz w:val="20"/>
          <w:szCs w:val="20"/>
          <w:color w:val="auto"/>
        </w:rPr>
      </w:pPr>
      <w:r>
        <w:rPr>
          <w:rFonts w:ascii="Arial" w:cs="Arial" w:eastAsia="Arial" w:hAnsi="Arial"/>
          <w:sz w:val="18"/>
          <w:szCs w:val="18"/>
          <w:color w:val="auto"/>
        </w:rPr>
        <w:t>allowance for doubtful accounts and contract assets, was $53,481,000 and $47,863,000 as of December 29, 2019 and September 29, 2019, respectively. Allowance for doubtful accounts was $6,420,000 and $6,434,000 as of December 29, 2019 and September 29, 2019, respectively.</w:t>
      </w:r>
    </w:p>
    <w:p>
      <w:pPr>
        <w:spacing w:after="0" w:line="188"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66040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140" w:right="23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9" w:lineRule="exact"/>
        <w:rPr>
          <w:sz w:val="20"/>
          <w:szCs w:val="20"/>
          <w:color w:val="auto"/>
        </w:rPr>
      </w:pPr>
    </w:p>
    <w:p>
      <w:pPr>
        <w:jc w:val="both"/>
        <w:ind w:left="660" w:right="60"/>
        <w:spacing w:after="0" w:line="251" w:lineRule="auto"/>
        <w:rPr>
          <w:sz w:val="20"/>
          <w:szCs w:val="20"/>
          <w:color w:val="auto"/>
        </w:rPr>
      </w:pPr>
      <w:r>
        <w:rPr>
          <w:rFonts w:ascii="Arial" w:cs="Arial" w:eastAsia="Arial" w:hAnsi="Arial"/>
          <w:sz w:val="18"/>
          <w:szCs w:val="18"/>
          <w:i w:val="1"/>
          <w:iCs w:val="1"/>
          <w:color w:val="auto"/>
        </w:rPr>
        <w:t xml:space="preserve">Practical expedients: </w:t>
      </w:r>
      <w:r>
        <w:rPr>
          <w:rFonts w:ascii="Arial" w:cs="Arial" w:eastAsia="Arial" w:hAnsi="Arial"/>
          <w:sz w:val="18"/>
          <w:szCs w:val="18"/>
          <w:color w:val="auto"/>
        </w:rPr>
        <w:t>Sales commissions are expensed as incurred as the associated contractual periods are one year or less. These</w:t>
      </w:r>
      <w:r>
        <w:rPr>
          <w:rFonts w:ascii="Arial" w:cs="Arial" w:eastAsia="Arial" w:hAnsi="Arial"/>
          <w:sz w:val="18"/>
          <w:szCs w:val="18"/>
          <w:i w:val="1"/>
          <w:iCs w:val="1"/>
          <w:color w:val="auto"/>
        </w:rPr>
        <w:t xml:space="preserve"> </w:t>
      </w:r>
      <w:r>
        <w:rPr>
          <w:rFonts w:ascii="Arial" w:cs="Arial" w:eastAsia="Arial" w:hAnsi="Arial"/>
          <w:sz w:val="18"/>
          <w:szCs w:val="18"/>
          <w:color w:val="auto"/>
        </w:rPr>
        <w:t>costs are recorded within compensation. The vast majority of our contracts have original expected lengths of one year or less and revenue is earned at a rate and amount that corresponds directly with the value to the customer.</w:t>
      </w:r>
    </w:p>
    <w:p>
      <w:pPr>
        <w:spacing w:after="0" w:line="400" w:lineRule="exact"/>
        <w:rPr>
          <w:sz w:val="20"/>
          <w:szCs w:val="20"/>
          <w:color w:val="auto"/>
        </w:rPr>
      </w:pPr>
    </w:p>
    <w:p>
      <w:pPr>
        <w:ind w:left="660" w:right="6960" w:hanging="652"/>
        <w:spacing w:after="0" w:line="482"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ASSOCIATED COMPANIES TNI Partners</w:t>
      </w:r>
    </w:p>
    <w:p>
      <w:pPr>
        <w:jc w:val="both"/>
        <w:ind w:left="660" w:right="6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 xml:space="preserve">In Tucson, Arizona, TNI, acting as agent for our subsidiary, Star Publishing Company (“Star Publishing”), and Citizen Publishing Company (“Citizen”), a subsidiary of Gannett Co. Inc., is responsible for printing, delivery, advertising, and subscription activities of the </w:t>
      </w:r>
      <w:r>
        <w:rPr>
          <w:rFonts w:ascii="Arial" w:cs="Arial" w:eastAsia="Arial" w:hAnsi="Arial"/>
          <w:sz w:val="18"/>
          <w:szCs w:val="18"/>
          <w:i w:val="1"/>
          <w:iCs w:val="1"/>
          <w:color w:val="auto"/>
        </w:rPr>
        <w:t xml:space="preserve">Arizona Daily Star </w:t>
      </w:r>
      <w:r>
        <w:rPr>
          <w:rFonts w:ascii="Arial" w:cs="Arial" w:eastAsia="Arial" w:hAnsi="Arial"/>
          <w:sz w:val="18"/>
          <w:szCs w:val="18"/>
          <w:color w:val="auto"/>
        </w:rPr>
        <w:t>as well as the related digital platforms and specialty publications. TNI collects all receipts and income and pays</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substantially all operating expenses incident to the partnership's operations and publication of the newspaper and other media.</w:t>
      </w:r>
    </w:p>
    <w:p>
      <w:pPr>
        <w:spacing w:after="0" w:line="188" w:lineRule="exact"/>
        <w:rPr>
          <w:rFonts w:ascii="Arial" w:cs="Arial" w:eastAsia="Arial" w:hAnsi="Arial"/>
          <w:sz w:val="18"/>
          <w:szCs w:val="18"/>
          <w:b w:val="1"/>
          <w:bCs w:val="1"/>
          <w:color w:val="auto"/>
        </w:rPr>
      </w:pPr>
    </w:p>
    <w:p>
      <w:pPr>
        <w:ind w:left="660" w:right="3280"/>
        <w:spacing w:after="0" w:line="478" w:lineRule="auto"/>
        <w:rPr>
          <w:rFonts w:ascii="Arial" w:cs="Arial" w:eastAsia="Arial" w:hAnsi="Arial"/>
          <w:sz w:val="18"/>
          <w:szCs w:val="18"/>
          <w:b w:val="1"/>
          <w:bCs w:val="1"/>
          <w:color w:val="auto"/>
        </w:rPr>
      </w:pPr>
      <w:r>
        <w:rPr>
          <w:rFonts w:ascii="Arial" w:cs="Arial" w:eastAsia="Arial" w:hAnsi="Arial"/>
          <w:sz w:val="18"/>
          <w:szCs w:val="18"/>
          <w:color w:val="auto"/>
        </w:rPr>
        <w:t>Income or loss of TNI (before income taxes) is allocated equally to Star Publishing and Citizen. Summarized results of TNI are as follows:</w:t>
      </w:r>
    </w:p>
    <w:tbl>
      <w:tblPr>
        <w:tblLayout w:type="fixed"/>
        <w:tblInd w:w="66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5620" w:type="dxa"/>
            <w:vAlign w:val="bottom"/>
            <w:tcBorders>
              <w:top w:val="single" w:sz="8" w:color="auto"/>
              <w:bottom w:val="single" w:sz="8" w:color="auto"/>
            </w:tcBorders>
          </w:tcPr>
          <w:p>
            <w:pPr>
              <w:spacing w:after="0"/>
              <w:rPr>
                <w:sz w:val="17"/>
                <w:szCs w:val="17"/>
                <w:color w:val="auto"/>
              </w:rPr>
            </w:pPr>
          </w:p>
        </w:tc>
        <w:tc>
          <w:tcPr>
            <w:tcW w:w="3540" w:type="dxa"/>
            <w:vAlign w:val="bottom"/>
            <w:tcBorders>
              <w:top w:val="single" w:sz="8" w:color="auto"/>
              <w:bottom w:val="single" w:sz="8" w:color="auto"/>
            </w:tcBorders>
          </w:tcPr>
          <w:p>
            <w:pPr>
              <w:spacing w:after="0"/>
              <w:rPr>
                <w:sz w:val="17"/>
                <w:szCs w:val="17"/>
                <w:color w:val="auto"/>
              </w:rPr>
            </w:pPr>
          </w:p>
        </w:tc>
        <w:tc>
          <w:tcPr>
            <w:tcW w:w="164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13 Weeks Ended</w:t>
            </w:r>
          </w:p>
        </w:tc>
        <w:tc>
          <w:tcPr>
            <w:tcW w:w="0" w:type="dxa"/>
            <w:vAlign w:val="bottom"/>
          </w:tcPr>
          <w:p>
            <w:pPr>
              <w:spacing w:after="0"/>
              <w:rPr>
                <w:sz w:val="1"/>
                <w:szCs w:val="1"/>
                <w:color w:val="auto"/>
              </w:rPr>
            </w:pPr>
          </w:p>
        </w:tc>
      </w:tr>
      <w:tr>
        <w:trPr>
          <w:trHeight w:val="195"/>
        </w:trPr>
        <w:tc>
          <w:tcPr>
            <w:tcW w:w="56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3540" w:type="dxa"/>
            <w:vAlign w:val="bottom"/>
          </w:tcPr>
          <w:p>
            <w:pPr>
              <w:jc w:val="right"/>
              <w:ind w:right="90"/>
              <w:spacing w:after="0" w:line="195" w:lineRule="exact"/>
              <w:rPr>
                <w:sz w:val="20"/>
                <w:szCs w:val="20"/>
                <w:color w:val="auto"/>
              </w:rPr>
            </w:pPr>
            <w:r>
              <w:rPr>
                <w:rFonts w:ascii="Arial" w:cs="Arial" w:eastAsia="Arial" w:hAnsi="Arial"/>
                <w:sz w:val="18"/>
                <w:szCs w:val="18"/>
                <w:color w:val="auto"/>
              </w:rPr>
              <w:t>December 29,</w:t>
            </w:r>
          </w:p>
        </w:tc>
        <w:tc>
          <w:tcPr>
            <w:tcW w:w="16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December 30,</w:t>
            </w:r>
          </w:p>
        </w:tc>
        <w:tc>
          <w:tcPr>
            <w:tcW w:w="0" w:type="dxa"/>
            <w:vAlign w:val="bottom"/>
          </w:tcPr>
          <w:p>
            <w:pPr>
              <w:spacing w:after="0"/>
              <w:rPr>
                <w:sz w:val="1"/>
                <w:szCs w:val="1"/>
                <w:color w:val="auto"/>
              </w:rPr>
            </w:pPr>
          </w:p>
        </w:tc>
      </w:tr>
      <w:tr>
        <w:trPr>
          <w:trHeight w:val="203"/>
        </w:trPr>
        <w:tc>
          <w:tcPr>
            <w:tcW w:w="5640" w:type="dxa"/>
            <w:vAlign w:val="bottom"/>
            <w:gridSpan w:val="2"/>
            <w:vMerge w:val="continue"/>
          </w:tcPr>
          <w:p>
            <w:pPr>
              <w:spacing w:after="0"/>
              <w:rPr>
                <w:sz w:val="17"/>
                <w:szCs w:val="17"/>
                <w:color w:val="auto"/>
              </w:rPr>
            </w:pPr>
          </w:p>
        </w:tc>
        <w:tc>
          <w:tcPr>
            <w:tcW w:w="3540" w:type="dxa"/>
            <w:vAlign w:val="bottom"/>
          </w:tcPr>
          <w:p>
            <w:pPr>
              <w:jc w:val="right"/>
              <w:ind w:right="90"/>
              <w:spacing w:after="0" w:line="203" w:lineRule="exact"/>
              <w:rPr>
                <w:sz w:val="20"/>
                <w:szCs w:val="20"/>
                <w:color w:val="auto"/>
              </w:rPr>
            </w:pPr>
            <w:r>
              <w:rPr>
                <w:rFonts w:ascii="Arial" w:cs="Arial" w:eastAsia="Arial" w:hAnsi="Arial"/>
                <w:sz w:val="18"/>
                <w:szCs w:val="18"/>
                <w:color w:val="auto"/>
              </w:rPr>
              <w:t>2019</w:t>
            </w:r>
          </w:p>
        </w:tc>
        <w:tc>
          <w:tcPr>
            <w:tcW w:w="1640" w:type="dxa"/>
            <w:vAlign w:val="bottom"/>
          </w:tcPr>
          <w:p>
            <w:pPr>
              <w:jc w:val="right"/>
              <w:ind w:right="10"/>
              <w:spacing w:after="0" w:line="203" w:lineRule="exact"/>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620" w:type="dxa"/>
            <w:vAlign w:val="bottom"/>
            <w:tcBorders>
              <w:top w:val="single" w:sz="8" w:color="auto"/>
            </w:tcBorders>
          </w:tcPr>
          <w:p>
            <w:pPr>
              <w:spacing w:after="0"/>
              <w:rPr>
                <w:sz w:val="17"/>
                <w:szCs w:val="17"/>
                <w:color w:val="auto"/>
              </w:rPr>
            </w:pPr>
          </w:p>
        </w:tc>
        <w:tc>
          <w:tcPr>
            <w:tcW w:w="354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w:t>
            </w:r>
          </w:p>
        </w:tc>
        <w:tc>
          <w:tcPr>
            <w:tcW w:w="354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10,195</w:t>
            </w:r>
          </w:p>
        </w:tc>
        <w:tc>
          <w:tcPr>
            <w:tcW w:w="16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12,164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Operating expenses</w:t>
            </w:r>
          </w:p>
        </w:tc>
        <w:tc>
          <w:tcPr>
            <w:tcW w:w="354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8,165</w:t>
            </w:r>
          </w:p>
        </w:tc>
        <w:tc>
          <w:tcPr>
            <w:tcW w:w="16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9,095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6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354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2,030</w:t>
            </w:r>
          </w:p>
        </w:tc>
        <w:tc>
          <w:tcPr>
            <w:tcW w:w="16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3,069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620" w:type="dxa"/>
            <w:vAlign w:val="bottom"/>
          </w:tcPr>
          <w:p>
            <w:pPr>
              <w:spacing w:after="0" w:line="183" w:lineRule="exact"/>
              <w:rPr>
                <w:sz w:val="20"/>
                <w:szCs w:val="20"/>
                <w:color w:val="auto"/>
              </w:rPr>
            </w:pPr>
            <w:r>
              <w:rPr>
                <w:rFonts w:ascii="Arial" w:cs="Arial" w:eastAsia="Arial" w:hAnsi="Arial"/>
                <w:sz w:val="18"/>
                <w:szCs w:val="18"/>
                <w:color w:val="auto"/>
              </w:rPr>
              <w:t>Company's 50% share of operating income</w:t>
            </w:r>
          </w:p>
        </w:tc>
        <w:tc>
          <w:tcPr>
            <w:tcW w:w="3540" w:type="dxa"/>
            <w:vAlign w:val="bottom"/>
          </w:tcPr>
          <w:p>
            <w:pPr>
              <w:jc w:val="right"/>
              <w:ind w:right="90"/>
              <w:spacing w:after="0" w:line="183" w:lineRule="exact"/>
              <w:rPr>
                <w:sz w:val="20"/>
                <w:szCs w:val="20"/>
                <w:color w:val="auto"/>
              </w:rPr>
            </w:pPr>
            <w:r>
              <w:rPr>
                <w:rFonts w:ascii="Arial" w:cs="Arial" w:eastAsia="Arial" w:hAnsi="Arial"/>
                <w:sz w:val="18"/>
                <w:szCs w:val="18"/>
                <w:color w:val="auto"/>
              </w:rPr>
              <w:t>1,015</w:t>
            </w:r>
          </w:p>
        </w:tc>
        <w:tc>
          <w:tcPr>
            <w:tcW w:w="1640" w:type="dxa"/>
            <w:vAlign w:val="bottom"/>
          </w:tcPr>
          <w:p>
            <w:pPr>
              <w:jc w:val="right"/>
              <w:ind w:right="10"/>
              <w:spacing w:after="0" w:line="183" w:lineRule="exact"/>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Less amortization of intangible assets</w:t>
            </w:r>
          </w:p>
        </w:tc>
        <w:tc>
          <w:tcPr>
            <w:tcW w:w="3540" w:type="dxa"/>
            <w:vAlign w:val="bottom"/>
            <w:tcBorders>
              <w:bottom w:val="single" w:sz="8" w:color="auto"/>
            </w:tcBorders>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104</w:t>
            </w:r>
          </w:p>
        </w:tc>
        <w:tc>
          <w:tcPr>
            <w:tcW w:w="16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6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Equity in earnings of TNI</w:t>
            </w:r>
          </w:p>
        </w:tc>
        <w:tc>
          <w:tcPr>
            <w:tcW w:w="354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911</w:t>
            </w:r>
          </w:p>
        </w:tc>
        <w:tc>
          <w:tcPr>
            <w:tcW w:w="16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Borders>
              <w:bottom w:val="single" w:sz="8" w:color="auto"/>
            </w:tcBorders>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right="60"/>
        <w:spacing w:after="0" w:line="246" w:lineRule="auto"/>
        <w:rPr>
          <w:sz w:val="20"/>
          <w:szCs w:val="20"/>
          <w:color w:val="auto"/>
        </w:rPr>
      </w:pPr>
      <w:r>
        <w:rPr>
          <w:rFonts w:ascii="Arial" w:cs="Arial" w:eastAsia="Arial" w:hAnsi="Arial"/>
          <w:sz w:val="18"/>
          <w:szCs w:val="18"/>
          <w:color w:val="auto"/>
        </w:rPr>
        <w:t>TNI makes weekly distributions of its earnings and for the 13 weeks ended December 29, 2019 and December 30, 2018, we received $738,000 and $549,000 in distributions, respectively.</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Madison Newspapers, Inc.</w:t>
      </w:r>
    </w:p>
    <w:p>
      <w:pPr>
        <w:spacing w:after="0" w:line="220" w:lineRule="exact"/>
        <w:rPr>
          <w:sz w:val="20"/>
          <w:szCs w:val="20"/>
          <w:color w:val="auto"/>
        </w:rPr>
      </w:pPr>
    </w:p>
    <w:p>
      <w:pPr>
        <w:jc w:val="both"/>
        <w:ind w:left="660" w:right="60"/>
        <w:spacing w:after="0" w:line="239" w:lineRule="auto"/>
        <w:rPr>
          <w:sz w:val="20"/>
          <w:szCs w:val="20"/>
          <w:color w:val="auto"/>
        </w:rPr>
      </w:pPr>
      <w:r>
        <w:rPr>
          <w:rFonts w:ascii="Arial" w:cs="Arial" w:eastAsia="Arial" w:hAnsi="Arial"/>
          <w:sz w:val="18"/>
          <w:szCs w:val="18"/>
          <w:color w:val="auto"/>
        </w:rPr>
        <w:t>We have a 50% ownership interest in MNI, which publishes daily and Sunday newspapers, and other publications in Madison, Wisconsin, and other Wisconsin locations, and operates their related digital platforms. Net income or loss of MNI (after income taxes) is allocated equally to us and The Capital Times Company (“TCT”). MNI conducts its business under the trade name Capital Newspapers.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Summarized results of MNI are as follows:</w:t>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40" w:type="dxa"/>
            <w:vAlign w:val="bottom"/>
            <w:tcBorders>
              <w:top w:val="single" w:sz="8" w:color="auto"/>
              <w:bottom w:val="single" w:sz="8" w:color="auto"/>
            </w:tcBorders>
          </w:tcPr>
          <w:p>
            <w:pPr>
              <w:spacing w:after="0"/>
              <w:rPr>
                <w:sz w:val="18"/>
                <w:szCs w:val="18"/>
                <w:color w:val="auto"/>
              </w:rPr>
            </w:pPr>
          </w:p>
        </w:tc>
        <w:tc>
          <w:tcPr>
            <w:tcW w:w="202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 Weeks Ended</w:t>
            </w:r>
          </w:p>
        </w:tc>
        <w:tc>
          <w:tcPr>
            <w:tcW w:w="0" w:type="dxa"/>
            <w:vAlign w:val="bottom"/>
          </w:tcPr>
          <w:p>
            <w:pPr>
              <w:spacing w:after="0"/>
              <w:rPr>
                <w:sz w:val="1"/>
                <w:szCs w:val="1"/>
                <w:color w:val="auto"/>
              </w:rPr>
            </w:pPr>
          </w:p>
        </w:tc>
      </w:tr>
      <w:tr>
        <w:trPr>
          <w:trHeight w:val="195"/>
        </w:trPr>
        <w:tc>
          <w:tcPr>
            <w:tcW w:w="71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2020" w:type="dxa"/>
            <w:vAlign w:val="bottom"/>
          </w:tcPr>
          <w:p>
            <w:pPr>
              <w:jc w:val="right"/>
              <w:ind w:right="90"/>
              <w:spacing w:after="0" w:line="195" w:lineRule="exact"/>
              <w:rPr>
                <w:sz w:val="20"/>
                <w:szCs w:val="20"/>
                <w:color w:val="auto"/>
              </w:rPr>
            </w:pPr>
            <w:r>
              <w:rPr>
                <w:rFonts w:ascii="Arial" w:cs="Arial" w:eastAsia="Arial" w:hAnsi="Arial"/>
                <w:sz w:val="18"/>
                <w:szCs w:val="18"/>
                <w:color w:val="auto"/>
              </w:rPr>
              <w:t>December 29,</w:t>
            </w:r>
          </w:p>
        </w:tc>
        <w:tc>
          <w:tcPr>
            <w:tcW w:w="16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December 30,</w:t>
            </w:r>
          </w:p>
        </w:tc>
        <w:tc>
          <w:tcPr>
            <w:tcW w:w="0" w:type="dxa"/>
            <w:vAlign w:val="bottom"/>
          </w:tcPr>
          <w:p>
            <w:pPr>
              <w:spacing w:after="0"/>
              <w:rPr>
                <w:sz w:val="1"/>
                <w:szCs w:val="1"/>
                <w:color w:val="auto"/>
              </w:rPr>
            </w:pPr>
          </w:p>
        </w:tc>
      </w:tr>
      <w:tr>
        <w:trPr>
          <w:trHeight w:val="203"/>
        </w:trPr>
        <w:tc>
          <w:tcPr>
            <w:tcW w:w="7160" w:type="dxa"/>
            <w:vAlign w:val="bottom"/>
            <w:gridSpan w:val="2"/>
            <w:vMerge w:val="continue"/>
          </w:tcPr>
          <w:p>
            <w:pPr>
              <w:spacing w:after="0"/>
              <w:rPr>
                <w:sz w:val="17"/>
                <w:szCs w:val="17"/>
                <w:color w:val="auto"/>
              </w:rPr>
            </w:pPr>
          </w:p>
        </w:tc>
        <w:tc>
          <w:tcPr>
            <w:tcW w:w="2020" w:type="dxa"/>
            <w:vAlign w:val="bottom"/>
          </w:tcPr>
          <w:p>
            <w:pPr>
              <w:jc w:val="right"/>
              <w:ind w:right="90"/>
              <w:spacing w:after="0" w:line="203" w:lineRule="exact"/>
              <w:rPr>
                <w:sz w:val="20"/>
                <w:szCs w:val="20"/>
                <w:color w:val="auto"/>
              </w:rPr>
            </w:pPr>
            <w:r>
              <w:rPr>
                <w:rFonts w:ascii="Arial" w:cs="Arial" w:eastAsia="Arial" w:hAnsi="Arial"/>
                <w:sz w:val="18"/>
                <w:szCs w:val="18"/>
                <w:color w:val="auto"/>
              </w:rPr>
              <w:t>2019</w:t>
            </w:r>
          </w:p>
        </w:tc>
        <w:tc>
          <w:tcPr>
            <w:tcW w:w="1640" w:type="dxa"/>
            <w:vAlign w:val="bottom"/>
          </w:tcPr>
          <w:p>
            <w:pPr>
              <w:jc w:val="right"/>
              <w:ind w:right="10"/>
              <w:spacing w:after="0" w:line="203" w:lineRule="exact"/>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140" w:type="dxa"/>
            <w:vAlign w:val="bottom"/>
            <w:tcBorders>
              <w:top w:val="single" w:sz="8" w:color="auto"/>
            </w:tcBorders>
          </w:tcPr>
          <w:p>
            <w:pPr>
              <w:spacing w:after="0"/>
              <w:rPr>
                <w:sz w:val="17"/>
                <w:szCs w:val="17"/>
                <w:color w:val="auto"/>
              </w:rPr>
            </w:pPr>
          </w:p>
        </w:tc>
        <w:tc>
          <w:tcPr>
            <w:tcW w:w="202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w:t>
            </w:r>
          </w:p>
        </w:tc>
        <w:tc>
          <w:tcPr>
            <w:tcW w:w="202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13,925</w:t>
            </w:r>
          </w:p>
        </w:tc>
        <w:tc>
          <w:tcPr>
            <w:tcW w:w="16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14,826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40" w:type="dxa"/>
            <w:vAlign w:val="bottom"/>
          </w:tcPr>
          <w:p>
            <w:pPr>
              <w:spacing w:after="0" w:line="202" w:lineRule="exact"/>
              <w:rPr>
                <w:sz w:val="20"/>
                <w:szCs w:val="20"/>
                <w:color w:val="auto"/>
              </w:rPr>
            </w:pPr>
            <w:r>
              <w:rPr>
                <w:rFonts w:ascii="Arial" w:cs="Arial" w:eastAsia="Arial" w:hAnsi="Arial"/>
                <w:sz w:val="18"/>
                <w:szCs w:val="18"/>
                <w:color w:val="auto"/>
              </w:rPr>
              <w:t>Operating expenses, excluding restructuring costs, depreciation and amortization</w:t>
            </w:r>
          </w:p>
        </w:tc>
        <w:tc>
          <w:tcPr>
            <w:tcW w:w="20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12,120</w:t>
            </w: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12,663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Restructuring costs</w:t>
            </w:r>
          </w:p>
        </w:tc>
        <w:tc>
          <w:tcPr>
            <w:tcW w:w="202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202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145</w:t>
            </w:r>
          </w:p>
        </w:tc>
        <w:tc>
          <w:tcPr>
            <w:tcW w:w="16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1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202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1,660</w:t>
            </w:r>
          </w:p>
        </w:tc>
        <w:tc>
          <w:tcPr>
            <w:tcW w:w="16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1,853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140" w:type="dxa"/>
            <w:vAlign w:val="bottom"/>
          </w:tcPr>
          <w:p>
            <w:pPr>
              <w:spacing w:after="0" w:line="183" w:lineRule="exact"/>
              <w:rPr>
                <w:sz w:val="20"/>
                <w:szCs w:val="20"/>
                <w:color w:val="auto"/>
              </w:rPr>
            </w:pPr>
            <w:r>
              <w:rPr>
                <w:rFonts w:ascii="Arial" w:cs="Arial" w:eastAsia="Arial" w:hAnsi="Arial"/>
                <w:sz w:val="18"/>
                <w:szCs w:val="18"/>
                <w:color w:val="auto"/>
              </w:rPr>
              <w:t>Net income</w:t>
            </w:r>
          </w:p>
        </w:tc>
        <w:tc>
          <w:tcPr>
            <w:tcW w:w="2020" w:type="dxa"/>
            <w:vAlign w:val="bottom"/>
          </w:tcPr>
          <w:p>
            <w:pPr>
              <w:jc w:val="right"/>
              <w:ind w:right="90"/>
              <w:spacing w:after="0" w:line="183" w:lineRule="exact"/>
              <w:rPr>
                <w:sz w:val="20"/>
                <w:szCs w:val="20"/>
                <w:color w:val="auto"/>
              </w:rPr>
            </w:pPr>
            <w:r>
              <w:rPr>
                <w:rFonts w:ascii="Arial" w:cs="Arial" w:eastAsia="Arial" w:hAnsi="Arial"/>
                <w:sz w:val="18"/>
                <w:szCs w:val="18"/>
                <w:color w:val="auto"/>
              </w:rPr>
              <w:t>1,316</w:t>
            </w:r>
          </w:p>
        </w:tc>
        <w:tc>
          <w:tcPr>
            <w:tcW w:w="1640" w:type="dxa"/>
            <w:vAlign w:val="bottom"/>
          </w:tcPr>
          <w:p>
            <w:pPr>
              <w:jc w:val="right"/>
              <w:ind w:right="10"/>
              <w:spacing w:after="0" w:line="183" w:lineRule="exact"/>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1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Equity in earnings of MNI</w:t>
            </w:r>
          </w:p>
        </w:tc>
        <w:tc>
          <w:tcPr>
            <w:tcW w:w="2020" w:type="dxa"/>
            <w:vAlign w:val="bottom"/>
            <w:tcBorders>
              <w:bottom w:val="single" w:sz="8" w:color="auto"/>
            </w:tcBorders>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658</w:t>
            </w:r>
          </w:p>
        </w:tc>
        <w:tc>
          <w:tcPr>
            <w:tcW w:w="16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60"/>
        <w:spacing w:after="0" w:line="246" w:lineRule="auto"/>
        <w:rPr>
          <w:sz w:val="20"/>
          <w:szCs w:val="20"/>
          <w:color w:val="auto"/>
        </w:rPr>
      </w:pPr>
      <w:r>
        <w:rPr>
          <w:rFonts w:ascii="Arial" w:cs="Arial" w:eastAsia="Arial" w:hAnsi="Arial"/>
          <w:sz w:val="18"/>
          <w:szCs w:val="18"/>
          <w:color w:val="auto"/>
        </w:rPr>
        <w:t>MNI makes quarterly distributions of its earnings and in the 13 weeks ended December 29, 2019 and December 30, 2018, we received dividends of $0 and $750,000, respectively.</w:t>
      </w:r>
    </w:p>
    <w:p>
      <w:pPr>
        <w:spacing w:after="0" w:line="200" w:lineRule="exact"/>
        <w:rPr>
          <w:sz w:val="20"/>
          <w:szCs w:val="20"/>
          <w:color w:val="auto"/>
        </w:rPr>
      </w:pPr>
    </w:p>
    <w:p>
      <w:pPr>
        <w:spacing w:after="0" w:line="205" w:lineRule="exact"/>
        <w:rPr>
          <w:sz w:val="20"/>
          <w:szCs w:val="20"/>
          <w:color w:val="auto"/>
        </w:rPr>
      </w:pPr>
    </w:p>
    <w:p>
      <w:pPr>
        <w:ind w:left="660" w:right="6180" w:hanging="652"/>
        <w:spacing w:after="0" w:line="511" w:lineRule="auto"/>
        <w:tabs>
          <w:tab w:leader="none" w:pos="66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GOODWILL AND OTHER INTANGIBLE ASSETS </w:t>
      </w:r>
      <w:r>
        <w:rPr>
          <w:rFonts w:ascii="Arial" w:cs="Arial" w:eastAsia="Arial" w:hAnsi="Arial"/>
          <w:sz w:val="17"/>
          <w:szCs w:val="17"/>
          <w:color w:val="auto"/>
        </w:rPr>
        <w:t>Changes in the carrying amount of goodwill are as follows:</w:t>
      </w:r>
    </w:p>
    <w:tbl>
      <w:tblPr>
        <w:tblLayout w:type="fixed"/>
        <w:tblInd w:w="66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920" w:type="dxa"/>
            <w:vAlign w:val="bottom"/>
            <w:tcBorders>
              <w:top w:val="single" w:sz="8" w:color="auto"/>
              <w:bottom w:val="single" w:sz="8" w:color="auto"/>
            </w:tcBorders>
          </w:tcPr>
          <w:p>
            <w:pPr>
              <w:spacing w:after="0"/>
              <w:rPr>
                <w:sz w:val="18"/>
                <w:szCs w:val="18"/>
                <w:color w:val="auto"/>
              </w:rPr>
            </w:pPr>
          </w:p>
        </w:tc>
        <w:tc>
          <w:tcPr>
            <w:tcW w:w="4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 Weeks Ended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48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December 29,</w:t>
            </w:r>
          </w:p>
        </w:tc>
        <w:tc>
          <w:tcPr>
            <w:tcW w:w="0" w:type="dxa"/>
            <w:vAlign w:val="bottom"/>
          </w:tcPr>
          <w:p>
            <w:pPr>
              <w:spacing w:after="0"/>
              <w:rPr>
                <w:sz w:val="1"/>
                <w:szCs w:val="1"/>
                <w:color w:val="auto"/>
              </w:rPr>
            </w:pPr>
          </w:p>
        </w:tc>
      </w:tr>
      <w:tr>
        <w:trPr>
          <w:trHeight w:val="203"/>
        </w:trPr>
        <w:tc>
          <w:tcPr>
            <w:tcW w:w="5940" w:type="dxa"/>
            <w:vAlign w:val="bottom"/>
            <w:gridSpan w:val="2"/>
          </w:tcPr>
          <w:p>
            <w:pPr>
              <w:spacing w:after="0"/>
              <w:rPr>
                <w:sz w:val="20"/>
                <w:szCs w:val="20"/>
                <w:color w:val="auto"/>
              </w:rPr>
            </w:pPr>
            <w:r>
              <w:rPr>
                <w:rFonts w:ascii="Arial" w:cs="Arial" w:eastAsia="Arial" w:hAnsi="Arial"/>
                <w:sz w:val="16"/>
                <w:szCs w:val="16"/>
                <w:i w:val="1"/>
                <w:iCs w:val="1"/>
                <w:color w:val="auto"/>
              </w:rPr>
              <w:t>(Thousands of Dollars)</w:t>
            </w:r>
          </w:p>
        </w:tc>
        <w:tc>
          <w:tcPr>
            <w:tcW w:w="4880" w:type="dxa"/>
            <w:vAlign w:val="bottom"/>
          </w:tcPr>
          <w:p>
            <w:pPr>
              <w:jc w:val="right"/>
              <w:ind w:right="10"/>
              <w:spacing w:after="0" w:line="203" w:lineRule="exact"/>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920" w:type="dxa"/>
            <w:vAlign w:val="bottom"/>
            <w:tcBorders>
              <w:top w:val="single" w:sz="8" w:color="auto"/>
            </w:tcBorders>
          </w:tcPr>
          <w:p>
            <w:pPr>
              <w:spacing w:after="0"/>
              <w:rPr>
                <w:sz w:val="17"/>
                <w:szCs w:val="17"/>
                <w:color w:val="auto"/>
              </w:rPr>
            </w:pPr>
          </w:p>
        </w:tc>
        <w:tc>
          <w:tcPr>
            <w:tcW w:w="48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 gross amount</w:t>
            </w:r>
          </w:p>
        </w:tc>
        <w:tc>
          <w:tcPr>
            <w:tcW w:w="48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1,539,038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Accumulated impairment losses</w:t>
            </w:r>
          </w:p>
        </w:tc>
        <w:tc>
          <w:tcPr>
            <w:tcW w:w="4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(1,288,729)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9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Goodwill, end of period</w:t>
            </w:r>
          </w:p>
        </w:tc>
        <w:tc>
          <w:tcPr>
            <w:tcW w:w="48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250,309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80"/>
          </w:cols>
          <w:pgMar w:left="240" w:top="118" w:right="179" w:bottom="1016" w:gutter="0" w:footer="0" w:header="0"/>
        </w:sectPr>
      </w:pPr>
    </w:p>
    <w:p>
      <w:pPr>
        <w:spacing w:after="0" w:line="2"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80"/>
          </w:cols>
          <w:pgMar w:left="240" w:top="118" w:right="179" w:bottom="1016" w:gutter="0" w:footer="0" w:header="0"/>
          <w:type w:val="continuous"/>
        </w:sectPr>
      </w:pPr>
    </w:p>
    <w:bookmarkStart w:id="13" w:name="page14"/>
    <w:bookmarkEnd w:id="1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Identified intangible assets consist of the following:</w:t>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960" w:type="dxa"/>
            <w:vAlign w:val="bottom"/>
            <w:tcBorders>
              <w:top w:val="single" w:sz="8" w:color="auto"/>
            </w:tcBorders>
          </w:tcPr>
          <w:p>
            <w:pPr>
              <w:spacing w:after="0"/>
              <w:rPr>
                <w:sz w:val="18"/>
                <w:szCs w:val="18"/>
                <w:color w:val="auto"/>
              </w:rPr>
            </w:pPr>
          </w:p>
        </w:tc>
        <w:tc>
          <w:tcPr>
            <w:tcW w:w="36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December</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September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36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29,</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3"/>
        </w:trPr>
        <w:tc>
          <w:tcPr>
            <w:tcW w:w="5980" w:type="dxa"/>
            <w:vAlign w:val="bottom"/>
            <w:gridSpan w:val="2"/>
          </w:tcPr>
          <w:p>
            <w:pPr>
              <w:spacing w:after="0"/>
              <w:rPr>
                <w:sz w:val="20"/>
                <w:szCs w:val="20"/>
                <w:color w:val="auto"/>
              </w:rPr>
            </w:pPr>
            <w:r>
              <w:rPr>
                <w:rFonts w:ascii="Arial" w:cs="Arial" w:eastAsia="Arial" w:hAnsi="Arial"/>
                <w:sz w:val="16"/>
                <w:szCs w:val="16"/>
                <w:i w:val="1"/>
                <w:iCs w:val="1"/>
                <w:color w:val="auto"/>
              </w:rPr>
              <w:t>(Thousands of Dollars)</w:t>
            </w:r>
          </w:p>
        </w:tc>
        <w:tc>
          <w:tcPr>
            <w:tcW w:w="3600" w:type="dxa"/>
            <w:vAlign w:val="bottom"/>
          </w:tcPr>
          <w:p>
            <w:pPr>
              <w:jc w:val="right"/>
              <w:ind w:right="170"/>
              <w:spacing w:after="0" w:line="203" w:lineRule="exact"/>
              <w:rPr>
                <w:sz w:val="20"/>
                <w:szCs w:val="20"/>
                <w:color w:val="auto"/>
              </w:rPr>
            </w:pPr>
            <w:r>
              <w:rPr>
                <w:rFonts w:ascii="Arial" w:cs="Arial" w:eastAsia="Arial" w:hAnsi="Arial"/>
                <w:sz w:val="18"/>
                <w:szCs w:val="18"/>
                <w:color w:val="auto"/>
              </w:rPr>
              <w:t>2019</w:t>
            </w:r>
          </w:p>
        </w:tc>
        <w:tc>
          <w:tcPr>
            <w:tcW w:w="1240" w:type="dxa"/>
            <w:vAlign w:val="bottom"/>
          </w:tcPr>
          <w:p>
            <w:pPr>
              <w:jc w:val="right"/>
              <w:ind w:right="10"/>
              <w:spacing w:after="0" w:line="203" w:lineRule="exact"/>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960" w:type="dxa"/>
            <w:vAlign w:val="bottom"/>
            <w:tcBorders>
              <w:top w:val="single" w:sz="8" w:color="auto"/>
            </w:tcBorders>
          </w:tcPr>
          <w:p>
            <w:pPr>
              <w:spacing w:after="0"/>
              <w:rPr>
                <w:sz w:val="17"/>
                <w:szCs w:val="17"/>
                <w:color w:val="auto"/>
              </w:rPr>
            </w:pPr>
          </w:p>
        </w:tc>
        <w:tc>
          <w:tcPr>
            <w:tcW w:w="36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Nonamortized intangible assets:</w:t>
            </w:r>
          </w:p>
        </w:tc>
        <w:tc>
          <w:tcPr>
            <w:tcW w:w="36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ind w:left="140"/>
              <w:spacing w:after="0" w:line="202" w:lineRule="exact"/>
              <w:rPr>
                <w:sz w:val="20"/>
                <w:szCs w:val="20"/>
                <w:color w:val="auto"/>
              </w:rPr>
            </w:pPr>
            <w:r>
              <w:rPr>
                <w:rFonts w:ascii="Arial" w:cs="Arial" w:eastAsia="Arial" w:hAnsi="Arial"/>
                <w:sz w:val="18"/>
                <w:szCs w:val="18"/>
                <w:color w:val="auto"/>
              </w:rPr>
              <w:t>Mastheads</w:t>
            </w:r>
          </w:p>
        </w:tc>
        <w:tc>
          <w:tcPr>
            <w:tcW w:w="36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21,883</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21,883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Amortizable intangible assets:</w:t>
            </w:r>
          </w:p>
        </w:tc>
        <w:tc>
          <w:tcPr>
            <w:tcW w:w="36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ind w:left="140"/>
              <w:spacing w:after="0" w:line="202" w:lineRule="exact"/>
              <w:rPr>
                <w:sz w:val="20"/>
                <w:szCs w:val="20"/>
                <w:color w:val="auto"/>
              </w:rPr>
            </w:pPr>
            <w:r>
              <w:rPr>
                <w:rFonts w:ascii="Arial" w:cs="Arial" w:eastAsia="Arial" w:hAnsi="Arial"/>
                <w:sz w:val="18"/>
                <w:szCs w:val="18"/>
                <w:color w:val="auto"/>
              </w:rPr>
              <w:t>Customer and newspaper subscriber lists</w:t>
            </w:r>
          </w:p>
        </w:tc>
        <w:tc>
          <w:tcPr>
            <w:tcW w:w="36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698,267</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697,145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Borders>
              <w:bottom w:val="single" w:sz="8" w:color="auto"/>
            </w:tcBorders>
            <w:shd w:val="clear" w:color="auto" w:fill="CCEEFF"/>
          </w:tcPr>
          <w:p>
            <w:pPr>
              <w:ind w:left="140"/>
              <w:spacing w:after="0" w:line="202" w:lineRule="exact"/>
              <w:rPr>
                <w:sz w:val="20"/>
                <w:szCs w:val="20"/>
                <w:color w:val="auto"/>
              </w:rPr>
            </w:pPr>
            <w:r>
              <w:rPr>
                <w:rFonts w:ascii="Arial" w:cs="Arial" w:eastAsia="Arial" w:hAnsi="Arial"/>
                <w:sz w:val="18"/>
                <w:szCs w:val="18"/>
                <w:color w:val="auto"/>
              </w:rPr>
              <w:t>Less accumulated amortization</w:t>
            </w:r>
          </w:p>
        </w:tc>
        <w:tc>
          <w:tcPr>
            <w:tcW w:w="360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615,906</w:t>
            </w:r>
          </w:p>
        </w:tc>
        <w:tc>
          <w:tcPr>
            <w:tcW w:w="12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611,786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82,361</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85,359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Non-compete and consulting agreements</w:t>
            </w:r>
          </w:p>
        </w:tc>
        <w:tc>
          <w:tcPr>
            <w:tcW w:w="360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28,675</w:t>
            </w:r>
          </w:p>
        </w:tc>
        <w:tc>
          <w:tcPr>
            <w:tcW w:w="12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28,675</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Less accumulated amortization</w:t>
            </w:r>
          </w:p>
        </w:tc>
        <w:tc>
          <w:tcPr>
            <w:tcW w:w="3600" w:type="dxa"/>
            <w:vAlign w:val="bottom"/>
          </w:tcPr>
          <w:p>
            <w:pPr>
              <w:jc w:val="right"/>
              <w:ind w:right="170"/>
              <w:spacing w:after="0"/>
              <w:rPr>
                <w:sz w:val="20"/>
                <w:szCs w:val="20"/>
                <w:color w:val="auto"/>
              </w:rPr>
            </w:pPr>
            <w:r>
              <w:rPr>
                <w:rFonts w:ascii="Arial" w:cs="Arial" w:eastAsia="Arial" w:hAnsi="Arial"/>
                <w:sz w:val="18"/>
                <w:szCs w:val="18"/>
                <w:color w:val="auto"/>
              </w:rPr>
              <w:t>28,524</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28,524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Borders>
              <w:top w:val="single" w:sz="8" w:color="auto"/>
              <w:bottom w:val="single" w:sz="8" w:color="auto"/>
            </w:tcBorders>
            <w:shd w:val="clear" w:color="auto" w:fill="CCEEFF"/>
          </w:tcPr>
          <w:p>
            <w:pPr>
              <w:spacing w:after="0"/>
              <w:rPr>
                <w:sz w:val="18"/>
                <w:szCs w:val="18"/>
                <w:color w:val="auto"/>
              </w:rPr>
            </w:pPr>
          </w:p>
        </w:tc>
        <w:tc>
          <w:tcPr>
            <w:tcW w:w="360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151</w:t>
            </w:r>
          </w:p>
        </w:tc>
        <w:tc>
          <w:tcPr>
            <w:tcW w:w="1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9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Other intangible assets, net</w:t>
            </w:r>
          </w:p>
        </w:tc>
        <w:tc>
          <w:tcPr>
            <w:tcW w:w="360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104,395</w:t>
            </w:r>
          </w:p>
        </w:tc>
        <w:tc>
          <w:tcPr>
            <w:tcW w:w="12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107,393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60"/>
        <w:spacing w:after="0" w:line="246" w:lineRule="auto"/>
        <w:rPr>
          <w:sz w:val="20"/>
          <w:szCs w:val="20"/>
          <w:color w:val="auto"/>
        </w:rPr>
      </w:pPr>
      <w:r>
        <w:rPr>
          <w:rFonts w:ascii="Arial" w:cs="Arial" w:eastAsia="Arial" w:hAnsi="Arial"/>
          <w:sz w:val="18"/>
          <w:szCs w:val="18"/>
          <w:color w:val="auto"/>
        </w:rPr>
        <w:t>Annual amortization of intangible assets for the 12 months ending December 2021 to December 2025 is estimated to be $16,128,000, $14,225,000, $12,683,000 $12,033,000 and $9,599,000, respectively.</w:t>
      </w:r>
    </w:p>
    <w:p>
      <w:pPr>
        <w:spacing w:after="0" w:line="200" w:lineRule="exact"/>
        <w:rPr>
          <w:sz w:val="20"/>
          <w:szCs w:val="20"/>
          <w:color w:val="auto"/>
        </w:rPr>
      </w:pPr>
    </w:p>
    <w:p>
      <w:pPr>
        <w:spacing w:after="0" w:line="205"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On March 31, 2014, we completed a comprehensive refinancing of our debt (the "2014 Refinancing"), which included the following:</w:t>
      </w:r>
    </w:p>
    <w:p>
      <w:pPr>
        <w:spacing w:after="0" w:line="198" w:lineRule="exact"/>
        <w:rPr>
          <w:rFonts w:ascii="Arial" w:cs="Arial" w:eastAsia="Arial" w:hAnsi="Arial"/>
          <w:sz w:val="18"/>
          <w:szCs w:val="18"/>
          <w:b w:val="1"/>
          <w:bCs w:val="1"/>
          <w:color w:val="auto"/>
        </w:rPr>
      </w:pPr>
    </w:p>
    <w:p>
      <w:pPr>
        <w:ind w:left="1700" w:right="540" w:hanging="558"/>
        <w:spacing w:after="0" w:line="246" w:lineRule="auto"/>
        <w:tabs>
          <w:tab w:leader="none" w:pos="1700" w:val="left"/>
        </w:tabs>
        <w:numPr>
          <w:ilvl w:val="1"/>
          <w:numId w:val="8"/>
        </w:numPr>
        <w:rPr>
          <w:rFonts w:ascii="Arial" w:cs="Arial" w:eastAsia="Arial" w:hAnsi="Arial"/>
          <w:sz w:val="18"/>
          <w:szCs w:val="18"/>
          <w:color w:val="auto"/>
        </w:rPr>
      </w:pPr>
      <w:r>
        <w:rPr>
          <w:rFonts w:ascii="Arial" w:cs="Arial" w:eastAsia="Arial" w:hAnsi="Arial"/>
          <w:sz w:val="18"/>
          <w:szCs w:val="18"/>
          <w:color w:val="auto"/>
        </w:rPr>
        <w:t>$400,000,000 aggregate principal amount of 9.5% Senior Secured Notes (the “Notes”), pursuant to an Indenture dated as of March 31, 2014 (the “Indenture”).</w:t>
      </w:r>
    </w:p>
    <w:p>
      <w:pPr>
        <w:spacing w:after="0" w:line="183" w:lineRule="exact"/>
        <w:rPr>
          <w:rFonts w:ascii="Arial" w:cs="Arial" w:eastAsia="Arial" w:hAnsi="Arial"/>
          <w:sz w:val="18"/>
          <w:szCs w:val="18"/>
          <w:color w:val="auto"/>
        </w:rPr>
      </w:pPr>
    </w:p>
    <w:p>
      <w:pPr>
        <w:ind w:left="1700" w:right="560" w:hanging="558"/>
        <w:spacing w:after="0" w:line="198" w:lineRule="auto"/>
        <w:tabs>
          <w:tab w:leader="none" w:pos="1700" w:val="left"/>
        </w:tabs>
        <w:numPr>
          <w:ilvl w:val="1"/>
          <w:numId w:val="8"/>
        </w:numPr>
        <w:rPr>
          <w:rFonts w:ascii="Arial" w:cs="Arial" w:eastAsia="Arial" w:hAnsi="Arial"/>
          <w:sz w:val="36"/>
          <w:szCs w:val="36"/>
          <w:color w:val="auto"/>
          <w:vertAlign w:val="superscript"/>
        </w:rPr>
      </w:pPr>
      <w:r>
        <w:rPr>
          <w:rFonts w:ascii="Arial" w:cs="Arial" w:eastAsia="Arial" w:hAnsi="Arial"/>
          <w:sz w:val="18"/>
          <w:szCs w:val="18"/>
          <w:color w:val="auto"/>
        </w:rPr>
        <w:t>$250,000,000 first lien term loan (the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Term Loan") and $40,000,000 revolving facility (the "Revolving Facility") under a First Lien Credit Agreement dated as of March 31, 2014 (together 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Credit Facility”).</w:t>
      </w:r>
    </w:p>
    <w:p>
      <w:pPr>
        <w:spacing w:after="0" w:line="62" w:lineRule="exact"/>
        <w:rPr>
          <w:rFonts w:ascii="Arial" w:cs="Arial" w:eastAsia="Arial" w:hAnsi="Arial"/>
          <w:sz w:val="36"/>
          <w:szCs w:val="36"/>
          <w:color w:val="auto"/>
          <w:vertAlign w:val="superscript"/>
        </w:rPr>
      </w:pPr>
    </w:p>
    <w:p>
      <w:pPr>
        <w:ind w:left="1700" w:right="560" w:hanging="558"/>
        <w:spacing w:after="0" w:line="181" w:lineRule="auto"/>
        <w:tabs>
          <w:tab w:leader="none" w:pos="1700" w:val="left"/>
        </w:tabs>
        <w:numPr>
          <w:ilvl w:val="1"/>
          <w:numId w:val="8"/>
        </w:numPr>
        <w:rPr>
          <w:rFonts w:ascii="Arial" w:cs="Arial" w:eastAsia="Arial" w:hAnsi="Arial"/>
          <w:sz w:val="35"/>
          <w:szCs w:val="35"/>
          <w:color w:val="auto"/>
          <w:vertAlign w:val="superscript"/>
        </w:rPr>
      </w:pPr>
      <w:r>
        <w:rPr>
          <w:rFonts w:ascii="Arial" w:cs="Arial" w:eastAsia="Arial" w:hAnsi="Arial"/>
          <w:sz w:val="18"/>
          <w:szCs w:val="18"/>
          <w:color w:val="auto"/>
        </w:rPr>
        <w:t>$150,000,000 second lien term loan under a Second Lien Loan Agreement dated as of March 31, 2014 (the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Lien Term Loan”).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November 2018, we repaid, in full, the remaining balance of 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Term Loan.</w:t>
      </w:r>
    </w:p>
    <w:p>
      <w:pPr>
        <w:spacing w:after="0" w:line="101" w:lineRule="exact"/>
        <w:rPr>
          <w:sz w:val="20"/>
          <w:szCs w:val="20"/>
          <w:color w:val="auto"/>
        </w:rPr>
      </w:pPr>
    </w:p>
    <w:p>
      <w:pPr>
        <w:jc w:val="both"/>
        <w:ind w:left="660" w:right="80"/>
        <w:spacing w:after="0" w:line="199" w:lineRule="auto"/>
        <w:rPr>
          <w:sz w:val="20"/>
          <w:szCs w:val="20"/>
          <w:color w:val="auto"/>
        </w:rPr>
      </w:pPr>
      <w:r>
        <w:rPr>
          <w:rFonts w:ascii="Arial" w:cs="Arial" w:eastAsia="Arial" w:hAnsi="Arial"/>
          <w:sz w:val="18"/>
          <w:szCs w:val="18"/>
          <w:color w:val="auto"/>
        </w:rPr>
        <w:t>In November 2019, we amended our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Credit Facility to amend and extend our $23,120,000 Revolving Facility (the "Amendment") through December 28, 2020. Our Revolving Facility was undrawn at the time of the amendment.</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is summarized as follows:</w:t>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60" w:type="dxa"/>
            <w:vAlign w:val="bottom"/>
            <w:tcBorders>
              <w:top w:val="single" w:sz="8" w:color="auto"/>
              <w:bottom w:val="single" w:sz="8" w:color="auto"/>
            </w:tcBorders>
          </w:tcPr>
          <w:p>
            <w:pPr>
              <w:spacing w:after="0"/>
              <w:rPr>
                <w:sz w:val="18"/>
                <w:szCs w:val="18"/>
                <w:color w:val="auto"/>
              </w:rPr>
            </w:pPr>
          </w:p>
        </w:tc>
        <w:tc>
          <w:tcPr>
            <w:tcW w:w="288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Interest Rates (%)</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288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December 29,</w:t>
            </w:r>
          </w:p>
        </w:tc>
        <w:tc>
          <w:tcPr>
            <w:tcW w:w="1600" w:type="dxa"/>
            <w:vAlign w:val="bottom"/>
          </w:tcPr>
          <w:p>
            <w:pPr>
              <w:jc w:val="right"/>
              <w:ind w:right="70"/>
              <w:spacing w:after="0" w:line="195" w:lineRule="exact"/>
              <w:rPr>
                <w:sz w:val="20"/>
                <w:szCs w:val="20"/>
                <w:color w:val="auto"/>
              </w:rPr>
            </w:pPr>
            <w:r>
              <w:rPr>
                <w:rFonts w:ascii="Arial" w:cs="Arial" w:eastAsia="Arial" w:hAnsi="Arial"/>
                <w:sz w:val="18"/>
                <w:szCs w:val="18"/>
                <w:color w:val="auto"/>
              </w:rPr>
              <w:t>September 29,</w:t>
            </w:r>
          </w:p>
        </w:tc>
        <w:tc>
          <w:tcPr>
            <w:tcW w:w="1660" w:type="dxa"/>
            <w:vAlign w:val="bottom"/>
          </w:tcPr>
          <w:p>
            <w:pPr>
              <w:jc w:val="right"/>
              <w:ind w:right="10"/>
              <w:spacing w:after="0" w:line="195" w:lineRule="exact"/>
              <w:rPr>
                <w:sz w:val="20"/>
                <w:szCs w:val="20"/>
                <w:color w:val="auto"/>
              </w:rPr>
            </w:pPr>
            <w:r>
              <w:rPr>
                <w:rFonts w:ascii="Arial" w:cs="Arial" w:eastAsia="Arial" w:hAnsi="Arial"/>
                <w:sz w:val="18"/>
                <w:szCs w:val="18"/>
                <w:color w:val="auto"/>
              </w:rPr>
              <w:t>December 29,</w:t>
            </w:r>
          </w:p>
        </w:tc>
        <w:tc>
          <w:tcPr>
            <w:tcW w:w="0" w:type="dxa"/>
            <w:vAlign w:val="bottom"/>
          </w:tcPr>
          <w:p>
            <w:pPr>
              <w:spacing w:after="0"/>
              <w:rPr>
                <w:sz w:val="1"/>
                <w:szCs w:val="1"/>
                <w:color w:val="auto"/>
              </w:rPr>
            </w:pPr>
          </w:p>
        </w:tc>
      </w:tr>
      <w:tr>
        <w:trPr>
          <w:trHeight w:val="203"/>
        </w:trPr>
        <w:tc>
          <w:tcPr>
            <w:tcW w:w="4680" w:type="dxa"/>
            <w:vAlign w:val="bottom"/>
            <w:gridSpan w:val="2"/>
          </w:tcPr>
          <w:p>
            <w:pPr>
              <w:spacing w:after="0"/>
              <w:rPr>
                <w:sz w:val="20"/>
                <w:szCs w:val="20"/>
                <w:color w:val="auto"/>
              </w:rPr>
            </w:pPr>
            <w:r>
              <w:rPr>
                <w:rFonts w:ascii="Arial" w:cs="Arial" w:eastAsia="Arial" w:hAnsi="Arial"/>
                <w:sz w:val="16"/>
                <w:szCs w:val="16"/>
                <w:i w:val="1"/>
                <w:iCs w:val="1"/>
                <w:color w:val="auto"/>
              </w:rPr>
              <w:t>(Thousands of Dollars)</w:t>
            </w:r>
          </w:p>
        </w:tc>
        <w:tc>
          <w:tcPr>
            <w:tcW w:w="2880" w:type="dxa"/>
            <w:vAlign w:val="bottom"/>
          </w:tcPr>
          <w:p>
            <w:pPr>
              <w:jc w:val="right"/>
              <w:ind w:right="210"/>
              <w:spacing w:after="0" w:line="203" w:lineRule="exact"/>
              <w:rPr>
                <w:sz w:val="20"/>
                <w:szCs w:val="20"/>
                <w:color w:val="auto"/>
              </w:rPr>
            </w:pPr>
            <w:r>
              <w:rPr>
                <w:rFonts w:ascii="Arial" w:cs="Arial" w:eastAsia="Arial" w:hAnsi="Arial"/>
                <w:sz w:val="18"/>
                <w:szCs w:val="18"/>
                <w:color w:val="auto"/>
              </w:rPr>
              <w:t>2019</w:t>
            </w:r>
          </w:p>
        </w:tc>
        <w:tc>
          <w:tcPr>
            <w:tcW w:w="1600" w:type="dxa"/>
            <w:vAlign w:val="bottom"/>
          </w:tcPr>
          <w:p>
            <w:pPr>
              <w:jc w:val="right"/>
              <w:ind w:right="70"/>
              <w:spacing w:after="0" w:line="203" w:lineRule="exact"/>
              <w:rPr>
                <w:sz w:val="20"/>
                <w:szCs w:val="20"/>
                <w:color w:val="auto"/>
              </w:rPr>
            </w:pPr>
            <w:r>
              <w:rPr>
                <w:rFonts w:ascii="Arial" w:cs="Arial" w:eastAsia="Arial" w:hAnsi="Arial"/>
                <w:sz w:val="18"/>
                <w:szCs w:val="18"/>
                <w:color w:val="auto"/>
              </w:rPr>
              <w:t>2019</w:t>
            </w:r>
          </w:p>
        </w:tc>
        <w:tc>
          <w:tcPr>
            <w:tcW w:w="1660" w:type="dxa"/>
            <w:vAlign w:val="bottom"/>
          </w:tcPr>
          <w:p>
            <w:pPr>
              <w:jc w:val="right"/>
              <w:ind w:right="10"/>
              <w:spacing w:after="0" w:line="203" w:lineRule="exact"/>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660" w:type="dxa"/>
            <w:vAlign w:val="bottom"/>
            <w:tcBorders>
              <w:top w:val="single" w:sz="8" w:color="auto"/>
            </w:tcBorders>
          </w:tcPr>
          <w:p>
            <w:pPr>
              <w:spacing w:after="0"/>
              <w:rPr>
                <w:sz w:val="17"/>
                <w:szCs w:val="17"/>
                <w:color w:val="auto"/>
              </w:rPr>
            </w:pPr>
          </w:p>
        </w:tc>
        <w:tc>
          <w:tcPr>
            <w:tcW w:w="288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Revolving Facility</w:t>
            </w:r>
          </w:p>
        </w:tc>
        <w:tc>
          <w:tcPr>
            <w:tcW w:w="288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tcPr>
          <w:p>
            <w:pPr>
              <w:spacing w:after="0" w:line="202" w:lineRule="exact"/>
              <w:rPr>
                <w:sz w:val="20"/>
                <w:szCs w:val="20"/>
                <w:color w:val="auto"/>
              </w:rPr>
            </w:pPr>
            <w:r>
              <w:rPr>
                <w:rFonts w:ascii="Arial" w:cs="Arial" w:eastAsia="Arial" w:hAnsi="Arial"/>
                <w:sz w:val="18"/>
                <w:szCs w:val="18"/>
                <w:color w:val="auto"/>
              </w:rPr>
              <w:t>Notes</w:t>
            </w:r>
          </w:p>
        </w:tc>
        <w:tc>
          <w:tcPr>
            <w:tcW w:w="28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356,141</w:t>
            </w:r>
          </w:p>
        </w:tc>
        <w:tc>
          <w:tcPr>
            <w:tcW w:w="16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363,420</w:t>
            </w:r>
          </w:p>
        </w:tc>
        <w:tc>
          <w:tcPr>
            <w:tcW w:w="16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2nd Lien Term Loan</w:t>
            </w:r>
          </w:p>
        </w:tc>
        <w:tc>
          <w:tcPr>
            <w:tcW w:w="288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77,253</w:t>
            </w:r>
          </w:p>
        </w:tc>
        <w:tc>
          <w:tcPr>
            <w:tcW w:w="160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80,207</w:t>
            </w:r>
          </w:p>
        </w:tc>
        <w:tc>
          <w:tcPr>
            <w:tcW w:w="16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28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433,394</w:t>
            </w:r>
          </w:p>
        </w:tc>
        <w:tc>
          <w:tcPr>
            <w:tcW w:w="1600" w:type="dxa"/>
            <w:vAlign w:val="bottom"/>
          </w:tcPr>
          <w:p>
            <w:pPr>
              <w:jc w:val="right"/>
              <w:ind w:right="70"/>
              <w:spacing w:after="0" w:line="196" w:lineRule="exact"/>
              <w:rPr>
                <w:sz w:val="20"/>
                <w:szCs w:val="20"/>
                <w:color w:val="auto"/>
              </w:rPr>
            </w:pPr>
            <w:r>
              <w:rPr>
                <w:rFonts w:ascii="Arial" w:cs="Arial" w:eastAsia="Arial" w:hAnsi="Arial"/>
                <w:sz w:val="18"/>
                <w:szCs w:val="18"/>
                <w:color w:val="auto"/>
              </w:rPr>
              <w:t>443,627</w:t>
            </w: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Unamortized debt issue costs</w:t>
            </w:r>
          </w:p>
        </w:tc>
        <w:tc>
          <w:tcPr>
            <w:tcW w:w="288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(10,254)</w:t>
            </w:r>
          </w:p>
        </w:tc>
        <w:tc>
          <w:tcPr>
            <w:tcW w:w="16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(11,282)</w:t>
            </w: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Less current maturities of long-term debt</w:t>
            </w:r>
          </w:p>
        </w:tc>
        <w:tc>
          <w:tcPr>
            <w:tcW w:w="288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1,892</w:t>
            </w:r>
          </w:p>
        </w:tc>
        <w:tc>
          <w:tcPr>
            <w:tcW w:w="160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2,954</w:t>
            </w:r>
          </w:p>
        </w:tc>
        <w:tc>
          <w:tcPr>
            <w:tcW w:w="1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6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long-term debt</w:t>
            </w:r>
          </w:p>
        </w:tc>
        <w:tc>
          <w:tcPr>
            <w:tcW w:w="288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421,248</w:t>
            </w:r>
          </w:p>
        </w:tc>
        <w:tc>
          <w:tcPr>
            <w:tcW w:w="160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429,391</w:t>
            </w:r>
          </w:p>
        </w:tc>
        <w:tc>
          <w:tcPr>
            <w:tcW w:w="16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weighted average cost of debt, excluding amortization of debt financing costs at December 29, 2019, is 9.9%.</w:t>
      </w:r>
    </w:p>
    <w:p>
      <w:pPr>
        <w:spacing w:after="0" w:line="198" w:lineRule="exact"/>
        <w:rPr>
          <w:sz w:val="20"/>
          <w:szCs w:val="20"/>
          <w:color w:val="auto"/>
        </w:rPr>
      </w:pPr>
    </w:p>
    <w:p>
      <w:pPr>
        <w:jc w:val="both"/>
        <w:ind w:left="660" w:right="60"/>
        <w:spacing w:after="0" w:line="246" w:lineRule="auto"/>
        <w:rPr>
          <w:sz w:val="20"/>
          <w:szCs w:val="20"/>
          <w:color w:val="auto"/>
        </w:rPr>
      </w:pPr>
      <w:r>
        <w:rPr>
          <w:rFonts w:ascii="Arial" w:cs="Arial" w:eastAsia="Arial" w:hAnsi="Arial"/>
          <w:sz w:val="18"/>
          <w:szCs w:val="18"/>
          <w:color w:val="auto"/>
        </w:rPr>
        <w:t>At December 29, 2019, aggregate minimum required maturities of debt excluding amounts required to be paid from future excess cash flow computations total $1,892,000 for the remainder of 2020, $0 in 2021, $356,141,000 in 2022 and $75,361,000 in 2023.</w:t>
      </w:r>
    </w:p>
    <w:p>
      <w:pPr>
        <w:spacing w:after="0" w:line="183" w:lineRule="exact"/>
        <w:rPr>
          <w:sz w:val="20"/>
          <w:szCs w:val="20"/>
          <w:color w:val="auto"/>
        </w:rPr>
      </w:pPr>
    </w:p>
    <w:p>
      <w:pPr>
        <w:jc w:val="both"/>
        <w:ind w:left="660" w:right="60"/>
        <w:spacing w:after="0" w:line="237" w:lineRule="auto"/>
        <w:rPr>
          <w:sz w:val="20"/>
          <w:szCs w:val="20"/>
          <w:color w:val="auto"/>
        </w:rPr>
      </w:pPr>
      <w:r>
        <w:rPr>
          <w:rFonts w:ascii="Arial" w:cs="Arial" w:eastAsia="Arial" w:hAnsi="Arial"/>
          <w:sz w:val="18"/>
          <w:szCs w:val="18"/>
          <w:color w:val="auto"/>
        </w:rPr>
        <w:t>On January 29, 2020, we entered into a definitive agreement with BHMG and Berkshire Hathaway to acquire BHMG's publications and the Buffalo News for $140,000,000 in cash. BH Finance LLC, an affiliate of Berkshire Hathaway, is providing approximately $576,000,000 in long-term financing to Lee at a 9% annual rate, (the "Debt Refinancing"). The proceeds from the Debt Refinancing will be used to pay for the acquisition, refinance Lee's $433,394,000 in existing debt, and provide enough cash on Lee's balance sheet to allow for the termination of Lee's revolving credit facility. Subsequent to this deal closing, BH Finance will be Lee's sole lender. We expect the refinancing to close on or after March 16, 2020. Additional information and disclosures are included in Note 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Notes</w:t>
      </w:r>
    </w:p>
    <w:p>
      <w:pPr>
        <w:spacing w:after="0" w:line="220" w:lineRule="exact"/>
        <w:rPr>
          <w:sz w:val="20"/>
          <w:szCs w:val="20"/>
          <w:color w:val="auto"/>
        </w:rPr>
      </w:pPr>
    </w:p>
    <w:p>
      <w:pPr>
        <w:jc w:val="both"/>
        <w:ind w:left="660" w:right="60"/>
        <w:spacing w:after="0" w:line="246" w:lineRule="auto"/>
        <w:rPr>
          <w:sz w:val="20"/>
          <w:szCs w:val="20"/>
          <w:color w:val="auto"/>
        </w:rPr>
      </w:pPr>
      <w:r>
        <w:rPr>
          <w:rFonts w:ascii="Arial" w:cs="Arial" w:eastAsia="Arial" w:hAnsi="Arial"/>
          <w:sz w:val="18"/>
          <w:szCs w:val="18"/>
          <w:color w:val="auto"/>
        </w:rPr>
        <w:t>The Notes are senior secured obligations of the Company and mature on March 15, 2022. At December 29, 2019, the principal balance of the Notes totaled $356,141,000.</w:t>
      </w:r>
    </w:p>
    <w:p>
      <w:pPr>
        <w:spacing w:after="0" w:line="16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Interest</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Notes require payment of interest semiannually on March 15 and September 15 of each year, at a fixed annual rate of 9.5%.</w:t>
      </w:r>
    </w:p>
    <w:p>
      <w:pPr>
        <w:sectPr>
          <w:pgSz w:w="11900" w:h="16838" w:orient="portrait"/>
          <w:cols w:equalWidth="0" w:num="1">
            <w:col w:w="11480"/>
          </w:cols>
          <w:pgMar w:left="240" w:top="118" w:right="179" w:bottom="0" w:gutter="0" w:footer="0" w:header="0"/>
        </w:sectPr>
      </w:pPr>
    </w:p>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80"/>
          </w:cols>
          <w:pgMar w:left="240" w:top="118" w:right="179" w:bottom="0" w:gutter="0" w:footer="0" w:header="0"/>
          <w:type w:val="continuous"/>
        </w:sectPr>
      </w:pPr>
    </w:p>
    <w:bookmarkStart w:id="14" w:name="page15"/>
    <w:bookmarkEnd w:id="1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5" w:lineRule="exact"/>
        <w:rPr>
          <w:sz w:val="20"/>
          <w:szCs w:val="20"/>
          <w:color w:val="auto"/>
        </w:rPr>
      </w:pPr>
    </w:p>
    <w:tbl>
      <w:tblPr>
        <w:tblLayout w:type="fixed"/>
        <w:tblInd w:w="66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7600" w:type="dxa"/>
            <w:vAlign w:val="bottom"/>
          </w:tcPr>
          <w:p>
            <w:pPr>
              <w:ind w:left="4520"/>
              <w:spacing w:after="0"/>
              <w:rPr>
                <w:sz w:val="20"/>
                <w:szCs w:val="20"/>
                <w:color w:val="auto"/>
              </w:rPr>
            </w:pPr>
            <w:r>
              <w:rPr>
                <w:rFonts w:ascii="Arial" w:cs="Arial" w:eastAsia="Arial" w:hAnsi="Arial"/>
                <w:sz w:val="18"/>
                <w:szCs w:val="18"/>
                <w:b w:val="1"/>
                <w:bCs w:val="1"/>
                <w:color w:val="auto"/>
              </w:rPr>
              <w:t>Redemption</w:t>
            </w: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7620" w:type="dxa"/>
            <w:vAlign w:val="bottom"/>
            <w:gridSpan w:val="2"/>
          </w:tcPr>
          <w:p>
            <w:pPr>
              <w:spacing w:after="0"/>
              <w:rPr>
                <w:sz w:val="20"/>
                <w:szCs w:val="20"/>
                <w:color w:val="auto"/>
              </w:rPr>
            </w:pPr>
            <w:r>
              <w:rPr>
                <w:rFonts w:ascii="Arial" w:cs="Arial" w:eastAsia="Arial" w:hAnsi="Arial"/>
                <w:sz w:val="18"/>
                <w:szCs w:val="18"/>
                <w:color w:val="auto"/>
              </w:rPr>
              <w:t>We may redeem some, or all, of the principal amount of the Notes at any time as follows:</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620" w:type="dxa"/>
            <w:vAlign w:val="bottom"/>
            <w:tcBorders>
              <w:bottom w:val="single" w:sz="8" w:color="auto"/>
            </w:tcBorders>
            <w:gridSpan w:val="2"/>
          </w:tcPr>
          <w:p>
            <w:pPr>
              <w:spacing w:after="0"/>
              <w:rPr>
                <w:sz w:val="16"/>
                <w:szCs w:val="16"/>
                <w:color w:val="auto"/>
              </w:rPr>
            </w:pPr>
          </w:p>
        </w:tc>
        <w:tc>
          <w:tcPr>
            <w:tcW w:w="3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620" w:type="dxa"/>
            <w:vAlign w:val="bottom"/>
            <w:gridSpan w:val="2"/>
          </w:tcPr>
          <w:p>
            <w:pPr>
              <w:spacing w:after="0" w:line="196" w:lineRule="exact"/>
              <w:rPr>
                <w:sz w:val="20"/>
                <w:szCs w:val="20"/>
                <w:color w:val="auto"/>
              </w:rPr>
            </w:pPr>
            <w:r>
              <w:rPr>
                <w:rFonts w:ascii="Arial" w:cs="Arial" w:eastAsia="Arial" w:hAnsi="Arial"/>
                <w:sz w:val="18"/>
                <w:szCs w:val="18"/>
                <w:color w:val="auto"/>
              </w:rPr>
              <w:t>Period Beginning</w:t>
            </w:r>
          </w:p>
        </w:tc>
        <w:tc>
          <w:tcPr>
            <w:tcW w:w="32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Percentage of Principal Amount</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600" w:type="dxa"/>
            <w:vAlign w:val="bottom"/>
            <w:tcBorders>
              <w:top w:val="single" w:sz="8" w:color="auto"/>
            </w:tcBorders>
          </w:tcPr>
          <w:p>
            <w:pPr>
              <w:spacing w:after="0"/>
              <w:rPr>
                <w:sz w:val="17"/>
                <w:szCs w:val="17"/>
                <w:color w:val="auto"/>
              </w:rPr>
            </w:pPr>
          </w:p>
        </w:tc>
        <w:tc>
          <w:tcPr>
            <w:tcW w:w="3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March 15, 2019</w:t>
            </w:r>
          </w:p>
        </w:tc>
        <w:tc>
          <w:tcPr>
            <w:tcW w:w="3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102.38</w:t>
            </w:r>
          </w:p>
        </w:tc>
        <w:tc>
          <w:tcPr>
            <w:tcW w:w="0" w:type="dxa"/>
            <w:vAlign w:val="bottom"/>
          </w:tcPr>
          <w:p>
            <w:pPr>
              <w:spacing w:after="0"/>
              <w:rPr>
                <w:sz w:val="1"/>
                <w:szCs w:val="1"/>
                <w:color w:val="auto"/>
              </w:rPr>
            </w:pPr>
          </w:p>
        </w:tc>
      </w:tr>
      <w:tr>
        <w:trPr>
          <w:trHeight w:val="203"/>
        </w:trPr>
        <w:tc>
          <w:tcPr>
            <w:tcW w:w="20" w:type="dxa"/>
            <w:vAlign w:val="bottom"/>
            <w:tcBorders>
              <w:bottom w:val="single" w:sz="8" w:color="auto"/>
            </w:tcBorders>
          </w:tcPr>
          <w:p>
            <w:pPr>
              <w:spacing w:after="0"/>
              <w:rPr>
                <w:sz w:val="17"/>
                <w:szCs w:val="17"/>
                <w:color w:val="auto"/>
              </w:rPr>
            </w:pPr>
          </w:p>
        </w:tc>
        <w:tc>
          <w:tcPr>
            <w:tcW w:w="76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March 15, 2020</w:t>
            </w:r>
          </w:p>
        </w:tc>
        <w:tc>
          <w:tcPr>
            <w:tcW w:w="32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right="60"/>
        <w:spacing w:after="0"/>
        <w:rPr>
          <w:sz w:val="20"/>
          <w:szCs w:val="20"/>
          <w:color w:val="auto"/>
        </w:rPr>
      </w:pPr>
      <w:r>
        <w:rPr>
          <w:rFonts w:ascii="Arial" w:cs="Arial" w:eastAsia="Arial" w:hAnsi="Arial"/>
          <w:sz w:val="18"/>
          <w:szCs w:val="18"/>
          <w:color w:val="auto"/>
        </w:rPr>
        <w:t>If we sell certain of our assets or experience specific kinds of changes of control, we must, subject to certain exceptions, offer to purchase the Notes at 101% of the principal amount. Any redemption of the Notes must also satisfy any accrued and unpaid interest thereon.</w:t>
      </w:r>
    </w:p>
    <w:p>
      <w:pPr>
        <w:spacing w:after="0" w:line="189" w:lineRule="exact"/>
        <w:rPr>
          <w:sz w:val="20"/>
          <w:szCs w:val="20"/>
          <w:color w:val="auto"/>
        </w:rPr>
      </w:pPr>
    </w:p>
    <w:p>
      <w:pPr>
        <w:jc w:val="both"/>
        <w:ind w:left="660" w:right="60"/>
        <w:spacing w:after="0" w:line="239" w:lineRule="auto"/>
        <w:rPr>
          <w:sz w:val="20"/>
          <w:szCs w:val="20"/>
          <w:color w:val="auto"/>
        </w:rPr>
      </w:pPr>
      <w:r>
        <w:rPr>
          <w:rFonts w:ascii="Arial" w:cs="Arial" w:eastAsia="Arial" w:hAnsi="Arial"/>
          <w:sz w:val="18"/>
          <w:szCs w:val="18"/>
          <w:color w:val="auto"/>
        </w:rPr>
        <w:t>We may repurchase Notes in the open market at any time. In the 13 weeks ended December 29, 2019 we purchased $7,279,000 principal amount of Notes in privately negotiated transactions. The transactions resulted in a gain on extinguishment of debt totaling $25,000 in the 13 weeks ended December 29, 2019 which is recorded in Other, net in the Consolidated Statements of Income and Comprehensive Income.</w:t>
      </w:r>
    </w:p>
    <w:p>
      <w:pPr>
        <w:spacing w:after="0" w:line="166"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Covenants and Other Matters</w:t>
      </w:r>
    </w:p>
    <w:p>
      <w:pPr>
        <w:spacing w:after="0" w:line="220" w:lineRule="exact"/>
        <w:rPr>
          <w:sz w:val="20"/>
          <w:szCs w:val="20"/>
          <w:color w:val="auto"/>
        </w:rPr>
      </w:pPr>
    </w:p>
    <w:p>
      <w:pPr>
        <w:jc w:val="both"/>
        <w:ind w:left="660" w:right="60"/>
        <w:spacing w:after="0" w:line="209" w:lineRule="auto"/>
        <w:rPr>
          <w:sz w:val="20"/>
          <w:szCs w:val="20"/>
          <w:color w:val="auto"/>
        </w:rPr>
      </w:pPr>
      <w:r>
        <w:rPr>
          <w:rFonts w:ascii="Arial" w:cs="Arial" w:eastAsia="Arial" w:hAnsi="Arial"/>
          <w:sz w:val="18"/>
          <w:szCs w:val="18"/>
          <w:color w:val="auto"/>
        </w:rPr>
        <w:t>The Indenture and 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Credit Facility contain restrictive covenants as discussed more fully below. However, certain of these covenants will cease to apply if the Notes are rated investment grade by either Moody’s Investors Service, Inc. or Standard &amp; Poor’s Ratings Group and there is no default or event of default under the Indenture.</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w:t>
      </w:r>
      <w:r>
        <w:rPr>
          <w:rFonts w:ascii="Arial" w:cs="Arial" w:eastAsia="Arial" w:hAnsi="Arial"/>
          <w:sz w:val="30"/>
          <w:szCs w:val="30"/>
          <w:b w:val="1"/>
          <w:bCs w:val="1"/>
          <w:color w:val="auto"/>
          <w:vertAlign w:val="superscript"/>
        </w:rPr>
        <w:t>st</w:t>
      </w:r>
      <w:r>
        <w:rPr>
          <w:rFonts w:ascii="Arial" w:cs="Arial" w:eastAsia="Arial" w:hAnsi="Arial"/>
          <w:sz w:val="18"/>
          <w:szCs w:val="18"/>
          <w:b w:val="1"/>
          <w:bCs w:val="1"/>
          <w:color w:val="auto"/>
        </w:rPr>
        <w:t xml:space="preserve"> Lien Credit Facility</w:t>
      </w:r>
    </w:p>
    <w:p>
      <w:pPr>
        <w:spacing w:after="0" w:line="119" w:lineRule="exact"/>
        <w:rPr>
          <w:sz w:val="20"/>
          <w:szCs w:val="20"/>
          <w:color w:val="auto"/>
        </w:rPr>
      </w:pPr>
    </w:p>
    <w:p>
      <w:pPr>
        <w:jc w:val="both"/>
        <w:ind w:left="660" w:right="60"/>
        <w:spacing w:after="0" w:line="214" w:lineRule="auto"/>
        <w:rPr>
          <w:sz w:val="20"/>
          <w:szCs w:val="20"/>
          <w:color w:val="auto"/>
        </w:rPr>
      </w:pPr>
      <w:r>
        <w:rPr>
          <w:rFonts w:ascii="Arial" w:cs="Arial" w:eastAsia="Arial" w:hAnsi="Arial"/>
          <w:sz w:val="18"/>
          <w:szCs w:val="18"/>
          <w:color w:val="auto"/>
        </w:rPr>
        <w:t>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Credit Facility documents the primary terms of 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Term Loan and the Revolving Facility. The $23,120,000 Revolving Facility matures on December 28, 2020 and may be used for working capital and general corporate purposes (including letters of credit). At September 29, 2019, after consideration of letters of credit, we have approximately $17,644,000 available for future use under the Revolving Facility.</w:t>
      </w:r>
    </w:p>
    <w:p>
      <w:pPr>
        <w:spacing w:after="0" w:line="17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Interest</w:t>
      </w:r>
    </w:p>
    <w:p>
      <w:pPr>
        <w:spacing w:after="0" w:line="220" w:lineRule="exact"/>
        <w:rPr>
          <w:sz w:val="20"/>
          <w:szCs w:val="20"/>
          <w:color w:val="auto"/>
        </w:rPr>
      </w:pPr>
    </w:p>
    <w:p>
      <w:pPr>
        <w:jc w:val="both"/>
        <w:ind w:left="660" w:right="80"/>
        <w:spacing w:after="0" w:line="246" w:lineRule="auto"/>
        <w:rPr>
          <w:sz w:val="20"/>
          <w:szCs w:val="20"/>
          <w:color w:val="auto"/>
        </w:rPr>
      </w:pPr>
      <w:r>
        <w:rPr>
          <w:rFonts w:ascii="Arial" w:cs="Arial" w:eastAsia="Arial" w:hAnsi="Arial"/>
          <w:sz w:val="18"/>
          <w:szCs w:val="18"/>
          <w:color w:val="auto"/>
        </w:rPr>
        <w:t>Interest on the Revolving Facility, which is undrawn at December 29, 2019, accrues, at our option, at either (A) LIBOR plus 5.5%, or (B) 4.5% plus the higher of (i) the prime rate at the time, (ii) the federal funds rate plus 0.5%, or (iii) one month LIBOR plus 1.0%.</w:t>
      </w:r>
    </w:p>
    <w:p>
      <w:pPr>
        <w:spacing w:after="0" w:line="16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Covenants and Other Matters</w:t>
      </w:r>
    </w:p>
    <w:p>
      <w:pPr>
        <w:spacing w:after="0" w:line="220" w:lineRule="exact"/>
        <w:rPr>
          <w:sz w:val="20"/>
          <w:szCs w:val="20"/>
          <w:color w:val="auto"/>
        </w:rPr>
      </w:pPr>
    </w:p>
    <w:p>
      <w:pPr>
        <w:jc w:val="both"/>
        <w:ind w:left="660" w:right="60"/>
        <w:spacing w:after="0" w:line="199" w:lineRule="auto"/>
        <w:rPr>
          <w:sz w:val="20"/>
          <w:szCs w:val="20"/>
          <w:color w:val="auto"/>
        </w:rPr>
      </w:pPr>
      <w:r>
        <w:rPr>
          <w:rFonts w:ascii="Arial" w:cs="Arial" w:eastAsia="Arial" w:hAnsi="Arial"/>
          <w:sz w:val="18"/>
          <w:szCs w:val="18"/>
          <w:color w:val="auto"/>
        </w:rPr>
        <w:t>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Credit Facility requires that we comply with certain affirmative and negative covenants customary for financing of this nature, including a maximum total leverage ratio.</w:t>
      </w:r>
    </w:p>
    <w:p>
      <w:pPr>
        <w:spacing w:after="0" w:line="191" w:lineRule="exact"/>
        <w:rPr>
          <w:sz w:val="20"/>
          <w:szCs w:val="20"/>
          <w:color w:val="auto"/>
        </w:rPr>
      </w:pPr>
    </w:p>
    <w:p>
      <w:pPr>
        <w:jc w:val="both"/>
        <w:ind w:left="660" w:right="60"/>
        <w:spacing w:after="0" w:line="206" w:lineRule="auto"/>
        <w:rPr>
          <w:sz w:val="20"/>
          <w:szCs w:val="20"/>
          <w:color w:val="auto"/>
        </w:rPr>
      </w:pPr>
      <w:r>
        <w:rPr>
          <w:rFonts w:ascii="Arial" w:cs="Arial" w:eastAsia="Arial" w:hAnsi="Arial"/>
          <w:sz w:val="17"/>
          <w:szCs w:val="17"/>
          <w:color w:val="auto"/>
        </w:rPr>
        <w:t>The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Lien Credit Facility restricts us from paying dividends on our Common Stock. This restriction no longer applies if Lee Legacy Leverage is below 3.25x before and after such payments. Lee Legacy Leverage as defined is 4.37x at December 29, 2019. Further, the</w:t>
      </w:r>
    </w:p>
    <w:p>
      <w:pPr>
        <w:spacing w:after="0" w:line="2" w:lineRule="exact"/>
        <w:rPr>
          <w:sz w:val="20"/>
          <w:szCs w:val="20"/>
          <w:color w:val="auto"/>
        </w:rPr>
      </w:pPr>
    </w:p>
    <w:p>
      <w:pPr>
        <w:jc w:val="both"/>
        <w:ind w:left="660" w:right="60"/>
        <w:spacing w:after="0" w:line="193" w:lineRule="auto"/>
        <w:rPr>
          <w:sz w:val="20"/>
          <w:szCs w:val="20"/>
          <w:color w:val="auto"/>
        </w:rPr>
      </w:pPr>
      <w:r>
        <w:rPr>
          <w:rFonts w:ascii="Arial" w:cs="Arial" w:eastAsia="Arial" w:hAnsi="Arial"/>
          <w:sz w:val="18"/>
          <w:szCs w:val="18"/>
          <w:color w:val="auto"/>
        </w:rPr>
        <w:t>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Credit Facility restricts or limits, among other things, subject to certain exceptions, the ability of the Company and its subsidiaries to: (i) incur indebtedness, (ii) enter into mergers, acquisitions and asset sales, (iii) incur or create liens and (iv) enter into</w:t>
      </w:r>
    </w:p>
    <w:p>
      <w:pPr>
        <w:spacing w:after="0" w:line="2" w:lineRule="exact"/>
        <w:rPr>
          <w:sz w:val="20"/>
          <w:szCs w:val="20"/>
          <w:color w:val="auto"/>
        </w:rPr>
      </w:pPr>
    </w:p>
    <w:p>
      <w:pPr>
        <w:jc w:val="both"/>
        <w:ind w:left="660" w:right="60"/>
        <w:spacing w:after="0" w:line="201" w:lineRule="auto"/>
        <w:rPr>
          <w:sz w:val="20"/>
          <w:szCs w:val="20"/>
          <w:color w:val="auto"/>
        </w:rPr>
      </w:pPr>
      <w:r>
        <w:rPr>
          <w:rFonts w:ascii="Arial" w:cs="Arial" w:eastAsia="Arial" w:hAnsi="Arial"/>
          <w:sz w:val="18"/>
          <w:szCs w:val="18"/>
          <w:color w:val="auto"/>
        </w:rPr>
        <w:t>transactions with certain affiliates. 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Credit Facility contains various representations and warranties and may be terminated upon occurrence of certain events of default. 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Credit Facility also contains cross-default provisions tied to the terms of each of the Indenture and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w:t>
      </w:r>
    </w:p>
    <w:p>
      <w:pPr>
        <w:spacing w:after="0" w:line="4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30"/>
          <w:szCs w:val="30"/>
          <w:b w:val="1"/>
          <w:bCs w:val="1"/>
          <w:color w:val="auto"/>
          <w:vertAlign w:val="superscript"/>
        </w:rPr>
        <w:t>nd</w:t>
      </w:r>
      <w:r>
        <w:rPr>
          <w:rFonts w:ascii="Arial" w:cs="Arial" w:eastAsia="Arial" w:hAnsi="Arial"/>
          <w:sz w:val="18"/>
          <w:szCs w:val="18"/>
          <w:b w:val="1"/>
          <w:bCs w:val="1"/>
          <w:color w:val="auto"/>
        </w:rPr>
        <w:t xml:space="preserve"> Lien Term Loan</w:t>
      </w:r>
    </w:p>
    <w:p>
      <w:pPr>
        <w:spacing w:after="0" w:line="119" w:lineRule="exact"/>
        <w:rPr>
          <w:sz w:val="20"/>
          <w:szCs w:val="20"/>
          <w:color w:val="auto"/>
        </w:rPr>
      </w:pPr>
    </w:p>
    <w:p>
      <w:pPr>
        <w:jc w:val="both"/>
        <w:ind w:left="660" w:right="60"/>
        <w:spacing w:after="0" w:line="199" w:lineRule="auto"/>
        <w:rPr>
          <w:sz w:val="20"/>
          <w:szCs w:val="20"/>
          <w:color w:val="auto"/>
        </w:rPr>
      </w:pPr>
      <w:r>
        <w:rPr>
          <w:rFonts w:ascii="Arial" w:cs="Arial" w:eastAsia="Arial" w:hAnsi="Arial"/>
          <w:sz w:val="18"/>
          <w:szCs w:val="18"/>
          <w:color w:val="auto"/>
        </w:rPr>
        <w:t>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 which has a balance of $77,253,000 at December 29, 2019, bears interest at a fixed annual rate of 12.0%, payable quarterly, and matures in December 2022.</w:t>
      </w:r>
    </w:p>
    <w:p>
      <w:pPr>
        <w:spacing w:after="0" w:line="168"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Principal Payments</w:t>
      </w:r>
    </w:p>
    <w:p>
      <w:pPr>
        <w:spacing w:after="0" w:line="220" w:lineRule="exact"/>
        <w:rPr>
          <w:sz w:val="20"/>
          <w:szCs w:val="20"/>
          <w:color w:val="auto"/>
        </w:rPr>
      </w:pPr>
    </w:p>
    <w:p>
      <w:pPr>
        <w:jc w:val="both"/>
        <w:ind w:left="660" w:right="80"/>
        <w:spacing w:after="0" w:line="199" w:lineRule="auto"/>
        <w:rPr>
          <w:sz w:val="20"/>
          <w:szCs w:val="20"/>
          <w:color w:val="auto"/>
        </w:rPr>
      </w:pPr>
      <w:r>
        <w:rPr>
          <w:rFonts w:ascii="Arial" w:cs="Arial" w:eastAsia="Arial" w:hAnsi="Arial"/>
          <w:sz w:val="18"/>
          <w:szCs w:val="18"/>
          <w:color w:val="auto"/>
        </w:rPr>
        <w:t>Excluding excess cash flow payments, there are no scheduled mandatory amortization payments required under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w:t>
      </w:r>
    </w:p>
    <w:p>
      <w:pPr>
        <w:spacing w:after="0" w:line="190" w:lineRule="exact"/>
        <w:rPr>
          <w:sz w:val="20"/>
          <w:szCs w:val="20"/>
          <w:color w:val="auto"/>
        </w:rPr>
      </w:pPr>
    </w:p>
    <w:p>
      <w:pPr>
        <w:jc w:val="both"/>
        <w:ind w:left="660" w:right="60"/>
        <w:spacing w:after="0" w:line="248" w:lineRule="auto"/>
        <w:rPr>
          <w:sz w:val="20"/>
          <w:szCs w:val="20"/>
          <w:color w:val="auto"/>
        </w:rPr>
      </w:pPr>
      <w:r>
        <w:rPr>
          <w:rFonts w:ascii="Arial" w:cs="Arial" w:eastAsia="Arial" w:hAnsi="Arial"/>
          <w:sz w:val="18"/>
          <w:szCs w:val="18"/>
          <w:color w:val="auto"/>
        </w:rPr>
        <w:t>Quarterly, we are required to prepare a calculation of excess cash flow of the Pulitzer Subsidiaries ("Pulitzer Excess Cash Flow"). Pulitzer Excess Cash Flow is generally determined as the cash earnings of the Pulitzer Subsidiaries including adjustments for changes in working capital, capital spending, pension contributions, debt principal payments and income tax payments. Pulitzer Excess Cash Flow also includes a deduction for interest costs incurred under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w:t>
      </w:r>
    </w:p>
    <w:p>
      <w:pPr>
        <w:spacing w:after="0" w:line="55" w:lineRule="exact"/>
        <w:rPr>
          <w:sz w:val="20"/>
          <w:szCs w:val="20"/>
          <w:color w:val="auto"/>
        </w:rPr>
      </w:pPr>
    </w:p>
    <w:p>
      <w:pPr>
        <w:jc w:val="both"/>
        <w:ind w:left="660" w:right="60"/>
        <w:spacing w:after="0" w:line="246" w:lineRule="auto"/>
        <w:rPr>
          <w:sz w:val="20"/>
          <w:szCs w:val="20"/>
          <w:color w:val="auto"/>
        </w:rPr>
      </w:pPr>
      <w:r>
        <w:rPr>
          <w:rFonts w:ascii="Arial" w:cs="Arial" w:eastAsia="Arial" w:hAnsi="Arial"/>
          <w:sz w:val="18"/>
          <w:szCs w:val="18"/>
          <w:color w:val="auto"/>
        </w:rPr>
        <w:t>Pulitzer Excess Cash Flow is used to prepay the 2nd Lien Term Loan, at par, and is required to be paid 45 days after the end of the quarter.</w:t>
      </w:r>
    </w:p>
    <w:p>
      <w:pPr>
        <w:spacing w:after="0" w:line="184" w:lineRule="exact"/>
        <w:rPr>
          <w:sz w:val="20"/>
          <w:szCs w:val="20"/>
          <w:color w:val="auto"/>
        </w:rPr>
      </w:pPr>
    </w:p>
    <w:p>
      <w:pPr>
        <w:jc w:val="both"/>
        <w:ind w:left="660" w:right="60"/>
        <w:spacing w:after="0" w:line="199" w:lineRule="auto"/>
        <w:rPr>
          <w:sz w:val="20"/>
          <w:szCs w:val="20"/>
          <w:color w:val="auto"/>
        </w:rPr>
      </w:pPr>
      <w:r>
        <w:rPr>
          <w:rFonts w:ascii="Arial" w:cs="Arial" w:eastAsia="Arial" w:hAnsi="Arial"/>
          <w:sz w:val="18"/>
          <w:szCs w:val="18"/>
          <w:color w:val="auto"/>
        </w:rPr>
        <w:t>Payments will also be made on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 at par, with proceeds from asset sales by the Pulitzer Subsidiaries that are not reinvested subject to certain other conditions.</w:t>
      </w:r>
    </w:p>
    <w:p>
      <w:pPr>
        <w:spacing w:after="0" w:line="191" w:lineRule="exact"/>
        <w:rPr>
          <w:sz w:val="20"/>
          <w:szCs w:val="20"/>
          <w:color w:val="auto"/>
        </w:rPr>
      </w:pPr>
    </w:p>
    <w:p>
      <w:pPr>
        <w:jc w:val="both"/>
        <w:ind w:left="660" w:right="60"/>
        <w:spacing w:after="0" w:line="188" w:lineRule="auto"/>
        <w:rPr>
          <w:sz w:val="20"/>
          <w:szCs w:val="20"/>
          <w:color w:val="auto"/>
        </w:rPr>
      </w:pPr>
      <w:r>
        <w:rPr>
          <w:rFonts w:ascii="Arial" w:cs="Arial" w:eastAsia="Arial" w:hAnsi="Arial"/>
          <w:sz w:val="18"/>
          <w:szCs w:val="18"/>
          <w:color w:val="auto"/>
        </w:rPr>
        <w:t>During the 13 weeks ended December 29, 2019, payments on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 totaled $2,954,000. For the 13 weeks ended December 29, 2019, Pulitzer Excess Cash Flow totaled $1,892,000, which will be used to make a payment on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 in February 2020, at par.</w:t>
      </w:r>
    </w:p>
    <w:p>
      <w:pPr>
        <w:sectPr>
          <w:pgSz w:w="11900" w:h="16838" w:orient="portrait"/>
          <w:cols w:equalWidth="0" w:num="1">
            <w:col w:w="11480"/>
          </w:cols>
          <w:pgMar w:left="240" w:top="118" w:right="179" w:bottom="158" w:gutter="0" w:footer="0" w:header="0"/>
        </w:sectPr>
      </w:pPr>
    </w:p>
    <w:bookmarkStart w:id="15" w:name="page16"/>
    <w:bookmarkEnd w:id="15"/>
    <w:p>
      <w:pPr>
        <w:spacing w:after="0" w:line="217" w:lineRule="auto"/>
        <w:rPr>
          <w:sz w:val="20"/>
          <w:szCs w:val="20"/>
          <w:color w:val="auto"/>
        </w:rPr>
      </w:pPr>
      <w:r>
        <w:rPr>
          <w:rFonts w:ascii="Arial" w:cs="Arial" w:eastAsia="Arial" w:hAnsi="Arial"/>
          <w:sz w:val="18"/>
          <w:szCs w:val="18"/>
          <w:color w:val="auto"/>
        </w:rPr>
        <w:t>Voluntary payments under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 are no longer subject to call premiums and are payable at par. The Indenture includes certain restrictions on voluntary payments on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w:t>
      </w:r>
    </w:p>
    <w:p>
      <w:pPr>
        <w:spacing w:after="0" w:line="6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66040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140" w:right="239" w:bottom="1440" w:gutter="0" w:footer="0" w:header="0"/>
        </w:sectPr>
      </w:pPr>
    </w:p>
    <w:bookmarkStart w:id="16" w:name="page17"/>
    <w:bookmarkEnd w:id="16"/>
    <w:p>
      <w:pPr>
        <w:spacing w:after="0" w:line="11" w:lineRule="exact"/>
        <w:rPr>
          <w:sz w:val="20"/>
          <w:szCs w:val="20"/>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 and Other Matters</w:t>
      </w:r>
    </w:p>
    <w:p>
      <w:pPr>
        <w:spacing w:after="0" w:line="220" w:lineRule="exact"/>
        <w:rPr>
          <w:sz w:val="20"/>
          <w:szCs w:val="20"/>
          <w:color w:val="auto"/>
        </w:rPr>
      </w:pPr>
    </w:p>
    <w:p>
      <w:pPr>
        <w:jc w:val="both"/>
        <w:ind w:left="660"/>
        <w:spacing w:after="0" w:line="193" w:lineRule="auto"/>
        <w:rPr>
          <w:sz w:val="20"/>
          <w:szCs w:val="20"/>
          <w:color w:val="auto"/>
        </w:rPr>
      </w:pPr>
      <w:r>
        <w:rPr>
          <w:rFonts w:ascii="Arial" w:cs="Arial" w:eastAsia="Arial" w:hAnsi="Arial"/>
          <w:sz w:val="18"/>
          <w:szCs w:val="18"/>
          <w:color w:val="auto"/>
        </w:rPr>
        <w:t>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 requires that we comply with certain affirmative and negative covenants customary for financing of this nature, including the negative covenants under 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Credit Facility discussed above.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 contains various representations and warranties and may be terminated upon occurrence of certain events of default.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 also contains cross-default provisions tied to the terms of the Indenture and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Credit Facility.</w:t>
      </w:r>
    </w:p>
    <w:p>
      <w:pPr>
        <w:spacing w:after="0" w:line="65" w:lineRule="exact"/>
        <w:rPr>
          <w:sz w:val="20"/>
          <w:szCs w:val="20"/>
          <w:color w:val="auto"/>
        </w:rPr>
      </w:pPr>
    </w:p>
    <w:p>
      <w:pPr>
        <w:jc w:val="both"/>
        <w:ind w:left="660"/>
        <w:spacing w:after="0" w:line="202" w:lineRule="auto"/>
        <w:rPr>
          <w:sz w:val="20"/>
          <w:szCs w:val="20"/>
          <w:color w:val="auto"/>
        </w:rPr>
      </w:pPr>
      <w:r>
        <w:rPr>
          <w:rFonts w:ascii="Arial" w:cs="Arial" w:eastAsia="Arial" w:hAnsi="Arial"/>
          <w:sz w:val="18"/>
          <w:szCs w:val="18"/>
          <w:color w:val="auto"/>
        </w:rPr>
        <w:t>In connection with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 we entered into a Warrant Agreement dated as of March 31, 2014 (the “Warrant Agreement”). Under the Warrant Agreement, certain affiliates or designees of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Lenders received on March 31, 2014 their pro rata share of warrants to purchase, in cash, an initial aggregate of 6,000,000 shares of Common Stock, subject to adjustment pursuant to anti-dilution provisions (the “Warrants”). The Warrants represent, when fully exercised, approximately 10.4% of shares of Common Stock outstanding at March 30, 2014 on a fully diluted basis. The exercise price of the Warrants is $4.19 per share.</w:t>
      </w:r>
    </w:p>
    <w:p>
      <w:pPr>
        <w:spacing w:after="0" w:line="193" w:lineRule="exact"/>
        <w:rPr>
          <w:sz w:val="20"/>
          <w:szCs w:val="20"/>
          <w:color w:val="auto"/>
        </w:rPr>
      </w:pPr>
    </w:p>
    <w:p>
      <w:pPr>
        <w:jc w:val="both"/>
        <w:ind w:left="660"/>
        <w:spacing w:after="0"/>
        <w:rPr>
          <w:sz w:val="20"/>
          <w:szCs w:val="20"/>
          <w:color w:val="auto"/>
        </w:rPr>
      </w:pPr>
      <w:r>
        <w:rPr>
          <w:rFonts w:ascii="Arial" w:cs="Arial" w:eastAsia="Arial" w:hAnsi="Arial"/>
          <w:sz w:val="18"/>
          <w:szCs w:val="18"/>
          <w:color w:val="auto"/>
        </w:rPr>
        <w:t>The Warrant Agreement contains provisions requiring the Warrants to be measured at fair value and included in warrants and other liabilities in our Consolidated Balance Sheets. We re-measure the fair value of the liability each reporting period, with changes reported in other, net non-operating income (expense). The initial fair value of the Warrants was $16,930,000. See Note 11.</w:t>
      </w:r>
    </w:p>
    <w:p>
      <w:pPr>
        <w:spacing w:after="0" w:line="189" w:lineRule="exact"/>
        <w:rPr>
          <w:sz w:val="20"/>
          <w:szCs w:val="20"/>
          <w:color w:val="auto"/>
        </w:rPr>
      </w:pPr>
    </w:p>
    <w:p>
      <w:pPr>
        <w:jc w:val="both"/>
        <w:ind w:left="660"/>
        <w:spacing w:after="0" w:line="239" w:lineRule="auto"/>
        <w:rPr>
          <w:sz w:val="20"/>
          <w:szCs w:val="20"/>
          <w:color w:val="auto"/>
        </w:rPr>
      </w:pPr>
      <w:r>
        <w:rPr>
          <w:rFonts w:ascii="Arial" w:cs="Arial" w:eastAsia="Arial" w:hAnsi="Arial"/>
          <w:sz w:val="18"/>
          <w:szCs w:val="18"/>
          <w:color w:val="auto"/>
        </w:rPr>
        <w:t>In connection with the issuance of the Warrants, we entered into a Registration Rights Agreement dated as of March 31, 2014 (the “Registration Rights Agreement”). The Registration Rights Agreement requires, among other matters, that we use our commercially reasonable efforts to maintain the effectiveness for certain specified periods of a shelf registration statement related to the shares of Common Stock to be issued upon exercise of the Warrants.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w:t>
      </w:r>
    </w:p>
    <w:p>
      <w:pPr>
        <w:spacing w:after="0" w:line="220" w:lineRule="exact"/>
        <w:rPr>
          <w:sz w:val="20"/>
          <w:szCs w:val="20"/>
          <w:color w:val="auto"/>
        </w:rPr>
      </w:pPr>
    </w:p>
    <w:p>
      <w:pPr>
        <w:jc w:val="both"/>
        <w:ind w:left="660" w:right="20"/>
        <w:spacing w:after="0" w:line="193" w:lineRule="auto"/>
        <w:rPr>
          <w:sz w:val="20"/>
          <w:szCs w:val="20"/>
          <w:color w:val="auto"/>
        </w:rPr>
      </w:pPr>
      <w:r>
        <w:rPr>
          <w:rFonts w:ascii="Arial" w:cs="Arial" w:eastAsia="Arial" w:hAnsi="Arial"/>
          <w:sz w:val="18"/>
          <w:szCs w:val="18"/>
          <w:color w:val="auto"/>
        </w:rPr>
        <w:t>The Notes and 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Credit Facility are fully and unconditionally guaranteed on a joint and several first-priority basis by each of the Company's material domestic subsidiaries, excluding MNI, the Pulitzer Subsidiaries and TNI (the "Lee Legacy Assignors"),</w:t>
      </w:r>
    </w:p>
    <w:p>
      <w:pPr>
        <w:spacing w:after="0" w:line="2" w:lineRule="exact"/>
        <w:rPr>
          <w:sz w:val="20"/>
          <w:szCs w:val="20"/>
          <w:color w:val="auto"/>
        </w:rPr>
      </w:pPr>
    </w:p>
    <w:p>
      <w:pPr>
        <w:jc w:val="both"/>
        <w:ind w:left="660" w:right="20"/>
        <w:spacing w:after="0" w:line="199" w:lineRule="auto"/>
        <w:rPr>
          <w:sz w:val="20"/>
          <w:szCs w:val="20"/>
          <w:color w:val="auto"/>
        </w:rPr>
      </w:pPr>
      <w:r>
        <w:rPr>
          <w:rFonts w:ascii="Arial" w:cs="Arial" w:eastAsia="Arial" w:hAnsi="Arial"/>
          <w:sz w:val="18"/>
          <w:szCs w:val="18"/>
          <w:color w:val="auto"/>
        </w:rPr>
        <w:t>pursuant to a first lien guarantee and collateral agreement dated as of March 31, 2014 (the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Guarantee and Collateral Agreement").</w:t>
      </w:r>
    </w:p>
    <w:p>
      <w:pPr>
        <w:spacing w:after="0" w:line="191" w:lineRule="exact"/>
        <w:rPr>
          <w:sz w:val="20"/>
          <w:szCs w:val="20"/>
          <w:color w:val="auto"/>
        </w:rPr>
      </w:pPr>
    </w:p>
    <w:p>
      <w:pPr>
        <w:jc w:val="both"/>
        <w:ind w:left="660"/>
        <w:spacing w:after="0" w:line="220" w:lineRule="auto"/>
        <w:rPr>
          <w:sz w:val="20"/>
          <w:szCs w:val="20"/>
          <w:color w:val="auto"/>
        </w:rPr>
      </w:pPr>
      <w:r>
        <w:rPr>
          <w:rFonts w:ascii="Arial" w:cs="Arial" w:eastAsia="Arial" w:hAnsi="Arial"/>
          <w:sz w:val="18"/>
          <w:szCs w:val="18"/>
          <w:color w:val="auto"/>
        </w:rPr>
        <w:t>The Notes, 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Credit Facility and the subsidiary guarantees are secured, subject to certain exceptions, priorities and limitations, by perfected security interests in all property and assets, including certain real estate, of the Lee Legacy Assignors, other than the capital stock of MNI and any property and assets of MNI (the “Lee Legacy Collateral”), on a first-priority basis, equally and ratably with all of the Lee Legacy Assignors' existing and future obligations. The Lee Legacy Collateral includes, among other things, equipment, inventory, accounts receivables, depository accounts, intellectual property and certain of their other tangible and intangible assets.</w:t>
      </w:r>
    </w:p>
    <w:p>
      <w:pPr>
        <w:spacing w:after="0" w:line="194" w:lineRule="exact"/>
        <w:rPr>
          <w:sz w:val="20"/>
          <w:szCs w:val="20"/>
          <w:color w:val="auto"/>
        </w:rPr>
      </w:pPr>
    </w:p>
    <w:p>
      <w:pPr>
        <w:jc w:val="both"/>
        <w:ind w:left="660"/>
        <w:spacing w:after="0" w:line="193" w:lineRule="auto"/>
        <w:rPr>
          <w:sz w:val="20"/>
          <w:szCs w:val="20"/>
          <w:color w:val="auto"/>
        </w:rPr>
      </w:pPr>
      <w:r>
        <w:rPr>
          <w:rFonts w:ascii="Arial" w:cs="Arial" w:eastAsia="Arial" w:hAnsi="Arial"/>
          <w:sz w:val="18"/>
          <w:szCs w:val="18"/>
          <w:color w:val="auto"/>
        </w:rPr>
        <w:t>Also, the Notes and 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Credit Facility are secured, subject to certain exceptions, priorities and limitations in the various agreements, by first-priority security interests in the capital stock of, and other equity interests owned by, the Lee Legacy Assignors</w:t>
      </w:r>
    </w:p>
    <w:p>
      <w:pPr>
        <w:spacing w:after="0" w:line="2" w:lineRule="exact"/>
        <w:rPr>
          <w:sz w:val="20"/>
          <w:szCs w:val="20"/>
          <w:color w:val="auto"/>
        </w:rPr>
      </w:pPr>
    </w:p>
    <w:p>
      <w:pPr>
        <w:jc w:val="both"/>
        <w:ind w:left="660" w:right="20"/>
        <w:spacing w:after="0" w:line="199" w:lineRule="auto"/>
        <w:rPr>
          <w:sz w:val="20"/>
          <w:szCs w:val="20"/>
          <w:color w:val="auto"/>
        </w:rPr>
      </w:pPr>
      <w:r>
        <w:rPr>
          <w:rFonts w:ascii="Arial" w:cs="Arial" w:eastAsia="Arial" w:hAnsi="Arial"/>
          <w:sz w:val="18"/>
          <w:szCs w:val="18"/>
          <w:color w:val="auto"/>
        </w:rPr>
        <w:t>(excluding the capital stock of MNI). The Notes and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Credit Facility are subject to a Pari Passu Intercreditor Agreement dated March 31, 2014.</w:t>
      </w:r>
    </w:p>
    <w:p>
      <w:pPr>
        <w:spacing w:after="0" w:line="204" w:lineRule="exact"/>
        <w:rPr>
          <w:sz w:val="20"/>
          <w:szCs w:val="20"/>
          <w:color w:val="auto"/>
        </w:rPr>
      </w:pPr>
    </w:p>
    <w:p>
      <w:pPr>
        <w:jc w:val="both"/>
        <w:ind w:left="660"/>
        <w:spacing w:after="0" w:line="224" w:lineRule="auto"/>
        <w:rPr>
          <w:sz w:val="20"/>
          <w:szCs w:val="20"/>
          <w:color w:val="auto"/>
        </w:rPr>
      </w:pPr>
      <w:r>
        <w:rPr>
          <w:rFonts w:ascii="Arial" w:cs="Arial" w:eastAsia="Arial" w:hAnsi="Arial"/>
          <w:sz w:val="18"/>
          <w:szCs w:val="18"/>
          <w:color w:val="auto"/>
        </w:rPr>
        <w:t>The Notes, 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Credit Facility and the subsidiary guarantees are also secured, subject to permitted liens, by a second-priority security interest in the property and assets of the Pulitzer Subsidiaries that become subsidiary guarantors (the "Pulitzer Assignors") other than assets of or used in the operations or business of TNI (collectively, the “Pulitzer Collateral”). In June 2015 the Pulitzer Assignors became a party to 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Guarantee and Collateral Agreement on a second lien basis.</w:t>
      </w:r>
    </w:p>
    <w:p>
      <w:pPr>
        <w:spacing w:after="0" w:line="64" w:lineRule="exact"/>
        <w:rPr>
          <w:sz w:val="20"/>
          <w:szCs w:val="20"/>
          <w:color w:val="auto"/>
        </w:rPr>
      </w:pPr>
    </w:p>
    <w:p>
      <w:pPr>
        <w:jc w:val="both"/>
        <w:ind w:left="660"/>
        <w:spacing w:after="0" w:line="209" w:lineRule="auto"/>
        <w:rPr>
          <w:sz w:val="20"/>
          <w:szCs w:val="20"/>
          <w:color w:val="auto"/>
        </w:rPr>
      </w:pPr>
      <w:r>
        <w:rPr>
          <w:rFonts w:ascii="Arial" w:cs="Arial" w:eastAsia="Arial" w:hAnsi="Arial"/>
          <w:sz w:val="18"/>
          <w:szCs w:val="18"/>
          <w:color w:val="auto"/>
        </w:rPr>
        <w:t>Also, the Notes and 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Credit Facility are secured, subject to certain exceptions, priorities, and limitations in the various agreements, by second-priority security interests in the capital stock of, and other equity interests in, the Pulitzer Assignors and Star Publishing’s interest in TNI.</w:t>
      </w:r>
    </w:p>
    <w:p>
      <w:pPr>
        <w:spacing w:after="0" w:line="190" w:lineRule="exact"/>
        <w:rPr>
          <w:sz w:val="20"/>
          <w:szCs w:val="20"/>
          <w:color w:val="auto"/>
        </w:rPr>
      </w:pPr>
    </w:p>
    <w:p>
      <w:pPr>
        <w:jc w:val="both"/>
        <w:ind w:left="660"/>
        <w:spacing w:after="0" w:line="201" w:lineRule="auto"/>
        <w:rPr>
          <w:sz w:val="20"/>
          <w:szCs w:val="20"/>
          <w:color w:val="auto"/>
        </w:rPr>
      </w:pPr>
      <w:r>
        <w:rPr>
          <w:rFonts w:ascii="Arial" w:cs="Arial" w:eastAsia="Arial" w:hAnsi="Arial"/>
          <w:sz w:val="18"/>
          <w:szCs w:val="18"/>
          <w:color w:val="auto"/>
        </w:rPr>
        <w:t>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 is fully and unconditionally guaranteed on a joint and several first-priority basis by the Pulitzer Assignors, pursuant to a Second Lien Guarantee and Collateral Agreement dated as of March 31, 2014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Guarantee and Collateral Agreement”) among the Pulitzer Assignors and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collateral agent.</w:t>
      </w:r>
    </w:p>
    <w:p>
      <w:pPr>
        <w:spacing w:after="0" w:line="65" w:lineRule="exact"/>
        <w:rPr>
          <w:sz w:val="20"/>
          <w:szCs w:val="20"/>
          <w:color w:val="auto"/>
        </w:rPr>
      </w:pPr>
    </w:p>
    <w:p>
      <w:pPr>
        <w:jc w:val="both"/>
        <w:ind w:left="660"/>
        <w:spacing w:after="0" w:line="193" w:lineRule="auto"/>
        <w:rPr>
          <w:sz w:val="20"/>
          <w:szCs w:val="20"/>
          <w:color w:val="auto"/>
        </w:rPr>
      </w:pPr>
      <w:r>
        <w:rPr>
          <w:rFonts w:ascii="Arial" w:cs="Arial" w:eastAsia="Arial" w:hAnsi="Arial"/>
          <w:sz w:val="18"/>
          <w:szCs w:val="18"/>
          <w:color w:val="auto"/>
        </w:rPr>
        <w:t>Under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Guarantee and Collateral Agreement, the Pulitzer Assignors have granted (i) first-priority security interests, subject to certain priorities and limitations in the various agreements, in the Pulitzer Collateral and (ii) have granted first-priority lien mortgages</w:t>
      </w:r>
    </w:p>
    <w:p>
      <w:pPr>
        <w:spacing w:after="0" w:line="2" w:lineRule="exact"/>
        <w:rPr>
          <w:sz w:val="20"/>
          <w:szCs w:val="20"/>
          <w:color w:val="auto"/>
        </w:rPr>
      </w:pPr>
    </w:p>
    <w:p>
      <w:pPr>
        <w:jc w:val="both"/>
        <w:ind w:left="660"/>
        <w:spacing w:after="0" w:line="199" w:lineRule="auto"/>
        <w:rPr>
          <w:sz w:val="20"/>
          <w:szCs w:val="20"/>
          <w:color w:val="auto"/>
        </w:rPr>
      </w:pPr>
      <w:r>
        <w:rPr>
          <w:rFonts w:ascii="Arial" w:cs="Arial" w:eastAsia="Arial" w:hAnsi="Arial"/>
          <w:sz w:val="18"/>
          <w:szCs w:val="18"/>
          <w:color w:val="auto"/>
        </w:rPr>
        <w:t>or deeds of trust covering certain real estate, as collateral for the payment and performance of their obligations under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w:t>
      </w:r>
    </w:p>
    <w:p>
      <w:pPr>
        <w:spacing w:after="0" w:line="191" w:lineRule="exact"/>
        <w:rPr>
          <w:sz w:val="20"/>
          <w:szCs w:val="20"/>
          <w:color w:val="auto"/>
        </w:rPr>
      </w:pPr>
    </w:p>
    <w:p>
      <w:pPr>
        <w:jc w:val="both"/>
        <w:ind w:left="660"/>
        <w:spacing w:after="0" w:line="224" w:lineRule="auto"/>
        <w:rPr>
          <w:sz w:val="20"/>
          <w:szCs w:val="20"/>
          <w:color w:val="auto"/>
        </w:rPr>
      </w:pPr>
      <w:r>
        <w:rPr>
          <w:rFonts w:ascii="Arial" w:cs="Arial" w:eastAsia="Arial" w:hAnsi="Arial"/>
          <w:sz w:val="18"/>
          <w:szCs w:val="18"/>
          <w:color w:val="auto"/>
        </w:rPr>
        <w:t>Also, under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Guarantee and Collateral Agreement, the Lee Legacy Assignors have granted (i) second-priority security interests, subject to certain priorities and limitations in the various agreements, in the Lee Legacy Collateral, and (ii) have granted second-priority lien mortgages or deeds of trust covering certain real estate, as collateral for the payment and performance of their obligations under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 Assets of, or used in the operations or business of, MNI are excluded.</w:t>
      </w:r>
    </w:p>
    <w:p>
      <w:pPr>
        <w:spacing w:after="0" w:line="63" w:lineRule="exact"/>
        <w:rPr>
          <w:sz w:val="20"/>
          <w:szCs w:val="20"/>
          <w:color w:val="auto"/>
        </w:rPr>
      </w:pPr>
    </w:p>
    <w:p>
      <w:pPr>
        <w:jc w:val="both"/>
        <w:ind w:left="660" w:right="20"/>
        <w:spacing w:after="0" w:line="246" w:lineRule="auto"/>
        <w:rPr>
          <w:sz w:val="20"/>
          <w:szCs w:val="20"/>
          <w:color w:val="auto"/>
        </w:rPr>
      </w:pPr>
      <w:r>
        <w:rPr>
          <w:rFonts w:ascii="Arial" w:cs="Arial" w:eastAsia="Arial" w:hAnsi="Arial"/>
          <w:sz w:val="18"/>
          <w:szCs w:val="18"/>
          <w:color w:val="auto"/>
        </w:rPr>
        <w:t>The rights of each of the collateral agents with respect to the Lee Legacy Collateral and the Pulitzer Collateral are subject to customary intercreditor and intercompany agreements.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w:t>
      </w:r>
    </w:p>
    <w:p>
      <w:pPr>
        <w:spacing w:after="0" w:line="220" w:lineRule="exact"/>
        <w:rPr>
          <w:sz w:val="20"/>
          <w:szCs w:val="20"/>
          <w:color w:val="auto"/>
        </w:rPr>
      </w:pPr>
    </w:p>
    <w:p>
      <w:pPr>
        <w:jc w:val="both"/>
        <w:ind w:left="660"/>
        <w:spacing w:after="0" w:line="239" w:lineRule="auto"/>
        <w:rPr>
          <w:sz w:val="20"/>
          <w:szCs w:val="20"/>
          <w:color w:val="auto"/>
        </w:rPr>
      </w:pPr>
      <w:r>
        <w:rPr>
          <w:rFonts w:ascii="Arial" w:cs="Arial" w:eastAsia="Arial" w:hAnsi="Arial"/>
          <w:sz w:val="18"/>
          <w:szCs w:val="18"/>
          <w:color w:val="auto"/>
        </w:rPr>
        <w:t>In connection with the 2014 Refinancing, we capitalized $37,819,000 of debt financing costs. Amortization of debt financing costs totaled $1,028,000 in the 13 weeks ended December 29, 2019. Amortization of such costs is estimated to total $3,070,000 for the remainder of 2020, $4,254,000 in 2021, $2,690,000 in 2022 and $240,000 in 2023. At December 29, 2019, we have $10,254,000 of unamortized debt financing costs recorded as a reduction of Long-term debt in our Consolidated Balance Sheets.</w:t>
      </w:r>
    </w:p>
    <w:p>
      <w:pPr>
        <w:sectPr>
          <w:pgSz w:w="11900" w:h="16849" w:orient="portrait"/>
          <w:cols w:equalWidth="0" w:num="1">
            <w:col w:w="11420"/>
          </w:cols>
          <w:pgMar w:left="240" w:top="118" w:right="239" w:bottom="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49" w:orient="portrait"/>
          <w:cols w:equalWidth="0" w:num="1">
            <w:col w:w="11420"/>
          </w:cols>
          <w:pgMar w:left="240" w:top="118" w:right="239" w:bottom="0" w:gutter="0" w:footer="0" w:header="0"/>
          <w:type w:val="continuous"/>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Liquidity</w:t>
      </w:r>
    </w:p>
    <w:p>
      <w:pPr>
        <w:spacing w:after="0" w:line="220" w:lineRule="exact"/>
        <w:rPr>
          <w:sz w:val="20"/>
          <w:szCs w:val="20"/>
          <w:color w:val="auto"/>
        </w:rPr>
      </w:pPr>
    </w:p>
    <w:p>
      <w:pPr>
        <w:jc w:val="both"/>
        <w:ind w:left="660" w:right="80"/>
        <w:spacing w:after="0" w:line="234" w:lineRule="auto"/>
        <w:rPr>
          <w:sz w:val="20"/>
          <w:szCs w:val="20"/>
          <w:color w:val="auto"/>
        </w:rPr>
      </w:pPr>
      <w:r>
        <w:rPr>
          <w:rFonts w:ascii="Arial" w:cs="Arial" w:eastAsia="Arial" w:hAnsi="Arial"/>
          <w:sz w:val="18"/>
          <w:szCs w:val="18"/>
          <w:color w:val="auto"/>
        </w:rPr>
        <w:t>At December 29, 2019, after consideration of letters of credit, we have approximately $17,644,000 available for future use under our Revolving Facility. Including cash, our liquidity at December 29, 2019 totals $22,112,000. This liquidity amount excludes any future cash flows. We expect all interest and principal payments due in the next twelve months will be satisfied by existing cash and our cash flows, which will allow us to maintain an adequate level of liquidity. The Warrants, if and when exercised, would provide additional</w:t>
      </w:r>
    </w:p>
    <w:p>
      <w:pPr>
        <w:spacing w:after="0" w:line="3" w:lineRule="exact"/>
        <w:rPr>
          <w:sz w:val="20"/>
          <w:szCs w:val="20"/>
          <w:color w:val="auto"/>
        </w:rPr>
      </w:pPr>
    </w:p>
    <w:p>
      <w:pPr>
        <w:jc w:val="both"/>
        <w:ind w:left="660" w:right="80"/>
        <w:spacing w:after="0" w:line="199" w:lineRule="auto"/>
        <w:rPr>
          <w:sz w:val="20"/>
          <w:szCs w:val="20"/>
          <w:color w:val="auto"/>
        </w:rPr>
      </w:pPr>
      <w:r>
        <w:rPr>
          <w:rFonts w:ascii="Arial" w:cs="Arial" w:eastAsia="Arial" w:hAnsi="Arial"/>
          <w:sz w:val="18"/>
          <w:szCs w:val="18"/>
          <w:color w:val="auto"/>
        </w:rPr>
        <w:t>liquidity in an amount up to $25,140,000 subject to a reduction for any amounts the Company may elect to use to repay our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Term Loan and/or the Notes.</w:t>
      </w:r>
    </w:p>
    <w:p>
      <w:pPr>
        <w:spacing w:after="0" w:line="190" w:lineRule="exact"/>
        <w:rPr>
          <w:sz w:val="20"/>
          <w:szCs w:val="20"/>
          <w:color w:val="auto"/>
        </w:rPr>
      </w:pPr>
    </w:p>
    <w:p>
      <w:pPr>
        <w:jc w:val="both"/>
        <w:ind w:left="660" w:right="60"/>
        <w:spacing w:after="0"/>
        <w:rPr>
          <w:sz w:val="20"/>
          <w:szCs w:val="20"/>
          <w:color w:val="auto"/>
        </w:rPr>
      </w:pPr>
      <w:r>
        <w:rPr>
          <w:rFonts w:ascii="Arial" w:cs="Arial" w:eastAsia="Arial" w:hAnsi="Arial"/>
          <w:sz w:val="18"/>
          <w:szCs w:val="18"/>
          <w:color w:val="auto"/>
        </w:rPr>
        <w:t>Pursuant to the terms of the financing agreement with BH Finance, our new debt will not include a revolver. Our current Revolving Facility will be terminated upon close of the Debt Refinancing. The Debt Refinancing covenants provide for increased cash on hand which will satisfy our liquidity needs in lieu of a revolver.</w:t>
      </w:r>
    </w:p>
    <w:p>
      <w:pPr>
        <w:spacing w:after="0" w:line="189" w:lineRule="exact"/>
        <w:rPr>
          <w:sz w:val="20"/>
          <w:szCs w:val="20"/>
          <w:color w:val="auto"/>
        </w:rPr>
      </w:pPr>
    </w:p>
    <w:p>
      <w:pPr>
        <w:jc w:val="both"/>
        <w:ind w:left="660" w:right="80"/>
        <w:spacing w:after="0" w:line="193" w:lineRule="auto"/>
        <w:rPr>
          <w:sz w:val="20"/>
          <w:szCs w:val="20"/>
          <w:color w:val="auto"/>
        </w:rPr>
      </w:pPr>
      <w:r>
        <w:rPr>
          <w:rFonts w:ascii="Arial" w:cs="Arial" w:eastAsia="Arial" w:hAnsi="Arial"/>
          <w:sz w:val="18"/>
          <w:szCs w:val="18"/>
          <w:color w:val="auto"/>
        </w:rPr>
        <w:t>There are numerous potential consequences under the Notes,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Credit Facility and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 if an event of default, as defined, occurs and is not remedied. Many of those consequences are beyond our control. The occurrence of one or more events of</w:t>
      </w:r>
    </w:p>
    <w:p>
      <w:pPr>
        <w:spacing w:after="0" w:line="2" w:lineRule="exact"/>
        <w:rPr>
          <w:sz w:val="20"/>
          <w:szCs w:val="20"/>
          <w:color w:val="auto"/>
        </w:rPr>
      </w:pPr>
    </w:p>
    <w:p>
      <w:pPr>
        <w:jc w:val="both"/>
        <w:ind w:left="660" w:right="60"/>
        <w:spacing w:after="0" w:line="181" w:lineRule="auto"/>
        <w:rPr>
          <w:sz w:val="20"/>
          <w:szCs w:val="20"/>
          <w:color w:val="auto"/>
        </w:rPr>
      </w:pPr>
      <w:r>
        <w:rPr>
          <w:rFonts w:ascii="Arial" w:cs="Arial" w:eastAsia="Arial" w:hAnsi="Arial"/>
          <w:sz w:val="18"/>
          <w:szCs w:val="18"/>
          <w:color w:val="auto"/>
        </w:rPr>
        <w:t>default would give rise to the right of the applicable lender(s) to exercise their remedies under the Notes,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Lien Credit Facility and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Lien Term Loan, respectively, including, without limitation, the right to accelerate all outstanding debt and take actions authorized in such circumstances under applicable collateral security documents.</w:t>
      </w:r>
    </w:p>
    <w:p>
      <w:pPr>
        <w:spacing w:after="0" w:line="205" w:lineRule="exact"/>
        <w:rPr>
          <w:sz w:val="20"/>
          <w:szCs w:val="20"/>
          <w:color w:val="auto"/>
        </w:rPr>
      </w:pPr>
    </w:p>
    <w:p>
      <w:pPr>
        <w:jc w:val="both"/>
        <w:ind w:left="660" w:right="60"/>
        <w:spacing w:after="0" w:line="214" w:lineRule="auto"/>
        <w:rPr>
          <w:sz w:val="20"/>
          <w:szCs w:val="20"/>
          <w:color w:val="auto"/>
        </w:rPr>
      </w:pPr>
      <w:r>
        <w:rPr>
          <w:rFonts w:ascii="Arial" w:cs="Arial" w:eastAsia="Arial" w:hAnsi="Arial"/>
          <w:sz w:val="18"/>
          <w:szCs w:val="18"/>
          <w:color w:val="auto"/>
        </w:rPr>
        <w:t>Our ability to operate as a going concern is dependent on our ability to remain in compliance with debt covenants and to repay, refinance or amend our debt agreements as they become due. The Notes,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Credit Facility and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 have only limited affirmative covenants with which we are required to maintain compliance. We are in compliance with our debt covenants at December 29, 2019.</w:t>
      </w:r>
    </w:p>
    <w:p>
      <w:pPr>
        <w:spacing w:after="0" w:line="200" w:lineRule="exact"/>
        <w:rPr>
          <w:sz w:val="20"/>
          <w:szCs w:val="20"/>
          <w:color w:val="auto"/>
        </w:rPr>
      </w:pPr>
    </w:p>
    <w:p>
      <w:pPr>
        <w:spacing w:after="0" w:line="227"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0" w:lineRule="exact"/>
        <w:rPr>
          <w:rFonts w:ascii="Arial" w:cs="Arial" w:eastAsia="Arial" w:hAnsi="Arial"/>
          <w:sz w:val="18"/>
          <w:szCs w:val="18"/>
          <w:b w:val="1"/>
          <w:bCs w:val="1"/>
          <w:color w:val="auto"/>
        </w:rPr>
      </w:pPr>
    </w:p>
    <w:p>
      <w:pPr>
        <w:jc w:val="both"/>
        <w:ind w:left="660" w:right="6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Effective September 30, 2019, the first day of fiscal year 2020, we adopted FASB ASU 2016-02, “Leases (ASC 842)” using the modified retrospective method as of the adoption date. As a result of utilizing the modified retrospective approach, we have not restated prior year financial statements to conform with the new guidance. Our operating lease portfolio primarily includes real estate, office equipment, and vehicles.</w:t>
      </w:r>
    </w:p>
    <w:p>
      <w:pPr>
        <w:spacing w:after="0" w:line="188"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Total lease expense consists of the following:</w:t>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940" w:type="dxa"/>
            <w:vAlign w:val="bottom"/>
            <w:tcBorders>
              <w:top w:val="single" w:sz="8" w:color="auto"/>
              <w:bottom w:val="single" w:sz="8" w:color="auto"/>
            </w:tcBorders>
          </w:tcPr>
          <w:p>
            <w:pPr>
              <w:spacing w:after="0"/>
              <w:rPr>
                <w:sz w:val="19"/>
                <w:szCs w:val="19"/>
                <w:color w:val="auto"/>
              </w:rPr>
            </w:pPr>
          </w:p>
        </w:tc>
        <w:tc>
          <w:tcPr>
            <w:tcW w:w="2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 Weeks Ended</w:t>
            </w:r>
          </w:p>
        </w:tc>
        <w:tc>
          <w:tcPr>
            <w:tcW w:w="0" w:type="dxa"/>
            <w:vAlign w:val="bottom"/>
          </w:tcPr>
          <w:p>
            <w:pPr>
              <w:spacing w:after="0"/>
              <w:rPr>
                <w:sz w:val="1"/>
                <w:szCs w:val="1"/>
                <w:color w:val="auto"/>
              </w:rPr>
            </w:pPr>
          </w:p>
        </w:tc>
      </w:tr>
      <w:tr>
        <w:trPr>
          <w:trHeight w:val="195"/>
        </w:trPr>
        <w:tc>
          <w:tcPr>
            <w:tcW w:w="79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2860" w:type="dxa"/>
            <w:vAlign w:val="bottom"/>
          </w:tcPr>
          <w:p>
            <w:pPr>
              <w:jc w:val="right"/>
              <w:ind w:right="10"/>
              <w:spacing w:after="0" w:line="195" w:lineRule="exact"/>
              <w:rPr>
                <w:sz w:val="20"/>
                <w:szCs w:val="20"/>
                <w:color w:val="auto"/>
              </w:rPr>
            </w:pPr>
            <w:r>
              <w:rPr>
                <w:rFonts w:ascii="Arial" w:cs="Arial" w:eastAsia="Arial" w:hAnsi="Arial"/>
                <w:sz w:val="18"/>
                <w:szCs w:val="18"/>
                <w:color w:val="auto"/>
              </w:rPr>
              <w:t>December 29,</w:t>
            </w:r>
          </w:p>
        </w:tc>
        <w:tc>
          <w:tcPr>
            <w:tcW w:w="0" w:type="dxa"/>
            <w:vAlign w:val="bottom"/>
          </w:tcPr>
          <w:p>
            <w:pPr>
              <w:spacing w:after="0"/>
              <w:rPr>
                <w:sz w:val="1"/>
                <w:szCs w:val="1"/>
                <w:color w:val="auto"/>
              </w:rPr>
            </w:pPr>
          </w:p>
        </w:tc>
      </w:tr>
      <w:tr>
        <w:trPr>
          <w:trHeight w:val="203"/>
        </w:trPr>
        <w:tc>
          <w:tcPr>
            <w:tcW w:w="7960" w:type="dxa"/>
            <w:vAlign w:val="bottom"/>
            <w:gridSpan w:val="2"/>
            <w:vMerge w:val="continue"/>
          </w:tcPr>
          <w:p>
            <w:pPr>
              <w:spacing w:after="0"/>
              <w:rPr>
                <w:sz w:val="17"/>
                <w:szCs w:val="17"/>
                <w:color w:val="auto"/>
              </w:rPr>
            </w:pPr>
          </w:p>
        </w:tc>
        <w:tc>
          <w:tcPr>
            <w:tcW w:w="2860" w:type="dxa"/>
            <w:vAlign w:val="bottom"/>
          </w:tcPr>
          <w:p>
            <w:pPr>
              <w:jc w:val="right"/>
              <w:ind w:right="10"/>
              <w:spacing w:after="0" w:line="203" w:lineRule="exact"/>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lease costs</w:t>
            </w:r>
          </w:p>
        </w:tc>
        <w:tc>
          <w:tcPr>
            <w:tcW w:w="286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40" w:type="dxa"/>
            <w:vAlign w:val="bottom"/>
          </w:tcPr>
          <w:p>
            <w:pPr>
              <w:spacing w:after="0" w:line="202" w:lineRule="exact"/>
              <w:rPr>
                <w:sz w:val="20"/>
                <w:szCs w:val="20"/>
                <w:color w:val="auto"/>
              </w:rPr>
            </w:pPr>
            <w:r>
              <w:rPr>
                <w:rFonts w:ascii="Arial" w:cs="Arial" w:eastAsia="Arial" w:hAnsi="Arial"/>
                <w:sz w:val="18"/>
                <w:szCs w:val="18"/>
                <w:color w:val="auto"/>
              </w:rPr>
              <w:t>Variable lease costs</w:t>
            </w:r>
          </w:p>
        </w:tc>
        <w:tc>
          <w:tcPr>
            <w:tcW w:w="28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Short-term lease costs</w:t>
            </w:r>
          </w:p>
        </w:tc>
        <w:tc>
          <w:tcPr>
            <w:tcW w:w="2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79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Operating Lease Expense</w:t>
            </w:r>
          </w:p>
        </w:tc>
        <w:tc>
          <w:tcPr>
            <w:tcW w:w="28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1,302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960" w:type="dxa"/>
            <w:vAlign w:val="bottom"/>
            <w:gridSpan w:val="2"/>
          </w:tcPr>
          <w:p>
            <w:pPr>
              <w:spacing w:after="0"/>
              <w:rPr>
                <w:sz w:val="20"/>
                <w:szCs w:val="20"/>
                <w:color w:val="auto"/>
              </w:rPr>
            </w:pPr>
            <w:r>
              <w:rPr>
                <w:rFonts w:ascii="Arial" w:cs="Arial" w:eastAsia="Arial" w:hAnsi="Arial"/>
                <w:sz w:val="18"/>
                <w:szCs w:val="18"/>
                <w:color w:val="auto"/>
              </w:rPr>
              <w:t>Supplemental cash flow information related to our operating leases was as follows:</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9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2860" w:type="dxa"/>
            <w:vAlign w:val="bottom"/>
          </w:tcPr>
          <w:p>
            <w:pPr>
              <w:jc w:val="right"/>
              <w:ind w:right="10"/>
              <w:spacing w:after="0" w:line="195" w:lineRule="exact"/>
              <w:rPr>
                <w:sz w:val="20"/>
                <w:szCs w:val="20"/>
                <w:color w:val="auto"/>
              </w:rPr>
            </w:pPr>
            <w:r>
              <w:rPr>
                <w:rFonts w:ascii="Arial" w:cs="Arial" w:eastAsia="Arial" w:hAnsi="Arial"/>
                <w:sz w:val="18"/>
                <w:szCs w:val="18"/>
                <w:color w:val="auto"/>
              </w:rPr>
              <w:t>December 29,</w:t>
            </w:r>
          </w:p>
        </w:tc>
        <w:tc>
          <w:tcPr>
            <w:tcW w:w="0" w:type="dxa"/>
            <w:vAlign w:val="bottom"/>
          </w:tcPr>
          <w:p>
            <w:pPr>
              <w:spacing w:after="0"/>
              <w:rPr>
                <w:sz w:val="1"/>
                <w:szCs w:val="1"/>
                <w:color w:val="auto"/>
              </w:rPr>
            </w:pPr>
          </w:p>
        </w:tc>
      </w:tr>
      <w:tr>
        <w:trPr>
          <w:trHeight w:val="203"/>
        </w:trPr>
        <w:tc>
          <w:tcPr>
            <w:tcW w:w="7960" w:type="dxa"/>
            <w:vAlign w:val="bottom"/>
            <w:gridSpan w:val="2"/>
            <w:vMerge w:val="continue"/>
          </w:tcPr>
          <w:p>
            <w:pPr>
              <w:spacing w:after="0"/>
              <w:rPr>
                <w:sz w:val="17"/>
                <w:szCs w:val="17"/>
                <w:color w:val="auto"/>
              </w:rPr>
            </w:pPr>
          </w:p>
        </w:tc>
        <w:tc>
          <w:tcPr>
            <w:tcW w:w="2860" w:type="dxa"/>
            <w:vAlign w:val="bottom"/>
          </w:tcPr>
          <w:p>
            <w:pPr>
              <w:jc w:val="right"/>
              <w:ind w:right="10"/>
              <w:spacing w:after="0" w:line="203" w:lineRule="exact"/>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2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40" w:type="dxa"/>
            <w:vAlign w:val="bottom"/>
            <w:tcBorders>
              <w:bottom w:val="single" w:sz="8" w:color="auto"/>
            </w:tcBorders>
          </w:tcPr>
          <w:p>
            <w:pPr>
              <w:ind w:left="140"/>
              <w:spacing w:after="0" w:line="202" w:lineRule="exact"/>
              <w:rPr>
                <w:sz w:val="20"/>
                <w:szCs w:val="20"/>
                <w:color w:val="auto"/>
              </w:rPr>
            </w:pPr>
            <w:r>
              <w:rPr>
                <w:rFonts w:ascii="Arial" w:cs="Arial" w:eastAsia="Arial" w:hAnsi="Arial"/>
                <w:sz w:val="18"/>
                <w:szCs w:val="18"/>
                <w:color w:val="auto"/>
              </w:rPr>
              <w:t>Operating cash outflow from operating leases</w:t>
            </w:r>
          </w:p>
        </w:tc>
        <w:tc>
          <w:tcPr>
            <w:tcW w:w="28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60"/>
        <w:spacing w:after="0" w:line="246" w:lineRule="auto"/>
        <w:rPr>
          <w:sz w:val="20"/>
          <w:szCs w:val="20"/>
          <w:color w:val="auto"/>
        </w:rPr>
      </w:pPr>
      <w:r>
        <w:rPr>
          <w:rFonts w:ascii="Arial" w:cs="Arial" w:eastAsia="Arial" w:hAnsi="Arial"/>
          <w:sz w:val="18"/>
          <w:szCs w:val="18"/>
          <w:color w:val="auto"/>
        </w:rPr>
        <w:t>As a result of the adoption of ASC 842, on September 30, 2019, we recorded operating lease right-of-use assets of $10,709,000, current portion of lease liabilities of $2,281,000, and long-term operating lease liabilities of $8,353,000 in a non-cash operating activity.</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of December 30, 2019, maturities of lease liabilities were as follows:</w:t>
      </w:r>
    </w:p>
    <w:p>
      <w:pPr>
        <w:spacing w:after="0" w:line="19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900" w:type="dxa"/>
            <w:vAlign w:val="bottom"/>
            <w:tcBorders>
              <w:top w:val="single" w:sz="8" w:color="auto"/>
              <w:bottom w:val="single" w:sz="8" w:color="auto"/>
            </w:tcBorders>
          </w:tcPr>
          <w:p>
            <w:pPr>
              <w:spacing w:after="0"/>
              <w:rPr>
                <w:sz w:val="19"/>
                <w:szCs w:val="19"/>
                <w:color w:val="auto"/>
              </w:rPr>
            </w:pPr>
          </w:p>
        </w:tc>
        <w:tc>
          <w:tcPr>
            <w:tcW w:w="4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 Weeks Ended</w:t>
            </w:r>
          </w:p>
        </w:tc>
      </w:tr>
      <w:tr>
        <w:trPr>
          <w:trHeight w:val="195"/>
        </w:trPr>
        <w:tc>
          <w:tcPr>
            <w:tcW w:w="2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49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December 29,</w:t>
            </w:r>
          </w:p>
        </w:tc>
      </w:tr>
      <w:tr>
        <w:trPr>
          <w:trHeight w:val="203"/>
        </w:trPr>
        <w:tc>
          <w:tcPr>
            <w:tcW w:w="592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(Thousands of Dollars)</w:t>
            </w:r>
          </w:p>
        </w:tc>
        <w:tc>
          <w:tcPr>
            <w:tcW w:w="49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2019</w:t>
            </w:r>
          </w:p>
        </w:tc>
      </w:tr>
      <w:tr>
        <w:trPr>
          <w:trHeight w:val="196"/>
        </w:trPr>
        <w:tc>
          <w:tcPr>
            <w:tcW w:w="5920" w:type="dxa"/>
            <w:vAlign w:val="bottom"/>
            <w:gridSpan w:val="2"/>
          </w:tcPr>
          <w:p>
            <w:pPr>
              <w:spacing w:after="0" w:line="196" w:lineRule="exact"/>
              <w:rPr>
                <w:sz w:val="20"/>
                <w:szCs w:val="20"/>
                <w:color w:val="auto"/>
              </w:rPr>
            </w:pPr>
            <w:r>
              <w:rPr>
                <w:rFonts w:ascii="Arial" w:cs="Arial" w:eastAsia="Arial" w:hAnsi="Arial"/>
                <w:sz w:val="18"/>
                <w:szCs w:val="18"/>
                <w:color w:val="auto"/>
              </w:rPr>
              <w:t>2020 (nine months remaining)</w:t>
            </w:r>
          </w:p>
        </w:tc>
        <w:tc>
          <w:tcPr>
            <w:tcW w:w="49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2,902</w:t>
            </w: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2021</w:t>
            </w:r>
          </w:p>
        </w:tc>
        <w:tc>
          <w:tcPr>
            <w:tcW w:w="49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3,183</w:t>
            </w:r>
          </w:p>
        </w:tc>
      </w:tr>
      <w:tr>
        <w:trPr>
          <w:trHeight w:val="203"/>
        </w:trPr>
        <w:tc>
          <w:tcPr>
            <w:tcW w:w="20" w:type="dxa"/>
            <w:vAlign w:val="bottom"/>
          </w:tcPr>
          <w:p>
            <w:pPr>
              <w:spacing w:after="0"/>
              <w:rPr>
                <w:sz w:val="17"/>
                <w:szCs w:val="17"/>
                <w:color w:val="auto"/>
              </w:rPr>
            </w:pPr>
          </w:p>
        </w:tc>
        <w:tc>
          <w:tcPr>
            <w:tcW w:w="5900" w:type="dxa"/>
            <w:vAlign w:val="bottom"/>
          </w:tcPr>
          <w:p>
            <w:pPr>
              <w:spacing w:after="0" w:line="202" w:lineRule="exact"/>
              <w:rPr>
                <w:sz w:val="20"/>
                <w:szCs w:val="20"/>
                <w:color w:val="auto"/>
              </w:rPr>
            </w:pPr>
            <w:r>
              <w:rPr>
                <w:rFonts w:ascii="Arial" w:cs="Arial" w:eastAsia="Arial" w:hAnsi="Arial"/>
                <w:sz w:val="18"/>
                <w:szCs w:val="18"/>
                <w:color w:val="auto"/>
              </w:rPr>
              <w:t>2022</w:t>
            </w:r>
          </w:p>
        </w:tc>
        <w:tc>
          <w:tcPr>
            <w:tcW w:w="4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2,149</w:t>
            </w: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2023</w:t>
            </w:r>
          </w:p>
        </w:tc>
        <w:tc>
          <w:tcPr>
            <w:tcW w:w="49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1,809</w:t>
            </w:r>
          </w:p>
        </w:tc>
      </w:tr>
      <w:tr>
        <w:trPr>
          <w:trHeight w:val="203"/>
        </w:trPr>
        <w:tc>
          <w:tcPr>
            <w:tcW w:w="20" w:type="dxa"/>
            <w:vAlign w:val="bottom"/>
          </w:tcPr>
          <w:p>
            <w:pPr>
              <w:spacing w:after="0"/>
              <w:rPr>
                <w:sz w:val="17"/>
                <w:szCs w:val="17"/>
                <w:color w:val="auto"/>
              </w:rPr>
            </w:pPr>
          </w:p>
        </w:tc>
        <w:tc>
          <w:tcPr>
            <w:tcW w:w="590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4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1,480</w:t>
            </w:r>
          </w:p>
        </w:tc>
      </w:tr>
      <w:tr>
        <w:trPr>
          <w:trHeight w:val="216"/>
        </w:trPr>
        <w:tc>
          <w:tcPr>
            <w:tcW w:w="20" w:type="dxa"/>
            <w:vAlign w:val="bottom"/>
          </w:tcPr>
          <w:p>
            <w:pPr>
              <w:spacing w:after="0"/>
              <w:rPr>
                <w:sz w:val="18"/>
                <w:szCs w:val="18"/>
                <w:color w:val="auto"/>
              </w:rPr>
            </w:pPr>
          </w:p>
        </w:tc>
        <w:tc>
          <w:tcPr>
            <w:tcW w:w="5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4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5,019</w:t>
            </w:r>
          </w:p>
        </w:tc>
      </w:tr>
      <w:tr>
        <w:trPr>
          <w:trHeight w:val="196"/>
        </w:trPr>
        <w:tc>
          <w:tcPr>
            <w:tcW w:w="20" w:type="dxa"/>
            <w:vAlign w:val="bottom"/>
          </w:tcPr>
          <w:p>
            <w:pPr>
              <w:spacing w:after="0"/>
              <w:rPr>
                <w:sz w:val="17"/>
                <w:szCs w:val="17"/>
                <w:color w:val="auto"/>
              </w:rPr>
            </w:pPr>
          </w:p>
        </w:tc>
        <w:tc>
          <w:tcPr>
            <w:tcW w:w="5900" w:type="dxa"/>
            <w:vAlign w:val="bottom"/>
          </w:tcPr>
          <w:p>
            <w:pPr>
              <w:spacing w:after="0" w:line="196" w:lineRule="exact"/>
              <w:rPr>
                <w:sz w:val="20"/>
                <w:szCs w:val="20"/>
                <w:color w:val="auto"/>
              </w:rPr>
            </w:pPr>
            <w:r>
              <w:rPr>
                <w:rFonts w:ascii="Arial" w:cs="Arial" w:eastAsia="Arial" w:hAnsi="Arial"/>
                <w:sz w:val="18"/>
                <w:szCs w:val="18"/>
                <w:color w:val="auto"/>
              </w:rPr>
              <w:t>Total lease payments</w:t>
            </w:r>
          </w:p>
        </w:tc>
        <w:tc>
          <w:tcPr>
            <w:tcW w:w="49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16,542</w:t>
            </w:r>
          </w:p>
        </w:tc>
      </w:tr>
      <w:tr>
        <w:trPr>
          <w:trHeight w:val="216"/>
        </w:trPr>
        <w:tc>
          <w:tcPr>
            <w:tcW w:w="20" w:type="dxa"/>
            <w:vAlign w:val="bottom"/>
          </w:tcPr>
          <w:p>
            <w:pPr>
              <w:spacing w:after="0"/>
              <w:rPr>
                <w:sz w:val="18"/>
                <w:szCs w:val="18"/>
                <w:color w:val="auto"/>
              </w:rPr>
            </w:pPr>
          </w:p>
        </w:tc>
        <w:tc>
          <w:tcPr>
            <w:tcW w:w="59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Less: interest</w:t>
            </w:r>
          </w:p>
        </w:tc>
        <w:tc>
          <w:tcPr>
            <w:tcW w:w="4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(6,414)</w:t>
            </w:r>
          </w:p>
        </w:tc>
      </w:tr>
      <w:tr>
        <w:trPr>
          <w:trHeight w:val="237"/>
        </w:trPr>
        <w:tc>
          <w:tcPr>
            <w:tcW w:w="5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Present value of lease liabilities</w:t>
            </w:r>
          </w:p>
        </w:tc>
        <w:tc>
          <w:tcPr>
            <w:tcW w:w="4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10,128</w:t>
            </w:r>
          </w:p>
        </w:tc>
      </w:tr>
      <w:tr>
        <w:trPr>
          <w:trHeight w:val="20"/>
        </w:trPr>
        <w:tc>
          <w:tcPr>
            <w:tcW w:w="20" w:type="dxa"/>
            <w:vAlign w:val="bottom"/>
          </w:tcPr>
          <w:p>
            <w:pPr>
              <w:spacing w:after="0" w:line="20" w:lineRule="exact"/>
              <w:rPr>
                <w:sz w:val="1"/>
                <w:szCs w:val="1"/>
                <w:color w:val="auto"/>
              </w:rPr>
            </w:pPr>
          </w:p>
        </w:tc>
        <w:tc>
          <w:tcPr>
            <w:tcW w:w="5900" w:type="dxa"/>
            <w:vAlign w:val="bottom"/>
            <w:tcBorders>
              <w:bottom w:val="single" w:sz="8" w:color="auto"/>
            </w:tcBorders>
          </w:tcPr>
          <w:p>
            <w:pPr>
              <w:spacing w:after="0" w:line="20" w:lineRule="exact"/>
              <w:rPr>
                <w:sz w:val="1"/>
                <w:szCs w:val="1"/>
                <w:color w:val="auto"/>
              </w:rPr>
            </w:pPr>
          </w:p>
        </w:tc>
        <w:tc>
          <w:tcPr>
            <w:tcW w:w="4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right="60"/>
        <w:spacing w:after="0" w:line="246" w:lineRule="auto"/>
        <w:rPr>
          <w:sz w:val="20"/>
          <w:szCs w:val="20"/>
          <w:color w:val="auto"/>
        </w:rPr>
      </w:pPr>
      <w:r>
        <w:rPr>
          <w:rFonts w:ascii="Arial" w:cs="Arial" w:eastAsia="Arial" w:hAnsi="Arial"/>
          <w:sz w:val="18"/>
          <w:szCs w:val="18"/>
          <w:color w:val="auto"/>
        </w:rPr>
        <w:t>As of the year ended September 29, 2019, minimum lease payments during the five years ending September 2024 and thereafter were $3,403,000, $2,290,000, $2,238,000, $1,637,000, $1,367,000 and $4,991,000, respectively.</w:t>
      </w:r>
    </w:p>
    <w:p>
      <w:pPr>
        <w:sectPr>
          <w:pgSz w:w="11900" w:h="16838" w:orient="portrait"/>
          <w:cols w:equalWidth="0" w:num="1">
            <w:col w:w="11480"/>
          </w:cols>
          <w:pgMar w:left="240" w:top="118" w:right="179" w:bottom="705" w:gutter="0" w:footer="0" w:header="0"/>
        </w:sectPr>
      </w:pPr>
    </w:p>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80"/>
          </w:cols>
          <w:pgMar w:left="240" w:top="118" w:right="179" w:bottom="705" w:gutter="0" w:footer="0" w:header="0"/>
          <w:type w:val="continuous"/>
        </w:sectPr>
      </w:pPr>
    </w:p>
    <w:bookmarkStart w:id="19" w:name="page20"/>
    <w:bookmarkEnd w:id="1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27" w:lineRule="exact"/>
        <w:rPr>
          <w:sz w:val="20"/>
          <w:szCs w:val="20"/>
          <w:color w:val="auto"/>
        </w:rPr>
      </w:pPr>
    </w:p>
    <w:p>
      <w:pPr>
        <w:jc w:val="both"/>
        <w:ind w:left="660" w:right="60"/>
        <w:spacing w:after="0" w:line="238" w:lineRule="auto"/>
        <w:rPr>
          <w:sz w:val="20"/>
          <w:szCs w:val="20"/>
          <w:color w:val="auto"/>
        </w:rPr>
      </w:pPr>
      <w:r>
        <w:rPr>
          <w:rFonts w:ascii="Arial" w:cs="Arial" w:eastAsia="Arial" w:hAnsi="Arial"/>
          <w:sz w:val="18"/>
          <w:szCs w:val="18"/>
          <w:color w:val="auto"/>
        </w:rPr>
        <w:t>Our lease contracts are discounted using the incremental borrowing rate for the Company. We determined the incremental borrowing rate based on a senior secured collateral adjusted yield curve for the Company. This yield curve reflects the estimated rate that would have been paid by the Company to borrow on a collateralized basis over a similar term of the 5 year lease in a similar economic environment. We will assess this rate annually to determine whether it needs to be updated. The weighted average revolving lease terms and discount rates for all of our operating leases were as follows.</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20" w:type="dxa"/>
            <w:vAlign w:val="bottom"/>
            <w:tcBorders>
              <w:top w:val="single" w:sz="8" w:color="auto"/>
              <w:bottom w:val="single" w:sz="8" w:color="auto"/>
            </w:tcBorders>
          </w:tcPr>
          <w:p>
            <w:pPr>
              <w:spacing w:after="0"/>
              <w:rPr>
                <w:sz w:val="18"/>
                <w:szCs w:val="18"/>
                <w:color w:val="auto"/>
              </w:rPr>
            </w:pPr>
          </w:p>
        </w:tc>
        <w:tc>
          <w:tcPr>
            <w:tcW w:w="43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13 Weeks Ended</w:t>
            </w:r>
          </w:p>
        </w:tc>
      </w:tr>
      <w:tr>
        <w:trPr>
          <w:trHeight w:val="196"/>
        </w:trPr>
        <w:tc>
          <w:tcPr>
            <w:tcW w:w="20" w:type="dxa"/>
            <w:vAlign w:val="bottom"/>
          </w:tcPr>
          <w:p>
            <w:pPr>
              <w:spacing w:after="0"/>
              <w:rPr>
                <w:sz w:val="17"/>
                <w:szCs w:val="17"/>
                <w:color w:val="auto"/>
              </w:rPr>
            </w:pPr>
          </w:p>
        </w:tc>
        <w:tc>
          <w:tcPr>
            <w:tcW w:w="6420" w:type="dxa"/>
            <w:vAlign w:val="bottom"/>
            <w:tcBorders>
              <w:bottom w:val="single" w:sz="8" w:color="auto"/>
            </w:tcBorders>
          </w:tcPr>
          <w:p>
            <w:pPr>
              <w:spacing w:after="0"/>
              <w:rPr>
                <w:sz w:val="17"/>
                <w:szCs w:val="17"/>
                <w:color w:val="auto"/>
              </w:rPr>
            </w:pPr>
          </w:p>
        </w:tc>
        <w:tc>
          <w:tcPr>
            <w:tcW w:w="43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December 29, 2019</w:t>
            </w:r>
          </w:p>
        </w:tc>
      </w:tr>
      <w:tr>
        <w:trPr>
          <w:trHeight w:val="196"/>
        </w:trPr>
        <w:tc>
          <w:tcPr>
            <w:tcW w:w="20" w:type="dxa"/>
            <w:vAlign w:val="bottom"/>
          </w:tcPr>
          <w:p>
            <w:pPr>
              <w:spacing w:after="0"/>
              <w:rPr>
                <w:sz w:val="17"/>
                <w:szCs w:val="17"/>
                <w:color w:val="auto"/>
              </w:rPr>
            </w:pPr>
          </w:p>
        </w:tc>
        <w:tc>
          <w:tcPr>
            <w:tcW w:w="6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remaining lease term (years)</w:t>
            </w:r>
          </w:p>
        </w:tc>
        <w:tc>
          <w:tcPr>
            <w:tcW w:w="438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7.19</w:t>
            </w:r>
          </w:p>
        </w:tc>
      </w:tr>
      <w:tr>
        <w:trPr>
          <w:trHeight w:val="203"/>
        </w:trPr>
        <w:tc>
          <w:tcPr>
            <w:tcW w:w="20" w:type="dxa"/>
            <w:vAlign w:val="bottom"/>
            <w:tcBorders>
              <w:bottom w:val="single" w:sz="8" w:color="auto"/>
            </w:tcBorders>
          </w:tcPr>
          <w:p>
            <w:pPr>
              <w:spacing w:after="0"/>
              <w:rPr>
                <w:sz w:val="17"/>
                <w:szCs w:val="17"/>
                <w:color w:val="auto"/>
              </w:rPr>
            </w:pPr>
          </w:p>
        </w:tc>
        <w:tc>
          <w:tcPr>
            <w:tcW w:w="64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Weighted Average discount rate</w:t>
            </w:r>
          </w:p>
        </w:tc>
        <w:tc>
          <w:tcPr>
            <w:tcW w:w="4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10.22%</w:t>
            </w:r>
          </w:p>
        </w:tc>
      </w:tr>
    </w:tbl>
    <w:p>
      <w:pPr>
        <w:spacing w:after="0" w:line="200" w:lineRule="exact"/>
        <w:rPr>
          <w:sz w:val="20"/>
          <w:szCs w:val="20"/>
          <w:color w:val="auto"/>
        </w:rPr>
      </w:pPr>
    </w:p>
    <w:p>
      <w:pPr>
        <w:spacing w:after="0" w:line="223"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PENSION, POSTRETIREMENT AND POSTEMPLOYMENT DEFINED BENEFIT PLANS</w:t>
      </w:r>
    </w:p>
    <w:p>
      <w:pPr>
        <w:spacing w:after="0" w:line="220" w:lineRule="exact"/>
        <w:rPr>
          <w:rFonts w:ascii="Arial" w:cs="Arial" w:eastAsia="Arial" w:hAnsi="Arial"/>
          <w:sz w:val="18"/>
          <w:szCs w:val="18"/>
          <w:b w:val="1"/>
          <w:bCs w:val="1"/>
          <w:color w:val="auto"/>
        </w:rPr>
      </w:pPr>
    </w:p>
    <w:p>
      <w:pPr>
        <w:jc w:val="both"/>
        <w:ind w:left="660" w:right="6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We have several noncontributory defined benefit pension plans that together cover selected employees. Benefits under the plans were generally based on salary and years of service. Effective in 2012, substantially all benefits are frozen and only a small amount of additional benefits are being accrued. Our liability and related expense for benefits under the plans are recorded over the service period of employees based upon annual actuarial calculations. Plan funding strategies are influenced by government regulations. Plan assets consist primarily of domestic and foreign corporate equity securities, government and corporate bonds, hedge fund investments and cash.</w:t>
      </w:r>
    </w:p>
    <w:p>
      <w:pPr>
        <w:spacing w:after="0" w:line="191" w:lineRule="exact"/>
        <w:rPr>
          <w:rFonts w:ascii="Arial" w:cs="Arial" w:eastAsia="Arial" w:hAnsi="Arial"/>
          <w:sz w:val="18"/>
          <w:szCs w:val="18"/>
          <w:b w:val="1"/>
          <w:bCs w:val="1"/>
          <w:color w:val="auto"/>
        </w:rPr>
      </w:pPr>
    </w:p>
    <w:p>
      <w:pPr>
        <w:jc w:val="both"/>
        <w:ind w:left="660" w:right="6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In addition, we provide retiree medical and life insurance benefits under postretirement plans at several of our operating locations. The level and adjustment of participant contributions vary depending on the specific plan. In addition, St. Louis Post-Dispatch LLC, provides postemployment disability benefits to certain employee groups prior to retirement. Our liability and related expense for benefits under the postretirement plans are recorded over the service period of active employees based upon annual actuarial calculations. We accrue postemployment disability benefits when it becomes probable that such benefits will be paid and when sufficient information exists to make reasonable estimates of the amounts to be paid.</w:t>
      </w:r>
    </w:p>
    <w:p>
      <w:pPr>
        <w:spacing w:after="0" w:line="191" w:lineRule="exact"/>
        <w:rPr>
          <w:rFonts w:ascii="Arial" w:cs="Arial" w:eastAsia="Arial" w:hAnsi="Arial"/>
          <w:sz w:val="18"/>
          <w:szCs w:val="18"/>
          <w:b w:val="1"/>
          <w:bCs w:val="1"/>
          <w:color w:val="auto"/>
        </w:rPr>
      </w:pPr>
    </w:p>
    <w:p>
      <w:pPr>
        <w:ind w:left="660" w:right="2060"/>
        <w:spacing w:after="0" w:line="497" w:lineRule="auto"/>
        <w:rPr>
          <w:rFonts w:ascii="Arial" w:cs="Arial" w:eastAsia="Arial" w:hAnsi="Arial"/>
          <w:sz w:val="18"/>
          <w:szCs w:val="18"/>
          <w:b w:val="1"/>
          <w:bCs w:val="1"/>
          <w:color w:val="auto"/>
        </w:rPr>
      </w:pPr>
      <w:r>
        <w:rPr>
          <w:rFonts w:ascii="Arial" w:cs="Arial" w:eastAsia="Arial" w:hAnsi="Arial"/>
          <w:sz w:val="17"/>
          <w:szCs w:val="17"/>
          <w:color w:val="auto"/>
        </w:rPr>
        <w:t>We use a fiscal year end measurement date for all of our pension and postretirement medical plan obligations. The net periodic postretirement cost (benefit) components for our postretirement plans are as follows:</w:t>
      </w:r>
    </w:p>
    <w:tbl>
      <w:tblPr>
        <w:tblLayout w:type="fixed"/>
        <w:tblInd w:w="660" w:type="dxa"/>
        <w:tblCellMar>
          <w:top w:w="0" w:type="dxa"/>
          <w:left w:w="0" w:type="dxa"/>
          <w:bottom w:w="0" w:type="dxa"/>
          <w:right w:w="0" w:type="dxa"/>
        </w:tblCellMar>
      </w:tblPr>
      <w:tr>
        <w:trPr>
          <w:trHeight w:val="198"/>
        </w:trPr>
        <w:tc>
          <w:tcPr>
            <w:tcW w:w="5900" w:type="dxa"/>
            <w:vAlign w:val="bottom"/>
            <w:tcBorders>
              <w:top w:val="single" w:sz="8" w:color="auto"/>
            </w:tcBorders>
            <w:gridSpan w:val="2"/>
          </w:tcPr>
          <w:p>
            <w:pPr>
              <w:spacing w:after="0" w:line="198" w:lineRule="exact"/>
              <w:rPr>
                <w:sz w:val="20"/>
                <w:szCs w:val="20"/>
                <w:color w:val="auto"/>
              </w:rPr>
            </w:pPr>
            <w:r>
              <w:rPr>
                <w:rFonts w:ascii="Arial" w:cs="Arial" w:eastAsia="Arial" w:hAnsi="Arial"/>
                <w:sz w:val="18"/>
                <w:szCs w:val="18"/>
                <w:color w:val="auto"/>
              </w:rPr>
              <w:t>PENSION PLANS</w:t>
            </w:r>
          </w:p>
        </w:tc>
        <w:tc>
          <w:tcPr>
            <w:tcW w:w="330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ind w:right="10"/>
              <w:spacing w:after="0" w:line="198" w:lineRule="exact"/>
              <w:rPr>
                <w:sz w:val="20"/>
                <w:szCs w:val="20"/>
                <w:color w:val="auto"/>
              </w:rPr>
            </w:pPr>
            <w:r>
              <w:rPr>
                <w:rFonts w:ascii="Arial" w:cs="Arial" w:eastAsia="Arial" w:hAnsi="Arial"/>
                <w:sz w:val="18"/>
                <w:szCs w:val="18"/>
                <w:color w:val="auto"/>
              </w:rPr>
              <w:t>13 Weeks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shd w:val="clear" w:color="auto" w:fill="000000"/>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9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330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December 29,</w:t>
            </w:r>
          </w:p>
        </w:tc>
        <w:tc>
          <w:tcPr>
            <w:tcW w:w="16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December 30,</w:t>
            </w:r>
          </w:p>
        </w:tc>
        <w:tc>
          <w:tcPr>
            <w:tcW w:w="0" w:type="dxa"/>
            <w:vAlign w:val="bottom"/>
          </w:tcPr>
          <w:p>
            <w:pPr>
              <w:spacing w:after="0"/>
              <w:rPr>
                <w:sz w:val="1"/>
                <w:szCs w:val="1"/>
                <w:color w:val="auto"/>
              </w:rPr>
            </w:pPr>
          </w:p>
        </w:tc>
      </w:tr>
      <w:tr>
        <w:trPr>
          <w:trHeight w:val="203"/>
        </w:trPr>
        <w:tc>
          <w:tcPr>
            <w:tcW w:w="5900" w:type="dxa"/>
            <w:vAlign w:val="bottom"/>
            <w:gridSpan w:val="2"/>
            <w:vMerge w:val="continue"/>
          </w:tcPr>
          <w:p>
            <w:pPr>
              <w:spacing w:after="0"/>
              <w:rPr>
                <w:sz w:val="17"/>
                <w:szCs w:val="17"/>
                <w:color w:val="auto"/>
              </w:rPr>
            </w:pPr>
          </w:p>
        </w:tc>
        <w:tc>
          <w:tcPr>
            <w:tcW w:w="3300" w:type="dxa"/>
            <w:vAlign w:val="bottom"/>
          </w:tcPr>
          <w:p>
            <w:pPr>
              <w:jc w:val="right"/>
              <w:ind w:right="110"/>
              <w:spacing w:after="0" w:line="203" w:lineRule="exact"/>
              <w:rPr>
                <w:sz w:val="20"/>
                <w:szCs w:val="20"/>
                <w:color w:val="auto"/>
              </w:rPr>
            </w:pPr>
            <w:r>
              <w:rPr>
                <w:rFonts w:ascii="Arial" w:cs="Arial" w:eastAsia="Arial" w:hAnsi="Arial"/>
                <w:sz w:val="18"/>
                <w:szCs w:val="18"/>
                <w:color w:val="auto"/>
              </w:rPr>
              <w:t>2019</w:t>
            </w:r>
          </w:p>
        </w:tc>
        <w:tc>
          <w:tcPr>
            <w:tcW w:w="1620" w:type="dxa"/>
            <w:vAlign w:val="bottom"/>
          </w:tcPr>
          <w:p>
            <w:pPr>
              <w:jc w:val="right"/>
              <w:ind w:right="10"/>
              <w:spacing w:after="0" w:line="203" w:lineRule="exact"/>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880" w:type="dxa"/>
            <w:vAlign w:val="bottom"/>
            <w:tcBorders>
              <w:top w:val="single" w:sz="8" w:color="auto"/>
            </w:tcBorders>
          </w:tcPr>
          <w:p>
            <w:pPr>
              <w:spacing w:after="0"/>
              <w:rPr>
                <w:sz w:val="17"/>
                <w:szCs w:val="17"/>
                <w:color w:val="auto"/>
              </w:rPr>
            </w:pPr>
          </w:p>
        </w:tc>
        <w:tc>
          <w:tcPr>
            <w:tcW w:w="330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Service cost for benefits earned during the period</w:t>
            </w:r>
          </w:p>
        </w:tc>
        <w:tc>
          <w:tcPr>
            <w:tcW w:w="33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8</w:t>
            </w: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tcPr>
          <w:p>
            <w:pPr>
              <w:spacing w:after="0" w:line="202" w:lineRule="exact"/>
              <w:rPr>
                <w:sz w:val="20"/>
                <w:szCs w:val="20"/>
                <w:color w:val="auto"/>
              </w:rPr>
            </w:pPr>
            <w:r>
              <w:rPr>
                <w:rFonts w:ascii="Arial" w:cs="Arial" w:eastAsia="Arial" w:hAnsi="Arial"/>
                <w:sz w:val="18"/>
                <w:szCs w:val="18"/>
                <w:color w:val="auto"/>
              </w:rPr>
              <w:t>Interest cost on projected benefit obligation</w:t>
            </w:r>
          </w:p>
        </w:tc>
        <w:tc>
          <w:tcPr>
            <w:tcW w:w="33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1,231</w:t>
            </w:r>
          </w:p>
        </w:tc>
        <w:tc>
          <w:tcPr>
            <w:tcW w:w="16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330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(1,951)</w:t>
            </w:r>
          </w:p>
        </w:tc>
        <w:tc>
          <w:tcPr>
            <w:tcW w:w="1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tcPr>
          <w:p>
            <w:pPr>
              <w:spacing w:after="0" w:line="202" w:lineRule="exact"/>
              <w:rPr>
                <w:sz w:val="20"/>
                <w:szCs w:val="20"/>
                <w:color w:val="auto"/>
              </w:rPr>
            </w:pPr>
            <w:r>
              <w:rPr>
                <w:rFonts w:ascii="Arial" w:cs="Arial" w:eastAsia="Arial" w:hAnsi="Arial"/>
                <w:sz w:val="18"/>
                <w:szCs w:val="18"/>
                <w:color w:val="auto"/>
              </w:rPr>
              <w:t>Amortization of net loss</w:t>
            </w:r>
          </w:p>
        </w:tc>
        <w:tc>
          <w:tcPr>
            <w:tcW w:w="33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792</w:t>
            </w:r>
          </w:p>
        </w:tc>
        <w:tc>
          <w:tcPr>
            <w:tcW w:w="16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Amortization of prior service benefit</w:t>
            </w:r>
          </w:p>
        </w:tc>
        <w:tc>
          <w:tcPr>
            <w:tcW w:w="330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(2)</w:t>
            </w:r>
          </w:p>
        </w:tc>
        <w:tc>
          <w:tcPr>
            <w:tcW w:w="1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8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Pension benefit</w:t>
            </w:r>
          </w:p>
        </w:tc>
        <w:tc>
          <w:tcPr>
            <w:tcW w:w="3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78</w:t>
            </w: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900" w:type="dxa"/>
            <w:vAlign w:val="bottom"/>
            <w:gridSpan w:val="2"/>
          </w:tcPr>
          <w:p>
            <w:pPr>
              <w:spacing w:after="0"/>
              <w:rPr>
                <w:sz w:val="15"/>
                <w:szCs w:val="15"/>
                <w:color w:val="auto"/>
              </w:rPr>
            </w:pPr>
          </w:p>
        </w:tc>
        <w:tc>
          <w:tcPr>
            <w:tcW w:w="3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8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POSTRETIREMENT MEDICAL PLANS</w:t>
            </w:r>
          </w:p>
        </w:tc>
        <w:tc>
          <w:tcPr>
            <w:tcW w:w="3300" w:type="dxa"/>
            <w:vAlign w:val="bottom"/>
            <w:tcBorders>
              <w:top w:val="single" w:sz="8" w:color="auto"/>
              <w:bottom w:val="single" w:sz="8" w:color="auto"/>
            </w:tcBorders>
          </w:tcPr>
          <w:p>
            <w:pPr>
              <w:spacing w:after="0"/>
              <w:rPr>
                <w:sz w:val="17"/>
                <w:szCs w:val="17"/>
                <w:color w:val="auto"/>
              </w:rPr>
            </w:pPr>
          </w:p>
        </w:tc>
        <w:tc>
          <w:tcPr>
            <w:tcW w:w="162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13 Weeks Ended</w:t>
            </w:r>
          </w:p>
        </w:tc>
        <w:tc>
          <w:tcPr>
            <w:tcW w:w="0" w:type="dxa"/>
            <w:vAlign w:val="bottom"/>
          </w:tcPr>
          <w:p>
            <w:pPr>
              <w:spacing w:after="0"/>
              <w:rPr>
                <w:sz w:val="1"/>
                <w:szCs w:val="1"/>
                <w:color w:val="auto"/>
              </w:rPr>
            </w:pPr>
          </w:p>
        </w:tc>
      </w:tr>
      <w:tr>
        <w:trPr>
          <w:trHeight w:val="195"/>
        </w:trPr>
        <w:tc>
          <w:tcPr>
            <w:tcW w:w="59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330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December 29,</w:t>
            </w:r>
          </w:p>
        </w:tc>
        <w:tc>
          <w:tcPr>
            <w:tcW w:w="16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December 30,</w:t>
            </w:r>
          </w:p>
        </w:tc>
        <w:tc>
          <w:tcPr>
            <w:tcW w:w="0" w:type="dxa"/>
            <w:vAlign w:val="bottom"/>
          </w:tcPr>
          <w:p>
            <w:pPr>
              <w:spacing w:after="0"/>
              <w:rPr>
                <w:sz w:val="1"/>
                <w:szCs w:val="1"/>
                <w:color w:val="auto"/>
              </w:rPr>
            </w:pPr>
          </w:p>
        </w:tc>
      </w:tr>
      <w:tr>
        <w:trPr>
          <w:trHeight w:val="203"/>
        </w:trPr>
        <w:tc>
          <w:tcPr>
            <w:tcW w:w="5900" w:type="dxa"/>
            <w:vAlign w:val="bottom"/>
            <w:gridSpan w:val="2"/>
            <w:vMerge w:val="continue"/>
          </w:tcPr>
          <w:p>
            <w:pPr>
              <w:spacing w:after="0"/>
              <w:rPr>
                <w:sz w:val="17"/>
                <w:szCs w:val="17"/>
                <w:color w:val="auto"/>
              </w:rPr>
            </w:pPr>
          </w:p>
        </w:tc>
        <w:tc>
          <w:tcPr>
            <w:tcW w:w="3300" w:type="dxa"/>
            <w:vAlign w:val="bottom"/>
          </w:tcPr>
          <w:p>
            <w:pPr>
              <w:jc w:val="right"/>
              <w:ind w:right="110"/>
              <w:spacing w:after="0" w:line="203" w:lineRule="exact"/>
              <w:rPr>
                <w:sz w:val="20"/>
                <w:szCs w:val="20"/>
                <w:color w:val="auto"/>
              </w:rPr>
            </w:pPr>
            <w:r>
              <w:rPr>
                <w:rFonts w:ascii="Arial" w:cs="Arial" w:eastAsia="Arial" w:hAnsi="Arial"/>
                <w:sz w:val="18"/>
                <w:szCs w:val="18"/>
                <w:color w:val="auto"/>
              </w:rPr>
              <w:t>2019</w:t>
            </w:r>
          </w:p>
        </w:tc>
        <w:tc>
          <w:tcPr>
            <w:tcW w:w="1620" w:type="dxa"/>
            <w:vAlign w:val="bottom"/>
          </w:tcPr>
          <w:p>
            <w:pPr>
              <w:jc w:val="right"/>
              <w:ind w:right="10"/>
              <w:spacing w:after="0" w:line="203" w:lineRule="exact"/>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880" w:type="dxa"/>
            <w:vAlign w:val="bottom"/>
            <w:tcBorders>
              <w:top w:val="single" w:sz="8" w:color="auto"/>
            </w:tcBorders>
          </w:tcPr>
          <w:p>
            <w:pPr>
              <w:spacing w:after="0"/>
              <w:rPr>
                <w:sz w:val="17"/>
                <w:szCs w:val="17"/>
                <w:color w:val="auto"/>
              </w:rPr>
            </w:pPr>
          </w:p>
        </w:tc>
        <w:tc>
          <w:tcPr>
            <w:tcW w:w="330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cost on projected benefit obligation</w:t>
            </w:r>
          </w:p>
        </w:tc>
        <w:tc>
          <w:tcPr>
            <w:tcW w:w="33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67</w:t>
            </w: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33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(265)</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of net gain</w:t>
            </w:r>
          </w:p>
        </w:tc>
        <w:tc>
          <w:tcPr>
            <w:tcW w:w="330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(186)</w:t>
            </w:r>
          </w:p>
        </w:tc>
        <w:tc>
          <w:tcPr>
            <w:tcW w:w="1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Amortization of prior service benefit</w:t>
            </w:r>
          </w:p>
        </w:tc>
        <w:tc>
          <w:tcPr>
            <w:tcW w:w="3300" w:type="dxa"/>
            <w:vAlign w:val="bottom"/>
          </w:tcPr>
          <w:p>
            <w:pPr>
              <w:jc w:val="right"/>
              <w:ind w:right="50"/>
              <w:spacing w:after="0"/>
              <w:rPr>
                <w:sz w:val="20"/>
                <w:szCs w:val="20"/>
                <w:color w:val="auto"/>
              </w:rPr>
            </w:pPr>
            <w:r>
              <w:rPr>
                <w:rFonts w:ascii="Arial" w:cs="Arial" w:eastAsia="Arial" w:hAnsi="Arial"/>
                <w:sz w:val="18"/>
                <w:szCs w:val="18"/>
                <w:color w:val="auto"/>
              </w:rPr>
              <w:t>(161)</w:t>
            </w:r>
          </w:p>
        </w:tc>
        <w:tc>
          <w:tcPr>
            <w:tcW w:w="1620" w:type="dxa"/>
            <w:vAlign w:val="bottom"/>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8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Postretirement medical benefit</w:t>
            </w:r>
          </w:p>
        </w:tc>
        <w:tc>
          <w:tcPr>
            <w:tcW w:w="330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(545)</w:t>
            </w:r>
          </w:p>
        </w:tc>
        <w:tc>
          <w:tcPr>
            <w:tcW w:w="1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60"/>
        <w:spacing w:after="0" w:line="246" w:lineRule="auto"/>
        <w:rPr>
          <w:sz w:val="20"/>
          <w:szCs w:val="20"/>
          <w:color w:val="auto"/>
        </w:rPr>
      </w:pPr>
      <w:r>
        <w:rPr>
          <w:rFonts w:ascii="Arial" w:cs="Arial" w:eastAsia="Arial" w:hAnsi="Arial"/>
          <w:sz w:val="18"/>
          <w:szCs w:val="18"/>
          <w:color w:val="auto"/>
        </w:rPr>
        <w:t>In the 13 weeks ended December 29, 2019 we did not contribute to our pension plans. Based on our forecast at December 29, 2019, we expect to make contributions of $6,718,000 to our pension trust during the remainder of fiscal 2020.</w:t>
      </w:r>
    </w:p>
    <w:p>
      <w:pPr>
        <w:spacing w:after="0" w:line="200" w:lineRule="exact"/>
        <w:rPr>
          <w:sz w:val="20"/>
          <w:szCs w:val="20"/>
          <w:color w:val="auto"/>
        </w:rPr>
      </w:pPr>
    </w:p>
    <w:p>
      <w:pPr>
        <w:spacing w:after="0" w:line="205"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0" w:lineRule="exact"/>
        <w:rPr>
          <w:rFonts w:ascii="Arial" w:cs="Arial" w:eastAsia="Arial" w:hAnsi="Arial"/>
          <w:sz w:val="18"/>
          <w:szCs w:val="18"/>
          <w:b w:val="1"/>
          <w:bCs w:val="1"/>
          <w:color w:val="auto"/>
        </w:rPr>
      </w:pPr>
    </w:p>
    <w:p>
      <w:pPr>
        <w:jc w:val="both"/>
        <w:ind w:left="660" w:right="60"/>
        <w:spacing w:after="0"/>
        <w:rPr>
          <w:rFonts w:ascii="Arial" w:cs="Arial" w:eastAsia="Arial" w:hAnsi="Arial"/>
          <w:sz w:val="18"/>
          <w:szCs w:val="18"/>
          <w:b w:val="1"/>
          <w:bCs w:val="1"/>
          <w:color w:val="auto"/>
        </w:rPr>
      </w:pPr>
      <w:r>
        <w:rPr>
          <w:rFonts w:ascii="Arial" w:cs="Arial" w:eastAsia="Arial" w:hAnsi="Arial"/>
          <w:sz w:val="18"/>
          <w:szCs w:val="18"/>
          <w:color w:val="auto"/>
        </w:rPr>
        <w:t>We recorded income tax expense of $1,871,000 related to income before taxes of $7,588,000 for the 13 weeks ended December 29, 2019. For the 13 weeks ended December 30, 2018, we recorded $4,513,000 in income tax expenses related to income before taxes of $15,232,000.</w:t>
      </w:r>
    </w:p>
    <w:p>
      <w:pPr>
        <w:spacing w:after="0" w:line="189" w:lineRule="exact"/>
        <w:rPr>
          <w:rFonts w:ascii="Arial" w:cs="Arial" w:eastAsia="Arial" w:hAnsi="Arial"/>
          <w:sz w:val="18"/>
          <w:szCs w:val="18"/>
          <w:b w:val="1"/>
          <w:bCs w:val="1"/>
          <w:color w:val="auto"/>
        </w:rPr>
      </w:pPr>
    </w:p>
    <w:p>
      <w:pPr>
        <w:ind w:left="660" w:right="6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The effective income tax rate for the 13 weeks ended December 29, 2019 was 24.6%. The effective income tax rate for the 13 weeks ended December 30, 2018 was 29.6%.</w:t>
      </w:r>
    </w:p>
    <w:p>
      <w:pPr>
        <w:spacing w:after="0" w:line="183" w:lineRule="exact"/>
        <w:rPr>
          <w:rFonts w:ascii="Arial" w:cs="Arial" w:eastAsia="Arial" w:hAnsi="Arial"/>
          <w:sz w:val="18"/>
          <w:szCs w:val="18"/>
          <w:b w:val="1"/>
          <w:bCs w:val="1"/>
          <w:color w:val="auto"/>
        </w:rPr>
      </w:pPr>
    </w:p>
    <w:p>
      <w:pPr>
        <w:jc w:val="both"/>
        <w:ind w:left="660" w:right="60"/>
        <w:spacing w:after="0"/>
        <w:rPr>
          <w:rFonts w:ascii="Arial" w:cs="Arial" w:eastAsia="Arial" w:hAnsi="Arial"/>
          <w:sz w:val="18"/>
          <w:szCs w:val="18"/>
          <w:b w:val="1"/>
          <w:bCs w:val="1"/>
          <w:color w:val="auto"/>
        </w:rPr>
      </w:pPr>
      <w:r>
        <w:rPr>
          <w:rFonts w:ascii="Arial" w:cs="Arial" w:eastAsia="Arial" w:hAnsi="Arial"/>
          <w:sz w:val="18"/>
          <w:szCs w:val="18"/>
          <w:color w:val="auto"/>
        </w:rPr>
        <w:t>The primary differences between these rates and the U.S. federal statutory rate of 21% are due to the effect of state taxes, non-deductible expenses, adjustments to reserves for uncertain tax positions, including any related interest, and mark-to-market adjustments to value the Warrants.</w:t>
      </w:r>
    </w:p>
    <w:p>
      <w:pPr>
        <w:spacing w:after="0" w:line="189" w:lineRule="exact"/>
        <w:rPr>
          <w:rFonts w:ascii="Arial" w:cs="Arial" w:eastAsia="Arial" w:hAnsi="Arial"/>
          <w:sz w:val="18"/>
          <w:szCs w:val="18"/>
          <w:b w:val="1"/>
          <w:bCs w:val="1"/>
          <w:color w:val="auto"/>
        </w:rPr>
      </w:pPr>
    </w:p>
    <w:p>
      <w:pPr>
        <w:jc w:val="both"/>
        <w:ind w:left="660" w:right="60"/>
        <w:spacing w:after="0"/>
        <w:rPr>
          <w:rFonts w:ascii="Arial" w:cs="Arial" w:eastAsia="Arial" w:hAnsi="Arial"/>
          <w:sz w:val="18"/>
          <w:szCs w:val="18"/>
          <w:b w:val="1"/>
          <w:bCs w:val="1"/>
          <w:color w:val="auto"/>
        </w:rPr>
      </w:pPr>
      <w:r>
        <w:rPr>
          <w:rFonts w:ascii="Arial" w:cs="Arial" w:eastAsia="Arial" w:hAnsi="Arial"/>
          <w:sz w:val="18"/>
          <w:szCs w:val="18"/>
          <w:color w:val="auto"/>
        </w:rPr>
        <w:t>We file a consolidated federal tax return, as well as combined and separate tax returns in approximately 27 state and local jurisdictions. We do not currently have any federal tax examinations in progress. Our income tax returns have generally been audited or closed to audit through 2014. See Note 12 for a discussion of our tax audits.</w:t>
      </w:r>
    </w:p>
    <w:p>
      <w:pPr>
        <w:spacing w:after="0" w:line="189" w:lineRule="exact"/>
        <w:rPr>
          <w:rFonts w:ascii="Arial" w:cs="Arial" w:eastAsia="Arial" w:hAnsi="Arial"/>
          <w:sz w:val="18"/>
          <w:szCs w:val="18"/>
          <w:b w:val="1"/>
          <w:bCs w:val="1"/>
          <w:color w:val="auto"/>
        </w:rPr>
      </w:pPr>
    </w:p>
    <w:p>
      <w:pPr>
        <w:ind w:left="660" w:right="6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At September 29, 2019, we had approximately $63,338,000 of state net operating loss benefits. The Company consumed its federal net operating losses in the year ended September 30, 2018.</w:t>
      </w:r>
    </w:p>
    <w:p>
      <w:pPr>
        <w:sectPr>
          <w:pgSz w:w="11900" w:h="16838" w:orient="portrait"/>
          <w:cols w:equalWidth="0" w:num="1">
            <w:col w:w="11480"/>
          </w:cols>
          <w:pgMar w:left="240" w:top="118" w:right="179" w:bottom="0" w:gutter="0" w:footer="0" w:header="0"/>
        </w:sectPr>
      </w:pPr>
    </w:p>
    <w:bookmarkStart w:id="20" w:name="page21"/>
    <w:bookmarkEnd w:id="20"/>
    <w:p>
      <w:pPr>
        <w:jc w:val="center"/>
        <w:ind w:right="-2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73025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48"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COMMON SHARE</w:t>
      </w:r>
    </w:p>
    <w:p>
      <w:pPr>
        <w:spacing w:after="0" w:line="22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earnings per common share:</w:t>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80" w:type="dxa"/>
            <w:vAlign w:val="bottom"/>
            <w:tcBorders>
              <w:top w:val="single" w:sz="8" w:color="auto"/>
              <w:bottom w:val="single" w:sz="8" w:color="auto"/>
            </w:tcBorders>
          </w:tcPr>
          <w:p>
            <w:pPr>
              <w:spacing w:after="0"/>
              <w:rPr>
                <w:sz w:val="18"/>
                <w:szCs w:val="18"/>
                <w:color w:val="auto"/>
              </w:rPr>
            </w:pPr>
          </w:p>
        </w:tc>
        <w:tc>
          <w:tcPr>
            <w:tcW w:w="290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 Weeks Ended</w:t>
            </w:r>
          </w:p>
        </w:tc>
        <w:tc>
          <w:tcPr>
            <w:tcW w:w="0" w:type="dxa"/>
            <w:vAlign w:val="bottom"/>
          </w:tcPr>
          <w:p>
            <w:pPr>
              <w:spacing w:after="0"/>
              <w:rPr>
                <w:sz w:val="1"/>
                <w:szCs w:val="1"/>
                <w:color w:val="auto"/>
              </w:rPr>
            </w:pPr>
          </w:p>
        </w:tc>
      </w:tr>
      <w:tr>
        <w:trPr>
          <w:trHeight w:val="195"/>
        </w:trPr>
        <w:tc>
          <w:tcPr>
            <w:tcW w:w="63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(Thousands of Dollars and Shares, Except Per Share Data)</w:t>
            </w:r>
          </w:p>
        </w:tc>
        <w:tc>
          <w:tcPr>
            <w:tcW w:w="290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December 29,</w:t>
            </w:r>
          </w:p>
        </w:tc>
        <w:tc>
          <w:tcPr>
            <w:tcW w:w="16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December 30,</w:t>
            </w:r>
          </w:p>
        </w:tc>
        <w:tc>
          <w:tcPr>
            <w:tcW w:w="0" w:type="dxa"/>
            <w:vAlign w:val="bottom"/>
          </w:tcPr>
          <w:p>
            <w:pPr>
              <w:spacing w:after="0"/>
              <w:rPr>
                <w:sz w:val="1"/>
                <w:szCs w:val="1"/>
                <w:color w:val="auto"/>
              </w:rPr>
            </w:pPr>
          </w:p>
        </w:tc>
      </w:tr>
      <w:tr>
        <w:trPr>
          <w:trHeight w:val="203"/>
        </w:trPr>
        <w:tc>
          <w:tcPr>
            <w:tcW w:w="6300" w:type="dxa"/>
            <w:vAlign w:val="bottom"/>
            <w:gridSpan w:val="2"/>
            <w:vMerge w:val="continue"/>
          </w:tcPr>
          <w:p>
            <w:pPr>
              <w:spacing w:after="0"/>
              <w:rPr>
                <w:sz w:val="17"/>
                <w:szCs w:val="17"/>
                <w:color w:val="auto"/>
              </w:rPr>
            </w:pPr>
          </w:p>
        </w:tc>
        <w:tc>
          <w:tcPr>
            <w:tcW w:w="2900" w:type="dxa"/>
            <w:vAlign w:val="bottom"/>
          </w:tcPr>
          <w:p>
            <w:pPr>
              <w:jc w:val="right"/>
              <w:ind w:right="110"/>
              <w:spacing w:after="0" w:line="203" w:lineRule="exact"/>
              <w:rPr>
                <w:sz w:val="20"/>
                <w:szCs w:val="20"/>
                <w:color w:val="auto"/>
              </w:rPr>
            </w:pPr>
            <w:r>
              <w:rPr>
                <w:rFonts w:ascii="Arial" w:cs="Arial" w:eastAsia="Arial" w:hAnsi="Arial"/>
                <w:sz w:val="18"/>
                <w:szCs w:val="18"/>
                <w:color w:val="auto"/>
              </w:rPr>
              <w:t>2019</w:t>
            </w:r>
          </w:p>
        </w:tc>
        <w:tc>
          <w:tcPr>
            <w:tcW w:w="1620" w:type="dxa"/>
            <w:vAlign w:val="bottom"/>
          </w:tcPr>
          <w:p>
            <w:pPr>
              <w:jc w:val="right"/>
              <w:ind w:right="10"/>
              <w:spacing w:after="0" w:line="203" w:lineRule="exact"/>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280" w:type="dxa"/>
            <w:vAlign w:val="bottom"/>
            <w:tcBorders>
              <w:top w:val="single" w:sz="8" w:color="auto"/>
            </w:tcBorders>
          </w:tcPr>
          <w:p>
            <w:pPr>
              <w:spacing w:after="0"/>
              <w:rPr>
                <w:sz w:val="17"/>
                <w:szCs w:val="17"/>
                <w:color w:val="auto"/>
              </w:rPr>
            </w:pPr>
          </w:p>
        </w:tc>
        <w:tc>
          <w:tcPr>
            <w:tcW w:w="290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2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Income attributable to Lee Enterprises, Incorporated:</w:t>
            </w:r>
          </w:p>
        </w:tc>
        <w:tc>
          <w:tcPr>
            <w:tcW w:w="290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5,320</w:t>
            </w:r>
          </w:p>
        </w:tc>
        <w:tc>
          <w:tcPr>
            <w:tcW w:w="16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10,361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80" w:type="dxa"/>
            <w:vAlign w:val="bottom"/>
          </w:tcPr>
          <w:p>
            <w:pPr>
              <w:spacing w:after="0" w:line="183" w:lineRule="exact"/>
              <w:rPr>
                <w:sz w:val="20"/>
                <w:szCs w:val="20"/>
                <w:color w:val="auto"/>
              </w:rPr>
            </w:pPr>
            <w:r>
              <w:rPr>
                <w:rFonts w:ascii="Arial" w:cs="Arial" w:eastAsia="Arial" w:hAnsi="Arial"/>
                <w:sz w:val="18"/>
                <w:szCs w:val="18"/>
                <w:color w:val="auto"/>
              </w:rPr>
              <w:t>Weighted average common shares</w:t>
            </w:r>
          </w:p>
        </w:tc>
        <w:tc>
          <w:tcPr>
            <w:tcW w:w="2900" w:type="dxa"/>
            <w:vAlign w:val="bottom"/>
          </w:tcPr>
          <w:p>
            <w:pPr>
              <w:jc w:val="right"/>
              <w:ind w:right="110"/>
              <w:spacing w:after="0" w:line="183" w:lineRule="exact"/>
              <w:rPr>
                <w:sz w:val="20"/>
                <w:szCs w:val="20"/>
                <w:color w:val="auto"/>
              </w:rPr>
            </w:pPr>
            <w:r>
              <w:rPr>
                <w:rFonts w:ascii="Arial" w:cs="Arial" w:eastAsia="Arial" w:hAnsi="Arial"/>
                <w:sz w:val="18"/>
                <w:szCs w:val="18"/>
                <w:color w:val="auto"/>
              </w:rPr>
              <w:t>57,729</w:t>
            </w:r>
          </w:p>
        </w:tc>
        <w:tc>
          <w:tcPr>
            <w:tcW w:w="1620" w:type="dxa"/>
            <w:vAlign w:val="bottom"/>
          </w:tcPr>
          <w:p>
            <w:pPr>
              <w:jc w:val="right"/>
              <w:ind w:right="10"/>
              <w:spacing w:after="0" w:line="183" w:lineRule="exact"/>
              <w:rPr>
                <w:sz w:val="20"/>
                <w:szCs w:val="20"/>
                <w:color w:val="auto"/>
              </w:rPr>
            </w:pPr>
            <w:r>
              <w:rPr>
                <w:rFonts w:ascii="Arial" w:cs="Arial" w:eastAsia="Arial" w:hAnsi="Arial"/>
                <w:sz w:val="18"/>
                <w:szCs w:val="18"/>
                <w:color w:val="auto"/>
              </w:rPr>
              <w:t>57,303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Less weighted average restricted Common Stock</w:t>
            </w:r>
          </w:p>
        </w:tc>
        <w:tc>
          <w:tcPr>
            <w:tcW w:w="290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(1,459)</w:t>
            </w:r>
          </w:p>
        </w:tc>
        <w:tc>
          <w:tcPr>
            <w:tcW w:w="1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(2,099)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tcPr>
          <w:p>
            <w:pPr>
              <w:spacing w:after="0" w:line="196" w:lineRule="exact"/>
              <w:rPr>
                <w:sz w:val="20"/>
                <w:szCs w:val="20"/>
                <w:color w:val="auto"/>
              </w:rPr>
            </w:pPr>
            <w:r>
              <w:rPr>
                <w:rFonts w:ascii="Arial" w:cs="Arial" w:eastAsia="Arial" w:hAnsi="Arial"/>
                <w:sz w:val="18"/>
                <w:szCs w:val="18"/>
                <w:color w:val="auto"/>
              </w:rPr>
              <w:t>Basic average common shares</w:t>
            </w:r>
          </w:p>
        </w:tc>
        <w:tc>
          <w:tcPr>
            <w:tcW w:w="290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56,270</w:t>
            </w:r>
          </w:p>
        </w:tc>
        <w:tc>
          <w:tcPr>
            <w:tcW w:w="16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55,204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Dilutive stock options and restricted Common Stock</w:t>
            </w:r>
          </w:p>
        </w:tc>
        <w:tc>
          <w:tcPr>
            <w:tcW w:w="290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783</w:t>
            </w:r>
          </w:p>
        </w:tc>
        <w:tc>
          <w:tcPr>
            <w:tcW w:w="16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1,497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Diluted average common shares</w:t>
            </w:r>
          </w:p>
        </w:tc>
        <w:tc>
          <w:tcPr>
            <w:tcW w:w="29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57,053</w:t>
            </w:r>
          </w:p>
        </w:tc>
        <w:tc>
          <w:tcPr>
            <w:tcW w:w="16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56,701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28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Earnings per common share:</w:t>
            </w:r>
          </w:p>
        </w:tc>
        <w:tc>
          <w:tcPr>
            <w:tcW w:w="29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Pr>
          <w:p>
            <w:pPr>
              <w:ind w:left="140"/>
              <w:spacing w:after="0" w:line="202" w:lineRule="exact"/>
              <w:rPr>
                <w:sz w:val="20"/>
                <w:szCs w:val="20"/>
                <w:color w:val="auto"/>
              </w:rPr>
            </w:pPr>
            <w:r>
              <w:rPr>
                <w:rFonts w:ascii="Arial" w:cs="Arial" w:eastAsia="Arial" w:hAnsi="Arial"/>
                <w:sz w:val="18"/>
                <w:szCs w:val="18"/>
                <w:color w:val="auto"/>
              </w:rPr>
              <w:t>Basic</w:t>
            </w:r>
          </w:p>
        </w:tc>
        <w:tc>
          <w:tcPr>
            <w:tcW w:w="29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0.09</w:t>
            </w:r>
          </w:p>
        </w:tc>
        <w:tc>
          <w:tcPr>
            <w:tcW w:w="16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80" w:type="dxa"/>
            <w:vAlign w:val="bottom"/>
            <w:tcBorders>
              <w:bottom w:val="single" w:sz="8" w:color="auto"/>
            </w:tcBorders>
            <w:shd w:val="clear" w:color="auto" w:fill="CCEEFF"/>
          </w:tcPr>
          <w:p>
            <w:pPr>
              <w:ind w:left="140"/>
              <w:spacing w:after="0" w:line="202" w:lineRule="exact"/>
              <w:rPr>
                <w:sz w:val="20"/>
                <w:szCs w:val="20"/>
                <w:color w:val="auto"/>
              </w:rPr>
            </w:pPr>
            <w:r>
              <w:rPr>
                <w:rFonts w:ascii="Arial" w:cs="Arial" w:eastAsia="Arial" w:hAnsi="Arial"/>
                <w:sz w:val="18"/>
                <w:szCs w:val="18"/>
                <w:color w:val="auto"/>
              </w:rPr>
              <w:t>Diluted</w:t>
            </w:r>
          </w:p>
        </w:tc>
        <w:tc>
          <w:tcPr>
            <w:tcW w:w="290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0.09</w:t>
            </w:r>
          </w:p>
        </w:tc>
        <w:tc>
          <w:tcPr>
            <w:tcW w:w="16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60" w:right="60"/>
        <w:spacing w:after="0"/>
        <w:rPr>
          <w:sz w:val="20"/>
          <w:szCs w:val="20"/>
          <w:color w:val="auto"/>
        </w:rPr>
      </w:pPr>
      <w:r>
        <w:rPr>
          <w:rFonts w:ascii="Arial" w:cs="Arial" w:eastAsia="Arial" w:hAnsi="Arial"/>
          <w:sz w:val="18"/>
          <w:szCs w:val="18"/>
          <w:color w:val="auto"/>
        </w:rPr>
        <w:t>For the 13 weeks ended December 29, 2019 and December 30, 2018, 6,384,000 and 6,448,000, weighted average shares, respectively, were not considered in the computation of diluted earnings per common share because the exercise prices of the related stock options and Warrants were in excess of the fair market value of our Common Stock.</w:t>
      </w:r>
    </w:p>
    <w:p>
      <w:pPr>
        <w:spacing w:after="0" w:line="200" w:lineRule="exact"/>
        <w:rPr>
          <w:sz w:val="20"/>
          <w:szCs w:val="20"/>
          <w:color w:val="auto"/>
        </w:rPr>
      </w:pPr>
    </w:p>
    <w:p>
      <w:pPr>
        <w:spacing w:after="0" w:line="210"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STOCK OWNERSHIP PLANS</w:t>
      </w:r>
    </w:p>
    <w:p>
      <w:pPr>
        <w:spacing w:after="0" w:line="22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 summary of stock option activity during the 13 weeks ended December 29, 2019 follows:</w:t>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0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Weighted</w:t>
            </w:r>
          </w:p>
        </w:tc>
        <w:tc>
          <w:tcPr>
            <w:tcW w:w="1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Average</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Weighted</w:t>
            </w:r>
          </w:p>
        </w:tc>
        <w:tc>
          <w:tcPr>
            <w:tcW w:w="13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Remaining</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Average</w:t>
            </w:r>
          </w:p>
        </w:tc>
        <w:tc>
          <w:tcPr>
            <w:tcW w:w="13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Contractual</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Aggregate</w:t>
            </w:r>
          </w:p>
        </w:tc>
        <w:tc>
          <w:tcPr>
            <w:tcW w:w="0" w:type="dxa"/>
            <w:vAlign w:val="bottom"/>
          </w:tcPr>
          <w:p>
            <w:pPr>
              <w:spacing w:after="0"/>
              <w:rPr>
                <w:sz w:val="1"/>
                <w:szCs w:val="1"/>
                <w:color w:val="auto"/>
              </w:rPr>
            </w:pPr>
          </w:p>
        </w:tc>
      </w:tr>
      <w:tr>
        <w:trPr>
          <w:trHeight w:val="203"/>
        </w:trPr>
        <w:tc>
          <w:tcPr>
            <w:tcW w:w="5100" w:type="dxa"/>
            <w:vAlign w:val="bottom"/>
            <w:gridSpan w:val="2"/>
          </w:tcPr>
          <w:p>
            <w:pPr>
              <w:spacing w:after="0"/>
              <w:rPr>
                <w:sz w:val="20"/>
                <w:szCs w:val="20"/>
                <w:color w:val="auto"/>
              </w:rPr>
            </w:pPr>
            <w:r>
              <w:rPr>
                <w:rFonts w:ascii="Arial" w:cs="Arial" w:eastAsia="Arial" w:hAnsi="Arial"/>
                <w:sz w:val="16"/>
                <w:szCs w:val="16"/>
                <w:i w:val="1"/>
                <w:iCs w:val="1"/>
                <w:color w:val="auto"/>
              </w:rPr>
              <w:t>(Thousands of Dollars and Shares, Except Per Share Data)</w:t>
            </w:r>
          </w:p>
        </w:tc>
        <w:tc>
          <w:tcPr>
            <w:tcW w:w="1540" w:type="dxa"/>
            <w:vAlign w:val="bottom"/>
          </w:tcPr>
          <w:p>
            <w:pPr>
              <w:jc w:val="right"/>
              <w:ind w:right="50"/>
              <w:spacing w:after="0" w:line="203" w:lineRule="exact"/>
              <w:rPr>
                <w:sz w:val="20"/>
                <w:szCs w:val="20"/>
                <w:color w:val="auto"/>
              </w:rPr>
            </w:pPr>
            <w:r>
              <w:rPr>
                <w:rFonts w:ascii="Arial" w:cs="Arial" w:eastAsia="Arial" w:hAnsi="Arial"/>
                <w:sz w:val="18"/>
                <w:szCs w:val="18"/>
                <w:color w:val="auto"/>
              </w:rPr>
              <w:t>Shares</w:t>
            </w:r>
          </w:p>
        </w:tc>
        <w:tc>
          <w:tcPr>
            <w:tcW w:w="1460" w:type="dxa"/>
            <w:vAlign w:val="bottom"/>
          </w:tcPr>
          <w:p>
            <w:pPr>
              <w:jc w:val="right"/>
              <w:ind w:right="90"/>
              <w:spacing w:after="0" w:line="203" w:lineRule="exact"/>
              <w:rPr>
                <w:sz w:val="20"/>
                <w:szCs w:val="20"/>
                <w:color w:val="auto"/>
              </w:rPr>
            </w:pPr>
            <w:r>
              <w:rPr>
                <w:rFonts w:ascii="Arial" w:cs="Arial" w:eastAsia="Arial" w:hAnsi="Arial"/>
                <w:sz w:val="18"/>
                <w:szCs w:val="18"/>
                <w:color w:val="auto"/>
              </w:rPr>
              <w:t>Exercise Price</w:t>
            </w:r>
          </w:p>
        </w:tc>
        <w:tc>
          <w:tcPr>
            <w:tcW w:w="1360" w:type="dxa"/>
            <w:vAlign w:val="bottom"/>
          </w:tcPr>
          <w:p>
            <w:pPr>
              <w:jc w:val="right"/>
              <w:ind w:right="50"/>
              <w:spacing w:after="0" w:line="203" w:lineRule="exact"/>
              <w:rPr>
                <w:sz w:val="20"/>
                <w:szCs w:val="20"/>
                <w:color w:val="auto"/>
              </w:rPr>
            </w:pPr>
            <w:r>
              <w:rPr>
                <w:rFonts w:ascii="Arial" w:cs="Arial" w:eastAsia="Arial" w:hAnsi="Arial"/>
                <w:sz w:val="18"/>
                <w:szCs w:val="18"/>
                <w:color w:val="auto"/>
              </w:rPr>
              <w:t>Term (Years)</w:t>
            </w:r>
          </w:p>
        </w:tc>
        <w:tc>
          <w:tcPr>
            <w:tcW w:w="1360" w:type="dxa"/>
            <w:vAlign w:val="bottom"/>
          </w:tcPr>
          <w:p>
            <w:pPr>
              <w:jc w:val="right"/>
              <w:ind w:right="10"/>
              <w:spacing w:after="0" w:line="203" w:lineRule="exact"/>
              <w:rPr>
                <w:sz w:val="20"/>
                <w:szCs w:val="20"/>
                <w:color w:val="auto"/>
              </w:rPr>
            </w:pPr>
            <w:r>
              <w:rPr>
                <w:rFonts w:ascii="Arial" w:cs="Arial" w:eastAsia="Arial" w:hAnsi="Arial"/>
                <w:sz w:val="18"/>
                <w:szCs w:val="18"/>
                <w:color w:val="auto"/>
              </w:rPr>
              <w:t>Intrinsic Value</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08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September 29, 2019</w:t>
            </w:r>
          </w:p>
        </w:tc>
        <w:tc>
          <w:tcPr>
            <w:tcW w:w="15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809</w:t>
            </w:r>
          </w:p>
        </w:tc>
        <w:tc>
          <w:tcPr>
            <w:tcW w:w="146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1.82</w:t>
            </w:r>
          </w:p>
        </w:tc>
        <w:tc>
          <w:tcPr>
            <w:tcW w:w="13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Pr>
          <w:p>
            <w:pPr>
              <w:spacing w:after="0" w:line="202" w:lineRule="exact"/>
              <w:rPr>
                <w:sz w:val="20"/>
                <w:szCs w:val="20"/>
                <w:color w:val="auto"/>
              </w:rPr>
            </w:pPr>
            <w:r>
              <w:rPr>
                <w:rFonts w:ascii="Arial" w:cs="Arial" w:eastAsia="Arial" w:hAnsi="Arial"/>
                <w:sz w:val="18"/>
                <w:szCs w:val="18"/>
                <w:color w:val="auto"/>
              </w:rPr>
              <w:t>Exercised</w:t>
            </w:r>
          </w:p>
        </w:tc>
        <w:tc>
          <w:tcPr>
            <w:tcW w:w="15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Cancelled</w:t>
            </w:r>
          </w:p>
        </w:tc>
        <w:tc>
          <w:tcPr>
            <w:tcW w:w="15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Outstanding, December 29, 2019</w:t>
            </w:r>
          </w:p>
        </w:tc>
        <w:tc>
          <w:tcPr>
            <w:tcW w:w="15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809</w:t>
            </w:r>
          </w:p>
        </w:tc>
        <w:tc>
          <w:tcPr>
            <w:tcW w:w="146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1.82</w:t>
            </w:r>
          </w:p>
        </w:tc>
        <w:tc>
          <w:tcPr>
            <w:tcW w:w="13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1.6</w:t>
            </w:r>
          </w:p>
        </w:tc>
        <w:tc>
          <w:tcPr>
            <w:tcW w:w="13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8"/>
                <w:szCs w:val="18"/>
                <w:color w:val="auto"/>
              </w:rPr>
              <w:t>Exercisable, December 29, 2019</w:t>
            </w:r>
          </w:p>
        </w:tc>
        <w:tc>
          <w:tcPr>
            <w:tcW w:w="1540" w:type="dxa"/>
            <w:vAlign w:val="bottom"/>
            <w:tcBorders>
              <w:bottom w:val="single" w:sz="8" w:color="auto"/>
            </w:tcBorders>
            <w:shd w:val="clear" w:color="auto" w:fill="CCEEFF"/>
          </w:tcPr>
          <w:p>
            <w:pPr>
              <w:jc w:val="right"/>
              <w:ind w:right="50"/>
              <w:spacing w:after="0" w:line="183" w:lineRule="exact"/>
              <w:rPr>
                <w:sz w:val="20"/>
                <w:szCs w:val="20"/>
                <w:color w:val="auto"/>
              </w:rPr>
            </w:pPr>
            <w:r>
              <w:rPr>
                <w:rFonts w:ascii="Arial" w:cs="Arial" w:eastAsia="Arial" w:hAnsi="Arial"/>
                <w:sz w:val="18"/>
                <w:szCs w:val="18"/>
                <w:color w:val="auto"/>
              </w:rPr>
              <w:t>809</w:t>
            </w:r>
          </w:p>
        </w:tc>
        <w:tc>
          <w:tcPr>
            <w:tcW w:w="1460" w:type="dxa"/>
            <w:vAlign w:val="bottom"/>
            <w:tcBorders>
              <w:bottom w:val="single" w:sz="8" w:color="auto"/>
            </w:tcBorders>
            <w:shd w:val="clear" w:color="auto" w:fill="CCEEFF"/>
          </w:tcPr>
          <w:p>
            <w:pPr>
              <w:jc w:val="right"/>
              <w:ind w:right="90"/>
              <w:spacing w:after="0" w:line="183" w:lineRule="exact"/>
              <w:rPr>
                <w:sz w:val="20"/>
                <w:szCs w:val="20"/>
                <w:color w:val="auto"/>
              </w:rPr>
            </w:pPr>
            <w:r>
              <w:rPr>
                <w:rFonts w:ascii="Arial" w:cs="Arial" w:eastAsia="Arial" w:hAnsi="Arial"/>
                <w:sz w:val="18"/>
                <w:szCs w:val="18"/>
                <w:color w:val="auto"/>
              </w:rPr>
              <w:t>1.82</w:t>
            </w:r>
          </w:p>
        </w:tc>
        <w:tc>
          <w:tcPr>
            <w:tcW w:w="1360" w:type="dxa"/>
            <w:vAlign w:val="bottom"/>
            <w:tcBorders>
              <w:bottom w:val="single" w:sz="8" w:color="auto"/>
            </w:tcBorders>
            <w:shd w:val="clear" w:color="auto" w:fill="CCEEFF"/>
          </w:tcPr>
          <w:p>
            <w:pPr>
              <w:jc w:val="right"/>
              <w:ind w:right="50"/>
              <w:spacing w:after="0" w:line="183" w:lineRule="exact"/>
              <w:rPr>
                <w:sz w:val="20"/>
                <w:szCs w:val="20"/>
                <w:color w:val="auto"/>
              </w:rPr>
            </w:pPr>
            <w:r>
              <w:rPr>
                <w:rFonts w:ascii="Arial" w:cs="Arial" w:eastAsia="Arial" w:hAnsi="Arial"/>
                <w:sz w:val="18"/>
                <w:szCs w:val="18"/>
                <w:color w:val="auto"/>
              </w:rPr>
              <w:t>1.6</w:t>
            </w:r>
          </w:p>
        </w:tc>
        <w:tc>
          <w:tcPr>
            <w:tcW w:w="1360" w:type="dxa"/>
            <w:vAlign w:val="bottom"/>
            <w:tcBorders>
              <w:bottom w:val="single" w:sz="8" w:color="auto"/>
            </w:tcBorders>
            <w:shd w:val="clear" w:color="auto" w:fill="CCEEFF"/>
          </w:tcPr>
          <w:p>
            <w:pPr>
              <w:jc w:val="right"/>
              <w:ind w:right="10"/>
              <w:spacing w:after="0" w:line="183"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399"/>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Restricted Common Stock</w:t>
            </w:r>
          </w:p>
        </w:tc>
        <w:tc>
          <w:tcPr>
            <w:tcW w:w="1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460" w:type="dxa"/>
            <w:vAlign w:val="bottom"/>
            <w:gridSpan w:val="5"/>
          </w:tcPr>
          <w:p>
            <w:pPr>
              <w:spacing w:after="0"/>
              <w:rPr>
                <w:sz w:val="20"/>
                <w:szCs w:val="20"/>
                <w:color w:val="auto"/>
              </w:rPr>
            </w:pPr>
            <w:r>
              <w:rPr>
                <w:rFonts w:ascii="Arial" w:cs="Arial" w:eastAsia="Arial" w:hAnsi="Arial"/>
                <w:sz w:val="18"/>
                <w:szCs w:val="18"/>
                <w:color w:val="auto"/>
              </w:rPr>
              <w:t>The table below summarizes restricted Common Stock activity during the 13 weeks ended December 29, 2019:</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0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Weighted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Average Grant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Date Fair</w:t>
            </w:r>
          </w:p>
        </w:tc>
        <w:tc>
          <w:tcPr>
            <w:tcW w:w="0" w:type="dxa"/>
            <w:vAlign w:val="bottom"/>
          </w:tcPr>
          <w:p>
            <w:pPr>
              <w:spacing w:after="0"/>
              <w:rPr>
                <w:sz w:val="1"/>
                <w:szCs w:val="1"/>
                <w:color w:val="auto"/>
              </w:rPr>
            </w:pPr>
          </w:p>
        </w:tc>
      </w:tr>
      <w:tr>
        <w:trPr>
          <w:trHeight w:val="203"/>
        </w:trPr>
        <w:tc>
          <w:tcPr>
            <w:tcW w:w="5100" w:type="dxa"/>
            <w:vAlign w:val="bottom"/>
            <w:gridSpan w:val="2"/>
          </w:tcPr>
          <w:p>
            <w:pPr>
              <w:spacing w:after="0"/>
              <w:rPr>
                <w:sz w:val="20"/>
                <w:szCs w:val="20"/>
                <w:color w:val="auto"/>
              </w:rPr>
            </w:pPr>
            <w:r>
              <w:rPr>
                <w:rFonts w:ascii="Arial" w:cs="Arial" w:eastAsia="Arial" w:hAnsi="Arial"/>
                <w:sz w:val="16"/>
                <w:szCs w:val="16"/>
                <w:i w:val="1"/>
                <w:iCs w:val="1"/>
                <w:color w:val="auto"/>
              </w:rPr>
              <w:t>(Thousands of Shares, Except Per Share Data)</w:t>
            </w:r>
          </w:p>
        </w:tc>
        <w:tc>
          <w:tcPr>
            <w:tcW w:w="15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60" w:type="dxa"/>
            <w:vAlign w:val="bottom"/>
          </w:tcPr>
          <w:p>
            <w:pPr>
              <w:jc w:val="right"/>
              <w:ind w:right="50"/>
              <w:spacing w:after="0" w:line="203" w:lineRule="exact"/>
              <w:rPr>
                <w:sz w:val="20"/>
                <w:szCs w:val="20"/>
                <w:color w:val="auto"/>
              </w:rPr>
            </w:pPr>
            <w:r>
              <w:rPr>
                <w:rFonts w:ascii="Arial" w:cs="Arial" w:eastAsia="Arial" w:hAnsi="Arial"/>
                <w:sz w:val="18"/>
                <w:szCs w:val="18"/>
                <w:color w:val="auto"/>
              </w:rPr>
              <w:t>Shares</w:t>
            </w:r>
          </w:p>
        </w:tc>
        <w:tc>
          <w:tcPr>
            <w:tcW w:w="1360" w:type="dxa"/>
            <w:vAlign w:val="bottom"/>
          </w:tcPr>
          <w:p>
            <w:pPr>
              <w:jc w:val="right"/>
              <w:ind w:right="10"/>
              <w:spacing w:after="0" w:line="203" w:lineRule="exact"/>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08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September 29, 2019</w:t>
            </w:r>
          </w:p>
        </w:tc>
        <w:tc>
          <w:tcPr>
            <w:tcW w:w="15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1,477</w:t>
            </w:r>
          </w:p>
        </w:tc>
        <w:tc>
          <w:tcPr>
            <w:tcW w:w="13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Pr>
          <w:p>
            <w:pPr>
              <w:spacing w:after="0" w:line="202" w:lineRule="exact"/>
              <w:rPr>
                <w:sz w:val="20"/>
                <w:szCs w:val="20"/>
                <w:color w:val="auto"/>
              </w:rPr>
            </w:pPr>
            <w:r>
              <w:rPr>
                <w:rFonts w:ascii="Arial" w:cs="Arial" w:eastAsia="Arial" w:hAnsi="Arial"/>
                <w:sz w:val="18"/>
                <w:szCs w:val="18"/>
                <w:color w:val="auto"/>
              </w:rPr>
              <w:t>Vested</w:t>
            </w:r>
          </w:p>
        </w:tc>
        <w:tc>
          <w:tcPr>
            <w:tcW w:w="15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(600)</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Granted</w:t>
            </w:r>
          </w:p>
        </w:tc>
        <w:tc>
          <w:tcPr>
            <w:tcW w:w="15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720</w:t>
            </w:r>
          </w:p>
        </w:tc>
        <w:tc>
          <w:tcPr>
            <w:tcW w:w="13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Cancelled</w:t>
            </w:r>
          </w:p>
        </w:tc>
        <w:tc>
          <w:tcPr>
            <w:tcW w:w="15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w:t>
            </w:r>
          </w:p>
        </w:tc>
        <w:tc>
          <w:tcPr>
            <w:tcW w:w="13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0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December 29, 2019</w:t>
            </w:r>
          </w:p>
        </w:tc>
        <w:tc>
          <w:tcPr>
            <w:tcW w:w="154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1,573</w:t>
            </w:r>
          </w:p>
        </w:tc>
        <w:tc>
          <w:tcPr>
            <w:tcW w:w="13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60" w:right="60"/>
        <w:spacing w:after="0" w:line="246" w:lineRule="auto"/>
        <w:rPr>
          <w:sz w:val="20"/>
          <w:szCs w:val="20"/>
          <w:color w:val="auto"/>
        </w:rPr>
      </w:pPr>
      <w:r>
        <w:rPr>
          <w:rFonts w:ascii="Arial" w:cs="Arial" w:eastAsia="Arial" w:hAnsi="Arial"/>
          <w:sz w:val="18"/>
          <w:szCs w:val="18"/>
          <w:color w:val="auto"/>
        </w:rPr>
        <w:t>Total unrecognized compensation expense for unvested restricted Common Stock at December 29, 2019 is $2,016,000, which will be recognized over a weighted average period of 2.0 years.</w:t>
      </w:r>
    </w:p>
    <w:p>
      <w:pPr>
        <w:spacing w:after="0" w:line="200" w:lineRule="exact"/>
        <w:rPr>
          <w:sz w:val="20"/>
          <w:szCs w:val="20"/>
          <w:color w:val="auto"/>
        </w:rPr>
      </w:pPr>
    </w:p>
    <w:p>
      <w:pPr>
        <w:spacing w:after="0" w:line="21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FAIR VALUE MEASUREMENTS</w:t>
      </w:r>
    </w:p>
    <w:p>
      <w:pPr>
        <w:spacing w:after="0" w:line="202" w:lineRule="exact"/>
        <w:rPr>
          <w:sz w:val="20"/>
          <w:szCs w:val="20"/>
          <w:color w:val="auto"/>
        </w:rPr>
      </w:pPr>
    </w:p>
    <w:p>
      <w:pPr>
        <w:jc w:val="both"/>
        <w:ind w:left="660" w:right="60"/>
        <w:spacing w:after="0" w:line="245" w:lineRule="auto"/>
        <w:rPr>
          <w:sz w:val="20"/>
          <w:szCs w:val="20"/>
          <w:color w:val="auto"/>
        </w:rPr>
      </w:pPr>
      <w:r>
        <w:rPr>
          <w:rFonts w:ascii="Arial" w:cs="Arial" w:eastAsia="Arial" w:hAnsi="Arial"/>
          <w:sz w:val="18"/>
          <w:szCs w:val="18"/>
          <w:color w:val="auto"/>
        </w:rPr>
        <w:t xml:space="preserve">We utilize FASB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to measure and report fair value. FASB ASC Topic 820 defines fair value, establishes a framework for measuring fair value and expands disclosures about fair value measurements. FASB ASC Topic 820 establishes a three-level hierarchy of fair value measurements based on whether the inputs to those measurements are observable or unobservable, which consists of the following levels:</w:t>
      </w:r>
    </w:p>
    <w:p>
      <w:pPr>
        <w:spacing w:after="0" w:line="168"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for identical instruments in active markets.</w:t>
      </w:r>
    </w:p>
    <w:p>
      <w:pPr>
        <w:spacing w:after="0" w:line="198" w:lineRule="exact"/>
        <w:rPr>
          <w:sz w:val="20"/>
          <w:szCs w:val="20"/>
          <w:color w:val="auto"/>
        </w:rPr>
      </w:pPr>
    </w:p>
    <w:p>
      <w:pPr>
        <w:ind w:left="1140" w:right="560"/>
        <w:spacing w:after="0" w:line="26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Quoted prices for similar instruments in active markets; quoted prices for identical or similar instruments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that are not active; and model-derived valuations in which all significant inputs are observable in active markets.</w:t>
      </w:r>
    </w:p>
    <w:p>
      <w:pPr>
        <w:spacing w:after="0" w:line="147"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Valuations derived from valuation techniques in which one or more significant inputs are unobservable.</w:t>
      </w:r>
    </w:p>
    <w:p>
      <w:pPr>
        <w:spacing w:after="0" w:line="216" w:lineRule="exact"/>
        <w:rPr>
          <w:sz w:val="20"/>
          <w:szCs w:val="20"/>
          <w:color w:val="auto"/>
        </w:rPr>
      </w:pPr>
    </w:p>
    <w:p>
      <w:pPr>
        <w:ind w:left="660" w:right="60"/>
        <w:spacing w:after="0" w:line="246" w:lineRule="auto"/>
        <w:rPr>
          <w:sz w:val="20"/>
          <w:szCs w:val="20"/>
          <w:color w:val="auto"/>
        </w:rPr>
      </w:pPr>
      <w:r>
        <w:rPr>
          <w:rFonts w:ascii="Arial" w:cs="Arial" w:eastAsia="Arial" w:hAnsi="Arial"/>
          <w:sz w:val="18"/>
          <w:szCs w:val="18"/>
          <w:color w:val="auto"/>
        </w:rPr>
        <w:t>The following methods and assumptions are used to estimate the fair value of each class of financial instruments for which it is practicable to estimate value.</w:t>
      </w:r>
    </w:p>
    <w:p>
      <w:pPr>
        <w:sectPr>
          <w:pgSz w:w="11900" w:h="16838" w:orient="portrait"/>
          <w:cols w:equalWidth="0" w:num="1">
            <w:col w:w="11480"/>
          </w:cols>
          <w:pgMar w:left="240" w:top="118" w:right="179" w:bottom="0" w:gutter="0" w:footer="0" w:header="0"/>
        </w:sectPr>
      </w:pPr>
    </w:p>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80"/>
          </w:cols>
          <w:pgMar w:left="240" w:top="118" w:right="179" w:bottom="0" w:gutter="0" w:footer="0" w:header="0"/>
          <w:type w:val="continuous"/>
        </w:sectPr>
      </w:pPr>
    </w:p>
    <w:bookmarkStart w:id="22" w:name="page23"/>
    <w:bookmarkEnd w:id="22"/>
    <w:p>
      <w:pPr>
        <w:ind w:left="20"/>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27" w:lineRule="exact"/>
        <w:rPr>
          <w:sz w:val="20"/>
          <w:szCs w:val="20"/>
          <w:color w:val="auto"/>
        </w:rPr>
      </w:pPr>
    </w:p>
    <w:p>
      <w:pPr>
        <w:jc w:val="both"/>
        <w:ind w:left="680"/>
        <w:spacing w:after="0" w:line="238" w:lineRule="auto"/>
        <w:rPr>
          <w:sz w:val="20"/>
          <w:szCs w:val="20"/>
          <w:color w:val="auto"/>
        </w:rPr>
      </w:pPr>
      <w:r>
        <w:rPr>
          <w:rFonts w:ascii="Arial" w:cs="Arial" w:eastAsia="Arial" w:hAnsi="Arial"/>
          <w:sz w:val="18"/>
          <w:szCs w:val="18"/>
          <w:color w:val="auto"/>
        </w:rPr>
        <w:t>The carrying amounts of cash equivalents, accounts receivable and accounts payable approximate fair value because of the short maturity of those instruments. Investments totaling $6,068,000, including our 17% ownership of the non-voting common stock of TCT and a private equity investment, are carried at cost. As of December 29, 2019, based on the most recent data available, the approximate fair value of the private equity investment is $10,268,000 which is a level 3 fair value measurement. Fair value of the remaining investments approximates book value.</w:t>
      </w:r>
    </w:p>
    <w:p>
      <w:pPr>
        <w:spacing w:after="0" w:line="189" w:lineRule="exact"/>
        <w:rPr>
          <w:sz w:val="20"/>
          <w:szCs w:val="20"/>
          <w:color w:val="auto"/>
        </w:rPr>
      </w:pPr>
    </w:p>
    <w:p>
      <w:pPr>
        <w:jc w:val="both"/>
        <w:ind w:left="680"/>
        <w:spacing w:after="0" w:line="221" w:lineRule="auto"/>
        <w:rPr>
          <w:sz w:val="20"/>
          <w:szCs w:val="20"/>
          <w:color w:val="auto"/>
        </w:rPr>
      </w:pPr>
      <w:r>
        <w:rPr>
          <w:rFonts w:ascii="Arial" w:cs="Arial" w:eastAsia="Arial" w:hAnsi="Arial"/>
          <w:sz w:val="18"/>
          <w:szCs w:val="18"/>
          <w:color w:val="auto"/>
        </w:rPr>
        <w:t>Our fixed rate debt consists of $356,141,000 principal amount of the Notes and $77,253,000 principal amount under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 At December 29, 2019, based on private market price quotations, the fair values were $344,789,000 and $76,481,000 for the Notes and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 respectively. These represent level 2 fair value measurements.</w:t>
      </w:r>
    </w:p>
    <w:p>
      <w:pPr>
        <w:spacing w:after="0" w:line="65" w:lineRule="exact"/>
        <w:rPr>
          <w:sz w:val="20"/>
          <w:szCs w:val="20"/>
          <w:color w:val="auto"/>
        </w:rPr>
      </w:pPr>
    </w:p>
    <w:p>
      <w:pPr>
        <w:jc w:val="both"/>
        <w:ind w:left="680"/>
        <w:spacing w:after="0" w:line="238" w:lineRule="auto"/>
        <w:rPr>
          <w:sz w:val="20"/>
          <w:szCs w:val="20"/>
          <w:color w:val="auto"/>
        </w:rPr>
      </w:pPr>
      <w:r>
        <w:rPr>
          <w:rFonts w:ascii="Arial" w:cs="Arial" w:eastAsia="Arial" w:hAnsi="Arial"/>
          <w:sz w:val="18"/>
          <w:szCs w:val="18"/>
          <w:color w:val="auto"/>
        </w:rPr>
        <w:t>As discussed more fully in Note 5, we recorded a liability for the Warrants issued in connection with the Warrant Agreement. The liability was initially measured at its fair value and we remeasure the liability to fair value each reporting period, with changes reported in other non-operating income (expense). The initial fair value of the Warrants was $16,930,000. The fair value of Warrants at December 29, 2019 and September 29, 2019 are $178,000 and $1,195,000, respectively. Fair value is determined using the Black-Scholes option pricing model. These represent level 2 fair value measurements.</w:t>
      </w:r>
    </w:p>
    <w:p>
      <w:pPr>
        <w:spacing w:after="0" w:line="200" w:lineRule="exact"/>
        <w:rPr>
          <w:sz w:val="20"/>
          <w:szCs w:val="20"/>
          <w:color w:val="auto"/>
        </w:rPr>
      </w:pPr>
    </w:p>
    <w:p>
      <w:pPr>
        <w:spacing w:after="0" w:line="210" w:lineRule="exact"/>
        <w:rPr>
          <w:sz w:val="20"/>
          <w:szCs w:val="20"/>
          <w:color w:val="auto"/>
        </w:rPr>
      </w:pPr>
    </w:p>
    <w:p>
      <w:pPr>
        <w:ind w:left="680" w:right="6640" w:hanging="652"/>
        <w:spacing w:after="0" w:line="472" w:lineRule="auto"/>
        <w:tabs>
          <w:tab w:leader="none" w:pos="6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CONTINGENT LIABILITIES Income Taxes</w:t>
      </w:r>
    </w:p>
    <w:p>
      <w:pPr>
        <w:jc w:val="both"/>
        <w:ind w:left="68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 xml:space="preserve">Commitments exclude unrecognized tax benefits to be recorded in accordance with FASB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We are unable to reasonably estimate the ultimate amount or timing of cash settlements with the respective taxing authorities for such matters. See Note 8.</w:t>
      </w:r>
    </w:p>
    <w:p>
      <w:pPr>
        <w:spacing w:after="0" w:line="178" w:lineRule="exact"/>
        <w:rPr>
          <w:rFonts w:ascii="Arial" w:cs="Arial" w:eastAsia="Arial" w:hAnsi="Arial"/>
          <w:sz w:val="18"/>
          <w:szCs w:val="18"/>
          <w:b w:val="1"/>
          <w:bCs w:val="1"/>
          <w:color w:val="auto"/>
        </w:rPr>
      </w:pPr>
    </w:p>
    <w:p>
      <w:pPr>
        <w:jc w:val="both"/>
        <w:ind w:left="68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We file income tax returns with the Internal Revenue Service ("IRS") and various state tax jurisdictions. From time to time, we are subject to routine audits by those agencies and those audits may result in proposed adjustments. We have considered the alternative interpretations that may be assumed by the various taxing agencies, believe our positions taken regarding our filings are valid, and that adequate tax liabilities have been recorded to resolve such matters. However, the actual outcome cannot be determined with certainty and the difference could be material, either positively or negatively, to the Consolidated Statements of Operations and Comprehensive Income (Loss) in the periods in which such matters are ultimately determined. We do not believe the final resolution of such matters will be material to our consolidated financial position or cash flows.</w:t>
      </w:r>
    </w:p>
    <w:p>
      <w:pPr>
        <w:spacing w:after="0" w:line="189" w:lineRule="exact"/>
        <w:rPr>
          <w:rFonts w:ascii="Arial" w:cs="Arial" w:eastAsia="Arial" w:hAnsi="Arial"/>
          <w:sz w:val="18"/>
          <w:szCs w:val="18"/>
          <w:b w:val="1"/>
          <w:bCs w:val="1"/>
          <w:color w:val="auto"/>
        </w:rPr>
      </w:pPr>
    </w:p>
    <w:p>
      <w:pPr>
        <w:ind w:left="68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We have various income tax examinations ongoing and at various stages of completion, but generally our income tax returns have been audited or closed to audit through 2014.</w:t>
      </w:r>
    </w:p>
    <w:p>
      <w:pPr>
        <w:spacing w:after="0" w:line="161" w:lineRule="exact"/>
        <w:rPr>
          <w:rFonts w:ascii="Arial" w:cs="Arial" w:eastAsia="Arial" w:hAnsi="Arial"/>
          <w:sz w:val="18"/>
          <w:szCs w:val="18"/>
          <w:b w:val="1"/>
          <w:bCs w:val="1"/>
          <w:color w:val="auto"/>
        </w:rPr>
      </w:pPr>
    </w:p>
    <w:p>
      <w:pPr>
        <w:ind w:left="6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Legal Proceedings</w:t>
      </w:r>
    </w:p>
    <w:p>
      <w:pPr>
        <w:spacing w:after="0" w:line="220" w:lineRule="exact"/>
        <w:rPr>
          <w:rFonts w:ascii="Arial" w:cs="Arial" w:eastAsia="Arial" w:hAnsi="Arial"/>
          <w:sz w:val="18"/>
          <w:szCs w:val="18"/>
          <w:b w:val="1"/>
          <w:bCs w:val="1"/>
          <w:color w:val="auto"/>
        </w:rPr>
      </w:pPr>
    </w:p>
    <w:p>
      <w:pPr>
        <w:jc w:val="both"/>
        <w:ind w:left="680"/>
        <w:spacing w:after="0"/>
        <w:rPr>
          <w:rFonts w:ascii="Arial" w:cs="Arial" w:eastAsia="Arial" w:hAnsi="Arial"/>
          <w:sz w:val="18"/>
          <w:szCs w:val="18"/>
          <w:b w:val="1"/>
          <w:bCs w:val="1"/>
          <w:color w:val="auto"/>
        </w:rPr>
      </w:pPr>
      <w:r>
        <w:rPr>
          <w:rFonts w:ascii="Arial" w:cs="Arial" w:eastAsia="Arial" w:hAnsi="Arial"/>
          <w:sz w:val="18"/>
          <w:szCs w:val="18"/>
          <w:color w:val="auto"/>
        </w:rPr>
        <w:t>We are involved in a variety of legal actions that arise in the normal course of business. Insurance coverage mitigates potential loss for certain of these matters. While we are unable to predict the ultimate outcome of these legal actions, it is our opinion that the disposition of these matters will not have a material adverse effect on our Consolidated Financial Statements, taken as a whole.</w:t>
      </w:r>
    </w:p>
    <w:p>
      <w:pPr>
        <w:spacing w:after="0" w:line="167" w:lineRule="exact"/>
        <w:rPr>
          <w:rFonts w:ascii="Arial" w:cs="Arial" w:eastAsia="Arial" w:hAnsi="Arial"/>
          <w:sz w:val="18"/>
          <w:szCs w:val="18"/>
          <w:b w:val="1"/>
          <w:bCs w:val="1"/>
          <w:color w:val="auto"/>
        </w:rPr>
      </w:pPr>
    </w:p>
    <w:p>
      <w:pPr>
        <w:ind w:left="6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Multiemployer Pension Plans</w:t>
      </w:r>
    </w:p>
    <w:p>
      <w:pPr>
        <w:spacing w:after="0" w:line="220" w:lineRule="exact"/>
        <w:rPr>
          <w:rFonts w:ascii="Arial" w:cs="Arial" w:eastAsia="Arial" w:hAnsi="Arial"/>
          <w:sz w:val="18"/>
          <w:szCs w:val="18"/>
          <w:b w:val="1"/>
          <w:bCs w:val="1"/>
          <w:color w:val="auto"/>
        </w:rPr>
      </w:pPr>
    </w:p>
    <w:p>
      <w:pPr>
        <w:jc w:val="both"/>
        <w:ind w:left="68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We effectuated a total withdrawal from CWA/ITU plan in 2019. As a result, we are subject to a claim from the multiemployer pension plan for a withdrawal liability. The amount and timing of such liability will be dependent on actions taken, or not taken, by the Company and the pension plan, as well as the future investment performance and funding status of the plan. In 2019, we accrued a liability of $3,255,000 related to this withdrawal. The withdrawal liability determined to be due under this plan will be funded over a period of 20 years.</w:t>
      </w:r>
    </w:p>
    <w:p>
      <w:pPr>
        <w:spacing w:after="0" w:line="200" w:lineRule="exact"/>
        <w:rPr>
          <w:sz w:val="20"/>
          <w:szCs w:val="20"/>
          <w:color w:val="auto"/>
        </w:rPr>
      </w:pPr>
    </w:p>
    <w:p>
      <w:pPr>
        <w:spacing w:after="0" w:line="210" w:lineRule="exact"/>
        <w:rPr>
          <w:sz w:val="20"/>
          <w:szCs w:val="20"/>
          <w:color w:val="auto"/>
        </w:rPr>
      </w:pPr>
    </w:p>
    <w:p>
      <w:pPr>
        <w:ind w:left="20"/>
        <w:spacing w:after="0"/>
        <w:tabs>
          <w:tab w:leader="none" w:pos="9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20" w:lineRule="exact"/>
        <w:rPr>
          <w:sz w:val="20"/>
          <w:szCs w:val="20"/>
          <w:color w:val="auto"/>
        </w:rPr>
      </w:pPr>
    </w:p>
    <w:p>
      <w:pPr>
        <w:jc w:val="both"/>
        <w:ind w:left="20"/>
        <w:spacing w:after="0"/>
        <w:rPr>
          <w:sz w:val="20"/>
          <w:szCs w:val="20"/>
          <w:color w:val="auto"/>
        </w:rPr>
      </w:pPr>
      <w:r>
        <w:rPr>
          <w:rFonts w:ascii="Arial" w:cs="Arial" w:eastAsia="Arial" w:hAnsi="Arial"/>
          <w:sz w:val="18"/>
          <w:szCs w:val="18"/>
          <w:color w:val="auto"/>
        </w:rPr>
        <w:t>The following discussion includes comments and analysis relating to our results of operations and financial condition as of and for the 13 weeks ended December 29, 2019. This discussion should be read in conjunction with the Consolidated Financial Statements and related Notes thereto, included herein, and our 2019 Annual Report on Form 10-K.</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NON-GAAP FINANCIAL MEASURES</w:t>
      </w:r>
    </w:p>
    <w:p>
      <w:pPr>
        <w:spacing w:after="0" w:line="220"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We use non-GAAP financial performance measures to supplement the financial information presented on a GAAP basis. These non-GAAP financial measures should not be considered in isolation or as a substitute for the relevant GAAP measures and should be read in conjunction with information presented on a GAAP basis.</w:t>
      </w:r>
    </w:p>
    <w:p>
      <w:pPr>
        <w:spacing w:after="0" w:line="189" w:lineRule="exact"/>
        <w:rPr>
          <w:sz w:val="20"/>
          <w:szCs w:val="20"/>
          <w:color w:val="auto"/>
        </w:rPr>
      </w:pPr>
    </w:p>
    <w:p>
      <w:pPr>
        <w:jc w:val="both"/>
        <w:ind w:right="120"/>
        <w:spacing w:after="0" w:line="237" w:lineRule="auto"/>
        <w:rPr>
          <w:sz w:val="20"/>
          <w:szCs w:val="20"/>
          <w:color w:val="auto"/>
        </w:rPr>
      </w:pPr>
      <w:r>
        <w:rPr>
          <w:rFonts w:ascii="Arial" w:cs="Arial" w:eastAsia="Arial" w:hAnsi="Arial"/>
          <w:sz w:val="18"/>
          <w:szCs w:val="18"/>
          <w:color w:val="auto"/>
        </w:rPr>
        <w:t>In this report, we present Adjusted EBITDA, adjusted income (loss), adjusted earnings (loss) per common share (EPS), and cash costs, which are non-GAAP financial performance measures that exclude from our reported GAAP results the impact of certain items consisting primarily of restructuring charges and non-cash charges. We believe such expenses, charges, and gains are not indicative of normal, ongoing operations, and their inclusion in results makes for more difficult comparisons between years and with peer group companies. In the future, however, we are likely to incur expenses, charges, and gains similar to the items for which the applicable GAAP financial measures have been adjusted and to report non-GAAP financial measures excluding such items. Accordingly, exclusion of those or similar items in our non-GAAP presentations should not be interpreted as implying the items are non-recurring, infrequent, or unusual.</w:t>
      </w:r>
    </w:p>
    <w:p>
      <w:pPr>
        <w:sectPr>
          <w:pgSz w:w="11900" w:h="16838" w:orient="portrait"/>
          <w:cols w:equalWidth="0" w:num="1">
            <w:col w:w="11440"/>
          </w:cols>
          <w:pgMar w:left="220" w:top="118" w:right="239" w:bottom="922" w:gutter="0" w:footer="0" w:header="0"/>
        </w:sect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73660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20" w:top="118" w:right="239" w:bottom="922" w:gutter="0" w:footer="0" w:header="0"/>
          <w:type w:val="continuous"/>
        </w:sectPr>
      </w:pPr>
    </w:p>
    <w:bookmarkStart w:id="23" w:name="page24"/>
    <w:bookmarkEnd w:id="23"/>
    <w:p>
      <w:pPr>
        <w:ind w:left="20"/>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We define our non-GAAP measures, which may not be comparable to similarly titled measures reported by other companies, as follows:</w:t>
      </w:r>
    </w:p>
    <w:p>
      <w:pPr>
        <w:spacing w:after="0" w:line="194"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is a non-GAAP financial performance measure that enhances financial statement users overall understanding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performance of the Company. The measure isolates unusual, infrequent or non-cash transactions from the operating performance of the business. This allows users to easily compare operating performance among various fiscal periods and how management measures the performance of the business. This measure also provides users with a benchmark that can be used when forecasting future operating performance of the Company that excludes unusual, nonrecurring or one time transactions. Adjusted EBITDA is also a component of the calculation used by stockholders and analysts to determine the value of our business when using the market approach, which applies a market multiple to financial metrics. It is also a measure used to calculate the leverage ratio of the Company, which is a key financial ratio monitored and used by the Company and its investors. Adjusted EBITDA is defined as net income (loss), plus non-operating expenses, income tax expense, depreciation and amortization, assets loss (gain) on sales, impairments and other, restructuring costs and other, stock compensation and our 50% share of EBITDA from TNI and MNI, minus equity in earnings of TNI and MNI.</w:t>
      </w:r>
    </w:p>
    <w:p>
      <w:pPr>
        <w:spacing w:after="0" w:line="189" w:lineRule="exact"/>
        <w:rPr>
          <w:sz w:val="20"/>
          <w:szCs w:val="20"/>
          <w:color w:val="auto"/>
        </w:rPr>
      </w:pPr>
    </w:p>
    <w:p>
      <w:pPr>
        <w:jc w:val="both"/>
        <w:ind w:right="140"/>
        <w:spacing w:after="0" w:line="264" w:lineRule="auto"/>
        <w:rPr>
          <w:sz w:val="20"/>
          <w:szCs w:val="20"/>
          <w:color w:val="auto"/>
        </w:rPr>
      </w:pPr>
      <w:r>
        <w:rPr>
          <w:rFonts w:ascii="Arial" w:cs="Arial" w:eastAsia="Arial" w:hAnsi="Arial"/>
          <w:sz w:val="17"/>
          <w:szCs w:val="17"/>
          <w:i w:val="1"/>
          <w:iCs w:val="1"/>
          <w:color w:val="auto"/>
        </w:rPr>
        <w:t xml:space="preserve">Adjusted Income (Loss) and Adjusted Earnings (Loss) Per Common Share </w:t>
      </w:r>
      <w:r>
        <w:rPr>
          <w:rFonts w:ascii="Arial" w:cs="Arial" w:eastAsia="Arial" w:hAnsi="Arial"/>
          <w:sz w:val="17"/>
          <w:szCs w:val="17"/>
          <w:color w:val="auto"/>
        </w:rPr>
        <w:t>are non-GAAP financial performance measures that we believe</w:t>
      </w:r>
      <w:r>
        <w:rPr>
          <w:rFonts w:ascii="Arial" w:cs="Arial" w:eastAsia="Arial" w:hAnsi="Arial"/>
          <w:sz w:val="17"/>
          <w:szCs w:val="17"/>
          <w:i w:val="1"/>
          <w:iCs w:val="1"/>
          <w:color w:val="auto"/>
        </w:rPr>
        <w:t xml:space="preserve"> </w:t>
      </w:r>
      <w:r>
        <w:rPr>
          <w:rFonts w:ascii="Arial" w:cs="Arial" w:eastAsia="Arial" w:hAnsi="Arial"/>
          <w:sz w:val="17"/>
          <w:szCs w:val="17"/>
          <w:color w:val="auto"/>
        </w:rPr>
        <w:t>offer a useful metric to evaluate overall performance of the Company by providing financial statement users the operating performance of the Company excluding the impact of changes in the warrant valuation, which are non-cash transactions. It is defined as income (loss) attributable to Lee Enterprises, Incorporated and diluted earnings (loss) per common share adjusted to exclude the impact of the warrant valuation.</w:t>
      </w:r>
    </w:p>
    <w:p>
      <w:pPr>
        <w:spacing w:after="0" w:line="153" w:lineRule="exact"/>
        <w:rPr>
          <w:sz w:val="20"/>
          <w:szCs w:val="20"/>
          <w:color w:val="auto"/>
        </w:rPr>
      </w:pPr>
    </w:p>
    <w:p>
      <w:pPr>
        <w:jc w:val="both"/>
        <w:ind w:right="140"/>
        <w:spacing w:after="0" w:line="241" w:lineRule="auto"/>
        <w:rPr>
          <w:sz w:val="20"/>
          <w:szCs w:val="20"/>
          <w:color w:val="auto"/>
        </w:rPr>
      </w:pPr>
      <w:r>
        <w:rPr>
          <w:rFonts w:ascii="Arial" w:cs="Arial" w:eastAsia="Arial" w:hAnsi="Arial"/>
          <w:sz w:val="18"/>
          <w:szCs w:val="18"/>
          <w:i w:val="1"/>
          <w:iCs w:val="1"/>
          <w:color w:val="auto"/>
        </w:rPr>
        <w:t xml:space="preserve">Cash Costs </w:t>
      </w:r>
      <w:r>
        <w:rPr>
          <w:rFonts w:ascii="Arial" w:cs="Arial" w:eastAsia="Arial" w:hAnsi="Arial"/>
          <w:sz w:val="18"/>
          <w:szCs w:val="18"/>
          <w:color w:val="auto"/>
        </w:rPr>
        <w:t>represent a non-GAAP financial performance measure of operating expenses which are measured on an accrual basis and</w:t>
      </w:r>
      <w:r>
        <w:rPr>
          <w:rFonts w:ascii="Arial" w:cs="Arial" w:eastAsia="Arial" w:hAnsi="Arial"/>
          <w:sz w:val="18"/>
          <w:szCs w:val="18"/>
          <w:i w:val="1"/>
          <w:iCs w:val="1"/>
          <w:color w:val="auto"/>
        </w:rPr>
        <w:t xml:space="preserve"> </w:t>
      </w:r>
      <w:r>
        <w:rPr>
          <w:rFonts w:ascii="Arial" w:cs="Arial" w:eastAsia="Arial" w:hAnsi="Arial"/>
          <w:sz w:val="18"/>
          <w:szCs w:val="18"/>
          <w:color w:val="auto"/>
        </w:rPr>
        <w:t>settled in cash. This measure is useful to investors in understanding the components of the Company’s cash-settled operating costs. Generally, the Company provides forward-looking guidance of Cash Costs, which can be used by financial statement users to assess the Company's ability to manage and control its operating cost structure. Cash Costs are defined as compensation, newsprint and ink and other operating expenses. Depreciation and amortization, assets loss (gain) on sales, impairments and other, other non-cash operating expenses and other expenses are excluded. Cash Costs also exclude restructuring costs and other, which are typically settled in cash.</w:t>
      </w:r>
    </w:p>
    <w:p>
      <w:pPr>
        <w:spacing w:after="0" w:line="171" w:lineRule="exact"/>
        <w:rPr>
          <w:sz w:val="20"/>
          <w:szCs w:val="20"/>
          <w:color w:val="auto"/>
        </w:rPr>
      </w:pPr>
    </w:p>
    <w:p>
      <w:pPr>
        <w:jc w:val="both"/>
        <w:ind w:right="140"/>
        <w:spacing w:after="0" w:line="245" w:lineRule="auto"/>
        <w:rPr>
          <w:sz w:val="20"/>
          <w:szCs w:val="20"/>
          <w:color w:val="auto"/>
        </w:rPr>
      </w:pPr>
      <w:r>
        <w:rPr>
          <w:rFonts w:ascii="Arial" w:cs="Arial" w:eastAsia="Arial" w:hAnsi="Arial"/>
          <w:sz w:val="18"/>
          <w:szCs w:val="18"/>
          <w:i w:val="1"/>
          <w:iCs w:val="1"/>
          <w:color w:val="auto"/>
        </w:rPr>
        <w:t>Total Operating Revenue Less Cash Costs</w:t>
      </w:r>
      <w:r>
        <w:rPr>
          <w:rFonts w:ascii="Arial" w:cs="Arial" w:eastAsia="Arial" w:hAnsi="Arial"/>
          <w:sz w:val="18"/>
          <w:szCs w:val="18"/>
          <w:color w:val="auto"/>
        </w:rPr>
        <w:t>, or “margin”, represents a non-GAAP financial performance measure of revenue less total cash</w:t>
      </w:r>
      <w:r>
        <w:rPr>
          <w:rFonts w:ascii="Arial" w:cs="Arial" w:eastAsia="Arial" w:hAnsi="Arial"/>
          <w:sz w:val="18"/>
          <w:szCs w:val="18"/>
          <w:i w:val="1"/>
          <w:iCs w:val="1"/>
          <w:color w:val="auto"/>
        </w:rPr>
        <w:t xml:space="preserve"> </w:t>
      </w:r>
      <w:r>
        <w:rPr>
          <w:rFonts w:ascii="Arial" w:cs="Arial" w:eastAsia="Arial" w:hAnsi="Arial"/>
          <w:sz w:val="18"/>
          <w:szCs w:val="18"/>
          <w:color w:val="auto"/>
        </w:rPr>
        <w:t>costs, also a non-GAAP financial measure. This measure is useful to investors in understanding the profitability of the Company after direct cash costs related to the production and delivery of products are paid. Margin is also useful in developing opinions and expectations about the Company’s ability to manage and control its operating cost structure in relation to its peers.</w:t>
      </w:r>
    </w:p>
    <w:p>
      <w:pPr>
        <w:spacing w:after="0" w:line="186" w:lineRule="exact"/>
        <w:rPr>
          <w:sz w:val="20"/>
          <w:szCs w:val="20"/>
          <w:color w:val="auto"/>
        </w:rPr>
      </w:pPr>
    </w:p>
    <w:p>
      <w:pPr>
        <w:jc w:val="both"/>
        <w:ind w:right="140"/>
        <w:spacing w:after="0" w:line="239" w:lineRule="auto"/>
        <w:rPr>
          <w:sz w:val="20"/>
          <w:szCs w:val="20"/>
          <w:color w:val="auto"/>
        </w:rPr>
      </w:pPr>
      <w:r>
        <w:rPr>
          <w:rFonts w:ascii="Arial" w:cs="Arial" w:eastAsia="Arial" w:hAnsi="Arial"/>
          <w:sz w:val="18"/>
          <w:szCs w:val="18"/>
          <w:color w:val="auto"/>
        </w:rPr>
        <w:t>A table reconciling Adjusted EBITDA to net income, the most directly comparable measure under GAAP, is set forth below under the caption "Reconciliation of Non-GAAP Financial Measures". Reconciliations of adjusted income (loss) and adjusted earnings (loss) per diluted common share to income (loss) attributable to Lee Enterprises, Incorporated and earnings (loss) per diluted common share, respectively, the most directly comparable measures under GAAP, are set forth included herein, under the caption “Net Income and Earnings Per Share”.</w:t>
      </w:r>
    </w:p>
    <w:p>
      <w:pPr>
        <w:spacing w:after="0" w:line="188" w:lineRule="exact"/>
        <w:rPr>
          <w:sz w:val="20"/>
          <w:szCs w:val="20"/>
          <w:color w:val="auto"/>
        </w:rPr>
      </w:pPr>
    </w:p>
    <w:p>
      <w:pPr>
        <w:jc w:val="both"/>
        <w:ind w:right="140"/>
        <w:spacing w:after="0" w:line="246" w:lineRule="auto"/>
        <w:rPr>
          <w:sz w:val="20"/>
          <w:szCs w:val="20"/>
          <w:color w:val="auto"/>
        </w:rPr>
      </w:pPr>
      <w:r>
        <w:rPr>
          <w:rFonts w:ascii="Arial" w:cs="Arial" w:eastAsia="Arial" w:hAnsi="Arial"/>
          <w:sz w:val="18"/>
          <w:szCs w:val="18"/>
          <w:color w:val="auto"/>
        </w:rPr>
        <w:t>The subtotals of operating expenses representing cash costs and total operating revenue less cash costs can be found in tables included herein, under the caption “Continuing Operations”.</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table below reconciles the non-GAAP financial performance measure of adjusted EBITDA to net income, the most directly comparable</w:t>
      </w:r>
    </w:p>
    <w:p>
      <w:pPr>
        <w:ind w:left="20"/>
        <w:spacing w:after="0"/>
        <w:rPr>
          <w:sz w:val="20"/>
          <w:szCs w:val="20"/>
          <w:color w:val="auto"/>
        </w:rPr>
      </w:pPr>
      <w:r>
        <w:rPr>
          <w:rFonts w:ascii="Arial" w:cs="Arial" w:eastAsia="Arial" w:hAnsi="Arial"/>
          <w:sz w:val="18"/>
          <w:szCs w:val="18"/>
          <w:color w:val="auto"/>
        </w:rPr>
        <w:t>GAAP measure:</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80" w:type="dxa"/>
            <w:vAlign w:val="bottom"/>
            <w:tcBorders>
              <w:top w:val="single" w:sz="8" w:color="auto"/>
              <w:bottom w:val="single" w:sz="8" w:color="auto"/>
            </w:tcBorders>
          </w:tcPr>
          <w:p>
            <w:pPr>
              <w:spacing w:after="0"/>
              <w:rPr>
                <w:sz w:val="18"/>
                <w:szCs w:val="18"/>
                <w:color w:val="auto"/>
              </w:rPr>
            </w:pPr>
          </w:p>
        </w:tc>
        <w:tc>
          <w:tcPr>
            <w:tcW w:w="272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13 Weeks Ended</w:t>
            </w:r>
          </w:p>
        </w:tc>
        <w:tc>
          <w:tcPr>
            <w:tcW w:w="1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 Weeks Ended</w:t>
            </w:r>
          </w:p>
        </w:tc>
        <w:tc>
          <w:tcPr>
            <w:tcW w:w="0" w:type="dxa"/>
            <w:vAlign w:val="bottom"/>
          </w:tcPr>
          <w:p>
            <w:pPr>
              <w:spacing w:after="0"/>
              <w:rPr>
                <w:sz w:val="1"/>
                <w:szCs w:val="1"/>
                <w:color w:val="auto"/>
              </w:rPr>
            </w:pPr>
          </w:p>
        </w:tc>
      </w:tr>
      <w:tr>
        <w:trPr>
          <w:trHeight w:val="195"/>
        </w:trPr>
        <w:tc>
          <w:tcPr>
            <w:tcW w:w="54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272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December 29,</w:t>
            </w:r>
          </w:p>
        </w:tc>
        <w:tc>
          <w:tcPr>
            <w:tcW w:w="170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December 30,</w:t>
            </w:r>
          </w:p>
        </w:tc>
        <w:tc>
          <w:tcPr>
            <w:tcW w:w="16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December 29,</w:t>
            </w:r>
          </w:p>
        </w:tc>
        <w:tc>
          <w:tcPr>
            <w:tcW w:w="0" w:type="dxa"/>
            <w:vAlign w:val="bottom"/>
          </w:tcPr>
          <w:p>
            <w:pPr>
              <w:spacing w:after="0"/>
              <w:rPr>
                <w:sz w:val="1"/>
                <w:szCs w:val="1"/>
                <w:color w:val="auto"/>
              </w:rPr>
            </w:pPr>
          </w:p>
        </w:tc>
      </w:tr>
      <w:tr>
        <w:trPr>
          <w:trHeight w:val="203"/>
        </w:trPr>
        <w:tc>
          <w:tcPr>
            <w:tcW w:w="5400" w:type="dxa"/>
            <w:vAlign w:val="bottom"/>
            <w:gridSpan w:val="2"/>
            <w:vMerge w:val="continue"/>
          </w:tcPr>
          <w:p>
            <w:pPr>
              <w:spacing w:after="0"/>
              <w:rPr>
                <w:sz w:val="17"/>
                <w:szCs w:val="17"/>
                <w:color w:val="auto"/>
              </w:rPr>
            </w:pPr>
          </w:p>
        </w:tc>
        <w:tc>
          <w:tcPr>
            <w:tcW w:w="2720" w:type="dxa"/>
            <w:vAlign w:val="bottom"/>
          </w:tcPr>
          <w:p>
            <w:pPr>
              <w:jc w:val="right"/>
              <w:ind w:right="130"/>
              <w:spacing w:after="0" w:line="203" w:lineRule="exact"/>
              <w:rPr>
                <w:sz w:val="20"/>
                <w:szCs w:val="20"/>
                <w:color w:val="auto"/>
              </w:rPr>
            </w:pPr>
            <w:r>
              <w:rPr>
                <w:rFonts w:ascii="Arial" w:cs="Arial" w:eastAsia="Arial" w:hAnsi="Arial"/>
                <w:sz w:val="18"/>
                <w:szCs w:val="18"/>
                <w:color w:val="auto"/>
              </w:rPr>
              <w:t>2019</w:t>
            </w:r>
          </w:p>
        </w:tc>
        <w:tc>
          <w:tcPr>
            <w:tcW w:w="1700" w:type="dxa"/>
            <w:vAlign w:val="bottom"/>
          </w:tcPr>
          <w:p>
            <w:pPr>
              <w:jc w:val="right"/>
              <w:ind w:right="110"/>
              <w:spacing w:after="0" w:line="203" w:lineRule="exact"/>
              <w:rPr>
                <w:sz w:val="20"/>
                <w:szCs w:val="20"/>
                <w:color w:val="auto"/>
              </w:rPr>
            </w:pPr>
            <w:r>
              <w:rPr>
                <w:rFonts w:ascii="Arial" w:cs="Arial" w:eastAsia="Arial" w:hAnsi="Arial"/>
                <w:sz w:val="18"/>
                <w:szCs w:val="18"/>
                <w:color w:val="auto"/>
              </w:rPr>
              <w:t>2018</w:t>
            </w:r>
          </w:p>
        </w:tc>
        <w:tc>
          <w:tcPr>
            <w:tcW w:w="1600" w:type="dxa"/>
            <w:vAlign w:val="bottom"/>
          </w:tcPr>
          <w:p>
            <w:pPr>
              <w:jc w:val="right"/>
              <w:ind w:right="10"/>
              <w:spacing w:after="0" w:line="203" w:lineRule="exact"/>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380" w:type="dxa"/>
            <w:vAlign w:val="bottom"/>
            <w:tcBorders>
              <w:top w:val="single" w:sz="8" w:color="auto"/>
            </w:tcBorders>
          </w:tcPr>
          <w:p>
            <w:pPr>
              <w:spacing w:after="0"/>
              <w:rPr>
                <w:sz w:val="17"/>
                <w:szCs w:val="17"/>
                <w:color w:val="auto"/>
              </w:rPr>
            </w:pPr>
          </w:p>
        </w:tc>
        <w:tc>
          <w:tcPr>
            <w:tcW w:w="272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7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5,717</w:t>
            </w:r>
          </w:p>
        </w:tc>
        <w:tc>
          <w:tcPr>
            <w:tcW w:w="17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10,719</w:t>
            </w:r>
          </w:p>
        </w:tc>
        <w:tc>
          <w:tcPr>
            <w:tcW w:w="16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10,907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tcPr>
          <w:p>
            <w:pPr>
              <w:spacing w:after="0" w:line="202" w:lineRule="exact"/>
              <w:rPr>
                <w:sz w:val="20"/>
                <w:szCs w:val="20"/>
                <w:color w:val="auto"/>
              </w:rPr>
            </w:pPr>
            <w:r>
              <w:rPr>
                <w:rFonts w:ascii="Arial" w:cs="Arial" w:eastAsia="Arial" w:hAnsi="Arial"/>
                <w:sz w:val="18"/>
                <w:szCs w:val="18"/>
                <w:color w:val="auto"/>
              </w:rPr>
              <w:t>Adjusted to exclude</w:t>
            </w:r>
          </w:p>
        </w:tc>
        <w:tc>
          <w:tcPr>
            <w:tcW w:w="27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Income tax expense</w:t>
            </w:r>
          </w:p>
        </w:tc>
        <w:tc>
          <w:tcPr>
            <w:tcW w:w="27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1,871</w:t>
            </w:r>
          </w:p>
        </w:tc>
        <w:tc>
          <w:tcPr>
            <w:tcW w:w="17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4,513</w:t>
            </w:r>
          </w:p>
        </w:tc>
        <w:tc>
          <w:tcPr>
            <w:tcW w:w="16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5,289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tcPr>
          <w:p>
            <w:pPr>
              <w:ind w:left="160"/>
              <w:spacing w:after="0" w:line="202" w:lineRule="exact"/>
              <w:rPr>
                <w:sz w:val="20"/>
                <w:szCs w:val="20"/>
                <w:color w:val="auto"/>
              </w:rPr>
            </w:pPr>
            <w:r>
              <w:rPr>
                <w:rFonts w:ascii="Arial" w:cs="Arial" w:eastAsia="Arial" w:hAnsi="Arial"/>
                <w:sz w:val="18"/>
                <w:szCs w:val="18"/>
                <w:color w:val="auto"/>
              </w:rPr>
              <w:t>Non-operating expenses, net</w:t>
            </w:r>
          </w:p>
        </w:tc>
        <w:tc>
          <w:tcPr>
            <w:tcW w:w="27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10,718</w:t>
            </w:r>
          </w:p>
        </w:tc>
        <w:tc>
          <w:tcPr>
            <w:tcW w:w="17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12,487</w:t>
            </w: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49,120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Equity in earnings of TNI and MNI</w:t>
            </w:r>
          </w:p>
        </w:tc>
        <w:tc>
          <w:tcPr>
            <w:tcW w:w="272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(1,569)</w:t>
            </w:r>
          </w:p>
        </w:tc>
        <w:tc>
          <w:tcPr>
            <w:tcW w:w="170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(2,129)</w:t>
            </w:r>
          </w:p>
        </w:tc>
        <w:tc>
          <w:tcPr>
            <w:tcW w:w="1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tcPr>
          <w:p>
            <w:pPr>
              <w:ind w:left="160"/>
              <w:spacing w:after="0" w:line="202" w:lineRule="exact"/>
              <w:rPr>
                <w:sz w:val="20"/>
                <w:szCs w:val="20"/>
                <w:color w:val="auto"/>
              </w:rPr>
            </w:pPr>
            <w:r>
              <w:rPr>
                <w:rFonts w:ascii="Arial" w:cs="Arial" w:eastAsia="Arial" w:hAnsi="Arial"/>
                <w:sz w:val="18"/>
                <w:szCs w:val="18"/>
                <w:color w:val="auto"/>
              </w:rPr>
              <w:t>Loss (gain) on sale of assets and other, net</w:t>
            </w:r>
          </w:p>
        </w:tc>
        <w:tc>
          <w:tcPr>
            <w:tcW w:w="27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814</w:t>
            </w:r>
          </w:p>
        </w:tc>
        <w:tc>
          <w:tcPr>
            <w:tcW w:w="17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(100)</w:t>
            </w: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3,378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Depreciation and amortization</w:t>
            </w:r>
          </w:p>
        </w:tc>
        <w:tc>
          <w:tcPr>
            <w:tcW w:w="27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6,719</w:t>
            </w:r>
          </w:p>
        </w:tc>
        <w:tc>
          <w:tcPr>
            <w:tcW w:w="17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7,529</w:t>
            </w:r>
          </w:p>
        </w:tc>
        <w:tc>
          <w:tcPr>
            <w:tcW w:w="16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28,522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tcPr>
          <w:p>
            <w:pPr>
              <w:ind w:left="160"/>
              <w:spacing w:after="0" w:line="202" w:lineRule="exact"/>
              <w:rPr>
                <w:sz w:val="20"/>
                <w:szCs w:val="20"/>
                <w:color w:val="auto"/>
              </w:rPr>
            </w:pPr>
            <w:r>
              <w:rPr>
                <w:rFonts w:ascii="Arial" w:cs="Arial" w:eastAsia="Arial" w:hAnsi="Arial"/>
                <w:sz w:val="18"/>
                <w:szCs w:val="18"/>
                <w:color w:val="auto"/>
              </w:rPr>
              <w:t>Restructuring costs and other</w:t>
            </w:r>
          </w:p>
        </w:tc>
        <w:tc>
          <w:tcPr>
            <w:tcW w:w="27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1,632</w:t>
            </w:r>
          </w:p>
        </w:tc>
        <w:tc>
          <w:tcPr>
            <w:tcW w:w="17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62</w:t>
            </w: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13,205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Stock compensation</w:t>
            </w:r>
          </w:p>
        </w:tc>
        <w:tc>
          <w:tcPr>
            <w:tcW w:w="27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302</w:t>
            </w:r>
          </w:p>
        </w:tc>
        <w:tc>
          <w:tcPr>
            <w:tcW w:w="17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463</w:t>
            </w:r>
          </w:p>
        </w:tc>
        <w:tc>
          <w:tcPr>
            <w:tcW w:w="16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tcPr>
          <w:p>
            <w:pPr>
              <w:spacing w:after="0" w:line="202" w:lineRule="exact"/>
              <w:rPr>
                <w:sz w:val="20"/>
                <w:szCs w:val="20"/>
                <w:color w:val="auto"/>
              </w:rPr>
            </w:pPr>
            <w:r>
              <w:rPr>
                <w:rFonts w:ascii="Arial" w:cs="Arial" w:eastAsia="Arial" w:hAnsi="Arial"/>
                <w:sz w:val="18"/>
                <w:szCs w:val="18"/>
                <w:color w:val="auto"/>
              </w:rPr>
              <w:t>Add:</w:t>
            </w:r>
          </w:p>
        </w:tc>
        <w:tc>
          <w:tcPr>
            <w:tcW w:w="27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tcBorders>
              <w:bottom w:val="single" w:sz="8" w:color="auto"/>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Ownership share of TNI and MNI EBITDA (50%)</w:t>
            </w:r>
          </w:p>
        </w:tc>
        <w:tc>
          <w:tcPr>
            <w:tcW w:w="272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1,918</w:t>
            </w:r>
          </w:p>
        </w:tc>
        <w:tc>
          <w:tcPr>
            <w:tcW w:w="170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2,601</w:t>
            </w:r>
          </w:p>
        </w:tc>
        <w:tc>
          <w:tcPr>
            <w:tcW w:w="16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8,128</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3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Adjusted EBITDA</w:t>
            </w:r>
          </w:p>
        </w:tc>
        <w:tc>
          <w:tcPr>
            <w:tcW w:w="27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28,122</w:t>
            </w:r>
          </w:p>
        </w:tc>
        <w:tc>
          <w:tcPr>
            <w:tcW w:w="17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36,145</w:t>
            </w:r>
          </w:p>
        </w:tc>
        <w:tc>
          <w:tcPr>
            <w:tcW w:w="16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113,465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IMPACT OF RECENTLY ISSUED ACCOUNTING STANDARDS</w:t>
      </w:r>
    </w:p>
    <w:p>
      <w:pPr>
        <w:spacing w:after="0" w:line="234"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color w:val="auto"/>
        </w:rPr>
        <w:t>In February 2016, the FASB issued a new standard for the accounting treatment of leases, known as Accounting Standards 842 ("AS 842"). The new standard is based on the principle that entities should recognize assets and liabilities arising from leases. The new standard's primary change is the requirement for entities to recognize a lease liability for payments and a right of use asset representing the right to use the leased asset during the term on most operating lease arrangements. We adopted the standard effective September 30, 2019, the first day of fiscal year 2020.</w:t>
      </w:r>
    </w:p>
    <w:p>
      <w:pPr>
        <w:sectPr>
          <w:pgSz w:w="11900" w:h="16838" w:orient="portrait"/>
          <w:cols w:equalWidth="0" w:num="1">
            <w:col w:w="11440"/>
          </w:cols>
          <w:pgMar w:left="220" w:top="118" w:right="239" w:bottom="1440" w:gutter="0" w:footer="0" w:header="0"/>
        </w:sectPr>
      </w:pP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73660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20" w:top="118" w:right="239" w:bottom="1440" w:gutter="0" w:footer="0" w:header="0"/>
          <w:type w:val="continuous"/>
        </w:sectPr>
      </w:pPr>
    </w:p>
    <w:bookmarkStart w:id="24" w:name="page25"/>
    <w:bookmarkEnd w:id="24"/>
    <w:p>
      <w:pPr>
        <w:ind w:left="20"/>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27" w:lineRule="exact"/>
        <w:rPr>
          <w:sz w:val="20"/>
          <w:szCs w:val="20"/>
          <w:color w:val="auto"/>
        </w:rPr>
      </w:pPr>
    </w:p>
    <w:p>
      <w:pPr>
        <w:jc w:val="both"/>
        <w:ind w:right="140"/>
        <w:spacing w:after="0" w:line="237" w:lineRule="auto"/>
        <w:rPr>
          <w:sz w:val="20"/>
          <w:szCs w:val="20"/>
          <w:color w:val="auto"/>
        </w:rPr>
      </w:pPr>
      <w:r>
        <w:rPr>
          <w:rFonts w:ascii="Arial" w:cs="Arial" w:eastAsia="Arial" w:hAnsi="Arial"/>
          <w:sz w:val="18"/>
          <w:szCs w:val="18"/>
          <w:color w:val="auto"/>
        </w:rPr>
        <w:t>We elected the package of practical expedients which permits the Company to not reassess under the new standard the prior conclusions about lease identification, lease classification, or initial direct costs. In addition, we did reassess whether existing land easements which were previously not accounted for as leases are or contain leases under the new guidance. We have elected to combine non-lease and lease components when accounting for leases. The Company has made a policy election to exclude short-term leases, those with an original term of less than twelve months, from recognition and measurement under AS 842. As such, we have not recognized a right-of-use (“ROU”) asset or lease liability for these leases. Additional information and disclosures required by this new standard are contained in Note 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Our critical accounting policies include the following:</w:t>
      </w:r>
    </w:p>
    <w:p>
      <w:pPr>
        <w:spacing w:after="0" w:line="198" w:lineRule="exact"/>
        <w:rPr>
          <w:sz w:val="20"/>
          <w:szCs w:val="20"/>
          <w:color w:val="auto"/>
        </w:rPr>
      </w:pPr>
    </w:p>
    <w:p>
      <w:pPr>
        <w:ind w:left="840" w:hanging="326"/>
        <w:spacing w:after="0"/>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Intangible assets, other than goodwill;</w:t>
      </w:r>
    </w:p>
    <w:p>
      <w:pPr>
        <w:spacing w:after="0" w:line="36" w:lineRule="exact"/>
        <w:rPr>
          <w:rFonts w:ascii="Arial" w:cs="Arial" w:eastAsia="Arial" w:hAnsi="Arial"/>
          <w:sz w:val="18"/>
          <w:szCs w:val="18"/>
          <w:color w:val="auto"/>
        </w:rPr>
      </w:pPr>
    </w:p>
    <w:p>
      <w:pPr>
        <w:ind w:left="840" w:hanging="326"/>
        <w:spacing w:after="0"/>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Pension, postretirement and postemployment benefit plans; and</w:t>
      </w:r>
    </w:p>
    <w:p>
      <w:pPr>
        <w:spacing w:after="0" w:line="36" w:lineRule="exact"/>
        <w:rPr>
          <w:rFonts w:ascii="Arial" w:cs="Arial" w:eastAsia="Arial" w:hAnsi="Arial"/>
          <w:sz w:val="18"/>
          <w:szCs w:val="18"/>
          <w:color w:val="auto"/>
        </w:rPr>
      </w:pPr>
    </w:p>
    <w:p>
      <w:pPr>
        <w:ind w:left="840" w:hanging="326"/>
        <w:spacing w:after="0"/>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39" w:lineRule="exact"/>
        <w:rPr>
          <w:sz w:val="20"/>
          <w:szCs w:val="20"/>
          <w:color w:val="auto"/>
        </w:rPr>
      </w:pPr>
    </w:p>
    <w:p>
      <w:pPr>
        <w:jc w:val="both"/>
        <w:ind w:left="20" w:right="20"/>
        <w:spacing w:after="0" w:line="246" w:lineRule="auto"/>
        <w:rPr>
          <w:sz w:val="20"/>
          <w:szCs w:val="20"/>
          <w:color w:val="auto"/>
        </w:rPr>
      </w:pPr>
      <w:r>
        <w:rPr>
          <w:rFonts w:ascii="Arial" w:cs="Arial" w:eastAsia="Arial" w:hAnsi="Arial"/>
          <w:sz w:val="18"/>
          <w:szCs w:val="18"/>
          <w:color w:val="auto"/>
        </w:rPr>
        <w:t>Additional information regarding these critical accounting policies can be found under the caption “Management's Discussion and Analysis of Financial Condition and Results of Operations” in our 2019 Annual Report on Form 10-K.</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EXECUTIVE OVERVIEW</w:t>
      </w:r>
    </w:p>
    <w:p>
      <w:pPr>
        <w:spacing w:after="0" w:line="220" w:lineRule="exact"/>
        <w:rPr>
          <w:sz w:val="20"/>
          <w:szCs w:val="20"/>
          <w:color w:val="auto"/>
        </w:rPr>
      </w:pPr>
    </w:p>
    <w:p>
      <w:pPr>
        <w:jc w:val="both"/>
        <w:ind w:left="20"/>
        <w:spacing w:after="0"/>
        <w:rPr>
          <w:sz w:val="20"/>
          <w:szCs w:val="20"/>
          <w:color w:val="auto"/>
        </w:rPr>
      </w:pPr>
      <w:r>
        <w:rPr>
          <w:rFonts w:ascii="Arial" w:cs="Arial" w:eastAsia="Arial" w:hAnsi="Arial"/>
          <w:sz w:val="18"/>
          <w:szCs w:val="18"/>
          <w:color w:val="auto"/>
        </w:rPr>
        <w:t>Lee Enterprises, Incorporated is a leading provider of high quality, trusted, local news and information, and a major platform for advertising in the markets we serve. We operate 49 principally mid-sized local media operations and manage 30 additional local media operations through an agreement with BHMG (the "Management Agreement").</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reach 77% of all adults in our larger markets through a combination of our print and digital content offerings.</w:t>
      </w:r>
    </w:p>
    <w:p>
      <w:pPr>
        <w:spacing w:after="0" w:line="198" w:lineRule="exact"/>
        <w:rPr>
          <w:sz w:val="20"/>
          <w:szCs w:val="20"/>
          <w:color w:val="auto"/>
        </w:rPr>
      </w:pPr>
    </w:p>
    <w:p>
      <w:pPr>
        <w:jc w:val="both"/>
        <w:ind w:left="680" w:hanging="328"/>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web and mobile sites are the number one digital source of local news in most of our markets, reaching more than 28.0 million unique visitors each month with a monthly average of 266 million page views. Page views per visit, one metric we use to monitor engagement, increased 4.4%</w:t>
      </w:r>
    </w:p>
    <w:p>
      <w:pPr>
        <w:spacing w:after="0" w:line="189" w:lineRule="exact"/>
        <w:rPr>
          <w:rFonts w:ascii="Arial" w:cs="Arial" w:eastAsia="Arial" w:hAnsi="Arial"/>
          <w:sz w:val="18"/>
          <w:szCs w:val="18"/>
          <w:color w:val="auto"/>
        </w:rPr>
      </w:pPr>
    </w:p>
    <w:p>
      <w:pPr>
        <w:ind w:left="680" w:hanging="328"/>
        <w:spacing w:after="0" w:line="246"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printed newspapers reach approximately 0.7 million households daily and approximately 1.0 million on Sunday, with estimated readership totaling three million. Digital only subscribers totaled approximately 105,000, an 84.8% increase over the prior year.</w:t>
      </w:r>
    </w:p>
    <w:p>
      <w:pPr>
        <w:spacing w:after="0" w:line="183" w:lineRule="exact"/>
        <w:rPr>
          <w:sz w:val="20"/>
          <w:szCs w:val="20"/>
          <w:color w:val="auto"/>
        </w:rPr>
      </w:pPr>
    </w:p>
    <w:p>
      <w:pPr>
        <w:jc w:val="both"/>
        <w:ind w:left="20"/>
        <w:spacing w:after="0" w:line="239" w:lineRule="auto"/>
        <w:rPr>
          <w:sz w:val="20"/>
          <w:szCs w:val="20"/>
          <w:color w:val="auto"/>
        </w:rPr>
      </w:pPr>
      <w:r>
        <w:rPr>
          <w:rFonts w:ascii="Arial" w:cs="Arial" w:eastAsia="Arial" w:hAnsi="Arial"/>
          <w:sz w:val="18"/>
          <w:szCs w:val="18"/>
          <w:color w:val="auto"/>
        </w:rPr>
        <w:t xml:space="preserve">Our products include daily newspapers, websites and mobile applications, mobile news and advertising, video products, a digital marketing agency, digital services including web hosting and content management, niche publications and community newspapers. Our local media operations range from large daily newspapers and their associated digital products, such as the </w:t>
      </w:r>
      <w:r>
        <w:rPr>
          <w:rFonts w:ascii="Arial" w:cs="Arial" w:eastAsia="Arial" w:hAnsi="Arial"/>
          <w:sz w:val="18"/>
          <w:szCs w:val="18"/>
          <w:i w:val="1"/>
          <w:iCs w:val="1"/>
          <w:color w:val="auto"/>
        </w:rPr>
        <w:t>St. Louis Post-Dispatch</w:t>
      </w:r>
      <w:r>
        <w:rPr>
          <w:rFonts w:ascii="Arial" w:cs="Arial" w:eastAsia="Arial" w:hAnsi="Arial"/>
          <w:sz w:val="18"/>
          <w:szCs w:val="18"/>
          <w:color w:val="auto"/>
        </w:rPr>
        <w:t>, to non-daily newspapers with news websites and digital platforms serving smaller communities.</w:t>
      </w:r>
    </w:p>
    <w:p>
      <w:pPr>
        <w:spacing w:after="0" w:line="188" w:lineRule="exact"/>
        <w:rPr>
          <w:sz w:val="20"/>
          <w:szCs w:val="20"/>
          <w:color w:val="auto"/>
        </w:rPr>
      </w:pPr>
    </w:p>
    <w:p>
      <w:pPr>
        <w:jc w:val="both"/>
        <w:ind w:left="20"/>
        <w:spacing w:after="0" w:line="246" w:lineRule="auto"/>
        <w:rPr>
          <w:sz w:val="20"/>
          <w:szCs w:val="20"/>
          <w:color w:val="auto"/>
        </w:rPr>
      </w:pPr>
      <w:r>
        <w:rPr>
          <w:rFonts w:ascii="Arial" w:cs="Arial" w:eastAsia="Arial" w:hAnsi="Arial"/>
          <w:sz w:val="18"/>
          <w:szCs w:val="18"/>
          <w:color w:val="auto"/>
        </w:rPr>
        <w:t>We also operate TownNews, through our 82.5% owned subsidiary INN Partners, L.C. ("TownNews"). TownNews provides state-of-the-art web hosting, content management services and video management services to nearly 2,000 other media organizations including broadcast.</w:t>
      </w:r>
    </w:p>
    <w:p>
      <w:pPr>
        <w:spacing w:after="0" w:line="183" w:lineRule="exact"/>
        <w:rPr>
          <w:sz w:val="20"/>
          <w:szCs w:val="20"/>
          <w:color w:val="auto"/>
        </w:rPr>
      </w:pPr>
    </w:p>
    <w:p>
      <w:pPr>
        <w:jc w:val="both"/>
        <w:ind w:left="20"/>
        <w:spacing w:after="0" w:line="237" w:lineRule="auto"/>
        <w:rPr>
          <w:sz w:val="20"/>
          <w:szCs w:val="20"/>
          <w:color w:val="auto"/>
        </w:rPr>
      </w:pPr>
      <w:r>
        <w:rPr>
          <w:rFonts w:ascii="Arial" w:cs="Arial" w:eastAsia="Arial" w:hAnsi="Arial"/>
          <w:sz w:val="18"/>
          <w:szCs w:val="18"/>
          <w:color w:val="auto"/>
        </w:rPr>
        <w:t>In June 2018, we entered into the Management Agreement to manage Berkshire Hathaway's newspaper and digital operations in 30 markets. The Company operates BHMG consistent with how it manages its own newspaper and digital operations. Among other decisions, Berkshire Hathaway is responsible for approving operating and capital budgets. The Management Agreement extends for a term of five years and may be extended thereafter for successive one-year terms on such terms as may be mutually agreed to by the Company and Berkshire Hathaway. The Management Agreement provides for the Company to be paid a fixed annual fee of $5 million, payable quarterly in arrears, and a variable fee based on the financial performance of BHMG. The variable fees are payable annually in arrears.</w:t>
      </w:r>
    </w:p>
    <w:p>
      <w:pPr>
        <w:spacing w:after="0" w:line="174" w:lineRule="exact"/>
        <w:rPr>
          <w:sz w:val="20"/>
          <w:szCs w:val="20"/>
          <w:color w:val="auto"/>
        </w:rPr>
      </w:pPr>
    </w:p>
    <w:p>
      <w:pPr>
        <w:jc w:val="both"/>
        <w:ind w:left="20"/>
        <w:spacing w:after="0" w:line="242" w:lineRule="auto"/>
        <w:rPr>
          <w:sz w:val="20"/>
          <w:szCs w:val="20"/>
          <w:color w:val="auto"/>
        </w:rPr>
      </w:pPr>
      <w:r>
        <w:rPr>
          <w:rFonts w:ascii="Arial" w:cs="Arial" w:eastAsia="Arial" w:hAnsi="Arial"/>
          <w:sz w:val="18"/>
          <w:szCs w:val="18"/>
          <w:color w:val="auto"/>
        </w:rPr>
        <w:t xml:space="preserve">On January 29, 2020, we entered into a definitive agreement with BHMG and Berkshire Hathaway to acquire BHMG publications and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Buffalo News </w:t>
      </w:r>
      <w:r>
        <w:rPr>
          <w:rFonts w:ascii="Arial" w:cs="Arial" w:eastAsia="Arial" w:hAnsi="Arial"/>
          <w:sz w:val="18"/>
          <w:szCs w:val="18"/>
          <w:color w:val="auto"/>
        </w:rPr>
        <w:t>for $140,000,000 in cash. BH Finance, LLC is providing approximately $576,000,000 in long-term financing to Lee at a 9%</w:t>
      </w:r>
      <w:r>
        <w:rPr>
          <w:rFonts w:ascii="Arial" w:cs="Arial" w:eastAsia="Arial" w:hAnsi="Arial"/>
          <w:sz w:val="18"/>
          <w:szCs w:val="18"/>
          <w:i w:val="1"/>
          <w:iCs w:val="1"/>
          <w:color w:val="auto"/>
        </w:rPr>
        <w:t xml:space="preserve"> </w:t>
      </w:r>
      <w:r>
        <w:rPr>
          <w:rFonts w:ascii="Arial" w:cs="Arial" w:eastAsia="Arial" w:hAnsi="Arial"/>
          <w:sz w:val="18"/>
          <w:szCs w:val="18"/>
          <w:color w:val="auto"/>
        </w:rPr>
        <w:t>annual rate. The proceeds from the Debt Refinancing will be used to pay for the acquisition, refinance Lee’s $433,394,000 of existing debt, and provide enough cash on Lee’s balance sheet to allow for the termination of Lee’s revolving credit facility. Subsequent to the deal closing, BH Finance will be Lee’s sole lender and the Management Agreement will terminate.</w:t>
      </w:r>
    </w:p>
    <w:p>
      <w:pPr>
        <w:spacing w:after="0" w:line="190" w:lineRule="exact"/>
        <w:rPr>
          <w:sz w:val="20"/>
          <w:szCs w:val="20"/>
          <w:color w:val="auto"/>
        </w:rPr>
      </w:pPr>
    </w:p>
    <w:p>
      <w:pPr>
        <w:jc w:val="both"/>
        <w:ind w:left="20"/>
        <w:spacing w:after="0" w:line="238" w:lineRule="auto"/>
        <w:rPr>
          <w:sz w:val="20"/>
          <w:szCs w:val="20"/>
          <w:color w:val="auto"/>
        </w:rPr>
      </w:pPr>
      <w:r>
        <w:rPr>
          <w:rFonts w:ascii="Arial" w:cs="Arial" w:eastAsia="Arial" w:hAnsi="Arial"/>
          <w:sz w:val="18"/>
          <w:szCs w:val="18"/>
          <w:color w:val="auto"/>
        </w:rPr>
        <w:t xml:space="preserve">Serving communities in 10 states, BHMG owns the print and digital operations of 30 daily newspapers, as well as more than 49 paid weekly publications with digital sites and 32 other print products. BHMG had 2019 revenues of $373,400,000. Lee has managed BHMG’s publications since July 2018 under the Management Agreement. The transaction also includes </w:t>
      </w:r>
      <w:r>
        <w:rPr>
          <w:rFonts w:ascii="Arial" w:cs="Arial" w:eastAsia="Arial" w:hAnsi="Arial"/>
          <w:sz w:val="18"/>
          <w:szCs w:val="18"/>
          <w:i w:val="1"/>
          <w:iCs w:val="1"/>
          <w:color w:val="auto"/>
        </w:rPr>
        <w:t>The Buffalo News</w:t>
      </w:r>
      <w:r>
        <w:rPr>
          <w:rFonts w:ascii="Arial" w:cs="Arial" w:eastAsia="Arial" w:hAnsi="Arial"/>
          <w:sz w:val="18"/>
          <w:szCs w:val="18"/>
          <w:color w:val="auto"/>
        </w:rPr>
        <w:t>, Western New York’s premier news source, which is separately owned by Berkshire Hathaway. BHMG’s real estate (including permanently attached equipment) and cash are excluded from the acquisition.</w:t>
      </w:r>
    </w:p>
    <w:p>
      <w:pPr>
        <w:spacing w:after="0" w:line="189" w:lineRule="exact"/>
        <w:rPr>
          <w:sz w:val="20"/>
          <w:szCs w:val="20"/>
          <w:color w:val="auto"/>
        </w:rPr>
      </w:pPr>
    </w:p>
    <w:p>
      <w:pPr>
        <w:jc w:val="both"/>
        <w:ind w:left="20"/>
        <w:spacing w:after="0" w:line="239" w:lineRule="auto"/>
        <w:rPr>
          <w:sz w:val="20"/>
          <w:szCs w:val="20"/>
          <w:color w:val="auto"/>
        </w:rPr>
      </w:pPr>
      <w:r>
        <w:rPr>
          <w:rFonts w:ascii="Arial" w:cs="Arial" w:eastAsia="Arial" w:hAnsi="Arial"/>
          <w:sz w:val="18"/>
          <w:szCs w:val="18"/>
          <w:color w:val="auto"/>
        </w:rPr>
        <w:t>The addition of Berkshire Hathaway’s robust portfolio of high-quality local publications will add significant size and scale to Lee’s operations, bringing its portfolio of daily newspapers to 80 from 49 and nearly doubling its audience size. The transaction is expected to drive an 87% increase in revenue, a 40% increase in adjusted EBITDA and immediately reduce leverage before synergies. Based on Lee’s work managing BHMG publications over the last 18 months, Lee expects $20,000,000 to $25,000,000 of anticipated annual revenue and cost synergies.</w:t>
      </w:r>
    </w:p>
    <w:p>
      <w:pPr>
        <w:spacing w:after="0" w:line="188" w:lineRule="exact"/>
        <w:rPr>
          <w:sz w:val="20"/>
          <w:szCs w:val="20"/>
          <w:color w:val="auto"/>
        </w:rPr>
      </w:pPr>
    </w:p>
    <w:p>
      <w:pPr>
        <w:jc w:val="both"/>
        <w:ind w:left="20"/>
        <w:spacing w:after="0" w:line="238" w:lineRule="auto"/>
        <w:rPr>
          <w:sz w:val="20"/>
          <w:szCs w:val="20"/>
          <w:color w:val="auto"/>
        </w:rPr>
      </w:pPr>
      <w:r>
        <w:rPr>
          <w:rFonts w:ascii="Arial" w:cs="Arial" w:eastAsia="Arial" w:hAnsi="Arial"/>
          <w:sz w:val="18"/>
          <w:szCs w:val="18"/>
          <w:color w:val="auto"/>
        </w:rPr>
        <w:t>The approximately $576,000,000 in long-term financing from BH Finance will have an interest rate of 9% annually with a 25-year maturity and no performance covenants. The financing requires no fees, will result in approximately $ 5,000,000 of interest rate savings on Lee's refinanced debt annually, and will eliminate Lee’s existing $23,000,000 revolving credit facility. With a stronger growth profile and a more flexible balance sheet, Lee will be able to de-lever more quickly over the long term. Lee will continue to prioritize deleveraging, including strategically monetizing noncore assets.</w:t>
      </w:r>
    </w:p>
    <w:p>
      <w:pPr>
        <w:sectPr>
          <w:pgSz w:w="11900" w:h="16838" w:orient="portrait"/>
          <w:cols w:equalWidth="0" w:num="1">
            <w:col w:w="11440"/>
          </w:cols>
          <w:pgMar w:left="220" w:top="118" w:right="239" w:bottom="962" w:gutter="0" w:footer="0" w:header="0"/>
        </w:sect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73660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20" w:top="118" w:right="239" w:bottom="962" w:gutter="0" w:footer="0" w:header="0"/>
          <w:type w:val="continuous"/>
        </w:sectPr>
      </w:pPr>
    </w:p>
    <w:bookmarkStart w:id="25" w:name="page26"/>
    <w:bookmarkEnd w:id="2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acquisition is expected to be immediately accretive to earnings and the deal valuation is approximately 3.3x adjusted EBITDA, before any cost and revenue synergies. Lee has identified approximately $20,000,000 to $25,000,000 of highly achievable annual synergies, including revenue synergies from the management of digital advertising and subscriber programs, and cost synergies, primarily from the reduction of administrative expenses. Lee expects to achieve the full synergy run-rate within 24 months of closing, which is expected in mid-March 2020, subject to customary regulatory approvals.</w:t>
      </w:r>
    </w:p>
    <w:p>
      <w:pPr>
        <w:spacing w:after="0" w:line="189"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As part of the agreement, Lee will enter into a 10-year lease for BHMG’s real estate. The initial lease payment is $8,000,000 annually, payable in monthly installments, with Lee assuming responsibility for the maintenance and expense associated with the BHMG property. Lease payments can be reduced to the extent BHMG real estate is monetized.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GOODWILL AND OTHER ASSETS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significant amounts of goodwill and identified intangible assets. Since 2007 we have recorded impairment charges totaling almost $1.3 billion to reduce the value of certain of these assets. Future decreases in our market value, or significant differences in revenue, expenses or cash flows from estimates used to determine fair value, could result in additional impairment charges in the future.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LIQUIDITY</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a substantial amount of debt, as discussed more fully in Note 5 of the Notes to Consolidated Financial Statements, included herein. Since February 2009, we have satisfied all interest payments and substantially all principal payments due under our debt facilities with our cash flows and asset sales.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29, 2019, the terms and outstanding balances from our 2014 Refinancing consist of the following:</w:t>
      </w:r>
    </w:p>
    <w:p>
      <w:pPr>
        <w:spacing w:after="0" w:line="198" w:lineRule="exact"/>
        <w:rPr>
          <w:sz w:val="20"/>
          <w:szCs w:val="20"/>
          <w:color w:val="auto"/>
        </w:rPr>
      </w:pPr>
    </w:p>
    <w:p>
      <w:pPr>
        <w:ind w:left="1220" w:right="480" w:hanging="564"/>
        <w:spacing w:after="0" w:line="246" w:lineRule="auto"/>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$400,000,000 aggregate principal amount of 9.5% Senior Secured Notes (the “Notes”), pursuant to an Indenture dated as of March 31, 2014 (the “Indenture”), of which $356,141,000 is outstanding at December 29, 2019;</w:t>
      </w:r>
    </w:p>
    <w:p>
      <w:pPr>
        <w:spacing w:after="0" w:line="183" w:lineRule="exact"/>
        <w:rPr>
          <w:rFonts w:ascii="Arial" w:cs="Arial" w:eastAsia="Arial" w:hAnsi="Arial"/>
          <w:sz w:val="18"/>
          <w:szCs w:val="18"/>
          <w:color w:val="auto"/>
        </w:rPr>
      </w:pPr>
    </w:p>
    <w:p>
      <w:pPr>
        <w:jc w:val="both"/>
        <w:ind w:left="1220" w:right="500" w:hanging="564"/>
        <w:spacing w:after="0" w:line="209" w:lineRule="auto"/>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$250,000,000 first lien term loan (the "1st Lien Term Loan") and $40,000,000 revolving facility (the "Revolving Facility") under a First Lien Credit Agreement dated as of March 31, 2014 (together, 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Credit Facility”), of which $0 is outstanding at December 29, 2019; and</w:t>
      </w:r>
    </w:p>
    <w:p>
      <w:pPr>
        <w:spacing w:after="0" w:line="190" w:lineRule="exact"/>
        <w:rPr>
          <w:rFonts w:ascii="Arial" w:cs="Arial" w:eastAsia="Arial" w:hAnsi="Arial"/>
          <w:sz w:val="18"/>
          <w:szCs w:val="18"/>
          <w:color w:val="auto"/>
        </w:rPr>
      </w:pPr>
    </w:p>
    <w:p>
      <w:pPr>
        <w:ind w:left="1220" w:right="500" w:hanging="564"/>
        <w:spacing w:after="0" w:line="181" w:lineRule="auto"/>
        <w:tabs>
          <w:tab w:leader="none" w:pos="1220" w:val="left"/>
        </w:tabs>
        <w:numPr>
          <w:ilvl w:val="0"/>
          <w:numId w:val="17"/>
        </w:numPr>
        <w:rPr>
          <w:rFonts w:ascii="Arial" w:cs="Arial" w:eastAsia="Arial" w:hAnsi="Arial"/>
          <w:sz w:val="35"/>
          <w:szCs w:val="35"/>
          <w:color w:val="auto"/>
          <w:vertAlign w:val="superscript"/>
        </w:rPr>
      </w:pPr>
      <w:r>
        <w:rPr>
          <w:rFonts w:ascii="Arial" w:cs="Arial" w:eastAsia="Arial" w:hAnsi="Arial"/>
          <w:sz w:val="18"/>
          <w:szCs w:val="18"/>
          <w:color w:val="auto"/>
        </w:rPr>
        <w:t>$150,000,000 second lien term loan under a Second Lien Loan Agreement dated as of March 31, 2014 (the “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Lien Term Loan”), of which $77,253,000 is outstanding at December 29, 2019.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 November 2018, we repaid, in full, the remaining balance of 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Term Loan.</w:t>
      </w:r>
    </w:p>
    <w:p>
      <w:pPr>
        <w:spacing w:after="0" w:line="101" w:lineRule="exact"/>
        <w:rPr>
          <w:sz w:val="20"/>
          <w:szCs w:val="20"/>
          <w:color w:val="auto"/>
        </w:rPr>
      </w:pPr>
    </w:p>
    <w:p>
      <w:pPr>
        <w:jc w:val="both"/>
        <w:spacing w:after="0" w:line="199" w:lineRule="auto"/>
        <w:rPr>
          <w:sz w:val="20"/>
          <w:szCs w:val="20"/>
          <w:color w:val="auto"/>
        </w:rPr>
      </w:pPr>
      <w:r>
        <w:rPr>
          <w:rFonts w:ascii="Arial" w:cs="Arial" w:eastAsia="Arial" w:hAnsi="Arial"/>
          <w:sz w:val="18"/>
          <w:szCs w:val="18"/>
          <w:color w:val="auto"/>
        </w:rPr>
        <w:t>In November 2019, we amended our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Credit Facility to amend and extend our $23,120,000 Revolving Facility (the "Amendment") through December 28, 2020. Our Revolving Facility was undrawn at the time of the amendment.</w:t>
      </w:r>
    </w:p>
    <w:p>
      <w:pPr>
        <w:spacing w:after="0" w:line="19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may repurchase Notes in the open market at any time. In the 13 weeks ended December 29, 2019 we purchased $7,279,000 principal amount of Notes in privately negotiated transactions. The transactions resulted in a gain on extinguishment of debt totaling $25,000 in the 13 weeks ended December 29, 2019 which is recorded in Other, net in the Consolidated Statements of Income and Comprehensive Income.</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ability to make payments on our indebtedness will depend on our ability to generate future cash flows from operations. Cash generated from future asset sales could serve as an additional source of repayment. This ability, to a certain extent, is subject to general economic, financial, competitive, business, legislative, regulatory and other factors that are beyond our control.</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At December 29, 2019, after consideration of letters of credit, we have approximately $17,644,000 available for future use under our Revolving Facility, which expires December 28, 2020. Including cash, our liquidity at December 29, 2019 totals $22,112,000. This liquidity amount excludes any future cash flows. Our adjusted EBITDA has been strong for the last seven years and totaled $113,465,000 for the trailing twelve months ended December 29, 2019, but there can be no assurance that such performance will continue. We expect all interest and principal payments due in the next twelve months will be satisfied by our cash flows from operations and certain asset sales, which will allow us to maintain an adequate level of liquidity.</w:t>
      </w:r>
    </w:p>
    <w:p>
      <w:pPr>
        <w:spacing w:after="0" w:line="192" w:lineRule="exact"/>
        <w:rPr>
          <w:sz w:val="20"/>
          <w:szCs w:val="20"/>
          <w:color w:val="auto"/>
        </w:rPr>
      </w:pPr>
    </w:p>
    <w:p>
      <w:pPr>
        <w:jc w:val="both"/>
        <w:spacing w:after="0"/>
        <w:rPr>
          <w:sz w:val="20"/>
          <w:szCs w:val="20"/>
          <w:color w:val="auto"/>
        </w:rPr>
      </w:pPr>
      <w:r>
        <w:rPr>
          <w:rFonts w:ascii="Arial" w:cs="Arial" w:eastAsia="Arial" w:hAnsi="Arial"/>
          <w:sz w:val="18"/>
          <w:szCs w:val="18"/>
          <w:color w:val="auto"/>
        </w:rPr>
        <w:t>Pursuant to the terms of the financing agreement with BH Finance, our new debt will not include a revolver. Our current Revolving Facility will be terminated upon closing of the Debt Refinancing. The Debt Refinancing covenants provide for increased cash on hand which will satisfy our liquidity needs in lieu of a revolver.</w:t>
      </w:r>
    </w:p>
    <w:p>
      <w:pPr>
        <w:spacing w:after="0" w:line="189"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At December 29, 2019, the principal amount of our outstanding debt totaled $433,394,000. The December 29, 2019 principal amount of our debt, net of cash, is 3.8 times our trailing twelve months adjusted EBITDA.</w:t>
      </w:r>
    </w:p>
    <w:p>
      <w:pPr>
        <w:spacing w:after="0" w:line="18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Excluding our Revolving Facility, which is undrawn as of December 29, 2019, final maturities of our debt range from March 2022 through December 2022. Our Revolving Facility expires December 28, 2020.</w:t>
      </w:r>
    </w:p>
    <w:p>
      <w:pPr>
        <w:spacing w:after="0" w:line="184" w:lineRule="exact"/>
        <w:rPr>
          <w:sz w:val="20"/>
          <w:szCs w:val="20"/>
          <w:color w:val="auto"/>
        </w:rPr>
      </w:pPr>
    </w:p>
    <w:p>
      <w:pPr>
        <w:jc w:val="both"/>
        <w:spacing w:after="0" w:line="206" w:lineRule="auto"/>
        <w:rPr>
          <w:sz w:val="20"/>
          <w:szCs w:val="20"/>
          <w:color w:val="auto"/>
        </w:rPr>
      </w:pPr>
      <w:r>
        <w:rPr>
          <w:rFonts w:ascii="Arial" w:cs="Arial" w:eastAsia="Arial" w:hAnsi="Arial"/>
          <w:sz w:val="17"/>
          <w:szCs w:val="17"/>
          <w:color w:val="auto"/>
        </w:rPr>
        <w:t>There are numerous potential consequences under the Notes,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Lien Credit Facility and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Lien Term Loan, if an event of default, as defined, occurs and is not remedied. Many of those consequences are beyond our control. The occurrence of one or more events of default would give</w:t>
      </w:r>
    </w:p>
    <w:p>
      <w:pPr>
        <w:spacing w:after="0" w:line="2"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rise to the right of the applicable lender(s) to exercise their remedies under the Notes,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Credit Facility and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 respectively, including, without limitation, the right to accelerate all outstanding debt and take actions authorized in such circumstances under applicable collateral security documents.</w:t>
      </w:r>
    </w:p>
    <w:p>
      <w:pPr>
        <w:spacing w:after="0" w:line="190"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Our ability to operate as a going concern is dependent on our ability to remain in compliance with debt covenants and to repay, refinance or amend our debt agreements as they become due, if necessary. The Notes,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Credit Facility and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 have only limited affirmative covenants with which we are required to maintain compliance. We are in compliance with our debt covenants at December 29, 2019.</w:t>
      </w:r>
    </w:p>
    <w:p>
      <w:pPr>
        <w:sectPr>
          <w:pgSz w:w="11900" w:h="16838" w:orient="portrait"/>
          <w:cols w:equalWidth="0" w:num="1">
            <w:col w:w="11420"/>
          </w:cols>
          <w:pgMar w:left="240" w:top="118" w:right="239" w:bottom="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type w:val="continuous"/>
        </w:sectPr>
      </w:pPr>
    </w:p>
    <w:bookmarkStart w:id="26" w:name="page27"/>
    <w:bookmarkEnd w:id="2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WEEKS ENDED DECEMBER 29, 2019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as reported in the Consolidated Financial Statements,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60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December</w:t>
            </w:r>
          </w:p>
        </w:tc>
        <w:tc>
          <w:tcPr>
            <w:tcW w:w="14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December</w:t>
            </w:r>
          </w:p>
        </w:tc>
        <w:tc>
          <w:tcPr>
            <w:tcW w:w="1060" w:type="dxa"/>
            <w:vAlign w:val="bottom"/>
            <w:tcBorders>
              <w:top w:val="single" w:sz="8" w:color="auto"/>
            </w:tcBorders>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600" w:type="dxa"/>
            <w:vAlign w:val="bottom"/>
          </w:tcPr>
          <w:p>
            <w:pPr>
              <w:spacing w:after="0"/>
              <w:rPr>
                <w:sz w:val="17"/>
                <w:szCs w:val="17"/>
                <w:color w:val="auto"/>
              </w:rPr>
            </w:pPr>
          </w:p>
        </w:tc>
        <w:tc>
          <w:tcPr>
            <w:tcW w:w="2280" w:type="dxa"/>
            <w:vAlign w:val="bottom"/>
          </w:tcPr>
          <w:p>
            <w:pPr>
              <w:jc w:val="right"/>
              <w:ind w:right="210"/>
              <w:spacing w:after="0" w:line="203" w:lineRule="exact"/>
              <w:rPr>
                <w:sz w:val="20"/>
                <w:szCs w:val="20"/>
                <w:color w:val="auto"/>
              </w:rPr>
            </w:pPr>
            <w:r>
              <w:rPr>
                <w:rFonts w:ascii="Arial" w:cs="Arial" w:eastAsia="Arial" w:hAnsi="Arial"/>
                <w:sz w:val="18"/>
                <w:szCs w:val="18"/>
                <w:color w:val="auto"/>
              </w:rPr>
              <w:t>29,</w:t>
            </w:r>
          </w:p>
        </w:tc>
        <w:tc>
          <w:tcPr>
            <w:tcW w:w="1460" w:type="dxa"/>
            <w:vAlign w:val="bottom"/>
          </w:tcPr>
          <w:p>
            <w:pPr>
              <w:jc w:val="right"/>
              <w:ind w:right="310"/>
              <w:spacing w:after="0" w:line="203" w:lineRule="exact"/>
              <w:rPr>
                <w:sz w:val="20"/>
                <w:szCs w:val="20"/>
                <w:color w:val="auto"/>
              </w:rPr>
            </w:pPr>
            <w:r>
              <w:rPr>
                <w:rFonts w:ascii="Arial" w:cs="Arial" w:eastAsia="Arial" w:hAnsi="Arial"/>
                <w:sz w:val="18"/>
                <w:szCs w:val="18"/>
                <w:color w:val="auto"/>
              </w:rPr>
              <w:t>30,</w:t>
            </w:r>
          </w:p>
        </w:tc>
        <w:tc>
          <w:tcPr>
            <w:tcW w:w="1060" w:type="dxa"/>
            <w:vAlign w:val="bottom"/>
          </w:tcPr>
          <w:p>
            <w:pPr>
              <w:jc w:val="right"/>
              <w:ind w:right="10"/>
              <w:spacing w:after="0" w:line="203" w:lineRule="exact"/>
              <w:rPr>
                <w:sz w:val="20"/>
                <w:szCs w:val="20"/>
                <w:color w:val="auto"/>
              </w:rPr>
            </w:pPr>
            <w:r>
              <w:rPr>
                <w:rFonts w:ascii="Arial" w:cs="Arial" w:eastAsia="Arial" w:hAnsi="Arial"/>
                <w:sz w:val="18"/>
                <w:szCs w:val="18"/>
                <w:color w:val="auto"/>
              </w:rPr>
              <w:t>Percent</w:t>
            </w:r>
          </w:p>
        </w:tc>
      </w:tr>
      <w:tr>
        <w:trPr>
          <w:trHeight w:val="203"/>
        </w:trPr>
        <w:tc>
          <w:tcPr>
            <w:tcW w:w="20" w:type="dxa"/>
            <w:vAlign w:val="bottom"/>
          </w:tcPr>
          <w:p>
            <w:pPr>
              <w:spacing w:after="0"/>
              <w:rPr>
                <w:sz w:val="17"/>
                <w:szCs w:val="17"/>
                <w:color w:val="auto"/>
              </w:rPr>
            </w:pPr>
          </w:p>
        </w:tc>
        <w:tc>
          <w:tcPr>
            <w:tcW w:w="6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i w:val="1"/>
                <w:iCs w:val="1"/>
                <w:color w:val="auto"/>
              </w:rPr>
              <w:t>(Thousands of Dollars, Except Per Share Data)</w:t>
            </w:r>
          </w:p>
        </w:tc>
        <w:tc>
          <w:tcPr>
            <w:tcW w:w="228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2019</w:t>
            </w:r>
          </w:p>
        </w:tc>
        <w:tc>
          <w:tcPr>
            <w:tcW w:w="1460" w:type="dxa"/>
            <w:vAlign w:val="bottom"/>
            <w:tcBorders>
              <w:bottom w:val="single" w:sz="8" w:color="auto"/>
            </w:tcBorders>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2018</w:t>
            </w:r>
          </w:p>
        </w:tc>
        <w:tc>
          <w:tcPr>
            <w:tcW w:w="10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Change</w:t>
            </w:r>
          </w:p>
        </w:tc>
      </w:tr>
      <w:tr>
        <w:trPr>
          <w:trHeight w:val="196"/>
        </w:trPr>
        <w:tc>
          <w:tcPr>
            <w:tcW w:w="20" w:type="dxa"/>
            <w:vAlign w:val="bottom"/>
          </w:tcPr>
          <w:p>
            <w:pPr>
              <w:spacing w:after="0"/>
              <w:rPr>
                <w:sz w:val="17"/>
                <w:szCs w:val="17"/>
                <w:color w:val="auto"/>
              </w:rPr>
            </w:pPr>
          </w:p>
        </w:tc>
        <w:tc>
          <w:tcPr>
            <w:tcW w:w="6600" w:type="dxa"/>
            <w:vAlign w:val="bottom"/>
          </w:tcPr>
          <w:p>
            <w:pPr>
              <w:spacing w:after="0" w:line="196" w:lineRule="exact"/>
              <w:rPr>
                <w:sz w:val="20"/>
                <w:szCs w:val="20"/>
                <w:color w:val="auto"/>
              </w:rPr>
            </w:pPr>
            <w:r>
              <w:rPr>
                <w:rFonts w:ascii="Arial" w:cs="Arial" w:eastAsia="Arial" w:hAnsi="Arial"/>
                <w:sz w:val="18"/>
                <w:szCs w:val="18"/>
                <w:color w:val="auto"/>
              </w:rPr>
              <w:t>Advertising and marketing services revenue</w:t>
            </w:r>
          </w:p>
        </w:tc>
        <w:tc>
          <w:tcPr>
            <w:tcW w:w="22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65,727</w:t>
            </w:r>
          </w:p>
        </w:tc>
        <w:tc>
          <w:tcPr>
            <w:tcW w:w="146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75,962</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(13.5)</w:t>
            </w: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Subscription</w:t>
            </w:r>
          </w:p>
        </w:tc>
        <w:tc>
          <w:tcPr>
            <w:tcW w:w="228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41,694</w:t>
            </w:r>
          </w:p>
        </w:tc>
        <w:tc>
          <w:tcPr>
            <w:tcW w:w="146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46,268</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w:t>
            </w:r>
          </w:p>
        </w:tc>
      </w:tr>
      <w:tr>
        <w:trPr>
          <w:trHeight w:val="203"/>
        </w:trPr>
        <w:tc>
          <w:tcPr>
            <w:tcW w:w="20" w:type="dxa"/>
            <w:vAlign w:val="bottom"/>
          </w:tcPr>
          <w:p>
            <w:pPr>
              <w:spacing w:after="0"/>
              <w:rPr>
                <w:sz w:val="17"/>
                <w:szCs w:val="17"/>
                <w:color w:val="auto"/>
              </w:rPr>
            </w:pPr>
          </w:p>
        </w:tc>
        <w:tc>
          <w:tcPr>
            <w:tcW w:w="66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w:t>
            </w:r>
          </w:p>
        </w:tc>
        <w:tc>
          <w:tcPr>
            <w:tcW w:w="228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14,922</w:t>
            </w:r>
          </w:p>
        </w:tc>
        <w:tc>
          <w:tcPr>
            <w:tcW w:w="146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13,971</w:t>
            </w:r>
          </w:p>
        </w:tc>
        <w:tc>
          <w:tcPr>
            <w:tcW w:w="10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6.8</w:t>
            </w:r>
          </w:p>
        </w:tc>
      </w:tr>
      <w:tr>
        <w:trPr>
          <w:trHeight w:val="196"/>
        </w:trPr>
        <w:tc>
          <w:tcPr>
            <w:tcW w:w="20" w:type="dxa"/>
            <w:vAlign w:val="bottom"/>
          </w:tcPr>
          <w:p>
            <w:pPr>
              <w:spacing w:after="0"/>
              <w:rPr>
                <w:sz w:val="17"/>
                <w:szCs w:val="17"/>
                <w:color w:val="auto"/>
              </w:rPr>
            </w:pPr>
          </w:p>
        </w:tc>
        <w:tc>
          <w:tcPr>
            <w:tcW w:w="66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operating revenue</w:t>
            </w:r>
          </w:p>
        </w:tc>
        <w:tc>
          <w:tcPr>
            <w:tcW w:w="228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122,343</w:t>
            </w:r>
          </w:p>
        </w:tc>
        <w:tc>
          <w:tcPr>
            <w:tcW w:w="1460" w:type="dxa"/>
            <w:vAlign w:val="bottom"/>
            <w:tcBorders>
              <w:bottom w:val="single" w:sz="8" w:color="auto"/>
            </w:tcBorders>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rPr>
              <w:t>136,201</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w:t>
            </w:r>
          </w:p>
        </w:tc>
      </w:tr>
      <w:tr>
        <w:trPr>
          <w:trHeight w:val="196"/>
        </w:trPr>
        <w:tc>
          <w:tcPr>
            <w:tcW w:w="20" w:type="dxa"/>
            <w:vAlign w:val="bottom"/>
          </w:tcPr>
          <w:p>
            <w:pPr>
              <w:spacing w:after="0"/>
              <w:rPr>
                <w:sz w:val="17"/>
                <w:szCs w:val="17"/>
                <w:color w:val="auto"/>
              </w:rPr>
            </w:pPr>
          </w:p>
        </w:tc>
        <w:tc>
          <w:tcPr>
            <w:tcW w:w="660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2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Compensation</w:t>
            </w:r>
          </w:p>
        </w:tc>
        <w:tc>
          <w:tcPr>
            <w:tcW w:w="228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43,243</w:t>
            </w:r>
          </w:p>
        </w:tc>
        <w:tc>
          <w:tcPr>
            <w:tcW w:w="146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47,038</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w:t>
            </w:r>
          </w:p>
        </w:tc>
      </w:tr>
      <w:tr>
        <w:trPr>
          <w:trHeight w:val="203"/>
        </w:trPr>
        <w:tc>
          <w:tcPr>
            <w:tcW w:w="20" w:type="dxa"/>
            <w:vAlign w:val="bottom"/>
          </w:tcPr>
          <w:p>
            <w:pPr>
              <w:spacing w:after="0"/>
              <w:rPr>
                <w:sz w:val="17"/>
                <w:szCs w:val="17"/>
                <w:color w:val="auto"/>
              </w:rPr>
            </w:pPr>
          </w:p>
        </w:tc>
        <w:tc>
          <w:tcPr>
            <w:tcW w:w="6600" w:type="dxa"/>
            <w:vAlign w:val="bottom"/>
          </w:tcPr>
          <w:p>
            <w:pPr>
              <w:ind w:left="160"/>
              <w:spacing w:after="0" w:line="202" w:lineRule="exact"/>
              <w:rPr>
                <w:sz w:val="20"/>
                <w:szCs w:val="20"/>
                <w:color w:val="auto"/>
              </w:rPr>
            </w:pPr>
            <w:r>
              <w:rPr>
                <w:rFonts w:ascii="Arial" w:cs="Arial" w:eastAsia="Arial" w:hAnsi="Arial"/>
                <w:sz w:val="18"/>
                <w:szCs w:val="18"/>
                <w:color w:val="auto"/>
              </w:rPr>
              <w:t>Newsprint and ink</w:t>
            </w:r>
          </w:p>
        </w:tc>
        <w:tc>
          <w:tcPr>
            <w:tcW w:w="22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4,736</w:t>
            </w:r>
          </w:p>
        </w:tc>
        <w:tc>
          <w:tcPr>
            <w:tcW w:w="146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6,339</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(25.3)</w:t>
            </w:r>
          </w:p>
        </w:tc>
      </w:tr>
      <w:tr>
        <w:trPr>
          <w:trHeight w:val="203"/>
        </w:trPr>
        <w:tc>
          <w:tcPr>
            <w:tcW w:w="20" w:type="dxa"/>
            <w:vAlign w:val="bottom"/>
          </w:tcPr>
          <w:p>
            <w:pPr>
              <w:spacing w:after="0"/>
              <w:rPr>
                <w:sz w:val="17"/>
                <w:szCs w:val="17"/>
                <w:color w:val="auto"/>
              </w:rPr>
            </w:pPr>
          </w:p>
        </w:tc>
        <w:tc>
          <w:tcPr>
            <w:tcW w:w="6600" w:type="dxa"/>
            <w:vAlign w:val="bottom"/>
            <w:tcBorders>
              <w:bottom w:val="single" w:sz="8" w:color="auto"/>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Other operating expenses</w:t>
            </w:r>
          </w:p>
        </w:tc>
        <w:tc>
          <w:tcPr>
            <w:tcW w:w="228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48,462</w:t>
            </w:r>
          </w:p>
        </w:tc>
        <w:tc>
          <w:tcPr>
            <w:tcW w:w="1460" w:type="dxa"/>
            <w:vAlign w:val="bottom"/>
            <w:tcBorders>
              <w:bottom w:val="single" w:sz="8" w:color="auto"/>
            </w:tcBorders>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49,743</w:t>
            </w: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r>
      <w:tr>
        <w:trPr>
          <w:trHeight w:val="196"/>
        </w:trPr>
        <w:tc>
          <w:tcPr>
            <w:tcW w:w="20" w:type="dxa"/>
            <w:vAlign w:val="bottom"/>
          </w:tcPr>
          <w:p>
            <w:pPr>
              <w:spacing w:after="0"/>
              <w:rPr>
                <w:sz w:val="17"/>
                <w:szCs w:val="17"/>
                <w:color w:val="auto"/>
              </w:rPr>
            </w:pPr>
          </w:p>
        </w:tc>
        <w:tc>
          <w:tcPr>
            <w:tcW w:w="66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Cash costs</w:t>
            </w:r>
          </w:p>
        </w:tc>
        <w:tc>
          <w:tcPr>
            <w:tcW w:w="228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96,441</w:t>
            </w:r>
          </w:p>
        </w:tc>
        <w:tc>
          <w:tcPr>
            <w:tcW w:w="146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103,120</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20" w:type="dxa"/>
            <w:vAlign w:val="bottom"/>
          </w:tcPr>
          <w:p>
            <w:pPr>
              <w:spacing w:after="0"/>
              <w:rPr>
                <w:sz w:val="17"/>
                <w:szCs w:val="17"/>
                <w:color w:val="auto"/>
              </w:rPr>
            </w:pPr>
          </w:p>
        </w:tc>
        <w:tc>
          <w:tcPr>
            <w:tcW w:w="66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operating revenue less cash costs</w:t>
            </w:r>
          </w:p>
        </w:tc>
        <w:tc>
          <w:tcPr>
            <w:tcW w:w="228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25,902</w:t>
            </w:r>
          </w:p>
        </w:tc>
        <w:tc>
          <w:tcPr>
            <w:tcW w:w="1460" w:type="dxa"/>
            <w:vAlign w:val="bottom"/>
            <w:tcBorders>
              <w:bottom w:val="single" w:sz="8" w:color="auto"/>
            </w:tcBorders>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rPr>
              <w:t>33,081</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(21.7)</w:t>
            </w:r>
          </w:p>
        </w:tc>
      </w:tr>
      <w:tr>
        <w:trPr>
          <w:trHeight w:val="196"/>
        </w:trPr>
        <w:tc>
          <w:tcPr>
            <w:tcW w:w="20" w:type="dxa"/>
            <w:vAlign w:val="bottom"/>
          </w:tcPr>
          <w:p>
            <w:pPr>
              <w:spacing w:after="0"/>
              <w:rPr>
                <w:sz w:val="17"/>
                <w:szCs w:val="17"/>
                <w:color w:val="auto"/>
              </w:rPr>
            </w:pPr>
          </w:p>
        </w:tc>
        <w:tc>
          <w:tcPr>
            <w:tcW w:w="6600" w:type="dxa"/>
            <w:vAlign w:val="bottom"/>
          </w:tcPr>
          <w:p>
            <w:pPr>
              <w:spacing w:after="0" w:line="196" w:lineRule="exact"/>
              <w:rPr>
                <w:sz w:val="20"/>
                <w:szCs w:val="20"/>
                <w:color w:val="auto"/>
              </w:rPr>
            </w:pPr>
            <w:r>
              <w:rPr>
                <w:rFonts w:ascii="Arial" w:cs="Arial" w:eastAsia="Arial" w:hAnsi="Arial"/>
                <w:sz w:val="18"/>
                <w:szCs w:val="18"/>
                <w:color w:val="auto"/>
              </w:rPr>
              <w:t>Depreciation and amortization</w:t>
            </w:r>
          </w:p>
        </w:tc>
        <w:tc>
          <w:tcPr>
            <w:tcW w:w="22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6,719</w:t>
            </w:r>
          </w:p>
        </w:tc>
        <w:tc>
          <w:tcPr>
            <w:tcW w:w="146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7,529</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(10.8)</w:t>
            </w: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 loss (gain) on sales, impairments and other, net</w:t>
            </w:r>
          </w:p>
        </w:tc>
        <w:tc>
          <w:tcPr>
            <w:tcW w:w="228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814</w:t>
            </w:r>
          </w:p>
        </w:tc>
        <w:tc>
          <w:tcPr>
            <w:tcW w:w="146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(100)</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NM</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Restructuring costs and other</w:t>
            </w:r>
          </w:p>
        </w:tc>
        <w:tc>
          <w:tcPr>
            <w:tcW w:w="2280" w:type="dxa"/>
            <w:vAlign w:val="bottom"/>
          </w:tcPr>
          <w:p>
            <w:pPr>
              <w:jc w:val="right"/>
              <w:ind w:right="210"/>
              <w:spacing w:after="0"/>
              <w:rPr>
                <w:sz w:val="20"/>
                <w:szCs w:val="20"/>
                <w:color w:val="auto"/>
              </w:rPr>
            </w:pPr>
            <w:r>
              <w:rPr>
                <w:rFonts w:ascii="Arial" w:cs="Arial" w:eastAsia="Arial" w:hAnsi="Arial"/>
                <w:sz w:val="18"/>
                <w:szCs w:val="18"/>
                <w:color w:val="auto"/>
              </w:rPr>
              <w:t>1,632</w:t>
            </w:r>
          </w:p>
        </w:tc>
        <w:tc>
          <w:tcPr>
            <w:tcW w:w="1460" w:type="dxa"/>
            <w:vAlign w:val="bottom"/>
          </w:tcPr>
          <w:p>
            <w:pPr>
              <w:jc w:val="right"/>
              <w:ind w:right="310"/>
              <w:spacing w:after="0"/>
              <w:rPr>
                <w:sz w:val="20"/>
                <w:szCs w:val="20"/>
                <w:color w:val="auto"/>
              </w:rPr>
            </w:pPr>
            <w:r>
              <w:rPr>
                <w:rFonts w:ascii="Arial" w:cs="Arial" w:eastAsia="Arial" w:hAnsi="Arial"/>
                <w:sz w:val="18"/>
                <w:szCs w:val="18"/>
                <w:color w:val="auto"/>
              </w:rPr>
              <w:t>62</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NM</w:t>
            </w:r>
          </w:p>
        </w:tc>
      </w:tr>
      <w:tr>
        <w:trPr>
          <w:trHeight w:val="196"/>
        </w:trPr>
        <w:tc>
          <w:tcPr>
            <w:tcW w:w="20" w:type="dxa"/>
            <w:vAlign w:val="bottom"/>
          </w:tcPr>
          <w:p>
            <w:pPr>
              <w:spacing w:after="0"/>
              <w:rPr>
                <w:sz w:val="17"/>
                <w:szCs w:val="17"/>
                <w:color w:val="auto"/>
              </w:rPr>
            </w:pPr>
          </w:p>
        </w:tc>
        <w:tc>
          <w:tcPr>
            <w:tcW w:w="66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280" w:type="dxa"/>
            <w:vAlign w:val="bottom"/>
            <w:tcBorders>
              <w:top w:val="single" w:sz="8" w:color="auto"/>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105,606</w:t>
            </w:r>
          </w:p>
        </w:tc>
        <w:tc>
          <w:tcPr>
            <w:tcW w:w="1460" w:type="dxa"/>
            <w:vAlign w:val="bottom"/>
            <w:tcBorders>
              <w:top w:val="single" w:sz="8" w:color="auto"/>
              <w:bottom w:val="single" w:sz="8" w:color="auto"/>
            </w:tcBorders>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rPr>
              <w:t>110,611</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w:t>
            </w:r>
          </w:p>
        </w:tc>
      </w:tr>
      <w:tr>
        <w:trPr>
          <w:trHeight w:val="210"/>
        </w:trPr>
        <w:tc>
          <w:tcPr>
            <w:tcW w:w="6620" w:type="dxa"/>
            <w:vAlign w:val="bottom"/>
            <w:gridSpan w:val="2"/>
          </w:tcPr>
          <w:p>
            <w:pPr>
              <w:spacing w:after="0"/>
              <w:rPr>
                <w:sz w:val="20"/>
                <w:szCs w:val="20"/>
                <w:color w:val="auto"/>
              </w:rPr>
            </w:pPr>
            <w:r>
              <w:rPr>
                <w:rFonts w:ascii="Arial" w:cs="Arial" w:eastAsia="Arial" w:hAnsi="Arial"/>
                <w:sz w:val="18"/>
                <w:szCs w:val="18"/>
                <w:color w:val="auto"/>
              </w:rPr>
              <w:t>Equity in earnings of associated companies</w:t>
            </w:r>
          </w:p>
        </w:tc>
        <w:tc>
          <w:tcPr>
            <w:tcW w:w="2280" w:type="dxa"/>
            <w:vAlign w:val="bottom"/>
          </w:tcPr>
          <w:p>
            <w:pPr>
              <w:jc w:val="right"/>
              <w:ind w:right="210"/>
              <w:spacing w:after="0"/>
              <w:rPr>
                <w:sz w:val="20"/>
                <w:szCs w:val="20"/>
                <w:color w:val="auto"/>
              </w:rPr>
            </w:pPr>
            <w:r>
              <w:rPr>
                <w:rFonts w:ascii="Arial" w:cs="Arial" w:eastAsia="Arial" w:hAnsi="Arial"/>
                <w:sz w:val="18"/>
                <w:szCs w:val="18"/>
                <w:color w:val="auto"/>
              </w:rPr>
              <w:t>1,569</w:t>
            </w:r>
          </w:p>
        </w:tc>
        <w:tc>
          <w:tcPr>
            <w:tcW w:w="1460" w:type="dxa"/>
            <w:vAlign w:val="bottom"/>
          </w:tcPr>
          <w:p>
            <w:pPr>
              <w:jc w:val="right"/>
              <w:ind w:right="310"/>
              <w:spacing w:after="0"/>
              <w:rPr>
                <w:sz w:val="20"/>
                <w:szCs w:val="20"/>
                <w:color w:val="auto"/>
              </w:rPr>
            </w:pPr>
            <w:r>
              <w:rPr>
                <w:rFonts w:ascii="Arial" w:cs="Arial" w:eastAsia="Arial" w:hAnsi="Arial"/>
                <w:sz w:val="18"/>
                <w:szCs w:val="18"/>
                <w:color w:val="auto"/>
              </w:rPr>
              <w:t>2,129</w:t>
            </w:r>
          </w:p>
        </w:tc>
        <w:tc>
          <w:tcPr>
            <w:tcW w:w="1060" w:type="dxa"/>
            <w:vAlign w:val="bottom"/>
          </w:tcPr>
          <w:p>
            <w:pPr>
              <w:jc w:val="right"/>
              <w:spacing w:after="0"/>
              <w:rPr>
                <w:sz w:val="20"/>
                <w:szCs w:val="20"/>
                <w:color w:val="auto"/>
              </w:rPr>
            </w:pPr>
            <w:r>
              <w:rPr>
                <w:rFonts w:ascii="Arial" w:cs="Arial" w:eastAsia="Arial" w:hAnsi="Arial"/>
                <w:sz w:val="18"/>
                <w:szCs w:val="18"/>
                <w:color w:val="auto"/>
              </w:rPr>
              <w:t>(26.3)</w:t>
            </w:r>
          </w:p>
        </w:tc>
      </w:tr>
      <w:tr>
        <w:trPr>
          <w:trHeight w:val="196"/>
        </w:trPr>
        <w:tc>
          <w:tcPr>
            <w:tcW w:w="20" w:type="dxa"/>
            <w:vAlign w:val="bottom"/>
          </w:tcPr>
          <w:p>
            <w:pPr>
              <w:spacing w:after="0"/>
              <w:rPr>
                <w:sz w:val="17"/>
                <w:szCs w:val="17"/>
                <w:color w:val="auto"/>
              </w:rPr>
            </w:pPr>
          </w:p>
        </w:tc>
        <w:tc>
          <w:tcPr>
            <w:tcW w:w="66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2280" w:type="dxa"/>
            <w:vAlign w:val="bottom"/>
            <w:tcBorders>
              <w:top w:val="single" w:sz="8" w:color="auto"/>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18,306</w:t>
            </w:r>
          </w:p>
        </w:tc>
        <w:tc>
          <w:tcPr>
            <w:tcW w:w="1460" w:type="dxa"/>
            <w:vAlign w:val="bottom"/>
            <w:tcBorders>
              <w:top w:val="single" w:sz="8" w:color="auto"/>
              <w:bottom w:val="single" w:sz="8" w:color="auto"/>
            </w:tcBorders>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rPr>
              <w:t>27,719</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(34.0)</w:t>
            </w:r>
          </w:p>
        </w:tc>
      </w:tr>
      <w:tr>
        <w:trPr>
          <w:trHeight w:val="196"/>
        </w:trPr>
        <w:tc>
          <w:tcPr>
            <w:tcW w:w="20" w:type="dxa"/>
            <w:vAlign w:val="bottom"/>
          </w:tcPr>
          <w:p>
            <w:pPr>
              <w:spacing w:after="0"/>
              <w:rPr>
                <w:sz w:val="17"/>
                <w:szCs w:val="17"/>
                <w:color w:val="auto"/>
              </w:rPr>
            </w:pPr>
          </w:p>
        </w:tc>
        <w:tc>
          <w:tcPr>
            <w:tcW w:w="6600" w:type="dxa"/>
            <w:vAlign w:val="bottom"/>
          </w:tcPr>
          <w:p>
            <w:pPr>
              <w:spacing w:after="0" w:line="196" w:lineRule="exact"/>
              <w:rPr>
                <w:sz w:val="20"/>
                <w:szCs w:val="20"/>
                <w:color w:val="auto"/>
              </w:rPr>
            </w:pPr>
            <w:r>
              <w:rPr>
                <w:rFonts w:ascii="Arial" w:cs="Arial" w:eastAsia="Arial" w:hAnsi="Arial"/>
                <w:sz w:val="18"/>
                <w:szCs w:val="18"/>
                <w:color w:val="auto"/>
              </w:rPr>
              <w:t>Non-operating income (expense):</w:t>
            </w:r>
          </w:p>
        </w:tc>
        <w:tc>
          <w:tcPr>
            <w:tcW w:w="2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228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(11,115)</w:t>
            </w:r>
          </w:p>
        </w:tc>
        <w:tc>
          <w:tcPr>
            <w:tcW w:w="146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(12,256)</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w:t>
            </w:r>
          </w:p>
        </w:tc>
      </w:tr>
      <w:tr>
        <w:trPr>
          <w:trHeight w:val="203"/>
        </w:trPr>
        <w:tc>
          <w:tcPr>
            <w:tcW w:w="20" w:type="dxa"/>
            <w:vAlign w:val="bottom"/>
          </w:tcPr>
          <w:p>
            <w:pPr>
              <w:spacing w:after="0"/>
              <w:rPr>
                <w:sz w:val="17"/>
                <w:szCs w:val="17"/>
                <w:color w:val="auto"/>
              </w:rPr>
            </w:pPr>
          </w:p>
        </w:tc>
        <w:tc>
          <w:tcPr>
            <w:tcW w:w="6600" w:type="dxa"/>
            <w:vAlign w:val="bottom"/>
          </w:tcPr>
          <w:p>
            <w:pPr>
              <w:spacing w:after="0" w:line="202" w:lineRule="exact"/>
              <w:rPr>
                <w:sz w:val="20"/>
                <w:szCs w:val="20"/>
                <w:color w:val="auto"/>
              </w:rPr>
            </w:pPr>
            <w:r>
              <w:rPr>
                <w:rFonts w:ascii="Arial" w:cs="Arial" w:eastAsia="Arial" w:hAnsi="Arial"/>
                <w:sz w:val="18"/>
                <w:szCs w:val="18"/>
                <w:color w:val="auto"/>
              </w:rPr>
              <w:t>Debt financing and administrative cost</w:t>
            </w:r>
          </w:p>
        </w:tc>
        <w:tc>
          <w:tcPr>
            <w:tcW w:w="22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(1,196)</w:t>
            </w:r>
          </w:p>
        </w:tc>
        <w:tc>
          <w:tcPr>
            <w:tcW w:w="14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(896)</w:t>
            </w: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33.5</w:t>
            </w:r>
          </w:p>
        </w:tc>
      </w:tr>
      <w:tr>
        <w:trPr>
          <w:trHeight w:val="203"/>
        </w:trPr>
        <w:tc>
          <w:tcPr>
            <w:tcW w:w="20" w:type="dxa"/>
            <w:vAlign w:val="bottom"/>
          </w:tcPr>
          <w:p>
            <w:pPr>
              <w:spacing w:after="0"/>
              <w:rPr>
                <w:sz w:val="17"/>
                <w:szCs w:val="17"/>
                <w:color w:val="auto"/>
              </w:rPr>
            </w:pPr>
          </w:p>
        </w:tc>
        <w:tc>
          <w:tcPr>
            <w:tcW w:w="66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Other, net</w:t>
            </w:r>
          </w:p>
        </w:tc>
        <w:tc>
          <w:tcPr>
            <w:tcW w:w="228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1,593</w:t>
            </w:r>
          </w:p>
        </w:tc>
        <w:tc>
          <w:tcPr>
            <w:tcW w:w="1460" w:type="dxa"/>
            <w:vAlign w:val="bottom"/>
            <w:tcBorders>
              <w:bottom w:val="single" w:sz="8" w:color="auto"/>
            </w:tcBorders>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665</w:t>
            </w:r>
          </w:p>
        </w:tc>
        <w:tc>
          <w:tcPr>
            <w:tcW w:w="10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NM</w:t>
            </w:r>
          </w:p>
        </w:tc>
      </w:tr>
      <w:tr>
        <w:trPr>
          <w:trHeight w:val="196"/>
        </w:trPr>
        <w:tc>
          <w:tcPr>
            <w:tcW w:w="20" w:type="dxa"/>
            <w:vAlign w:val="bottom"/>
          </w:tcPr>
          <w:p>
            <w:pPr>
              <w:spacing w:after="0"/>
              <w:rPr>
                <w:sz w:val="17"/>
                <w:szCs w:val="17"/>
                <w:color w:val="auto"/>
              </w:rPr>
            </w:pPr>
          </w:p>
        </w:tc>
        <w:tc>
          <w:tcPr>
            <w:tcW w:w="66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Non-operating expenses, net</w:t>
            </w:r>
          </w:p>
        </w:tc>
        <w:tc>
          <w:tcPr>
            <w:tcW w:w="228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(10,718)</w:t>
            </w:r>
          </w:p>
        </w:tc>
        <w:tc>
          <w:tcPr>
            <w:tcW w:w="146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(12,487)</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(14.2)</w:t>
            </w:r>
          </w:p>
        </w:tc>
      </w:tr>
      <w:tr>
        <w:trPr>
          <w:trHeight w:val="196"/>
        </w:trPr>
        <w:tc>
          <w:tcPr>
            <w:tcW w:w="20" w:type="dxa"/>
            <w:vAlign w:val="bottom"/>
          </w:tcPr>
          <w:p>
            <w:pPr>
              <w:spacing w:after="0"/>
              <w:rPr>
                <w:sz w:val="17"/>
                <w:szCs w:val="17"/>
                <w:color w:val="auto"/>
              </w:rPr>
            </w:pPr>
          </w:p>
        </w:tc>
        <w:tc>
          <w:tcPr>
            <w:tcW w:w="6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(loss) before income taxes</w:t>
            </w:r>
          </w:p>
        </w:tc>
        <w:tc>
          <w:tcPr>
            <w:tcW w:w="228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7,588</w:t>
            </w:r>
          </w:p>
        </w:tc>
        <w:tc>
          <w:tcPr>
            <w:tcW w:w="1460" w:type="dxa"/>
            <w:vAlign w:val="bottom"/>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rPr>
              <w:t>15,232</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(50.2)</w:t>
            </w:r>
          </w:p>
        </w:tc>
      </w:tr>
      <w:tr>
        <w:trPr>
          <w:trHeight w:val="203"/>
        </w:trPr>
        <w:tc>
          <w:tcPr>
            <w:tcW w:w="20" w:type="dxa"/>
            <w:vAlign w:val="bottom"/>
          </w:tcPr>
          <w:p>
            <w:pPr>
              <w:spacing w:after="0"/>
              <w:rPr>
                <w:sz w:val="17"/>
                <w:szCs w:val="17"/>
                <w:color w:val="auto"/>
              </w:rPr>
            </w:pPr>
          </w:p>
        </w:tc>
        <w:tc>
          <w:tcPr>
            <w:tcW w:w="66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Income tax expense</w:t>
            </w:r>
          </w:p>
        </w:tc>
        <w:tc>
          <w:tcPr>
            <w:tcW w:w="228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1,871</w:t>
            </w:r>
          </w:p>
        </w:tc>
        <w:tc>
          <w:tcPr>
            <w:tcW w:w="146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4,513</w:t>
            </w: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(58.5)</w:t>
            </w:r>
          </w:p>
        </w:tc>
      </w:tr>
      <w:tr>
        <w:trPr>
          <w:trHeight w:val="196"/>
        </w:trPr>
        <w:tc>
          <w:tcPr>
            <w:tcW w:w="20" w:type="dxa"/>
            <w:vAlign w:val="bottom"/>
          </w:tcPr>
          <w:p>
            <w:pPr>
              <w:spacing w:after="0"/>
              <w:rPr>
                <w:sz w:val="17"/>
                <w:szCs w:val="17"/>
                <w:color w:val="auto"/>
              </w:rPr>
            </w:pPr>
          </w:p>
        </w:tc>
        <w:tc>
          <w:tcPr>
            <w:tcW w:w="6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228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5,717</w:t>
            </w:r>
          </w:p>
        </w:tc>
        <w:tc>
          <w:tcPr>
            <w:tcW w:w="1460" w:type="dxa"/>
            <w:vAlign w:val="bottom"/>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rPr>
              <w:t>10,719</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(46.7)</w:t>
            </w:r>
          </w:p>
        </w:tc>
      </w:tr>
      <w:tr>
        <w:trPr>
          <w:trHeight w:val="203"/>
        </w:trPr>
        <w:tc>
          <w:tcPr>
            <w:tcW w:w="20" w:type="dxa"/>
            <w:vAlign w:val="bottom"/>
          </w:tcPr>
          <w:p>
            <w:pPr>
              <w:spacing w:after="0"/>
              <w:rPr>
                <w:sz w:val="17"/>
                <w:szCs w:val="17"/>
                <w:color w:val="auto"/>
              </w:rPr>
            </w:pPr>
          </w:p>
        </w:tc>
        <w:tc>
          <w:tcPr>
            <w:tcW w:w="66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228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(397)</w:t>
            </w:r>
          </w:p>
        </w:tc>
        <w:tc>
          <w:tcPr>
            <w:tcW w:w="1460" w:type="dxa"/>
            <w:vAlign w:val="bottom"/>
            <w:tcBorders>
              <w:bottom w:val="single" w:sz="8" w:color="auto"/>
            </w:tcBorders>
          </w:tcPr>
          <w:p>
            <w:pPr>
              <w:jc w:val="right"/>
              <w:ind w:right="250"/>
              <w:spacing w:after="0" w:line="202" w:lineRule="exact"/>
              <w:rPr>
                <w:sz w:val="20"/>
                <w:szCs w:val="20"/>
                <w:color w:val="auto"/>
              </w:rPr>
            </w:pPr>
            <w:r>
              <w:rPr>
                <w:rFonts w:ascii="Arial" w:cs="Arial" w:eastAsia="Arial" w:hAnsi="Arial"/>
                <w:sz w:val="18"/>
                <w:szCs w:val="18"/>
                <w:color w:val="auto"/>
              </w:rPr>
              <w:t>(358)</w:t>
            </w:r>
          </w:p>
        </w:tc>
        <w:tc>
          <w:tcPr>
            <w:tcW w:w="10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10.9</w:t>
            </w:r>
          </w:p>
        </w:tc>
      </w:tr>
      <w:tr>
        <w:trPr>
          <w:trHeight w:val="196"/>
        </w:trPr>
        <w:tc>
          <w:tcPr>
            <w:tcW w:w="20" w:type="dxa"/>
            <w:vAlign w:val="bottom"/>
          </w:tcPr>
          <w:p>
            <w:pPr>
              <w:spacing w:after="0"/>
              <w:rPr>
                <w:sz w:val="17"/>
                <w:szCs w:val="17"/>
                <w:color w:val="auto"/>
              </w:rPr>
            </w:pPr>
          </w:p>
        </w:tc>
        <w:tc>
          <w:tcPr>
            <w:tcW w:w="6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attributable to Lee Enterprises, Incorporated</w:t>
            </w:r>
          </w:p>
        </w:tc>
        <w:tc>
          <w:tcPr>
            <w:tcW w:w="228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5,320</w:t>
            </w:r>
          </w:p>
        </w:tc>
        <w:tc>
          <w:tcPr>
            <w:tcW w:w="1460" w:type="dxa"/>
            <w:vAlign w:val="bottom"/>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rPr>
              <w:t>10,361</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(48.7)</w:t>
            </w:r>
          </w:p>
        </w:tc>
      </w:tr>
      <w:tr>
        <w:trPr>
          <w:trHeight w:val="203"/>
        </w:trPr>
        <w:tc>
          <w:tcPr>
            <w:tcW w:w="20" w:type="dxa"/>
            <w:vAlign w:val="bottom"/>
          </w:tcPr>
          <w:p>
            <w:pPr>
              <w:spacing w:after="0"/>
              <w:rPr>
                <w:sz w:val="17"/>
                <w:szCs w:val="17"/>
                <w:color w:val="auto"/>
              </w:rPr>
            </w:pPr>
          </w:p>
        </w:tc>
        <w:tc>
          <w:tcPr>
            <w:tcW w:w="66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 comprehensive income (loss), net of income taxes</w:t>
            </w:r>
          </w:p>
        </w:tc>
        <w:tc>
          <w:tcPr>
            <w:tcW w:w="228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317</w:t>
            </w:r>
          </w:p>
        </w:tc>
        <w:tc>
          <w:tcPr>
            <w:tcW w:w="1460" w:type="dxa"/>
            <w:vAlign w:val="bottom"/>
            <w:tcBorders>
              <w:bottom w:val="single" w:sz="8" w:color="auto"/>
            </w:tcBorders>
          </w:tcPr>
          <w:p>
            <w:pPr>
              <w:jc w:val="right"/>
              <w:ind w:right="250"/>
              <w:spacing w:after="0" w:line="202" w:lineRule="exact"/>
              <w:rPr>
                <w:sz w:val="20"/>
                <w:szCs w:val="20"/>
                <w:color w:val="auto"/>
              </w:rPr>
            </w:pPr>
            <w:r>
              <w:rPr>
                <w:rFonts w:ascii="Arial" w:cs="Arial" w:eastAsia="Arial" w:hAnsi="Arial"/>
                <w:sz w:val="18"/>
                <w:szCs w:val="18"/>
                <w:color w:val="auto"/>
              </w:rPr>
              <w:t>(122)</w:t>
            </w:r>
          </w:p>
        </w:tc>
        <w:tc>
          <w:tcPr>
            <w:tcW w:w="10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NM</w:t>
            </w:r>
          </w:p>
        </w:tc>
      </w:tr>
      <w:tr>
        <w:trPr>
          <w:trHeight w:val="236"/>
        </w:trPr>
        <w:tc>
          <w:tcPr>
            <w:tcW w:w="20" w:type="dxa"/>
            <w:vAlign w:val="bottom"/>
          </w:tcPr>
          <w:p>
            <w:pPr>
              <w:spacing w:after="0"/>
              <w:rPr>
                <w:sz w:val="20"/>
                <w:szCs w:val="20"/>
                <w:color w:val="auto"/>
              </w:rPr>
            </w:pPr>
          </w:p>
        </w:tc>
        <w:tc>
          <w:tcPr>
            <w:tcW w:w="66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Comprehensive income attributable to Lee Enterprises, Incorporated</w:t>
            </w:r>
          </w:p>
        </w:tc>
        <w:tc>
          <w:tcPr>
            <w:tcW w:w="228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5,637</w:t>
            </w:r>
          </w:p>
        </w:tc>
        <w:tc>
          <w:tcPr>
            <w:tcW w:w="1460" w:type="dxa"/>
            <w:vAlign w:val="bottom"/>
            <w:tcBorders>
              <w:bottom w:val="single" w:sz="8" w:color="auto"/>
            </w:tcBorders>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rPr>
              <w:t>10,239</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(44.9)</w:t>
            </w:r>
          </w:p>
        </w:tc>
      </w:tr>
      <w:tr>
        <w:trPr>
          <w:trHeight w:val="183"/>
        </w:trPr>
        <w:tc>
          <w:tcPr>
            <w:tcW w:w="20" w:type="dxa"/>
            <w:vAlign w:val="bottom"/>
          </w:tcPr>
          <w:p>
            <w:pPr>
              <w:spacing w:after="0"/>
              <w:rPr>
                <w:sz w:val="15"/>
                <w:szCs w:val="15"/>
                <w:color w:val="auto"/>
              </w:rPr>
            </w:pPr>
          </w:p>
        </w:tc>
        <w:tc>
          <w:tcPr>
            <w:tcW w:w="6600" w:type="dxa"/>
            <w:vAlign w:val="bottom"/>
          </w:tcPr>
          <w:p>
            <w:pPr>
              <w:spacing w:after="0" w:line="183" w:lineRule="exact"/>
              <w:rPr>
                <w:sz w:val="20"/>
                <w:szCs w:val="20"/>
                <w:color w:val="auto"/>
              </w:rPr>
            </w:pPr>
            <w:r>
              <w:rPr>
                <w:rFonts w:ascii="Arial" w:cs="Arial" w:eastAsia="Arial" w:hAnsi="Arial"/>
                <w:sz w:val="18"/>
                <w:szCs w:val="18"/>
                <w:color w:val="auto"/>
              </w:rPr>
              <w:t>Earnings per common share:</w:t>
            </w:r>
          </w:p>
        </w:tc>
        <w:tc>
          <w:tcPr>
            <w:tcW w:w="2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Basic</w:t>
            </w:r>
          </w:p>
        </w:tc>
        <w:tc>
          <w:tcPr>
            <w:tcW w:w="228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0.09</w:t>
            </w:r>
          </w:p>
        </w:tc>
        <w:tc>
          <w:tcPr>
            <w:tcW w:w="146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0.19</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(49.2)</w:t>
            </w:r>
          </w:p>
        </w:tc>
      </w:tr>
      <w:tr>
        <w:trPr>
          <w:trHeight w:val="203"/>
        </w:trPr>
        <w:tc>
          <w:tcPr>
            <w:tcW w:w="20" w:type="dxa"/>
            <w:vAlign w:val="bottom"/>
          </w:tcPr>
          <w:p>
            <w:pPr>
              <w:spacing w:after="0"/>
              <w:rPr>
                <w:sz w:val="17"/>
                <w:szCs w:val="17"/>
                <w:color w:val="auto"/>
              </w:rPr>
            </w:pPr>
          </w:p>
        </w:tc>
        <w:tc>
          <w:tcPr>
            <w:tcW w:w="6600" w:type="dxa"/>
            <w:vAlign w:val="bottom"/>
            <w:tcBorders>
              <w:bottom w:val="single" w:sz="8" w:color="auto"/>
            </w:tcBorders>
          </w:tcPr>
          <w:p>
            <w:pPr>
              <w:ind w:left="160"/>
              <w:spacing w:after="0" w:line="202" w:lineRule="exact"/>
              <w:rPr>
                <w:sz w:val="20"/>
                <w:szCs w:val="20"/>
                <w:color w:val="auto"/>
              </w:rPr>
            </w:pPr>
            <w:r>
              <w:rPr>
                <w:rFonts w:ascii="Arial" w:cs="Arial" w:eastAsia="Arial" w:hAnsi="Arial"/>
                <w:sz w:val="18"/>
                <w:szCs w:val="18"/>
                <w:color w:val="auto"/>
              </w:rPr>
              <w:t>Diluted</w:t>
            </w:r>
          </w:p>
        </w:tc>
        <w:tc>
          <w:tcPr>
            <w:tcW w:w="228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0.09</w:t>
            </w:r>
          </w:p>
        </w:tc>
        <w:tc>
          <w:tcPr>
            <w:tcW w:w="146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0.18</w:t>
            </w: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(48.8)</w:t>
            </w:r>
          </w:p>
        </w:tc>
      </w:tr>
      <w:tr>
        <w:trPr>
          <w:trHeight w:val="20"/>
        </w:trPr>
        <w:tc>
          <w:tcPr>
            <w:tcW w:w="20" w:type="dxa"/>
            <w:vAlign w:val="bottom"/>
          </w:tcPr>
          <w:p>
            <w:pPr>
              <w:spacing w:after="0" w:line="20" w:lineRule="exact"/>
              <w:rPr>
                <w:sz w:val="1"/>
                <w:szCs w:val="1"/>
                <w:color w:val="auto"/>
              </w:rPr>
            </w:pPr>
          </w:p>
        </w:tc>
        <w:tc>
          <w:tcPr>
            <w:tcW w:w="660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-4312920</wp:posOffset>
            </wp:positionV>
            <wp:extent cx="7246620" cy="2660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66065"/>
                    </a:xfrm>
                    <a:prstGeom prst="rect">
                      <a:avLst/>
                    </a:prstGeom>
                    <a:noFill/>
                  </pic:spPr>
                </pic:pic>
              </a:graphicData>
            </a:graphic>
          </wp:anchor>
        </w:drawing>
      </w:r>
    </w:p>
    <w:p>
      <w:pPr>
        <w:spacing w:after="0" w:line="18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To facilitate a comparison of our results to prior periods, certain revenue and expense trends, as described below, are presented on a same property basis and exclude the impact of acquisitions and dispositions in the computation of the trends.</w:t>
      </w:r>
    </w:p>
    <w:p>
      <w:pPr>
        <w:spacing w:after="0" w:line="18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References to the "2020 Quarter" refer to the 13 weeks ended December 29, 2019. Similarly, references to the "2019 Quarter" refer to the 13 weeks ended December 30, 2018.</w:t>
      </w:r>
    </w:p>
    <w:p>
      <w:pPr>
        <w:spacing w:after="0" w:line="16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Operating Revenue</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Total operating revenue totaled $122,343,000 in the 2020 Quarter, down $13,858,000, or 10.2%, attributed to a decline in same property operating revenue of 12.5% due to continued softness in the demand for print advertising, reductions in print subscription volumes reflecting general industry trends. Increases in digital revenue, especially from TownNews and revenue from acquisitions, helped offset the declines.</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Advertising and marketing services revenue was $65,727,000 in the 2020 Quarter, down 13.5% due to a strong 2019 Quarter as well as continued decline in print advertising demand, specifically among national retailers, big box stores and classifieds. Digital advertising and marketing services totaled $25,941,000 in the 2020 Quarter and represented 39.5% of the 2020 Quarter total advertising and marketing services revenue, partially offsetting print declines. Digital advertising revenue trends were adversely affected by a strong 2019 Quarter due to non-recurring political revenue.</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Subscription revenue totaled $41,694,000 in the 2020 Quarter, or down 9.9%. The decrease is attributed to lower paid circulation units, consistent with industry trends and timing of price increases, partially offset by an 84.8% increase in digital only subscribers. As of December 2019, we now have 105,000 digital only subscribers.</w:t>
      </w:r>
    </w:p>
    <w:p>
      <w:pPr>
        <w:spacing w:after="0" w:line="18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Other revenue increased $951,000, or 6.8%, in the 2020 Quarter. Management Agreement revenue totaled $3,978,000 in the 2020 Quarter compared to $2,600,000 in the 2019 Quarter. The increase is attributed to solid performance by BHMG. Digital services revenue, which is predominately TownNews, increased 11.6% in 2020 quarter due to product expansion and market share gains. The increases were partially offset by revenue declines in commercial printing and third party delivery due to a reduction in print volume.</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a stand-alone basis, revenue at TownNews totaled $6,181,000 an increase of 17.8%. Investments in video and streaming technology increased product offerings that helped gain market share in publishing and broadcast. Excluding intercompany activity, revenue at TownNews increased 20.1% in the 2020 Quarter.</w:t>
      </w:r>
    </w:p>
    <w:p>
      <w:pPr>
        <w:spacing w:after="0" w:line="189"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Total digital revenue including digital advertising revenue, digital subscription revenue and digital services revenue totaled $37,167,000 in the 2020 Quarter, an increase of 1.7% over the 2019 Quarter, and represented 30.4% of our total operating revenue in the 2020 Quarter.</w:t>
      </w:r>
    </w:p>
    <w:p>
      <w:pPr>
        <w:sectPr>
          <w:pgSz w:w="11900" w:h="16838" w:orient="portrait"/>
          <w:cols w:equalWidth="0" w:num="1">
            <w:col w:w="11420"/>
          </w:cols>
          <w:pgMar w:left="240" w:top="118" w:right="239" w:bottom="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type w:val="continuous"/>
        </w:sectPr>
      </w:pPr>
    </w:p>
    <w:bookmarkStart w:id="27" w:name="page28"/>
    <w:bookmarkEnd w:id="2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Equity in earnings of TNI and MNI decreased $560,000 in the 2020 Quarter.</w:t>
      </w:r>
    </w:p>
    <w:p>
      <w:pPr>
        <w:spacing w:after="0" w:line="176"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Operating Expenses</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Operating expenses decreased $5,005,000, or 4.5%, in the 2020 Quarter due to business transformation projects, outsourcing of certain production operations and reductions in legacy print expenses. Cash costs on a same property basis decreased 9.3% compared to 2019.</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Compensation expense was down $3,795,000, or 8.1%, due to a 9.8% reduction in FTEs with compensation increases offsetting the declines in headcount. Business transformation projects and outsourcing helped drive efficiencies and reduced headcount and compensation expense.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Newsprint and ink costs decreased $1,603,000, or 25.3%, due to a 27.3% reduction in newsprint volume from print price and volume declines.</w:t>
      </w:r>
    </w:p>
    <w:p>
      <w:pPr>
        <w:spacing w:after="0"/>
        <w:rPr>
          <w:sz w:val="20"/>
          <w:szCs w:val="20"/>
          <w:color w:val="auto"/>
        </w:rPr>
      </w:pPr>
      <w:r>
        <w:rPr>
          <w:rFonts w:ascii="Arial" w:cs="Arial" w:eastAsia="Arial" w:hAnsi="Arial"/>
          <w:sz w:val="18"/>
          <w:szCs w:val="18"/>
          <w:color w:val="auto"/>
        </w:rPr>
        <w:t>See Item 3, "Commodities:, included herein, for further discussion and analysis of the impact of newsprint on our business.</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Other operating expenses were down $1,281,000, or 2.6%. Other operating expenses include all operating costs not considered to be compensation, newsprint, depreciation and amortization, or restructuring costs and other. The largest components are costs associated with printing and distribution of our printed products, digital cost of goods sold and facility expenses. Cost reductions were primarily related to lower delivery and other print-related costs due to lower volumes of our print editions, offset in part by higher costs associated with growing digital revenue.</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Restructuring costs and other totaled $1,632,000 and $62,000 in the 2020 Quarter and 2019 Quarter, respectively. Restructuring costs in 2020 and 2019 are predominately severance.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decreased $596,000, or 18.7%, and amortization expense decreased $214,000, or 4.9%, in the 2020 Quarter.</w:t>
      </w:r>
    </w:p>
    <w:p>
      <w:pPr>
        <w:spacing w:after="0" w:line="19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Assets loss (gain) on sales, impairments and other, was a net expense of $814,000 in the 2020 Quarter compared to a net gain of $100,000 in the 2019 Quarter.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factors noted above resulted in operating income of $18,306,000 in the 2020 Quarter compared to $27,719,000 in the 2019 Quarter.</w:t>
      </w:r>
    </w:p>
    <w:p>
      <w:pPr>
        <w:spacing w:after="0" w:line="176"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Nonoperating Income and Expense</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Interest expense decreased $1,141,000, or 9.3%, to $11,115,000 in the 2020 Quarter due to lower debt balances. Our weighted average cost of debt, excluding amortization of debt financing costs, was 9.9% at the end of the 2020 and 2019 Quarters.</w:t>
      </w:r>
    </w:p>
    <w:p>
      <w:pPr>
        <w:spacing w:after="0" w:line="18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We recognized $1,196,000 of debt financing and administrative costs in the 2020 Quarter compared to $896,000 in the 2019 Quarter. The increase in the 2020 Quarter is primarily driven by an increase in current year debt repurchases.</w:t>
      </w:r>
    </w:p>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Other non-operating income and expense consists of benefits associated with our pension and other postretirement plans and the fair value adjustment of our Warrants. We recorded $475,000 of other periodic pension benefits in the 2020 Quarter and $712,000 in the 2019 Quarter. We recorded non-operating income of $1,017,000 in the 2020 Quarter and $80,000 in the 2019 Quarter, related to the changes in the value of the Warrants.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Overall Results</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recorded an income tax expense of $1,871,000, or 24.6%, of pretax income in the 2020 Quarter. In the 2018 Quarter, we recognized an income tax expense of $4,513,000, or 29.6%, of pretax income.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AND EARNINGS PER SHARE</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following table summarizes the impact from the fair value adjustments of our Warrants on income attributable to Lee Enterprises, Incorporated and earnings per diluted common share. Per share amounts may not add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ind w:left="9940"/>
        <w:spacing w:after="0"/>
        <w:rPr>
          <w:sz w:val="20"/>
          <w:szCs w:val="20"/>
          <w:color w:val="auto"/>
        </w:rPr>
      </w:pPr>
      <w:r>
        <w:rPr>
          <w:rFonts w:ascii="Arial" w:cs="Arial" w:eastAsia="Arial" w:hAnsi="Arial"/>
          <w:sz w:val="18"/>
          <w:szCs w:val="18"/>
          <w:color w:val="auto"/>
        </w:rPr>
        <w:t>13 Weeks Ended</w:t>
      </w: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88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290"/>
              <w:spacing w:after="0" w:line="195" w:lineRule="exact"/>
              <w:rPr>
                <w:sz w:val="20"/>
                <w:szCs w:val="20"/>
                <w:color w:val="auto"/>
              </w:rPr>
            </w:pPr>
            <w:r>
              <w:rPr>
                <w:rFonts w:ascii="Arial" w:cs="Arial" w:eastAsia="Arial" w:hAnsi="Arial"/>
                <w:sz w:val="18"/>
                <w:szCs w:val="18"/>
                <w:color w:val="auto"/>
              </w:rPr>
              <w:t>December</w:t>
            </w:r>
          </w:p>
        </w:tc>
        <w:tc>
          <w:tcPr>
            <w:tcW w:w="12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December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29,</w:t>
            </w:r>
          </w:p>
        </w:tc>
        <w:tc>
          <w:tcPr>
            <w:tcW w:w="1260" w:type="dxa"/>
            <w:vAlign w:val="bottom"/>
          </w:tcPr>
          <w:p>
            <w:pPr>
              <w:spacing w:after="0"/>
              <w:rPr>
                <w:sz w:val="17"/>
                <w:szCs w:val="17"/>
                <w:color w:val="auto"/>
              </w:rPr>
            </w:pP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2019</w:t>
            </w:r>
          </w:p>
        </w:tc>
        <w:tc>
          <w:tcPr>
            <w:tcW w:w="1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 Except Per Share Data)</w:t>
            </w:r>
          </w:p>
        </w:tc>
        <w:tc>
          <w:tcPr>
            <w:tcW w:w="164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Amount</w:t>
            </w:r>
          </w:p>
        </w:tc>
        <w:tc>
          <w:tcPr>
            <w:tcW w:w="146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Per Share</w:t>
            </w:r>
          </w:p>
        </w:tc>
        <w:tc>
          <w:tcPr>
            <w:tcW w:w="126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Amount</w:t>
            </w:r>
          </w:p>
        </w:tc>
        <w:tc>
          <w:tcPr>
            <w:tcW w:w="11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Per Share</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8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80" w:type="dxa"/>
            <w:vAlign w:val="bottom"/>
          </w:tcPr>
          <w:p>
            <w:pPr>
              <w:spacing w:after="0" w:line="202" w:lineRule="exact"/>
              <w:rPr>
                <w:sz w:val="20"/>
                <w:szCs w:val="20"/>
                <w:color w:val="auto"/>
              </w:rPr>
            </w:pPr>
            <w:r>
              <w:rPr>
                <w:rFonts w:ascii="Arial" w:cs="Arial" w:eastAsia="Arial" w:hAnsi="Arial"/>
                <w:sz w:val="18"/>
                <w:szCs w:val="18"/>
                <w:color w:val="auto"/>
              </w:rPr>
              <w:t>Income attributable to Lee Enterprises, Incorporated, as reported</w:t>
            </w:r>
          </w:p>
        </w:tc>
        <w:tc>
          <w:tcPr>
            <w:tcW w:w="16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5,320</w:t>
            </w:r>
          </w:p>
        </w:tc>
        <w:tc>
          <w:tcPr>
            <w:tcW w:w="14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0.09</w:t>
            </w:r>
          </w:p>
        </w:tc>
        <w:tc>
          <w:tcPr>
            <w:tcW w:w="12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10,361</w:t>
            </w: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w:t>
            </w:r>
          </w:p>
        </w:tc>
        <w:tc>
          <w:tcPr>
            <w:tcW w:w="16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tcBorders>
              <w:bottom w:val="single" w:sz="8" w:color="auto"/>
            </w:tcBorders>
          </w:tcPr>
          <w:p>
            <w:pPr>
              <w:ind w:left="160"/>
              <w:spacing w:after="0" w:line="202" w:lineRule="exact"/>
              <w:rPr>
                <w:sz w:val="20"/>
                <w:szCs w:val="20"/>
                <w:color w:val="auto"/>
              </w:rPr>
            </w:pPr>
            <w:r>
              <w:rPr>
                <w:rFonts w:ascii="Arial" w:cs="Arial" w:eastAsia="Arial" w:hAnsi="Arial"/>
                <w:sz w:val="18"/>
                <w:szCs w:val="18"/>
                <w:color w:val="auto"/>
              </w:rPr>
              <w:t>Warrants fair value adjustment</w:t>
            </w:r>
          </w:p>
        </w:tc>
        <w:tc>
          <w:tcPr>
            <w:tcW w:w="164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(1,017)</w:t>
            </w:r>
          </w:p>
        </w:tc>
        <w:tc>
          <w:tcPr>
            <w:tcW w:w="146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(0.02)</w:t>
            </w:r>
          </w:p>
        </w:tc>
        <w:tc>
          <w:tcPr>
            <w:tcW w:w="126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(80)</w:t>
            </w:r>
          </w:p>
        </w:tc>
        <w:tc>
          <w:tcPr>
            <w:tcW w:w="11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8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Income attributable to Lee Enterprises, Incorporated, as adjusted</w:t>
            </w:r>
          </w:p>
        </w:tc>
        <w:tc>
          <w:tcPr>
            <w:tcW w:w="164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4,303</w:t>
            </w:r>
          </w:p>
        </w:tc>
        <w:tc>
          <w:tcPr>
            <w:tcW w:w="146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0.07</w:t>
            </w:r>
          </w:p>
        </w:tc>
        <w:tc>
          <w:tcPr>
            <w:tcW w:w="126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10,281</w:t>
            </w:r>
          </w:p>
        </w:tc>
        <w:tc>
          <w:tcPr>
            <w:tcW w:w="11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Activities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Cash provided by operating activities was $10,361,000 in the 2020 Quarter compared to $19,407,000 in the 2019 Quarter. Net income for the 2020 Quarter totaled $5,717,000 compared to $10,719,000 in the 2019 Quarter. The decrease in cash provided by operating activities in the 2020 Quarter is mainly attributed to year over year changes in operating income.</w:t>
      </w:r>
    </w:p>
    <w:p>
      <w:pPr>
        <w:sectPr>
          <w:pgSz w:w="11900" w:h="16838" w:orient="portrait"/>
          <w:cols w:equalWidth="0" w:num="1">
            <w:col w:w="11420"/>
          </w:cols>
          <w:pgMar w:left="240" w:top="118" w:right="239" w:bottom="976"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976" w:gutter="0" w:footer="0" w:header="0"/>
          <w:type w:val="continuous"/>
        </w:sectPr>
      </w:pPr>
    </w:p>
    <w:bookmarkStart w:id="28" w:name="page29"/>
    <w:bookmarkEnd w:id="2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Investing Activities</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Cash required for investing activities totaled $3,740,000 in the 2020 Quarter compared to $1,395,000 in the 2019 Quarter. Capital spending totaled $2,458,000 in the 2020 Quarter compared to $1,002,000 in the 2019 Quarter. We spent $1,121,000 on acquisitions in the 2020 Quarter.</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anticipate that funds necessary for capital expenditures, which are expected to be $ 7,800,000 in 2020, and other requirements, will be available from internally generated funds or available under our Revolving Facility. After the Berkshire refinancing, these obligations will be funded with cash on the balance sheet.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Financing Activities</w:t>
      </w:r>
    </w:p>
    <w:p>
      <w:pPr>
        <w:spacing w:after="0" w:line="22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Cash required for financing activities totaled $10,798,000 in the 2020 Quarter and $7,483,000 in the 2019 Quarter. Debt reduction accounted for the majority of the usage of funds in both the 2020 Quarter and the 2019 Quarter.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At December 29, 2019, after consideration of letters of credit, we have approximately $17,644,000 available for future use under our Revolving Facility. Including cash and availability under our Revolving Facility, our liquidity at December 29, 2019 totals $22,112,000. This liquidity amount excludes any future cash flows. We expect all interest and principal payments due in the next twelve months will be satisfied by our cash flows, which will allow us to maintain an adequate level of liquidity. The Warrants, if and when exercised, would provide additional liquidity in an amount up to $25,140,000. On July 31, 2019, our liquidity was reduced by $4.1 million due to a reduction in availability under our Revolving Facility.</w:t>
      </w:r>
    </w:p>
    <w:p>
      <w:pPr>
        <w:spacing w:after="0" w:line="192" w:lineRule="exact"/>
        <w:rPr>
          <w:sz w:val="20"/>
          <w:szCs w:val="20"/>
          <w:color w:val="auto"/>
        </w:rPr>
      </w:pPr>
    </w:p>
    <w:p>
      <w:pPr>
        <w:jc w:val="both"/>
        <w:spacing w:after="0"/>
        <w:rPr>
          <w:sz w:val="20"/>
          <w:szCs w:val="20"/>
          <w:color w:val="auto"/>
        </w:rPr>
      </w:pPr>
      <w:r>
        <w:rPr>
          <w:rFonts w:ascii="Arial" w:cs="Arial" w:eastAsia="Arial" w:hAnsi="Arial"/>
          <w:sz w:val="18"/>
          <w:szCs w:val="18"/>
          <w:color w:val="auto"/>
        </w:rPr>
        <w:t>Pursuant to the terms of the financing agreement with BH Finance, our new debt will not include a revolver. Our current Revolving Facility will be terminated upon close of the Debt Refinancing. The Debt Refinancing covenants provide for increased cash on hand which will satisfy our liquidity needs in lieu of a revolver.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At December 29, 2019, the principal amount of our outstanding debt totals $433,394,000.</w:t>
      </w:r>
    </w:p>
    <w:p>
      <w:pPr>
        <w:spacing w:after="0" w:line="198" w:lineRule="exact"/>
        <w:rPr>
          <w:sz w:val="20"/>
          <w:szCs w:val="20"/>
          <w:color w:val="auto"/>
        </w:rPr>
      </w:pPr>
    </w:p>
    <w:p>
      <w:pPr>
        <w:jc w:val="both"/>
        <w:spacing w:after="0" w:line="206" w:lineRule="auto"/>
        <w:rPr>
          <w:sz w:val="20"/>
          <w:szCs w:val="20"/>
          <w:color w:val="auto"/>
        </w:rPr>
      </w:pPr>
      <w:r>
        <w:rPr>
          <w:rFonts w:ascii="Arial" w:cs="Arial" w:eastAsia="Arial" w:hAnsi="Arial"/>
          <w:sz w:val="17"/>
          <w:szCs w:val="17"/>
          <w:color w:val="auto"/>
        </w:rPr>
        <w:t>There are numerous potential consequences under the Notes,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Lien Credit Facility and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Lien Term Loan, if an event of default, as defined, occurs and is not remedied. Many of those consequences are beyond our control. The occurrence of one or more events of default would give</w:t>
      </w:r>
    </w:p>
    <w:p>
      <w:pPr>
        <w:spacing w:after="0" w:line="2"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rise to the right of the applicable lender(s) to exercise their remedies under the Notes,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Credit Facility and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 respectively, including, without limitation, the right to accelerate all outstanding debt and take actions authorized in such circumstances under applicable collateral security documents.</w:t>
      </w:r>
    </w:p>
    <w:p>
      <w:pPr>
        <w:spacing w:after="0" w:line="190"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Our ability to operate as a going concern is dependent on our ability to remain in compliance with debt covenants and repay, refinance or amend our debt agreements as they become due, if available liquidity is consumed. The Notes,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Credit Facility and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 have only limited affirmative covenants with which we are required to maintain compliance. We are in compliance with our debt covenants at December 29,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LAWS AND REGULATIONS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Pension Plans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2012, the Surface Transportation Extension Act of 2012 (“STEA”) was signed into law. STEA provides for changes in the determination of discount rates that result in a near-term reduction in minimum funding requirements for our defined benefit pension plans. STEA will also result in an increase in future premiums to be paid to the Pension Benefit Guarantee Corporation ("PBGC").</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2014, the Highway and Transportation Funding Act ("HATFA") was signed into law. HATFA generally extends the relief offered under STEA and further increases premiums to be paid to the PBGC.</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Wage Laws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United States and various state and local governments are considering increasing their respective minimum wage rates. Most of our employees earn an amount in excess of the current United States or state minimum wage rates. However, until changes to such rates are enacted, the impact of the changes cannot be determined.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Price increases (or decreases) for our products or services are implemented when deemed appropriate by us. We continuously evaluate price increases, productivity improvements, sourcing efficiencies and other cost reductions to mitigate the impact of inflation.</w:t>
      </w:r>
    </w:p>
    <w:p>
      <w:pPr>
        <w:spacing w:after="0" w:line="16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exposed to market risk stemming from changes in interest rates and commodity prices. Changes in these factors could cause fluctuations in earnings and cash flows. In the normal course of business, exposure to certain of these market risks is managed as described below.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RATES ON DEBT</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debt structure, which is entirely fixed rate, eliminates the potential impact of an increase in interest rates. At December 29, 2019, we had no floating debt outstanding. We have no interest rate hedging in place.</w:t>
      </w:r>
    </w:p>
    <w:p>
      <w:pPr>
        <w:sectPr>
          <w:pgSz w:w="11900" w:h="16838" w:orient="portrait"/>
          <w:cols w:equalWidth="0" w:num="1">
            <w:col w:w="11420"/>
          </w:cols>
          <w:pgMar w:left="240" w:top="118" w:right="239" w:bottom="557"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557" w:gutter="0" w:footer="0" w:header="0"/>
          <w:type w:val="continuous"/>
        </w:sectPr>
      </w:pPr>
    </w:p>
    <w:bookmarkStart w:id="29" w:name="page30"/>
    <w:bookmarkEnd w:id="2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Newsprint prices decreased during the 2020 Quarter as a result of declining domestic and export demand.</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long-term supply strategy is to align the Company with those cost-effective suppliers most likely to continue producing and supplying newsprint to the North American market and geographically aligned with our print locations. Where possible the Company will align supply with the lowest cost material, but may be restricted due to shipping expenses and paper production availability.</w:t>
      </w:r>
    </w:p>
    <w:p>
      <w:pPr>
        <w:spacing w:after="0" w:line="189"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 $10 per tonne price increase for 30 pound newsprint would result in an annualized reduction in income before taxes of approximately $331,000 annualized based on anticipated consumption in 2020, excluding consumption of TNI and MNI and the impact of LIFO accounting.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SENSITIVITY TO CHANGES IN VALUE</w:t>
      </w:r>
    </w:p>
    <w:p>
      <w:pPr>
        <w:spacing w:after="0" w:line="220"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Our debt consists of $356,141,000 principal amount of the Notes and $77,253,000 principal amount under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 which are subject to fixed interest rates. At December 29, 2019, based on an average of private market price quotations, the fair values were $344,789,000 and $76,481,000 for the Notes and 2nd Lien Term Loan, respectively.</w:t>
      </w:r>
    </w:p>
    <w:p>
      <w:pPr>
        <w:spacing w:after="0" w:line="18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Under the supervision and with the participation of our senior management, including our chief executive officer and chief financial officer, we conducted an evaluation of the effectiveness of the design and operation of our disclosure controls and procedures, as defined in Rules 13a-15(e) and 15d-15(e) under the Exchange Act, as of the end of the period covered by this Quarterly Report on Form 10-Q (the “Evaluation Date”). Based on this evaluation, our chief executive officer and chief financial officer concluded that as of the Evaluation Date, our disclosure controls and procedures were effective.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13 weeks ended December 29, 2019 that have materially affected, or are reasonably likely to materially affect, our internal control over financial reporting.</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OTHER INFORMATION</w:t>
      </w:r>
    </w:p>
    <w:p>
      <w:pPr>
        <w:spacing w:after="0" w:line="17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involved in a variety of legal actions that arise in the normal course of business. Insurance coverage mitigates potential loss for certain of these matters. While we are unable to predict the ultimate outcome of these legal actions, it is our opinion that the disposition of these matters will not have a material adverse effect on our Consolidated Financial Statements, taken as a whole.</w:t>
      </w:r>
    </w:p>
    <w:p>
      <w:pPr>
        <w:spacing w:after="0" w:line="16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Except as otherwise described herein, there have been no material changes in the risk factors previously disclosed in “Part I, Item 1A. Risk Factors” of our 2019 Form 10-K.</w:t>
      </w:r>
    </w:p>
    <w:p>
      <w:pPr>
        <w:spacing w:after="0" w:line="18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On January 29, 2020, the Company entered into an Asset and Stock Purchase Agreement (“Purchase Agreement”) with Berkshire Hathaway Inc. (“Berkshire”) and BH Media Group, Inc. (“BH Media and “BHMG”). Under the Purchase Agreement, the Company has agreed to purchase certain assets and assume certain liabilities of BH Media’s newspapers and publications business (“BH Media Newspaper Business”), excluding real estate and production equipment, and purchase all of the issued and outstanding capital stock of The Buffalo News, Inc. (“Buffalo News”, collectively, the “Transactions”). If the Transactions were to be abandoned or not pursued; if we failed to obtain necessary regulatory approvals or to satisfy any of the other conditions to the closing of the proposed Transactions, that could adversely affect the market price of the Company’s common stock or the Company’s operating results. There also exists the risks that the Transactions, if consummated, would not result in the benefits that we expect, that we could fail to promptly and effectively integrate the newspaper operations of Berkshire Hathaway; that there could be negative effects relating to announcements relative to the proposed Transactions, that we will incur significant transaction costs, that we may be subject to unknown or inestimable liabilities and lack of indemnification from Berkshire, that we could be made party to potential litigation associated with the proposed Transactions and that consummation of the proposed Transactions could have a negative effect upon the retention of certain key employees.</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the Company may, from time to time, evaluate and pursue other opportunities for growth, including through strategic investments, joint ventures, and other acquisitions. These strategic initiatives involve various inherent risks, including, without limitation, general business risk, integration and synergy risk, market acceptance risk and risks associated with the potential distraction of management. Such transactions and initiatives may not ultimately create value for us or our stockholders and may harm our reputation and materially adversely affect our business, financial condition and results of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84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10600" w:type="dxa"/>
            <w:vAlign w:val="bottom"/>
            <w:gridSpan w:val="4"/>
          </w:tcPr>
          <w:p>
            <w:pPr>
              <w:jc w:val="right"/>
              <w:ind w:right="9640"/>
              <w:spacing w:after="0"/>
              <w:rPr>
                <w:sz w:val="20"/>
                <w:szCs w:val="20"/>
                <w:color w:val="auto"/>
              </w:rPr>
            </w:pPr>
            <w:r>
              <w:rPr>
                <w:rFonts w:ascii="Arial" w:cs="Arial" w:eastAsia="Arial" w:hAnsi="Arial"/>
                <w:sz w:val="22"/>
                <w:szCs w:val="22"/>
                <w:b w:val="1"/>
                <w:bCs w:val="1"/>
                <w:color w:val="auto"/>
              </w:rPr>
              <w:t>Exhibits</w:t>
            </w:r>
          </w:p>
        </w:tc>
      </w:tr>
      <w:tr>
        <w:trPr>
          <w:trHeight w:val="206"/>
        </w:trPr>
        <w:tc>
          <w:tcPr>
            <w:tcW w:w="840" w:type="dxa"/>
            <w:vAlign w:val="bottom"/>
            <w:tcBorders>
              <w:bottom w:val="single" w:sz="8" w:color="auto"/>
            </w:tcBorders>
          </w:tcPr>
          <w:p>
            <w:pPr>
              <w:spacing w:after="0"/>
              <w:rPr>
                <w:sz w:val="17"/>
                <w:szCs w:val="17"/>
                <w:color w:val="auto"/>
              </w:rPr>
            </w:pPr>
          </w:p>
        </w:tc>
        <w:tc>
          <w:tcPr>
            <w:tcW w:w="7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8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Number</w:t>
            </w:r>
          </w:p>
        </w:tc>
        <w:tc>
          <w:tcPr>
            <w:tcW w:w="7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Description</w:t>
            </w:r>
          </w:p>
        </w:tc>
        <w:tc>
          <w:tcPr>
            <w:tcW w:w="20" w:type="dxa"/>
            <w:vAlign w:val="bottom"/>
            <w:tcBorders>
              <w:bottom w:val="single" w:sz="8" w:color="auto"/>
            </w:tcBorders>
          </w:tcPr>
          <w:p>
            <w:pPr>
              <w:spacing w:after="0"/>
              <w:rPr>
                <w:sz w:val="17"/>
                <w:szCs w:val="17"/>
                <w:color w:val="auto"/>
              </w:rPr>
            </w:pPr>
          </w:p>
        </w:tc>
      </w:tr>
      <w:tr>
        <w:trPr>
          <w:trHeight w:val="372"/>
        </w:trPr>
        <w:tc>
          <w:tcPr>
            <w:tcW w:w="840" w:type="dxa"/>
            <w:vAlign w:val="bottom"/>
          </w:tcPr>
          <w:p>
            <w:pPr>
              <w:spacing w:after="0"/>
              <w:rPr>
                <w:sz w:val="20"/>
                <w:szCs w:val="20"/>
                <w:color w:val="auto"/>
              </w:rPr>
            </w:pPr>
            <w:r>
              <w:rPr>
                <w:rFonts w:ascii="Arial" w:cs="Arial" w:eastAsia="Arial" w:hAnsi="Arial"/>
                <w:sz w:val="18"/>
                <w:szCs w:val="18"/>
                <w:color w:val="auto"/>
              </w:rPr>
              <w:t>31.1</w:t>
            </w:r>
          </w:p>
        </w:tc>
        <w:tc>
          <w:tcPr>
            <w:tcW w:w="7580" w:type="dxa"/>
            <w:vAlign w:val="bottom"/>
          </w:tcPr>
          <w:p>
            <w:pPr>
              <w:spacing w:after="0"/>
              <w:rPr>
                <w:sz w:val="24"/>
                <w:szCs w:val="24"/>
                <w:color w:val="auto"/>
              </w:rPr>
            </w:pPr>
          </w:p>
        </w:tc>
        <w:tc>
          <w:tcPr>
            <w:tcW w:w="3020" w:type="dxa"/>
            <w:vAlign w:val="bottom"/>
            <w:tcBorders>
              <w:bottom w:val="single" w:sz="8" w:color="0000EE"/>
            </w:tcBorders>
            <w:gridSpan w:val="3"/>
          </w:tcPr>
          <w:p>
            <w:pPr>
              <w:jc w:val="right"/>
              <w:ind w:right="20"/>
              <w:spacing w:after="0"/>
              <w:rPr>
                <w:rFonts w:ascii="Arial" w:cs="Arial" w:eastAsia="Arial" w:hAnsi="Arial"/>
                <w:sz w:val="18"/>
                <w:szCs w:val="18"/>
                <w:color w:val="0000EE"/>
                <w:w w:val="99"/>
              </w:rPr>
            </w:pPr>
            <w:r>
              <w:rPr>
                <w:rFonts w:ascii="Arial" w:cs="Arial" w:eastAsia="Arial" w:hAnsi="Arial"/>
                <w:sz w:val="18"/>
                <w:szCs w:val="18"/>
                <w:color w:val="0000EE"/>
                <w:w w:val="99"/>
              </w:rPr>
              <w:t xml:space="preserve">Rule </w:t>
            </w:r>
            <w:hyperlink w:anchor="page32">
              <w:r>
                <w:rPr>
                  <w:rFonts w:ascii="Arial" w:cs="Arial" w:eastAsia="Arial" w:hAnsi="Arial"/>
                  <w:sz w:val="18"/>
                  <w:szCs w:val="18"/>
                  <w:color w:val="0000EE"/>
                  <w:w w:val="99"/>
                </w:rPr>
                <w:t>13a-14(a)/15d-14(a) certification</w:t>
              </w:r>
            </w:hyperlink>
          </w:p>
        </w:tc>
      </w:tr>
      <w:tr>
        <w:trPr>
          <w:trHeight w:val="183"/>
        </w:trPr>
        <w:tc>
          <w:tcPr>
            <w:tcW w:w="840" w:type="dxa"/>
            <w:vAlign w:val="bottom"/>
          </w:tcPr>
          <w:p>
            <w:pPr>
              <w:spacing w:after="0" w:line="182" w:lineRule="exact"/>
              <w:rPr>
                <w:sz w:val="20"/>
                <w:szCs w:val="20"/>
                <w:color w:val="auto"/>
              </w:rPr>
            </w:pPr>
            <w:r>
              <w:rPr>
                <w:rFonts w:ascii="Arial" w:cs="Arial" w:eastAsia="Arial" w:hAnsi="Arial"/>
                <w:sz w:val="18"/>
                <w:szCs w:val="18"/>
                <w:color w:val="auto"/>
              </w:rPr>
              <w:t>31.2</w:t>
            </w:r>
          </w:p>
        </w:tc>
        <w:tc>
          <w:tcPr>
            <w:tcW w:w="7580" w:type="dxa"/>
            <w:vAlign w:val="bottom"/>
          </w:tcPr>
          <w:p>
            <w:pPr>
              <w:spacing w:after="0"/>
              <w:rPr>
                <w:sz w:val="15"/>
                <w:szCs w:val="15"/>
                <w:color w:val="auto"/>
              </w:rPr>
            </w:pPr>
          </w:p>
        </w:tc>
        <w:tc>
          <w:tcPr>
            <w:tcW w:w="3020" w:type="dxa"/>
            <w:vAlign w:val="bottom"/>
            <w:tcBorders>
              <w:bottom w:val="single" w:sz="8" w:color="0000EE"/>
            </w:tcBorders>
            <w:gridSpan w:val="3"/>
          </w:tcPr>
          <w:p>
            <w:pPr>
              <w:jc w:val="right"/>
              <w:ind w:right="20"/>
              <w:spacing w:after="0" w:line="182" w:lineRule="exact"/>
              <w:rPr>
                <w:rFonts w:ascii="Arial" w:cs="Arial" w:eastAsia="Arial" w:hAnsi="Arial"/>
                <w:sz w:val="18"/>
                <w:szCs w:val="18"/>
                <w:color w:val="0000EE"/>
                <w:w w:val="99"/>
              </w:rPr>
            </w:pPr>
            <w:hyperlink w:anchor="page33">
              <w:r>
                <w:rPr>
                  <w:rFonts w:ascii="Arial" w:cs="Arial" w:eastAsia="Arial" w:hAnsi="Arial"/>
                  <w:sz w:val="18"/>
                  <w:szCs w:val="18"/>
                  <w:color w:val="0000EE"/>
                  <w:w w:val="99"/>
                </w:rPr>
                <w:t>Rule 13a-14(a)/15d-14(a) certification</w:t>
              </w:r>
            </w:hyperlink>
          </w:p>
        </w:tc>
      </w:tr>
      <w:tr>
        <w:trPr>
          <w:trHeight w:val="183"/>
        </w:trPr>
        <w:tc>
          <w:tcPr>
            <w:tcW w:w="840" w:type="dxa"/>
            <w:vAlign w:val="bottom"/>
          </w:tcPr>
          <w:p>
            <w:pPr>
              <w:spacing w:after="0" w:line="182" w:lineRule="exact"/>
              <w:rPr>
                <w:sz w:val="20"/>
                <w:szCs w:val="20"/>
                <w:color w:val="auto"/>
              </w:rPr>
            </w:pPr>
            <w:r>
              <w:rPr>
                <w:rFonts w:ascii="Arial" w:cs="Arial" w:eastAsia="Arial" w:hAnsi="Arial"/>
                <w:sz w:val="18"/>
                <w:szCs w:val="18"/>
                <w:color w:val="auto"/>
              </w:rPr>
              <w:t>32</w:t>
            </w:r>
          </w:p>
        </w:tc>
        <w:tc>
          <w:tcPr>
            <w:tcW w:w="7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40" w:type="dxa"/>
            <w:vAlign w:val="bottom"/>
            <w:gridSpan w:val="2"/>
          </w:tcPr>
          <w:p>
            <w:pPr>
              <w:jc w:val="right"/>
              <w:ind w:right="20"/>
              <w:spacing w:after="0" w:line="182" w:lineRule="exact"/>
              <w:rPr>
                <w:rFonts w:ascii="Arial" w:cs="Arial" w:eastAsia="Arial" w:hAnsi="Arial"/>
                <w:sz w:val="18"/>
                <w:szCs w:val="18"/>
                <w:color w:val="0000EE"/>
                <w:w w:val="99"/>
              </w:rPr>
            </w:pPr>
            <w:hyperlink w:anchor="page34">
              <w:r>
                <w:rPr>
                  <w:rFonts w:ascii="Arial" w:cs="Arial" w:eastAsia="Arial" w:hAnsi="Arial"/>
                  <w:sz w:val="18"/>
                  <w:szCs w:val="18"/>
                  <w:color w:val="0000EE"/>
                  <w:w w:val="99"/>
                </w:rPr>
                <w:t>Section 1350 certification</w:t>
              </w:r>
            </w:hyperlink>
          </w:p>
        </w:tc>
      </w:tr>
      <w:tr>
        <w:trPr>
          <w:trHeight w:val="20"/>
        </w:trPr>
        <w:tc>
          <w:tcPr>
            <w:tcW w:w="840" w:type="dxa"/>
            <w:vAlign w:val="bottom"/>
            <w:tcBorders>
              <w:bottom w:val="single" w:sz="8" w:color="auto"/>
            </w:tcBorders>
          </w:tcPr>
          <w:p>
            <w:pPr>
              <w:spacing w:after="0" w:line="20" w:lineRule="exact"/>
              <w:rPr>
                <w:sz w:val="1"/>
                <w:szCs w:val="1"/>
                <w:color w:val="auto"/>
              </w:rPr>
            </w:pPr>
          </w:p>
        </w:tc>
        <w:tc>
          <w:tcPr>
            <w:tcW w:w="7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53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530" w:gutter="0" w:footer="0" w:header="0"/>
          <w:type w:val="continuous"/>
        </w:sectPr>
      </w:pPr>
    </w:p>
    <w:bookmarkStart w:id="30" w:name="page31"/>
    <w:bookmarkEnd w:id="3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LEE ENTERPRISES, INCORPORATED</w:t>
      </w:r>
    </w:p>
    <w:p>
      <w:pPr>
        <w:spacing w:after="0" w:line="198" w:lineRule="exact"/>
        <w:rPr>
          <w:sz w:val="20"/>
          <w:szCs w:val="20"/>
          <w:color w:val="auto"/>
        </w:rPr>
      </w:pPr>
    </w:p>
    <w:p>
      <w:pPr>
        <w:ind w:left="300"/>
        <w:spacing w:after="0"/>
        <w:tabs>
          <w:tab w:leader="none" w:pos="9740" w:val="left"/>
        </w:tabs>
        <w:rPr>
          <w:sz w:val="20"/>
          <w:szCs w:val="20"/>
          <w:color w:val="auto"/>
        </w:rPr>
      </w:pPr>
      <w:r>
        <w:rPr>
          <w:rFonts w:ascii="Arial" w:cs="Arial" w:eastAsia="Arial" w:hAnsi="Arial"/>
          <w:sz w:val="18"/>
          <w:szCs w:val="18"/>
          <w:color w:val="auto"/>
        </w:rPr>
        <w:t>/s/ Timothy R. Millage</w:t>
      </w:r>
      <w:r>
        <w:rPr>
          <w:sz w:val="20"/>
          <w:szCs w:val="20"/>
          <w:color w:val="auto"/>
        </w:rPr>
        <w:tab/>
      </w:r>
      <w:r>
        <w:rPr>
          <w:rFonts w:ascii="Arial" w:cs="Arial" w:eastAsia="Arial" w:hAnsi="Arial"/>
          <w:sz w:val="17"/>
          <w:szCs w:val="17"/>
          <w:color w:val="auto"/>
        </w:rPr>
        <w:t>February 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-1905</wp:posOffset>
            </wp:positionV>
            <wp:extent cx="32670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ind w:left="300"/>
        <w:spacing w:after="0"/>
        <w:rPr>
          <w:sz w:val="20"/>
          <w:szCs w:val="20"/>
          <w:color w:val="auto"/>
        </w:rPr>
      </w:pPr>
      <w:r>
        <w:rPr>
          <w:rFonts w:ascii="Arial" w:cs="Arial" w:eastAsia="Arial" w:hAnsi="Arial"/>
          <w:sz w:val="18"/>
          <w:szCs w:val="18"/>
          <w:color w:val="auto"/>
        </w:rPr>
        <w:t>Timothy R. Millage</w:t>
      </w:r>
    </w:p>
    <w:p>
      <w:pPr>
        <w:ind w:left="300"/>
        <w:spacing w:after="0" w:line="234" w:lineRule="auto"/>
        <w:rPr>
          <w:sz w:val="20"/>
          <w:szCs w:val="20"/>
          <w:color w:val="auto"/>
        </w:rPr>
      </w:pPr>
      <w:r>
        <w:rPr>
          <w:rFonts w:ascii="Arial" w:cs="Arial" w:eastAsia="Arial" w:hAnsi="Arial"/>
          <w:sz w:val="18"/>
          <w:szCs w:val="18"/>
          <w:color w:val="auto"/>
        </w:rPr>
        <w:t>Vice President, Chief Financial Officer and Treasurer</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18"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 Kevin D. Mowbray, certify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0" w:hanging="632"/>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("Quarterly Report") of Lee Enterprises, Incorporated ("Registrant");</w:t>
      </w:r>
    </w:p>
    <w:p>
      <w:pPr>
        <w:spacing w:after="0" w:line="198" w:lineRule="exact"/>
        <w:rPr>
          <w:sz w:val="20"/>
          <w:szCs w:val="20"/>
          <w:color w:val="auto"/>
        </w:rPr>
      </w:pPr>
    </w:p>
    <w:p>
      <w:pPr>
        <w:ind w:left="640" w:right="1180" w:hanging="632"/>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9" w:lineRule="exact"/>
        <w:rPr>
          <w:sz w:val="20"/>
          <w:szCs w:val="20"/>
          <w:color w:val="auto"/>
        </w:rPr>
      </w:pPr>
    </w:p>
    <w:p>
      <w:pPr>
        <w:jc w:val="both"/>
        <w:ind w:left="640" w:right="1100" w:hanging="632"/>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89" w:lineRule="exact"/>
        <w:rPr>
          <w:sz w:val="20"/>
          <w:szCs w:val="20"/>
          <w:color w:val="auto"/>
        </w:rPr>
      </w:pPr>
    </w:p>
    <w:p>
      <w:pPr>
        <w:ind w:left="640" w:right="1260" w:hanging="632"/>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ind w:left="1580" w:right="1120" w:hanging="519"/>
        <w:spacing w:after="0" w:line="239" w:lineRule="auto"/>
        <w:tabs>
          <w:tab w:leader="none" w:pos="15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8" w:lineRule="exact"/>
        <w:rPr>
          <w:rFonts w:ascii="Arial" w:cs="Arial" w:eastAsia="Arial" w:hAnsi="Arial"/>
          <w:sz w:val="18"/>
          <w:szCs w:val="18"/>
          <w:color w:val="auto"/>
        </w:rPr>
      </w:pPr>
    </w:p>
    <w:p>
      <w:pPr>
        <w:ind w:left="1580" w:right="1160" w:hanging="519"/>
        <w:spacing w:after="0" w:line="239" w:lineRule="auto"/>
        <w:tabs>
          <w:tab w:leader="none" w:pos="15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ind w:left="1580" w:right="1240" w:hanging="519"/>
        <w:spacing w:after="0"/>
        <w:tabs>
          <w:tab w:leader="none" w:pos="15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89" w:lineRule="exact"/>
        <w:rPr>
          <w:rFonts w:ascii="Arial" w:cs="Arial" w:eastAsia="Arial" w:hAnsi="Arial"/>
          <w:sz w:val="18"/>
          <w:szCs w:val="18"/>
          <w:color w:val="auto"/>
        </w:rPr>
      </w:pPr>
    </w:p>
    <w:p>
      <w:pPr>
        <w:ind w:left="1580" w:right="1160" w:hanging="519"/>
        <w:spacing w:after="0" w:line="239" w:lineRule="auto"/>
        <w:tabs>
          <w:tab w:leader="none" w:pos="15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sz w:val="20"/>
          <w:szCs w:val="20"/>
          <w:color w:val="auto"/>
        </w:rPr>
      </w:pPr>
    </w:p>
    <w:p>
      <w:pPr>
        <w:ind w:left="640" w:right="1180" w:hanging="632"/>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9" w:lineRule="exact"/>
        <w:rPr>
          <w:rFonts w:ascii="Arial" w:cs="Arial" w:eastAsia="Arial" w:hAnsi="Arial"/>
          <w:sz w:val="18"/>
          <w:szCs w:val="18"/>
          <w:color w:val="auto"/>
        </w:rPr>
      </w:pPr>
    </w:p>
    <w:p>
      <w:pPr>
        <w:jc w:val="both"/>
        <w:ind w:left="1580" w:right="1120" w:hanging="519"/>
        <w:spacing w:after="0"/>
        <w:tabs>
          <w:tab w:leader="none" w:pos="15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8"/>
          <w:szCs w:val="18"/>
          <w:color w:val="auto"/>
        </w:rPr>
      </w:pPr>
    </w:p>
    <w:p>
      <w:pPr>
        <w:ind w:left="1580" w:right="1000" w:hanging="519"/>
        <w:spacing w:after="0" w:line="246" w:lineRule="auto"/>
        <w:tabs>
          <w:tab w:leader="none" w:pos="15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 Kevin D. Mowbray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-1905</wp:posOffset>
            </wp:positionV>
            <wp:extent cx="41249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ind w:left="4920"/>
        <w:spacing w:after="0"/>
        <w:rPr>
          <w:sz w:val="20"/>
          <w:szCs w:val="20"/>
          <w:color w:val="auto"/>
        </w:rPr>
      </w:pPr>
      <w:r>
        <w:rPr>
          <w:rFonts w:ascii="Arial" w:cs="Arial" w:eastAsia="Arial" w:hAnsi="Arial"/>
          <w:sz w:val="18"/>
          <w:szCs w:val="18"/>
          <w:color w:val="auto"/>
        </w:rPr>
        <w:t>Kevin D. Mowbray</w:t>
      </w:r>
    </w:p>
    <w:p>
      <w:pPr>
        <w:ind w:left="49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18"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Timothy R. Millage, certify that: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40" w:hanging="832"/>
        <w:spacing w:after="0"/>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("Quarterly Report") of Lee Enterprises, Incorporated ("Registrant");</w:t>
      </w:r>
    </w:p>
    <w:p>
      <w:pPr>
        <w:spacing w:after="0" w:line="198" w:lineRule="exact"/>
        <w:rPr>
          <w:sz w:val="20"/>
          <w:szCs w:val="20"/>
          <w:color w:val="auto"/>
        </w:rPr>
      </w:pPr>
    </w:p>
    <w:p>
      <w:pPr>
        <w:ind w:left="840" w:right="1020" w:hanging="832"/>
        <w:spacing w:after="0"/>
        <w:tabs>
          <w:tab w:leader="none" w:pos="8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9" w:lineRule="exact"/>
        <w:rPr>
          <w:sz w:val="20"/>
          <w:szCs w:val="20"/>
          <w:color w:val="auto"/>
        </w:rPr>
      </w:pPr>
    </w:p>
    <w:p>
      <w:pPr>
        <w:ind w:left="840" w:right="1020" w:hanging="832"/>
        <w:spacing w:after="0"/>
        <w:tabs>
          <w:tab w:leader="none" w:pos="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89" w:lineRule="exact"/>
        <w:rPr>
          <w:sz w:val="20"/>
          <w:szCs w:val="20"/>
          <w:color w:val="auto"/>
        </w:rPr>
      </w:pPr>
    </w:p>
    <w:p>
      <w:pPr>
        <w:ind w:left="840" w:right="1040" w:hanging="832"/>
        <w:spacing w:after="0"/>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ind w:left="2100" w:right="1160" w:hanging="728"/>
        <w:spacing w:after="0" w:line="239" w:lineRule="auto"/>
        <w:tabs>
          <w:tab w:leader="none" w:pos="21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8" w:lineRule="exact"/>
        <w:rPr>
          <w:rFonts w:ascii="Arial" w:cs="Arial" w:eastAsia="Arial" w:hAnsi="Arial"/>
          <w:sz w:val="18"/>
          <w:szCs w:val="18"/>
          <w:color w:val="auto"/>
        </w:rPr>
      </w:pPr>
    </w:p>
    <w:p>
      <w:pPr>
        <w:ind w:left="2100" w:right="1020" w:hanging="728"/>
        <w:spacing w:after="0" w:line="239" w:lineRule="auto"/>
        <w:tabs>
          <w:tab w:leader="none" w:pos="21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ind w:left="2100" w:right="1000" w:hanging="728"/>
        <w:spacing w:after="0"/>
        <w:tabs>
          <w:tab w:leader="none" w:pos="21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89" w:lineRule="exact"/>
        <w:rPr>
          <w:rFonts w:ascii="Arial" w:cs="Arial" w:eastAsia="Arial" w:hAnsi="Arial"/>
          <w:sz w:val="18"/>
          <w:szCs w:val="18"/>
          <w:color w:val="auto"/>
        </w:rPr>
      </w:pPr>
    </w:p>
    <w:p>
      <w:pPr>
        <w:ind w:left="2100" w:right="1100" w:hanging="728"/>
        <w:spacing w:after="0" w:line="239" w:lineRule="auto"/>
        <w:tabs>
          <w:tab w:leader="none" w:pos="21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sz w:val="20"/>
          <w:szCs w:val="20"/>
          <w:color w:val="auto"/>
        </w:rPr>
      </w:pPr>
    </w:p>
    <w:p>
      <w:pPr>
        <w:ind w:left="840" w:right="1360" w:hanging="832"/>
        <w:spacing w:after="0"/>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9" w:lineRule="exact"/>
        <w:rPr>
          <w:rFonts w:ascii="Arial" w:cs="Arial" w:eastAsia="Arial" w:hAnsi="Arial"/>
          <w:sz w:val="18"/>
          <w:szCs w:val="18"/>
          <w:color w:val="auto"/>
        </w:rPr>
      </w:pPr>
    </w:p>
    <w:p>
      <w:pPr>
        <w:ind w:left="2100" w:right="1300" w:hanging="728"/>
        <w:spacing w:after="0"/>
        <w:tabs>
          <w:tab w:leader="none" w:pos="21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8"/>
          <w:szCs w:val="18"/>
          <w:color w:val="auto"/>
        </w:rPr>
      </w:pPr>
    </w:p>
    <w:p>
      <w:pPr>
        <w:ind w:left="2100" w:right="1020" w:hanging="728"/>
        <w:spacing w:after="0" w:line="246" w:lineRule="auto"/>
        <w:tabs>
          <w:tab w:leader="none" w:pos="21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7, 2020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/s/ Timothy R. Millage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-1905</wp:posOffset>
            </wp:positionV>
            <wp:extent cx="50939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093970" cy="8890"/>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Timothy R. Millage</w:t>
      </w:r>
    </w:p>
    <w:p>
      <w:pPr>
        <w:ind w:left="242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420"/>
          </w:cols>
          <w:pgMar w:left="240" w:top="121" w:right="239" w:bottom="1440" w:gutter="0" w:footer="0" w:header="0"/>
        </w:sectPr>
      </w:pPr>
    </w:p>
    <w:bookmarkStart w:id="33" w:name="page34"/>
    <w:bookmarkEnd w:id="33"/>
    <w:p>
      <w:pPr>
        <w:ind w:left="10560"/>
        <w:spacing w:after="0"/>
        <w:rPr>
          <w:sz w:val="20"/>
          <w:szCs w:val="20"/>
          <w:color w:val="auto"/>
        </w:rPr>
      </w:pPr>
      <w:r>
        <w:rPr>
          <w:rFonts w:ascii="Arial" w:cs="Arial" w:eastAsia="Arial" w:hAnsi="Arial"/>
          <w:sz w:val="18"/>
          <w:szCs w:val="18"/>
          <w:b w:val="1"/>
          <w:bCs w:val="1"/>
          <w:color w:val="auto"/>
        </w:rPr>
        <w:t>Exhibit 32</w:t>
      </w:r>
    </w:p>
    <w:p>
      <w:pPr>
        <w:spacing w:after="0" w:line="219"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The following statement is being furnished to the Securities and Exchange Commission solely for purposes of Section 906 of the Sarbanes-Oxley Act of 2002 (18 U.S.C. 1350), which carries with it certain criminal penalties in the event of a knowing or willful misrepresentation.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4" w:lineRule="auto"/>
        <w:rPr>
          <w:sz w:val="20"/>
          <w:szCs w:val="20"/>
          <w:color w:val="auto"/>
        </w:rPr>
      </w:pPr>
      <w:r>
        <w:rPr>
          <w:rFonts w:ascii="Arial" w:cs="Arial" w:eastAsia="Arial" w:hAnsi="Arial"/>
          <w:sz w:val="18"/>
          <w:szCs w:val="18"/>
          <w:color w:val="auto"/>
        </w:rPr>
        <w:t>450 Fifth Street, NW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Re: Lee Enterprises, Incorporated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98"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In accordance with the requirements of Section 906 of the Sarbanes-Oxley Act of 2002 (18 U.S.C. 1350), each of the undersigned hereby certifies that to our knowledge:</w:t>
      </w:r>
    </w:p>
    <w:p>
      <w:pPr>
        <w:spacing w:after="0" w:line="200" w:lineRule="exact"/>
        <w:rPr>
          <w:sz w:val="20"/>
          <w:szCs w:val="20"/>
          <w:color w:val="auto"/>
        </w:rPr>
      </w:pPr>
    </w:p>
    <w:p>
      <w:pPr>
        <w:spacing w:after="0" w:line="389" w:lineRule="exact"/>
        <w:rPr>
          <w:sz w:val="20"/>
          <w:szCs w:val="20"/>
          <w:color w:val="auto"/>
        </w:rPr>
      </w:pPr>
    </w:p>
    <w:p>
      <w:pPr>
        <w:ind w:left="920" w:right="960" w:hanging="912"/>
        <w:spacing w:after="0" w:line="246" w:lineRule="auto"/>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Quarterly report on Form 10-Q for the period ended December 29, 2019 ("Quarterly Report"), fully complies with the requirements of section 13(a) or 15(d) of the Securities Exchange Act of 1934 (15 U.S.C. 78m or 78o(d)); and</w:t>
      </w:r>
    </w:p>
    <w:p>
      <w:pPr>
        <w:spacing w:after="0" w:line="183" w:lineRule="exact"/>
        <w:rPr>
          <w:rFonts w:ascii="Arial" w:cs="Arial" w:eastAsia="Arial" w:hAnsi="Arial"/>
          <w:sz w:val="18"/>
          <w:szCs w:val="18"/>
          <w:color w:val="auto"/>
        </w:rPr>
      </w:pPr>
    </w:p>
    <w:p>
      <w:pPr>
        <w:ind w:left="920" w:right="540" w:hanging="912"/>
        <w:spacing w:after="0" w:line="246" w:lineRule="auto"/>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fairly presents, in all material respects, the financial condition and results of operations of Lee Enterprises, Incorporated for the periods presented in the Quarterly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7, 2020</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Pr>
          <w:p>
            <w:pPr>
              <w:spacing w:after="0"/>
              <w:rPr>
                <w:sz w:val="20"/>
                <w:szCs w:val="20"/>
                <w:color w:val="auto"/>
              </w:rPr>
            </w:pPr>
            <w:r>
              <w:rPr>
                <w:rFonts w:ascii="Arial" w:cs="Arial" w:eastAsia="Arial" w:hAnsi="Arial"/>
                <w:sz w:val="18"/>
                <w:szCs w:val="18"/>
                <w:color w:val="auto"/>
              </w:rPr>
              <w:t>/s/ Kevin D. Mowbray</w:t>
            </w:r>
          </w:p>
        </w:tc>
        <w:tc>
          <w:tcPr>
            <w:tcW w:w="6400" w:type="dxa"/>
            <w:vAlign w:val="bottom"/>
            <w:gridSpan w:val="2"/>
          </w:tcPr>
          <w:p>
            <w:pPr>
              <w:ind w:left="140"/>
              <w:spacing w:after="0"/>
              <w:rPr>
                <w:sz w:val="20"/>
                <w:szCs w:val="20"/>
                <w:color w:val="auto"/>
              </w:rPr>
            </w:pPr>
            <w:r>
              <w:rPr>
                <w:rFonts w:ascii="Arial" w:cs="Arial" w:eastAsia="Arial" w:hAnsi="Arial"/>
                <w:sz w:val="18"/>
                <w:szCs w:val="18"/>
                <w:color w:val="auto"/>
              </w:rPr>
              <w:t>/s/ Timothy R. Millage</w:t>
            </w:r>
          </w:p>
        </w:tc>
      </w:tr>
      <w:tr>
        <w:trPr>
          <w:trHeight w:val="195"/>
        </w:trPr>
        <w:tc>
          <w:tcPr>
            <w:tcW w:w="5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Kevin D. Mowbray</w:t>
            </w:r>
          </w:p>
        </w:tc>
        <w:tc>
          <w:tcPr>
            <w:tcW w:w="140" w:type="dxa"/>
            <w:vAlign w:val="bottom"/>
          </w:tcPr>
          <w:p>
            <w:pPr>
              <w:spacing w:after="0"/>
              <w:rPr>
                <w:sz w:val="16"/>
                <w:szCs w:val="16"/>
                <w:color w:val="auto"/>
              </w:rPr>
            </w:pPr>
          </w:p>
        </w:tc>
        <w:tc>
          <w:tcPr>
            <w:tcW w:w="6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Timothy R. Millage</w:t>
            </w:r>
          </w:p>
        </w:tc>
      </w:tr>
      <w:tr>
        <w:trPr>
          <w:trHeight w:val="217"/>
        </w:trPr>
        <w:tc>
          <w:tcPr>
            <w:tcW w:w="50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6400" w:type="dxa"/>
            <w:vAlign w:val="bottom"/>
            <w:gridSpan w:val="2"/>
          </w:tcPr>
          <w:p>
            <w:pPr>
              <w:ind w:left="140"/>
              <w:spacing w:after="0"/>
              <w:rPr>
                <w:sz w:val="20"/>
                <w:szCs w:val="20"/>
                <w:color w:val="auto"/>
              </w:rPr>
            </w:pPr>
            <w:r>
              <w:rPr>
                <w:rFonts w:ascii="Arial" w:cs="Arial" w:eastAsia="Arial" w:hAnsi="Arial"/>
                <w:sz w:val="18"/>
                <w:szCs w:val="18"/>
                <w:color w:val="auto"/>
              </w:rPr>
              <w:t>Vice President, Chief Financial Officer and Treasurer</w:t>
            </w:r>
          </w:p>
        </w:tc>
      </w:tr>
    </w:tbl>
    <w:p>
      <w:pPr>
        <w:spacing w:after="0" w:line="391"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A signed original of this written statement required by Section 906 has been provided to Lee Enterprises, Incorporated and will be retained by Lee Enterprises, Incorporated and furnished to the Securities and Exchange Commission upon request.</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upperLetter"/>
      <w:start w:val="24"/>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bullet"/>
      <w:start w:val="1"/>
    </w:lvl>
  </w:abstractNum>
  <w:abstractNum w:abstractNumId="4">
    <w:nsid w:val="4E6AFB66"/>
    <w:multiLevelType w:val="hybridMultilevel"/>
    <w:lvl w:ilvl="0">
      <w:lvlJc w:val="left"/>
      <w:lvlText w:val="2"/>
      <w:numFmt w:val="bullet"/>
      <w:start w:val="1"/>
    </w:lvl>
  </w:abstractNum>
  <w:abstractNum w:abstractNumId="5">
    <w:nsid w:val="25E45D32"/>
    <w:multiLevelType w:val="hybridMultilevel"/>
    <w:lvl w:ilvl="0">
      <w:lvlJc w:val="left"/>
      <w:lvlText w:val="3"/>
      <w:numFmt w:val="bullet"/>
      <w:start w:val="1"/>
    </w:lvl>
  </w:abstractNum>
  <w:abstractNum w:abstractNumId="6">
    <w:nsid w:val="519B500D"/>
    <w:multiLevelType w:val="hybridMultilevel"/>
    <w:lvl w:ilvl="0">
      <w:lvlJc w:val="left"/>
      <w:lvlText w:val="4"/>
      <w:numFmt w:val="bullet"/>
      <w:start w:val="1"/>
    </w:lvl>
  </w:abstractNum>
  <w:abstractNum w:abstractNumId="7">
    <w:nsid w:val="431BD7B7"/>
    <w:multiLevelType w:val="hybridMultilevel"/>
    <w:lvl w:ilvl="0">
      <w:lvlJc w:val="left"/>
      <w:lvlText w:val="5"/>
      <w:numFmt w:val="bullet"/>
      <w:start w:val="1"/>
    </w:lvl>
    <w:lvl w:ilvl="1">
      <w:lvlJc w:val="left"/>
      <w:lvlText w:val="•"/>
      <w:numFmt w:val="bullet"/>
      <w:start w:val="1"/>
    </w:lvl>
  </w:abstractNum>
  <w:abstractNum w:abstractNumId="8">
    <w:nsid w:val="3F2DBA31"/>
    <w:multiLevelType w:val="hybridMultilevel"/>
    <w:lvl w:ilvl="0">
      <w:lvlJc w:val="left"/>
      <w:lvlText w:val="6"/>
      <w:numFmt w:val="bullet"/>
      <w:start w:val="1"/>
    </w:lvl>
  </w:abstractNum>
  <w:abstractNum w:abstractNumId="9">
    <w:nsid w:val="7C83E458"/>
    <w:multiLevelType w:val="hybridMultilevel"/>
    <w:lvl w:ilvl="0">
      <w:lvlJc w:val="left"/>
      <w:lvlText w:val="7"/>
      <w:numFmt w:val="bullet"/>
      <w:start w:val="1"/>
    </w:lvl>
  </w:abstractNum>
  <w:abstractNum w:abstractNumId="10">
    <w:nsid w:val="257130A3"/>
    <w:multiLevelType w:val="hybridMultilevel"/>
    <w:lvl w:ilvl="0">
      <w:lvlJc w:val="left"/>
      <w:lvlText w:val="8"/>
      <w:numFmt w:val="bullet"/>
      <w:start w:val="1"/>
    </w:lvl>
  </w:abstractNum>
  <w:abstractNum w:abstractNumId="11">
    <w:nsid w:val="62BBD95A"/>
    <w:multiLevelType w:val="hybridMultilevel"/>
    <w:lvl w:ilvl="0">
      <w:lvlJc w:val="left"/>
      <w:lvlText w:val="9"/>
      <w:numFmt w:val="bullet"/>
      <w:start w:val="1"/>
    </w:lvl>
  </w:abstractNum>
  <w:abstractNum w:abstractNumId="12">
    <w:nsid w:val="436C6125"/>
    <w:multiLevelType w:val="hybridMultilevel"/>
    <w:lvl w:ilvl="0">
      <w:lvlJc w:val="left"/>
      <w:lvlText w:val="%1"/>
      <w:numFmt w:val="decimal"/>
      <w:start w:val="10"/>
    </w:lvl>
  </w:abstractNum>
  <w:abstractNum w:abstractNumId="13">
    <w:nsid w:val="628C895D"/>
    <w:multiLevelType w:val="hybridMultilevel"/>
    <w:lvl w:ilvl="0">
      <w:lvlJc w:val="left"/>
      <w:lvlText w:val="%1"/>
      <w:numFmt w:val="decimal"/>
      <w:start w:val="12"/>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1"/>
      <w:numFmt w:val="bullet"/>
      <w:start w:val="1"/>
    </w:lvl>
  </w:abstractNum>
  <w:abstractNum w:abstractNumId="18">
    <w:nsid w:val="6763845E"/>
    <w:multiLevelType w:val="hybridMultilevel"/>
    <w:lvl w:ilvl="0">
      <w:lvlJc w:val="left"/>
      <w:lvlText w:val="2"/>
      <w:numFmt w:val="bullet"/>
      <w:start w:val="1"/>
    </w:lvl>
  </w:abstractNum>
  <w:abstractNum w:abstractNumId="19">
    <w:nsid w:val="75A2A8D4"/>
    <w:multiLevelType w:val="hybridMultilevel"/>
    <w:lvl w:ilvl="0">
      <w:lvlJc w:val="left"/>
      <w:lvlText w:val="3"/>
      <w:numFmt w:val="bullet"/>
      <w:start w:val="1"/>
    </w:lvl>
  </w:abstractNum>
  <w:abstractNum w:abstractNumId="20">
    <w:nsid w:val="8EDBDAB"/>
    <w:multiLevelType w:val="hybridMultilevel"/>
    <w:lvl w:ilvl="0">
      <w:lvlJc w:val="left"/>
      <w:lvlText w:val="4"/>
      <w:numFmt w:val="bullet"/>
      <w:start w:val="1"/>
    </w:lvl>
    <w:lvl w:ilvl="1">
      <w:lvlJc w:val="left"/>
      <w:lvlText w:val="%2)"/>
      <w:numFmt w:val="lowerLetter"/>
      <w:start w:val="1"/>
    </w:lvl>
  </w:abstractNum>
  <w:abstractNum w:abstractNumId="21">
    <w:nsid w:val="79838CB2"/>
    <w:multiLevelType w:val="hybridMultilevel"/>
    <w:lvl w:ilvl="0">
      <w:lvlJc w:val="left"/>
      <w:lvlText w:val="5"/>
      <w:numFmt w:val="bullet"/>
      <w:start w:val="1"/>
    </w:lvl>
    <w:lvl w:ilvl="1">
      <w:lvlJc w:val="left"/>
      <w:lvlText w:val="%2)"/>
      <w:numFmt w:val="lowerLetter"/>
      <w:start w:val="1"/>
    </w:lvl>
  </w:abstractNum>
  <w:abstractNum w:abstractNumId="22">
    <w:nsid w:val="4353D0CD"/>
    <w:multiLevelType w:val="hybridMultilevel"/>
    <w:lvl w:ilvl="0">
      <w:lvlJc w:val="left"/>
      <w:lvlText w:val="1"/>
      <w:numFmt w:val="bullet"/>
      <w:start w:val="1"/>
    </w:lvl>
  </w:abstractNum>
  <w:abstractNum w:abstractNumId="23">
    <w:nsid w:val="B03E0C6"/>
    <w:multiLevelType w:val="hybridMultilevel"/>
    <w:lvl w:ilvl="0">
      <w:lvlJc w:val="left"/>
      <w:lvlText w:val="2"/>
      <w:numFmt w:val="bullet"/>
      <w:start w:val="1"/>
    </w:lvl>
  </w:abstractNum>
  <w:abstractNum w:abstractNumId="24">
    <w:nsid w:val="189A769B"/>
    <w:multiLevelType w:val="hybridMultilevel"/>
    <w:lvl w:ilvl="0">
      <w:lvlJc w:val="left"/>
      <w:lvlText w:val="3"/>
      <w:numFmt w:val="bullet"/>
      <w:start w:val="1"/>
    </w:lvl>
  </w:abstractNum>
  <w:abstractNum w:abstractNumId="25">
    <w:nsid w:val="54E49EB4"/>
    <w:multiLevelType w:val="hybridMultilevel"/>
    <w:lvl w:ilvl="0">
      <w:lvlJc w:val="left"/>
      <w:lvlText w:val="4"/>
      <w:numFmt w:val="bullet"/>
      <w:start w:val="1"/>
    </w:lvl>
    <w:lvl w:ilvl="1">
      <w:lvlJc w:val="left"/>
      <w:lvlText w:val="%2)"/>
      <w:numFmt w:val="lowerLetter"/>
      <w:start w:val="1"/>
    </w:lvl>
  </w:abstractNum>
  <w:abstractNum w:abstractNumId="26">
    <w:nsid w:val="71F32454"/>
    <w:multiLevelType w:val="hybridMultilevel"/>
    <w:lvl w:ilvl="0">
      <w:lvlJc w:val="left"/>
      <w:lvlText w:val="5"/>
      <w:numFmt w:val="bullet"/>
      <w:start w:val="1"/>
    </w:lvl>
    <w:lvl w:ilvl="1">
      <w:lvlJc w:val="left"/>
      <w:lvlText w:val="%2)"/>
      <w:numFmt w:val="lowerLetter"/>
      <w:start w:val="1"/>
    </w:lvl>
  </w:abstractNum>
  <w:abstractNum w:abstractNumId="27">
    <w:nsid w:val="2CA8861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2020-02-07T16:44:12Z</dcterms:created>
  <dcterms:modified xsi:type="dcterms:W3CDTF">2020-02-07T16:44:12Z</dcterms:modified>
</cp:coreProperties>
</file>