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980" w:right="2580" w:hanging="1399"/>
        <w:spacing w:after="0" w:line="246" w:lineRule="auto"/>
        <w:tabs>
          <w:tab w:leader="none" w:pos="285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29,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580" w:hanging="1392"/>
        <w:spacing w:after="0" w:line="246" w:lineRule="auto"/>
        <w:tabs>
          <w:tab w:leader="none" w:pos="2744"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79" w:right="339" w:bottom="1440" w:gutter="0" w:footer="0" w:header="0"/>
        </w:sectPr>
      </w:pPr>
    </w:p>
    <w:p>
      <w:pPr>
        <w:spacing w:after="0" w:line="21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1079"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4600 E. 53rd Street, Davenport, Iowa 52807</w:t>
      </w: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New York Stock Exchange</w:t>
            </w:r>
          </w:p>
        </w:tc>
      </w:tr>
    </w:tbl>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234" w:lineRule="auto"/>
        <w:rPr>
          <w:sz w:val="20"/>
          <w:szCs w:val="20"/>
          <w:color w:val="auto"/>
        </w:rPr>
      </w:pPr>
      <w:r>
        <w:rPr>
          <w:rFonts w:ascii="Arial" w:cs="Arial" w:eastAsia="Arial" w:hAnsi="Arial"/>
          <w:sz w:val="18"/>
          <w:szCs w:val="18"/>
          <w:color w:val="auto"/>
        </w:rPr>
        <w:t>Act of 1934 during the preceding 12 months (or for such shorter period that the Registrant was required to file such reports), and (2) has</w:t>
      </w:r>
    </w:p>
    <w:p>
      <w:pPr>
        <w:spacing w:after="0" w:line="235" w:lineRule="auto"/>
        <w:rPr>
          <w:sz w:val="20"/>
          <w:szCs w:val="20"/>
          <w:color w:val="auto"/>
        </w:rPr>
      </w:pPr>
      <w:r>
        <w:rPr>
          <w:rFonts w:ascii="Arial" w:cs="Arial" w:eastAsia="Arial" w:hAnsi="Arial"/>
          <w:sz w:val="18"/>
          <w:szCs w:val="18"/>
          <w:color w:val="auto"/>
        </w:rPr>
        <w:t>been subject to such filing requirements for the past 90 days.</w:t>
      </w:r>
    </w:p>
    <w:p>
      <w:pPr>
        <w:spacing w:after="0" w:line="1"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[X]</w:t>
        <w:tab/>
        <w:t>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4"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w:t>
      </w:r>
    </w:p>
    <w:p>
      <w:pPr>
        <w:spacing w:after="0" w:line="235" w:lineRule="auto"/>
        <w:rPr>
          <w:sz w:val="20"/>
          <w:szCs w:val="20"/>
          <w:color w:val="auto"/>
        </w:rPr>
      </w:pPr>
      <w:r>
        <w:rPr>
          <w:rFonts w:ascii="Arial" w:cs="Arial" w:eastAsia="Arial" w:hAnsi="Arial"/>
          <w:sz w:val="18"/>
          <w:szCs w:val="18"/>
          <w:color w:val="auto"/>
        </w:rPr>
        <w:t>required to submit and post such files.</w:t>
      </w:r>
    </w:p>
    <w:p>
      <w:pPr>
        <w:spacing w:after="0" w:line="1"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[X]</w:t>
        <w:tab/>
        <w:t>No [ ]</w:t>
      </w:r>
    </w:p>
    <w:p>
      <w:pPr>
        <w:spacing w:after="0" w:line="198"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2270"/>
              <w:spacing w:after="0"/>
              <w:rPr>
                <w:sz w:val="20"/>
                <w:szCs w:val="20"/>
                <w:color w:val="auto"/>
              </w:rPr>
            </w:pPr>
            <w:r>
              <w:rPr>
                <w:rFonts w:ascii="Arial" w:cs="Arial" w:eastAsia="Arial" w:hAnsi="Arial"/>
                <w:sz w:val="18"/>
                <w:szCs w:val="18"/>
                <w:color w:val="auto"/>
              </w:rPr>
              <w:t>]</w:t>
            </w:r>
          </w:p>
        </w:tc>
        <w:tc>
          <w:tcPr>
            <w:tcW w:w="414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480"/>
              <w:spacing w:after="0"/>
              <w:rPr>
                <w:sz w:val="20"/>
                <w:szCs w:val="20"/>
                <w:color w:val="auto"/>
              </w:rPr>
            </w:pPr>
            <w:r>
              <w:rPr>
                <w:rFonts w:ascii="Arial" w:cs="Arial" w:eastAsia="Arial" w:hAnsi="Arial"/>
                <w:sz w:val="18"/>
                <w:szCs w:val="18"/>
                <w:color w:val="auto"/>
                <w:w w:val="90"/>
              </w:rPr>
              <w:t>[X]</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60" w:type="dxa"/>
            <w:vAlign w:val="bottom"/>
          </w:tcPr>
          <w:p>
            <w:pPr>
              <w:jc w:val="right"/>
              <w:ind w:right="2270"/>
              <w:spacing w:after="0" w:line="202" w:lineRule="exact"/>
              <w:rPr>
                <w:sz w:val="20"/>
                <w:szCs w:val="20"/>
                <w:color w:val="auto"/>
              </w:rPr>
            </w:pPr>
            <w:r>
              <w:rPr>
                <w:rFonts w:ascii="Arial" w:cs="Arial" w:eastAsia="Arial" w:hAnsi="Arial"/>
                <w:sz w:val="18"/>
                <w:szCs w:val="18"/>
                <w:color w:val="auto"/>
              </w:rPr>
              <w:t>]</w:t>
            </w:r>
          </w:p>
        </w:tc>
        <w:tc>
          <w:tcPr>
            <w:tcW w:w="4840" w:type="dxa"/>
            <w:vAlign w:val="bottom"/>
            <w:gridSpan w:val="2"/>
          </w:tcPr>
          <w:p>
            <w:pPr>
              <w:ind w:left="2380"/>
              <w:spacing w:after="0" w:line="202" w:lineRule="exact"/>
              <w:rPr>
                <w:sz w:val="20"/>
                <w:szCs w:val="20"/>
                <w:color w:val="auto"/>
              </w:rPr>
            </w:pPr>
            <w:r>
              <w:rPr>
                <w:rFonts w:ascii="Arial" w:cs="Arial" w:eastAsia="Arial" w:hAnsi="Arial"/>
                <w:sz w:val="18"/>
                <w:szCs w:val="18"/>
                <w:color w:val="auto"/>
              </w:rPr>
              <w:t>Smaller reporting company [X]</w:t>
            </w:r>
          </w:p>
        </w:tc>
      </w:tr>
      <w:tr>
        <w:trPr>
          <w:trHeight w:val="217"/>
        </w:trPr>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840" w:type="dxa"/>
            <w:vAlign w:val="bottom"/>
            <w:gridSpan w:val="2"/>
          </w:tcPr>
          <w:p>
            <w:pPr>
              <w:ind w:left="2380"/>
              <w:spacing w:after="0"/>
              <w:rPr>
                <w:sz w:val="20"/>
                <w:szCs w:val="20"/>
                <w:color w:val="auto"/>
              </w:rPr>
            </w:pPr>
            <w:r>
              <w:rPr>
                <w:rFonts w:ascii="Arial" w:cs="Arial" w:eastAsia="Arial" w:hAnsi="Arial"/>
                <w:sz w:val="18"/>
                <w:szCs w:val="18"/>
                <w:color w:val="auto"/>
              </w:rPr>
              <w:t>Emerging growth company [ ]</w:t>
            </w:r>
          </w:p>
        </w:tc>
      </w:tr>
    </w:tbl>
    <w:p>
      <w:pPr>
        <w:spacing w:after="0" w:line="18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3" w:lineRule="exact"/>
        <w:rPr>
          <w:sz w:val="24"/>
          <w:szCs w:val="24"/>
          <w:color w:val="auto"/>
        </w:rPr>
      </w:pPr>
    </w:p>
    <w:p>
      <w:pPr>
        <w:ind w:right="2180"/>
        <w:spacing w:after="0" w:line="246"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As of May 31, 2020, 58,122,260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Table Of Contents</w:t>
            </w: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u w:val="single" w:color="auto"/>
                <w:color w:val="0782C1"/>
              </w:rPr>
            </w:pPr>
            <w:hyperlink w:anchor="page3">
              <w:r>
                <w:rPr>
                  <w:rFonts w:ascii="Arial" w:cs="Arial" w:eastAsia="Arial" w:hAnsi="Arial"/>
                  <w:sz w:val="18"/>
                  <w:szCs w:val="18"/>
                  <w:u w:val="single" w:color="auto"/>
                  <w:color w:val="0782C1"/>
                </w:rPr>
                <w:t>FORWARD LOOKING STATEMENTS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
              <w:r>
                <w:rPr>
                  <w:rFonts w:ascii="Arial" w:cs="Arial" w:eastAsia="Arial" w:hAnsi="Arial"/>
                  <w:sz w:val="18"/>
                  <w:szCs w:val="18"/>
                  <w:u w:val="single" w:color="auto"/>
                  <w:color w:val="0782C1"/>
                  <w:w w:val="99"/>
                </w:rPr>
                <w:t>1</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PART I</w:t>
            </w:r>
          </w:p>
        </w:tc>
        <w:tc>
          <w:tcPr>
            <w:tcW w:w="9680" w:type="dxa"/>
            <w:vAlign w:val="bottom"/>
            <w:gridSpan w:val="6"/>
          </w:tcPr>
          <w:p>
            <w:pPr>
              <w:ind w:left="100"/>
              <w:spacing w:after="0"/>
              <w:rPr>
                <w:rFonts w:ascii="Arial" w:cs="Arial" w:eastAsia="Arial" w:hAnsi="Arial"/>
                <w:sz w:val="18"/>
                <w:szCs w:val="18"/>
                <w:u w:val="single" w:color="auto"/>
                <w:color w:val="0782C1"/>
              </w:rPr>
            </w:pPr>
            <w:hyperlink w:anchor="page4">
              <w:r>
                <w:rPr>
                  <w:rFonts w:ascii="Arial" w:cs="Arial" w:eastAsia="Arial" w:hAnsi="Arial"/>
                  <w:sz w:val="18"/>
                  <w:szCs w:val="18"/>
                  <w:u w:val="single" w:color="auto"/>
                  <w:color w:val="0782C1"/>
                </w:rPr>
                <w:t>FINANCIAL INFORMATION</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4">
              <w:r>
                <w:rPr>
                  <w:rFonts w:ascii="Arial" w:cs="Arial" w:eastAsia="Arial" w:hAnsi="Arial"/>
                  <w:sz w:val="18"/>
                  <w:szCs w:val="18"/>
                  <w:u w:val="single" w:color="auto"/>
                  <w:color w:val="0782C1"/>
                  <w:w w:val="99"/>
                </w:rPr>
                <w:t>2</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w:t>
            </w:r>
          </w:p>
        </w:tc>
        <w:tc>
          <w:tcPr>
            <w:tcW w:w="8800" w:type="dxa"/>
            <w:vAlign w:val="bottom"/>
            <w:gridSpan w:val="5"/>
          </w:tcPr>
          <w:p>
            <w:pPr>
              <w:spacing w:after="0"/>
              <w:rPr>
                <w:rFonts w:ascii="Arial" w:cs="Arial" w:eastAsia="Arial" w:hAnsi="Arial"/>
                <w:sz w:val="18"/>
                <w:szCs w:val="18"/>
                <w:u w:val="single" w:color="auto"/>
                <w:color w:val="0782C1"/>
              </w:rPr>
            </w:pPr>
            <w:hyperlink w:anchor="page4">
              <w:r>
                <w:rPr>
                  <w:rFonts w:ascii="Arial" w:cs="Arial" w:eastAsia="Arial" w:hAnsi="Arial"/>
                  <w:sz w:val="18"/>
                  <w:szCs w:val="18"/>
                  <w:u w:val="single" w:color="auto"/>
                  <w:color w:val="0782C1"/>
                </w:rPr>
                <w:t>Financial Statements (Unaudited)</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4">
              <w:r>
                <w:rPr>
                  <w:rFonts w:ascii="Arial" w:cs="Arial" w:eastAsia="Arial" w:hAnsi="Arial"/>
                  <w:sz w:val="18"/>
                  <w:szCs w:val="18"/>
                  <w:u w:val="single" w:color="auto"/>
                  <w:color w:val="0782C1"/>
                  <w:w w:val="99"/>
                </w:rPr>
                <w:t>2</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u w:val="single" w:color="auto"/>
                <w:color w:val="0782C1"/>
              </w:rPr>
            </w:pPr>
            <w:hyperlink w:anchor="page4">
              <w:r>
                <w:rPr>
                  <w:rFonts w:ascii="Arial" w:cs="Arial" w:eastAsia="Arial" w:hAnsi="Arial"/>
                  <w:sz w:val="18"/>
                  <w:szCs w:val="18"/>
                  <w:u w:val="single" w:color="auto"/>
                  <w:color w:val="0782C1"/>
                </w:rPr>
                <w:t>Consolidated Balance Sheets - March 29, 2020 and September 29, 2019</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4">
              <w:r>
                <w:rPr>
                  <w:rFonts w:ascii="Arial" w:cs="Arial" w:eastAsia="Arial" w:hAnsi="Arial"/>
                  <w:sz w:val="18"/>
                  <w:szCs w:val="18"/>
                  <w:u w:val="single" w:color="auto"/>
                  <w:color w:val="0782C1"/>
                  <w:w w:val="99"/>
                </w:rPr>
                <w:t>2</w:t>
              </w:r>
            </w:hyperlink>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color w:val="0782C1"/>
              </w:rPr>
            </w:pPr>
            <w:hyperlink w:anchor="page6">
              <w:r>
                <w:rPr>
                  <w:rFonts w:ascii="Arial" w:cs="Arial" w:eastAsia="Arial" w:hAnsi="Arial"/>
                  <w:sz w:val="18"/>
                  <w:szCs w:val="18"/>
                  <w:color w:val="0782C1"/>
                </w:rPr>
                <w:t>Consolidated Statements of Income and Comprehensive Income (Loss) - 13 and 26 weeks ended March 29,</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6">
              <w:r>
                <w:rPr>
                  <w:rFonts w:ascii="Arial" w:cs="Arial" w:eastAsia="Arial" w:hAnsi="Arial"/>
                  <w:sz w:val="18"/>
                  <w:szCs w:val="18"/>
                  <w:u w:val="single" w:color="auto"/>
                  <w:color w:val="0782C1"/>
                  <w:w w:val="99"/>
                </w:rPr>
                <w:t>4</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20" w:type="dxa"/>
            <w:vAlign w:val="bottom"/>
            <w:tcBorders>
              <w:top w:val="single" w:sz="8" w:color="0782C1"/>
            </w:tcBorders>
            <w:gridSpan w:val="4"/>
          </w:tcPr>
          <w:p>
            <w:pPr>
              <w:spacing w:after="0" w:line="182" w:lineRule="exact"/>
              <w:rPr>
                <w:rFonts w:ascii="Arial" w:cs="Arial" w:eastAsia="Arial" w:hAnsi="Arial"/>
                <w:sz w:val="18"/>
                <w:szCs w:val="18"/>
                <w:color w:val="0782C1"/>
              </w:rPr>
            </w:pPr>
            <w:hyperlink w:anchor="page6">
              <w:r>
                <w:rPr>
                  <w:rFonts w:ascii="Arial" w:cs="Arial" w:eastAsia="Arial" w:hAnsi="Arial"/>
                  <w:sz w:val="18"/>
                  <w:szCs w:val="18"/>
                  <w:color w:val="0782C1"/>
                </w:rPr>
                <w:t>2020 and March 31, 2019</w:t>
              </w:r>
            </w:hyperlink>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782C1"/>
          </w:tcPr>
          <w:p>
            <w:pPr>
              <w:spacing w:after="0" w:line="20" w:lineRule="exact"/>
              <w:rPr>
                <w:sz w:val="1"/>
                <w:szCs w:val="1"/>
                <w:color w:val="auto"/>
              </w:rPr>
            </w:pPr>
          </w:p>
        </w:tc>
        <w:tc>
          <w:tcPr>
            <w:tcW w:w="1640" w:type="dxa"/>
            <w:vAlign w:val="bottom"/>
            <w:shd w:val="clear" w:color="auto" w:fill="0782C1"/>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color w:val="0782C1"/>
              </w:rPr>
            </w:pPr>
            <w:hyperlink w:anchor="page7">
              <w:r>
                <w:rPr>
                  <w:rFonts w:ascii="Arial" w:cs="Arial" w:eastAsia="Arial" w:hAnsi="Arial"/>
                  <w:sz w:val="18"/>
                  <w:szCs w:val="18"/>
                  <w:color w:val="0782C1"/>
                </w:rPr>
                <w:t>Consolidated Statements of Stockholder's Equity - 13 and 26 weeks ended March 29, 2020 and March 31,</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7">
              <w:r>
                <w:rPr>
                  <w:rFonts w:ascii="Arial" w:cs="Arial" w:eastAsia="Arial" w:hAnsi="Arial"/>
                  <w:sz w:val="18"/>
                  <w:szCs w:val="18"/>
                  <w:u w:val="single" w:color="auto"/>
                  <w:color w:val="0782C1"/>
                  <w:w w:val="99"/>
                </w:rPr>
                <w:t>5</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Borders>
              <w:top w:val="single" w:sz="8" w:color="0782C1"/>
              <w:bottom w:val="single" w:sz="8" w:color="0782C1"/>
            </w:tcBorders>
          </w:tcPr>
          <w:p>
            <w:pPr>
              <w:spacing w:after="0" w:line="182" w:lineRule="exact"/>
              <w:rPr>
                <w:rFonts w:ascii="Arial" w:cs="Arial" w:eastAsia="Arial" w:hAnsi="Arial"/>
                <w:sz w:val="18"/>
                <w:szCs w:val="18"/>
                <w:color w:val="0782C1"/>
                <w:w w:val="94"/>
              </w:rPr>
            </w:pPr>
            <w:hyperlink w:anchor="page7">
              <w:r>
                <w:rPr>
                  <w:rFonts w:ascii="Arial" w:cs="Arial" w:eastAsia="Arial" w:hAnsi="Arial"/>
                  <w:sz w:val="18"/>
                  <w:szCs w:val="18"/>
                  <w:color w:val="0782C1"/>
                  <w:w w:val="94"/>
                </w:rPr>
                <w:t>2019</w:t>
              </w:r>
            </w:hyperlink>
          </w:p>
        </w:tc>
        <w:tc>
          <w:tcPr>
            <w:tcW w:w="1640" w:type="dxa"/>
            <w:vAlign w:val="bottom"/>
            <w:tcBorders>
              <w:top w:val="single" w:sz="8" w:color="0782C1"/>
            </w:tcBorders>
          </w:tcPr>
          <w:p>
            <w:pPr>
              <w:spacing w:after="0"/>
              <w:rPr>
                <w:sz w:val="15"/>
                <w:szCs w:val="15"/>
                <w:color w:val="auto"/>
              </w:rPr>
            </w:pPr>
          </w:p>
        </w:tc>
        <w:tc>
          <w:tcPr>
            <w:tcW w:w="6420" w:type="dxa"/>
            <w:vAlign w:val="bottom"/>
            <w:tcBorders>
              <w:top w:val="single" w:sz="8" w:color="0782C1"/>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2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u w:val="single" w:color="auto"/>
                <w:color w:val="0782C1"/>
              </w:rPr>
            </w:pPr>
            <w:hyperlink w:anchor="page8">
              <w:r>
                <w:rPr>
                  <w:rFonts w:ascii="Arial" w:cs="Arial" w:eastAsia="Arial" w:hAnsi="Arial"/>
                  <w:sz w:val="18"/>
                  <w:szCs w:val="18"/>
                  <w:u w:val="single" w:color="auto"/>
                  <w:color w:val="0782C1"/>
                </w:rPr>
                <w:t>Consolidated Statements of Cash Flows - 26 weeks ended March 29, 2020 and March 31, 2019</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8">
              <w:r>
                <w:rPr>
                  <w:rFonts w:ascii="Arial" w:cs="Arial" w:eastAsia="Arial" w:hAnsi="Arial"/>
                  <w:sz w:val="18"/>
                  <w:szCs w:val="18"/>
                  <w:u w:val="single" w:color="auto"/>
                  <w:color w:val="0782C1"/>
                  <w:w w:val="99"/>
                </w:rPr>
                <w:t>6</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u w:val="single" w:color="auto"/>
                <w:color w:val="0782C1"/>
              </w:rPr>
            </w:pPr>
            <w:hyperlink w:anchor="page9">
              <w:r>
                <w:rPr>
                  <w:rFonts w:ascii="Arial" w:cs="Arial" w:eastAsia="Arial" w:hAnsi="Arial"/>
                  <w:sz w:val="18"/>
                  <w:szCs w:val="18"/>
                  <w:u w:val="single" w:color="auto"/>
                  <w:color w:val="0782C1"/>
                </w:rPr>
                <w:t>Notes to Consolidated Financial Statements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9">
              <w:r>
                <w:rPr>
                  <w:rFonts w:ascii="Arial" w:cs="Arial" w:eastAsia="Arial" w:hAnsi="Arial"/>
                  <w:sz w:val="18"/>
                  <w:szCs w:val="18"/>
                  <w:u w:val="single" w:color="auto"/>
                  <w:color w:val="0782C1"/>
                  <w:w w:val="99"/>
                </w:rPr>
                <w:t>7</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2.</w:t>
            </w:r>
          </w:p>
        </w:tc>
        <w:tc>
          <w:tcPr>
            <w:tcW w:w="8800" w:type="dxa"/>
            <w:vAlign w:val="bottom"/>
            <w:gridSpan w:val="5"/>
          </w:tcPr>
          <w:p>
            <w:pPr>
              <w:spacing w:after="0"/>
              <w:rPr>
                <w:rFonts w:ascii="Arial" w:cs="Arial" w:eastAsia="Arial" w:hAnsi="Arial"/>
                <w:sz w:val="18"/>
                <w:szCs w:val="18"/>
                <w:u w:val="single" w:color="auto"/>
                <w:color w:val="0782C1"/>
              </w:rPr>
            </w:pPr>
            <w:hyperlink w:anchor="page21">
              <w:r>
                <w:rPr>
                  <w:rFonts w:ascii="Arial" w:cs="Arial" w:eastAsia="Arial" w:hAnsi="Arial"/>
                  <w:sz w:val="18"/>
                  <w:szCs w:val="18"/>
                  <w:u w:val="single" w:color="auto"/>
                  <w:color w:val="0782C1"/>
                </w:rPr>
                <w:t>Management's Discussion and Analysis of Financial Condition and Results of Operations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21">
              <w:r>
                <w:rPr>
                  <w:rFonts w:ascii="Arial" w:cs="Arial" w:eastAsia="Arial" w:hAnsi="Arial"/>
                  <w:sz w:val="18"/>
                  <w:szCs w:val="18"/>
                  <w:u w:val="single" w:color="auto"/>
                  <w:color w:val="0782C1"/>
                  <w:w w:val="99"/>
                </w:rPr>
                <w:t>18</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3.</w:t>
            </w:r>
          </w:p>
        </w:tc>
        <w:tc>
          <w:tcPr>
            <w:tcW w:w="8800" w:type="dxa"/>
            <w:vAlign w:val="bottom"/>
            <w:gridSpan w:val="5"/>
          </w:tcPr>
          <w:p>
            <w:pPr>
              <w:spacing w:after="0"/>
              <w:rPr>
                <w:rFonts w:ascii="Arial" w:cs="Arial" w:eastAsia="Arial" w:hAnsi="Arial"/>
                <w:sz w:val="18"/>
                <w:szCs w:val="18"/>
                <w:u w:val="single" w:color="auto"/>
                <w:color w:val="0782C1"/>
              </w:rPr>
            </w:pPr>
            <w:hyperlink w:anchor="page32">
              <w:r>
                <w:rPr>
                  <w:rFonts w:ascii="Arial" w:cs="Arial" w:eastAsia="Arial" w:hAnsi="Arial"/>
                  <w:sz w:val="18"/>
                  <w:szCs w:val="18"/>
                  <w:u w:val="single" w:color="auto"/>
                  <w:color w:val="0782C1"/>
                </w:rPr>
                <w:t>Quantitative and Qualitative Disclosures About Market Risk</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2">
              <w:r>
                <w:rPr>
                  <w:rFonts w:ascii="Arial" w:cs="Arial" w:eastAsia="Arial" w:hAnsi="Arial"/>
                  <w:sz w:val="18"/>
                  <w:szCs w:val="18"/>
                  <w:u w:val="single" w:color="auto"/>
                  <w:color w:val="0782C1"/>
                  <w:w w:val="99"/>
                </w:rPr>
                <w:t>26</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4.</w:t>
            </w:r>
          </w:p>
        </w:tc>
        <w:tc>
          <w:tcPr>
            <w:tcW w:w="8800" w:type="dxa"/>
            <w:vAlign w:val="bottom"/>
            <w:gridSpan w:val="5"/>
          </w:tcPr>
          <w:p>
            <w:pPr>
              <w:spacing w:after="0"/>
              <w:rPr>
                <w:rFonts w:ascii="Arial" w:cs="Arial" w:eastAsia="Arial" w:hAnsi="Arial"/>
                <w:sz w:val="18"/>
                <w:szCs w:val="18"/>
                <w:u w:val="single" w:color="auto"/>
                <w:color w:val="0782C1"/>
              </w:rPr>
            </w:pPr>
            <w:hyperlink w:anchor="page32">
              <w:r>
                <w:rPr>
                  <w:rFonts w:ascii="Arial" w:cs="Arial" w:eastAsia="Arial" w:hAnsi="Arial"/>
                  <w:sz w:val="18"/>
                  <w:szCs w:val="18"/>
                  <w:u w:val="single" w:color="auto"/>
                  <w:color w:val="0782C1"/>
                </w:rPr>
                <w:t>Controls and Procedures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2">
              <w:r>
                <w:rPr>
                  <w:rFonts w:ascii="Arial" w:cs="Arial" w:eastAsia="Arial" w:hAnsi="Arial"/>
                  <w:sz w:val="18"/>
                  <w:szCs w:val="18"/>
                  <w:u w:val="single" w:color="auto"/>
                  <w:color w:val="0782C1"/>
                  <w:w w:val="99"/>
                </w:rPr>
                <w:t>26</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PART II</w:t>
            </w:r>
          </w:p>
        </w:tc>
        <w:tc>
          <w:tcPr>
            <w:tcW w:w="9680" w:type="dxa"/>
            <w:vAlign w:val="bottom"/>
            <w:gridSpan w:val="6"/>
          </w:tcPr>
          <w:p>
            <w:pPr>
              <w:ind w:left="100"/>
              <w:spacing w:after="0"/>
              <w:rPr>
                <w:rFonts w:ascii="Arial" w:cs="Arial" w:eastAsia="Arial" w:hAnsi="Arial"/>
                <w:sz w:val="18"/>
                <w:szCs w:val="18"/>
                <w:u w:val="single" w:color="auto"/>
                <w:color w:val="0782C1"/>
              </w:rPr>
            </w:pPr>
            <w:hyperlink w:anchor="page33">
              <w:r>
                <w:rPr>
                  <w:rFonts w:ascii="Arial" w:cs="Arial" w:eastAsia="Arial" w:hAnsi="Arial"/>
                  <w:sz w:val="18"/>
                  <w:szCs w:val="18"/>
                  <w:u w:val="single" w:color="auto"/>
                  <w:color w:val="0782C1"/>
                </w:rPr>
                <w:t>OTHER INFORMATION</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3">
              <w:r>
                <w:rPr>
                  <w:rFonts w:ascii="Arial" w:cs="Arial" w:eastAsia="Arial" w:hAnsi="Arial"/>
                  <w:sz w:val="18"/>
                  <w:szCs w:val="18"/>
                  <w:u w:val="single" w:color="auto"/>
                  <w:color w:val="0782C1"/>
                  <w:w w:val="99"/>
                </w:rPr>
                <w:t>27</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w:t>
            </w:r>
          </w:p>
        </w:tc>
        <w:tc>
          <w:tcPr>
            <w:tcW w:w="8800" w:type="dxa"/>
            <w:vAlign w:val="bottom"/>
            <w:gridSpan w:val="5"/>
          </w:tcPr>
          <w:p>
            <w:pPr>
              <w:spacing w:after="0"/>
              <w:rPr>
                <w:rFonts w:ascii="Arial" w:cs="Arial" w:eastAsia="Arial" w:hAnsi="Arial"/>
                <w:sz w:val="18"/>
                <w:szCs w:val="18"/>
                <w:u w:val="single" w:color="auto"/>
                <w:color w:val="0782C1"/>
              </w:rPr>
            </w:pPr>
            <w:hyperlink w:anchor="page33">
              <w:r>
                <w:rPr>
                  <w:rFonts w:ascii="Arial" w:cs="Arial" w:eastAsia="Arial" w:hAnsi="Arial"/>
                  <w:sz w:val="18"/>
                  <w:szCs w:val="18"/>
                  <w:u w:val="single" w:color="auto"/>
                  <w:color w:val="0782C1"/>
                </w:rPr>
                <w:t>Legal Proceedings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3">
              <w:r>
                <w:rPr>
                  <w:rFonts w:ascii="Arial" w:cs="Arial" w:eastAsia="Arial" w:hAnsi="Arial"/>
                  <w:sz w:val="18"/>
                  <w:szCs w:val="18"/>
                  <w:u w:val="single" w:color="auto"/>
                  <w:color w:val="0782C1"/>
                  <w:w w:val="99"/>
                </w:rPr>
                <w:t>27</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1.A.</w:t>
            </w:r>
          </w:p>
        </w:tc>
        <w:tc>
          <w:tcPr>
            <w:tcW w:w="8800" w:type="dxa"/>
            <w:vAlign w:val="bottom"/>
            <w:gridSpan w:val="5"/>
          </w:tcPr>
          <w:p>
            <w:pPr>
              <w:spacing w:after="0"/>
              <w:rPr>
                <w:rFonts w:ascii="Arial" w:cs="Arial" w:eastAsia="Arial" w:hAnsi="Arial"/>
                <w:sz w:val="18"/>
                <w:szCs w:val="18"/>
                <w:u w:val="single" w:color="auto"/>
                <w:color w:val="0782C1"/>
              </w:rPr>
            </w:pPr>
            <w:hyperlink w:anchor="page33">
              <w:r>
                <w:rPr>
                  <w:rFonts w:ascii="Arial" w:cs="Arial" w:eastAsia="Arial" w:hAnsi="Arial"/>
                  <w:sz w:val="18"/>
                  <w:szCs w:val="18"/>
                  <w:u w:val="single" w:color="auto"/>
                  <w:color w:val="0782C1"/>
                </w:rPr>
                <w:t>Risk Factors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3">
              <w:r>
                <w:rPr>
                  <w:rFonts w:ascii="Arial" w:cs="Arial" w:eastAsia="Arial" w:hAnsi="Arial"/>
                  <w:sz w:val="18"/>
                  <w:szCs w:val="18"/>
                  <w:u w:val="single" w:color="auto"/>
                  <w:color w:val="0782C1"/>
                  <w:w w:val="99"/>
                </w:rPr>
                <w:t>27</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5.</w:t>
            </w:r>
          </w:p>
        </w:tc>
        <w:tc>
          <w:tcPr>
            <w:tcW w:w="8800" w:type="dxa"/>
            <w:vAlign w:val="bottom"/>
            <w:gridSpan w:val="5"/>
          </w:tcPr>
          <w:p>
            <w:pPr>
              <w:spacing w:after="0"/>
              <w:rPr>
                <w:rFonts w:ascii="Arial" w:cs="Arial" w:eastAsia="Arial" w:hAnsi="Arial"/>
                <w:sz w:val="18"/>
                <w:szCs w:val="18"/>
                <w:u w:val="single" w:color="auto"/>
                <w:color w:val="0782C1"/>
              </w:rPr>
            </w:pPr>
            <w:hyperlink w:anchor="page33">
              <w:r>
                <w:rPr>
                  <w:rFonts w:ascii="Arial" w:cs="Arial" w:eastAsia="Arial" w:hAnsi="Arial"/>
                  <w:sz w:val="18"/>
                  <w:szCs w:val="18"/>
                  <w:u w:val="single" w:color="auto"/>
                  <w:color w:val="0782C1"/>
                </w:rPr>
                <w:t>Other Information</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3">
              <w:r>
                <w:rPr>
                  <w:rFonts w:ascii="Arial" w:cs="Arial" w:eastAsia="Arial" w:hAnsi="Arial"/>
                  <w:sz w:val="18"/>
                  <w:szCs w:val="18"/>
                  <w:u w:val="single" w:color="auto"/>
                  <w:color w:val="0782C1"/>
                  <w:w w:val="99"/>
                </w:rPr>
                <w:t>27</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6.</w:t>
            </w:r>
          </w:p>
        </w:tc>
        <w:tc>
          <w:tcPr>
            <w:tcW w:w="8800" w:type="dxa"/>
            <w:vAlign w:val="bottom"/>
            <w:gridSpan w:val="5"/>
          </w:tcPr>
          <w:p>
            <w:pPr>
              <w:spacing w:after="0"/>
              <w:rPr>
                <w:rFonts w:ascii="Arial" w:cs="Arial" w:eastAsia="Arial" w:hAnsi="Arial"/>
                <w:sz w:val="18"/>
                <w:szCs w:val="18"/>
                <w:u w:val="single" w:color="auto"/>
                <w:color w:val="0782C1"/>
              </w:rPr>
            </w:pPr>
            <w:hyperlink w:anchor="page33">
              <w:r>
                <w:rPr>
                  <w:rFonts w:ascii="Arial" w:cs="Arial" w:eastAsia="Arial" w:hAnsi="Arial"/>
                  <w:sz w:val="18"/>
                  <w:szCs w:val="18"/>
                  <w:u w:val="single" w:color="auto"/>
                  <w:color w:val="0782C1"/>
                </w:rPr>
                <w:t>Exhibits</w:t>
              </w:r>
            </w:hyperlink>
          </w:p>
        </w:tc>
        <w:tc>
          <w:tcPr>
            <w:tcW w:w="820" w:type="dxa"/>
            <w:vAlign w:val="bottom"/>
          </w:tcPr>
          <w:p>
            <w:pPr>
              <w:jc w:val="center"/>
              <w:spacing w:after="0"/>
              <w:rPr>
                <w:rFonts w:ascii="Arial" w:cs="Arial" w:eastAsia="Arial" w:hAnsi="Arial"/>
                <w:sz w:val="18"/>
                <w:szCs w:val="18"/>
                <w:u w:val="single" w:color="auto"/>
                <w:color w:val="0782C1"/>
                <w:w w:val="99"/>
              </w:rPr>
            </w:pPr>
            <w:hyperlink w:anchor="page33">
              <w:r>
                <w:rPr>
                  <w:rFonts w:ascii="Arial" w:cs="Arial" w:eastAsia="Arial" w:hAnsi="Arial"/>
                  <w:sz w:val="18"/>
                  <w:szCs w:val="18"/>
                  <w:u w:val="single" w:color="auto"/>
                  <w:color w:val="0782C1"/>
                  <w:w w:val="99"/>
                </w:rPr>
                <w:t>27</w:t>
              </w:r>
            </w:hyperlink>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580" w:type="dxa"/>
            <w:vAlign w:val="bottom"/>
            <w:gridSpan w:val="2"/>
          </w:tcPr>
          <w:p>
            <w:pPr>
              <w:spacing w:after="0"/>
              <w:rPr>
                <w:rFonts w:ascii="Arial" w:cs="Arial" w:eastAsia="Arial" w:hAnsi="Arial"/>
                <w:sz w:val="18"/>
                <w:szCs w:val="18"/>
                <w:u w:val="single" w:color="auto"/>
                <w:color w:val="0782C1"/>
              </w:rPr>
            </w:pPr>
            <w:hyperlink w:anchor="page34">
              <w:r>
                <w:rPr>
                  <w:rFonts w:ascii="Arial" w:cs="Arial" w:eastAsia="Arial" w:hAnsi="Arial"/>
                  <w:sz w:val="18"/>
                  <w:szCs w:val="18"/>
                  <w:u w:val="single" w:color="auto"/>
                  <w:color w:val="0782C1"/>
                </w:rPr>
                <w:t>SIGNATURES</w:t>
              </w:r>
            </w:hyperlink>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rFonts w:ascii="Arial" w:cs="Arial" w:eastAsia="Arial" w:hAnsi="Arial"/>
                <w:sz w:val="18"/>
                <w:szCs w:val="18"/>
                <w:u w:val="single" w:color="auto"/>
                <w:color w:val="0782C1"/>
                <w:w w:val="99"/>
              </w:rPr>
            </w:pPr>
            <w:hyperlink w:anchor="page34">
              <w:r>
                <w:rPr>
                  <w:rFonts w:ascii="Arial" w:cs="Arial" w:eastAsia="Arial" w:hAnsi="Arial"/>
                  <w:sz w:val="18"/>
                  <w:szCs w:val="18"/>
                  <w:u w:val="single" w:color="auto"/>
                  <w:color w:val="0782C1"/>
                  <w:w w:val="99"/>
                </w:rPr>
                <w:t>28</w:t>
              </w:r>
            </w:hyperlink>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3"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“2020”, “2019”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may result in material long-term changes to the publishing industry which may result in permanent revenue reductions for the Company and other risks and uncertainties;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Newspaper Business or the Buffalo News for unknown legal and other matters that may arise;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2014 refinancing will not be exercised;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report. We do not undertake to publicly update or revise our forward-looking statements,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relied on the SEC’s Order under Section 36 of the Securities and Exchange Act of 1934 Modifying Exemptions from the Reporting and Proxy Delivery Requirements for Public Companies dated March 25, 2020 (Release No. 34-88465) (“Order”) to delay the filing of its Quarterly Report on Form 10-Q for the period ended March 29, 2020, due to circumstances related to COVID-19. The original due date for filing of the Company’s Quarterly Report was May 8, 2020. On May 8, 2020, the Company filed a current report with the SEC which stated that it expected to file its Quarterly Report on Form 10-Q on or before June 22, 2020, 45 days from the original filing deadline of May 8, 2020, in compliance with the provisions of the Order.</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required additional time to finalize the Form 10-Q because its operations and business have experienced significant disruptions due to the unprecedented conditions surrounding the ongoing COVID-19 pandemic along with the various measures that Federal, state, and local jurisdictions have taken in response to the crisis. In response to these measures, the Company has implemented widespread work-from-home arrangements for all of the Company’s employees who are not engaged in newspaper production and distribution. The Company is experiencing disruptions in its normal processes and with interactions between its accounting personnel, legal advisors and others required to assess the impacts of the COVID-19 pandemic on the Company and complete its accounting procedures in order to finalize the Quarterly Report on Form 10-Q. The Company and its advisors have experienced delays and inefficiencies in the completion of the related Acquisition business combination accounting. In addition, the Company required additional time to assess the valuation of certain assets and determine if an impairment existed which should be reflected in the accompanying Consolidated Financial Statements and apply the applicable sections of the Coronavirus Aid, Relief, and Economic Security Act, enacted into law on March 27, 2020, (“CARES Act”), which had an impact on the complexity and timing of the Company’s first quarter tax provision.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7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3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0"/>
                <w:szCs w:val="20"/>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r>
      <w:tr>
        <w:trPr>
          <w:trHeight w:val="391"/>
        </w:trPr>
        <w:tc>
          <w:tcPr>
            <w:tcW w:w="8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9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7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March 29,</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06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30,824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8,645</w:t>
            </w:r>
          </w:p>
        </w:tc>
      </w:tr>
      <w:tr>
        <w:trPr>
          <w:trHeight w:val="203"/>
        </w:trPr>
        <w:tc>
          <w:tcPr>
            <w:tcW w:w="3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73,346</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42,536</w:t>
            </w: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8,530</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3,769</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Prepaids and other</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16,902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5,353</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129,602</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60,303</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28,982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28,742</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10,847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39,829</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39,426</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19,106</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16,979</w:t>
            </w:r>
          </w:p>
        </w:tc>
      </w:tr>
      <w:tr>
        <w:trPr>
          <w:trHeight w:val="202"/>
        </w:trPr>
        <w:tc>
          <w:tcPr>
            <w:tcW w:w="3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127,857</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148,514</w:t>
            </w: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253,617</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237,289</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7,994</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r>
      <w:tr>
        <w:trPr>
          <w:trHeight w:val="196"/>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408,574</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404,762</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293,947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322,723</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114,627</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82,039</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72,677</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6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313,868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250,309</w:t>
            </w: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212,978</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107,393</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14,743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14,338</w:t>
            </w:r>
          </w:p>
        </w:tc>
      </w:tr>
      <w:tr>
        <w:trPr>
          <w:trHeight w:val="203"/>
        </w:trPr>
        <w:tc>
          <w:tcPr>
            <w:tcW w:w="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7"/>
                <w:szCs w:val="17"/>
                <w:color w:val="auto"/>
              </w:rPr>
            </w:pPr>
          </w:p>
        </w:tc>
        <w:tc>
          <w:tcPr>
            <w:tcW w:w="57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7,412</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1,394</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905,736</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555,202</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r>
      <w:tr>
        <w:trPr>
          <w:trHeight w:val="195"/>
        </w:trPr>
        <w:tc>
          <w:tcPr>
            <w:tcW w:w="7640" w:type="dxa"/>
            <w:vAlign w:val="bottom"/>
          </w:tcPr>
          <w:p>
            <w:pPr>
              <w:spacing w:after="0"/>
              <w:rPr>
                <w:sz w:val="16"/>
                <w:szCs w:val="16"/>
                <w:color w:val="auto"/>
              </w:rPr>
            </w:pPr>
          </w:p>
        </w:tc>
        <w:tc>
          <w:tcPr>
            <w:tcW w:w="19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March 29,</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9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76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LIABILITIES AND EQUITY</w:t>
            </w: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8,299</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2,954</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19,374</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16,750</w:t>
            </w: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43,469</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17,711</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1,903</w:t>
            </w:r>
          </w:p>
        </w:tc>
      </w:tr>
      <w:tr>
        <w:trPr>
          <w:trHeight w:val="216"/>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58,563</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21,720</w:t>
            </w:r>
          </w:p>
        </w:tc>
      </w:tr>
      <w:tr>
        <w:trPr>
          <w:trHeight w:val="196"/>
        </w:trPr>
        <w:tc>
          <w:tcPr>
            <w:tcW w:w="7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19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131,721</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61,038</w:t>
            </w:r>
          </w:p>
        </w:tc>
      </w:tr>
      <w:tr>
        <w:trPr>
          <w:trHeight w:val="196"/>
        </w:trPr>
        <w:tc>
          <w:tcPr>
            <w:tcW w:w="764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198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576,000</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429,391</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63,608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88,930</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47,037</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39,390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2,550</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9,875</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29,806</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17,078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8,742</w:t>
            </w: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 and other</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14,995</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13,469</w:t>
            </w:r>
          </w:p>
        </w:tc>
      </w:tr>
      <w:tr>
        <w:trPr>
          <w:trHeight w:val="196"/>
        </w:trPr>
        <w:tc>
          <w:tcPr>
            <w:tcW w:w="7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19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941,597</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592,033</w:t>
            </w:r>
          </w:p>
        </w:tc>
      </w:tr>
      <w:tr>
        <w:trPr>
          <w:trHeight w:val="196"/>
        </w:trPr>
        <w:tc>
          <w:tcPr>
            <w:tcW w:w="764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2"/>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1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120,000 shares; issued and outstanding:</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581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577</w:t>
            </w:r>
          </w:p>
        </w:tc>
      </w:tr>
      <w:tr>
        <w:trPr>
          <w:trHeight w:val="203"/>
        </w:trPr>
        <w:tc>
          <w:tcPr>
            <w:tcW w:w="7640" w:type="dxa"/>
            <w:vAlign w:val="bottom"/>
          </w:tcPr>
          <w:p>
            <w:pPr>
              <w:ind w:left="500"/>
              <w:spacing w:after="0" w:line="202" w:lineRule="exact"/>
              <w:rPr>
                <w:sz w:val="20"/>
                <w:szCs w:val="20"/>
                <w:color w:val="auto"/>
              </w:rPr>
            </w:pPr>
            <w:r>
              <w:rPr>
                <w:rFonts w:ascii="Arial" w:cs="Arial" w:eastAsia="Arial" w:hAnsi="Arial"/>
                <w:sz w:val="18"/>
                <w:szCs w:val="18"/>
                <w:color w:val="auto"/>
              </w:rPr>
              <w:t>March 29, 2020; 58,136 shares; $0.01 par value</w:t>
            </w: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64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29, 2019; 57,646 shares; $0.01 par value</w:t>
            </w:r>
          </w:p>
        </w:tc>
        <w:tc>
          <w:tcPr>
            <w:tcW w:w="19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255,712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255,476</w:t>
            </w: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(265,470)</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(265,423)</w:t>
            </w:r>
          </w:p>
        </w:tc>
      </w:tr>
      <w:tr>
        <w:trPr>
          <w:trHeight w:val="203"/>
        </w:trPr>
        <w:tc>
          <w:tcPr>
            <w:tcW w:w="76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19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(28,481)</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(29,114)</w:t>
            </w:r>
          </w:p>
        </w:tc>
      </w:tr>
      <w:tr>
        <w:trPr>
          <w:trHeight w:val="196"/>
        </w:trPr>
        <w:tc>
          <w:tcPr>
            <w:tcW w:w="764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deficit</w:t>
            </w:r>
          </w:p>
        </w:tc>
        <w:tc>
          <w:tcPr>
            <w:tcW w:w="198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(37,658)</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(38,484)</w:t>
            </w:r>
          </w:p>
        </w:tc>
      </w:tr>
      <w:tr>
        <w:trPr>
          <w:trHeight w:val="216"/>
        </w:trPr>
        <w:tc>
          <w:tcPr>
            <w:tcW w:w="7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1,797</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196"/>
        </w:trPr>
        <w:tc>
          <w:tcPr>
            <w:tcW w:w="7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19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(35,861)</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(36,831)</w:t>
            </w:r>
          </w:p>
        </w:tc>
      </w:tr>
      <w:tr>
        <w:trPr>
          <w:trHeight w:val="236"/>
        </w:trPr>
        <w:tc>
          <w:tcPr>
            <w:tcW w:w="7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deficit</w:t>
            </w:r>
          </w:p>
        </w:tc>
        <w:tc>
          <w:tcPr>
            <w:tcW w:w="19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905,736</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555,202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13 Weeks Ended</w:t>
            </w:r>
          </w:p>
        </w:tc>
        <w:tc>
          <w:tcPr>
            <w:tcW w:w="23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63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4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March 29,</w:t>
            </w:r>
          </w:p>
        </w:tc>
        <w:tc>
          <w:tcPr>
            <w:tcW w:w="12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March 31,</w:t>
            </w:r>
          </w:p>
        </w:tc>
        <w:tc>
          <w:tcPr>
            <w:tcW w:w="12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2019</w:t>
            </w:r>
          </w:p>
        </w:tc>
        <w:tc>
          <w:tcPr>
            <w:tcW w:w="12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60,945</w:t>
            </w: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62,934</w:t>
            </w: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126,672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138,897</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46,443</w:t>
            </w:r>
          </w:p>
        </w:tc>
        <w:tc>
          <w:tcPr>
            <w:tcW w:w="1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45,076</w:t>
            </w:r>
          </w:p>
        </w:tc>
        <w:tc>
          <w:tcPr>
            <w:tcW w:w="12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88,138</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91,345</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13,979</w:t>
            </w:r>
          </w:p>
        </w:tc>
        <w:tc>
          <w:tcPr>
            <w:tcW w:w="1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14,694</w:t>
            </w:r>
          </w:p>
        </w:tc>
        <w:tc>
          <w:tcPr>
            <w:tcW w:w="12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28,900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121,367</w:t>
            </w:r>
          </w:p>
        </w:tc>
        <w:tc>
          <w:tcPr>
            <w:tcW w:w="12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122,704</w:t>
            </w:r>
          </w:p>
        </w:tc>
        <w:tc>
          <w:tcPr>
            <w:tcW w:w="12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243,710</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258,905</w:t>
            </w:r>
          </w:p>
        </w:tc>
        <w:tc>
          <w:tcPr>
            <w:tcW w:w="0" w:type="dxa"/>
            <w:vAlign w:val="bottom"/>
          </w:tcPr>
          <w:p>
            <w:pPr>
              <w:spacing w:after="0"/>
              <w:rPr>
                <w:sz w:val="1"/>
                <w:szCs w:val="1"/>
                <w:color w:val="auto"/>
              </w:rPr>
            </w:pPr>
          </w:p>
        </w:tc>
      </w:tr>
      <w:tr>
        <w:trPr>
          <w:trHeight w:val="196"/>
        </w:trPr>
        <w:tc>
          <w:tcPr>
            <w:tcW w:w="63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48,691</w:t>
            </w:r>
          </w:p>
        </w:tc>
        <w:tc>
          <w:tcPr>
            <w:tcW w:w="1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47,785</w:t>
            </w:r>
          </w:p>
        </w:tc>
        <w:tc>
          <w:tcPr>
            <w:tcW w:w="12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91,934</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94,824</w:t>
            </w: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4,321</w:t>
            </w: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5,825</w:t>
            </w: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9,057</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52,842</w:t>
            </w:r>
          </w:p>
        </w:tc>
        <w:tc>
          <w:tcPr>
            <w:tcW w:w="1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48,016</w:t>
            </w:r>
          </w:p>
        </w:tc>
        <w:tc>
          <w:tcPr>
            <w:tcW w:w="12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101,304</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97,758</w:t>
            </w: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7,276</w:t>
            </w: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7,386</w:t>
            </w: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13,995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1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(6,113)</w:t>
            </w:r>
          </w:p>
        </w:tc>
        <w:tc>
          <w:tcPr>
            <w:tcW w:w="1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83</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(5,299)</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1,925</w:t>
            </w:r>
          </w:p>
        </w:tc>
        <w:tc>
          <w:tcPr>
            <w:tcW w:w="1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2,759</w:t>
            </w:r>
          </w:p>
        </w:tc>
        <w:tc>
          <w:tcPr>
            <w:tcW w:w="12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3,557</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108,942</w:t>
            </w:r>
          </w:p>
        </w:tc>
        <w:tc>
          <w:tcPr>
            <w:tcW w:w="12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111,854</w:t>
            </w:r>
          </w:p>
        </w:tc>
        <w:tc>
          <w:tcPr>
            <w:tcW w:w="12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214,548</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222,465</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1,362</w:t>
            </w:r>
          </w:p>
        </w:tc>
        <w:tc>
          <w:tcPr>
            <w:tcW w:w="1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1,717</w:t>
            </w:r>
          </w:p>
        </w:tc>
        <w:tc>
          <w:tcPr>
            <w:tcW w:w="12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2,931</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13,787</w:t>
            </w:r>
          </w:p>
        </w:tc>
        <w:tc>
          <w:tcPr>
            <w:tcW w:w="12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12,567</w:t>
            </w:r>
          </w:p>
        </w:tc>
        <w:tc>
          <w:tcPr>
            <w:tcW w:w="12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32,093</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40,286</w:t>
            </w:r>
          </w:p>
        </w:tc>
        <w:tc>
          <w:tcPr>
            <w:tcW w:w="0" w:type="dxa"/>
            <w:vAlign w:val="bottom"/>
          </w:tcPr>
          <w:p>
            <w:pPr>
              <w:spacing w:after="0"/>
              <w:rPr>
                <w:sz w:val="1"/>
                <w:szCs w:val="1"/>
                <w:color w:val="auto"/>
              </w:rPr>
            </w:pPr>
          </w:p>
        </w:tc>
      </w:tr>
      <w:tr>
        <w:trPr>
          <w:trHeight w:val="196"/>
        </w:trPr>
        <w:tc>
          <w:tcPr>
            <w:tcW w:w="630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(11,127)</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(12,140)</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(22,242)</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(24,397)</w:t>
            </w:r>
          </w:p>
        </w:tc>
        <w:tc>
          <w:tcPr>
            <w:tcW w:w="0" w:type="dxa"/>
            <w:vAlign w:val="bottom"/>
          </w:tcPr>
          <w:p>
            <w:pPr>
              <w:spacing w:after="0"/>
              <w:rPr>
                <w:sz w:val="1"/>
                <w:szCs w:val="1"/>
                <w:color w:val="auto"/>
              </w:rPr>
            </w:pPr>
          </w:p>
        </w:tc>
      </w:tr>
      <w:tr>
        <w:trPr>
          <w:trHeight w:val="202"/>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(10,670)</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(962)</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(11,865)</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4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689</w:t>
            </w:r>
          </w:p>
        </w:tc>
        <w:tc>
          <w:tcPr>
            <w:tcW w:w="12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(1,636)</w:t>
            </w:r>
          </w:p>
        </w:tc>
        <w:tc>
          <w:tcPr>
            <w:tcW w:w="12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2,282</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(21,108)</w:t>
            </w:r>
          </w:p>
        </w:tc>
        <w:tc>
          <w:tcPr>
            <w:tcW w:w="12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(14,738)</w:t>
            </w: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(31,825)</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(27,224)</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4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(7,321)</w:t>
            </w:r>
          </w:p>
        </w:tc>
        <w:tc>
          <w:tcPr>
            <w:tcW w:w="12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(2,171)</w:t>
            </w:r>
          </w:p>
        </w:tc>
        <w:tc>
          <w:tcPr>
            <w:tcW w:w="12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268</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(benefit) expense</w:t>
            </w:r>
          </w:p>
        </w:tc>
        <w:tc>
          <w:tcPr>
            <w:tcW w:w="14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(2,331)</w:t>
            </w:r>
          </w:p>
        </w:tc>
        <w:tc>
          <w:tcPr>
            <w:tcW w:w="1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156</w:t>
            </w:r>
          </w:p>
        </w:tc>
        <w:tc>
          <w:tcPr>
            <w:tcW w:w="12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(460)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4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(4,990)</w:t>
            </w:r>
          </w:p>
        </w:tc>
        <w:tc>
          <w:tcPr>
            <w:tcW w:w="12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(2,327)</w:t>
            </w:r>
          </w:p>
        </w:tc>
        <w:tc>
          <w:tcPr>
            <w:tcW w:w="12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728</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(377)</w:t>
            </w:r>
          </w:p>
        </w:tc>
        <w:tc>
          <w:tcPr>
            <w:tcW w:w="12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(351)</w:t>
            </w:r>
          </w:p>
        </w:tc>
        <w:tc>
          <w:tcPr>
            <w:tcW w:w="12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(774)</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4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(5,367)</w:t>
            </w:r>
          </w:p>
        </w:tc>
        <w:tc>
          <w:tcPr>
            <w:tcW w:w="12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(2,678)</w:t>
            </w:r>
          </w:p>
        </w:tc>
        <w:tc>
          <w:tcPr>
            <w:tcW w:w="12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(46)</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316</w:t>
            </w:r>
          </w:p>
        </w:tc>
        <w:tc>
          <w:tcPr>
            <w:tcW w:w="12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(122)</w:t>
            </w:r>
          </w:p>
        </w:tc>
        <w:tc>
          <w:tcPr>
            <w:tcW w:w="12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633</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6"/>
        </w:trPr>
        <w:tc>
          <w:tcPr>
            <w:tcW w:w="6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4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(5,051)</w:t>
            </w:r>
          </w:p>
        </w:tc>
        <w:tc>
          <w:tcPr>
            <w:tcW w:w="12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(2,800)</w:t>
            </w:r>
          </w:p>
        </w:tc>
        <w:tc>
          <w:tcPr>
            <w:tcW w:w="12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587</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183"/>
        </w:trPr>
        <w:tc>
          <w:tcPr>
            <w:tcW w:w="630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(0.09)</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(0.05)</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(0.00)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(0.09)</w:t>
            </w:r>
          </w:p>
        </w:tc>
        <w:tc>
          <w:tcPr>
            <w:tcW w:w="12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(0.05)</w:t>
            </w:r>
          </w:p>
        </w:tc>
        <w:tc>
          <w:tcPr>
            <w:tcW w:w="12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(0.00)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(265,423)</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577</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255,476</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(29,114)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5,320</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452</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29, 2019</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(260,103)</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581</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255,642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(28,797)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(5,367)</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451</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29, 2020</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(265,470)</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581</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255,712</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(28,481)</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1, 2018</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(279,691)</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572</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253,511</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(11,746)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10,361</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385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30, 2018</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(269,330)</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577</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253,443</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(11,868)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317</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(2,678)</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425</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31, 2019</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(272,008)</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577</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254,185</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(11,990)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(29,236)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203"/>
        </w:trPr>
        <w:tc>
          <w:tcPr>
            <w:tcW w:w="83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March 29,</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8320" w:type="dxa"/>
            <w:vAlign w:val="bottom"/>
            <w:vMerge w:val="continue"/>
          </w:tcPr>
          <w:p>
            <w:pPr>
              <w:spacing w:after="0"/>
              <w:rPr>
                <w:sz w:val="17"/>
                <w:szCs w:val="17"/>
                <w:color w:val="auto"/>
              </w:rPr>
            </w:pPr>
          </w:p>
        </w:tc>
        <w:tc>
          <w:tcPr>
            <w:tcW w:w="20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83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(required for) operating activities:</w:t>
            </w:r>
          </w:p>
        </w:tc>
        <w:tc>
          <w:tcPr>
            <w:tcW w:w="2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13,995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(5,299)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greater than earnings of MNI</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(8,427)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11,866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to collateralize letters of credit</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(5,476)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line="202" w:lineRule="exact"/>
              <w:rPr>
                <w:sz w:val="20"/>
                <w:szCs w:val="20"/>
                <w:color w:val="auto"/>
              </w:rPr>
            </w:pPr>
            <w:r>
              <w:rPr>
                <w:rFonts w:ascii="Arial" w:cs="Arial" w:eastAsia="Arial" w:hAnsi="Arial"/>
                <w:sz w:val="18"/>
                <w:szCs w:val="18"/>
                <w:color w:val="auto"/>
              </w:rPr>
              <w:t>Decrease in receivables and contract assets</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6,043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1,610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line="202" w:lineRule="exact"/>
              <w:rPr>
                <w:sz w:val="20"/>
                <w:szCs w:val="20"/>
                <w:color w:val="auto"/>
              </w:rPr>
            </w:pPr>
            <w:r>
              <w:rPr>
                <w:rFonts w:ascii="Arial" w:cs="Arial" w:eastAsia="Arial" w:hAnsi="Arial"/>
                <w:sz w:val="18"/>
                <w:szCs w:val="18"/>
                <w:color w:val="auto"/>
              </w:rPr>
              <w:t>Decrease in accounts payable and other accrued liabilities</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(8,134)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(1,237)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Change in income taxes payable</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6,918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including warrants</w:t>
            </w:r>
          </w:p>
        </w:tc>
        <w:tc>
          <w:tcPr>
            <w:tcW w:w="2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(2,157)</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10,698</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2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(5,809)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17,637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(130,985)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less than earnings of TNI</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(229)</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20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(119,711)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Pr>
          <w:p>
            <w:pPr>
              <w:spacing w:after="0" w:line="196" w:lineRule="exact"/>
              <w:rPr>
                <w:sz w:val="20"/>
                <w:szCs w:val="20"/>
                <w:color w:val="auto"/>
              </w:rPr>
            </w:pPr>
            <w:r>
              <w:rPr>
                <w:rFonts w:ascii="Arial" w:cs="Arial" w:eastAsia="Arial" w:hAnsi="Arial"/>
                <w:sz w:val="18"/>
                <w:szCs w:val="18"/>
                <w:color w:val="auto"/>
              </w:rPr>
              <w:t>Cash required for financing activities:</w:t>
            </w: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long term debt</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576,000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2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(443,627)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2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(609)</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Common stock transactions, net</w:t>
            </w:r>
          </w:p>
        </w:tc>
        <w:tc>
          <w:tcPr>
            <w:tcW w:w="2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(572)</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(required for) financing activities</w:t>
            </w:r>
          </w:p>
        </w:tc>
        <w:tc>
          <w:tcPr>
            <w:tcW w:w="20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131,192</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22,179</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2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8,645</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End of period</w:t>
            </w:r>
          </w:p>
        </w:tc>
        <w:tc>
          <w:tcPr>
            <w:tcW w:w="20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30,824</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700" w:right="3220" w:hanging="4692"/>
        <w:spacing w:after="0" w:line="482"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The Consolidated Financial Statements include the accounts of the March 16, 2020 Transactions, as defined and further described below, for approximately two weeks in the 13 weeks ended March 29, 2020. All significant intercompany accounts and transactions have been eliminated. In the opinion of management, these financial statements contain all adjustments (consisting of only normal recurring items) necessary to present fairly the financial position of Lee Enterprises, Incorporated and its subsidiaries (the “Company”) as of March 29, 2020 and our results of operations and cash flows for the periods presented. The Consolidated Financial Statements should be read in conjunction with the Consolidated Financial Statements and Notes thereto included in the Company's 2019 Annual Report on Form 10-K.</w:t>
      </w:r>
    </w:p>
    <w:p>
      <w:pPr>
        <w:spacing w:after="0" w:line="194"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and 26 weeks ended March 29, 2020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“2020”, “2019”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Pandemic</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operations have experienced lower revenue and profitability over the last several years and these trends are expected to continue in the future; however, the pandemic and government restrictions caused significant and immediate declines in demand for certain of our products and services, particularly in advertising revenue.</w:t>
      </w:r>
    </w:p>
    <w:p>
      <w:pPr>
        <w:spacing w:after="0" w:line="18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Company currently expects that the COVID-19 pandemic will have a significant negative near term impact on the Company’s business and operations.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As a result, the Company has implemented, and continues to implement, measures to solidify our relationship with our local advertisers, reduce our cost structure and preserve liquidity. The Company believes these initiatives will allow us to meet our commitments; however, they may not be sufficient to fully offset the negative impact of the COVID-19 pandemic on the Company’s business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with Berkshire Hathaway</w:t>
      </w:r>
    </w:p>
    <w:p>
      <w:pPr>
        <w:spacing w:after="0" w:line="22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BHMG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9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Transactions were funded pursuant to a Credit Agreement dated as of January 29, 2020 between the Company and BH Finance LLC, a Delaware limited liability company affiliated with Berkshire (“Credit Agreement”), as described further in Note 5. Our Consolidated Financial Statements show the combined results of the Company for the period of March 16, 2020 through and as of March 29, 2020.</w:t>
      </w:r>
    </w:p>
    <w:p>
      <w:pPr>
        <w:spacing w:after="0" w:line="19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Between July 2, 2018 and March 16, 2020, the Company managed the BHMG newspaper business pursuant to a Management Agreement between BHMG and the Company dated June 26, 2018 (“Management Agreement”).</w:t>
      </w:r>
    </w:p>
    <w:p>
      <w:pPr>
        <w:spacing w:after="0" w:line="183"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represents $1,245,000 in fixed fees pro-rated under the contract and $4,180,000 in variable fees based upon the pro-rated annual target. The amount we received settled our existing contract assets balance, which totaled $3,589,000 as of December 29, 2019, and the remaining amount was reflected in Other Revenue for the 13 weeks ended March 29, 2020. The amount of variable fees was estimated based on expected BHMG financial performance through March 16, 2020. Actual financial performance through March 16, 2020 did not vary materially from the estimated amount. As such, the Company did not recognize a gain or loss as a result of the settlement of this preexisting relationship.</w:t>
      </w:r>
    </w:p>
    <w:p>
      <w:pPr>
        <w:sectPr>
          <w:pgSz w:w="11900" w:h="16838" w:orient="portrait"/>
          <w:cols w:equalWidth="0" w:num="1">
            <w:col w:w="11240"/>
          </w:cols>
          <w:pgMar w:left="320" w:top="125" w:right="339" w:bottom="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In connection with the Transactions, the Company also entered into a 10-year term lease with BHMG as described in Note 6.</w:t>
      </w:r>
    </w:p>
    <w:p>
      <w:pPr>
        <w:sectPr>
          <w:pgSz w:w="11900" w:h="16838" w:orient="portrait"/>
          <w:cols w:equalWidth="0" w:num="1">
            <w:col w:w="9920"/>
          </w:cols>
          <w:pgMar w:left="980" w:top="140" w:right="99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Accounting Standards Codification 805 “Business Combinations” (“ASC 805”),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the acquisition.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Accounting Standards - Standards Adopted in 2020</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February 2016, the FASB issued a new standard for the accounting treatment of leases, known as Accounting Standards Codification 842 (“ASC 842”). The new standard is based on the principle that entities should recognize assets and liabilities arising from leases. The new standard's primary change is the requirement for entities to recognize a lease liability for payments and a right-of-use (“ROU”) asset representing the right to use the leased asset during the term on most operating lease arrangements. We adopted the standard effective September 30, 2019, the first day of fiscal year 2020.</w:t>
      </w:r>
    </w:p>
    <w:p>
      <w:pPr>
        <w:spacing w:after="0" w:line="189"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an ROU asset or lease liability for these leases. Additional information and disclosures required by this new standard are contained in Note 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then current GAAP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28, 2020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60" w:type="dxa"/>
            <w:vAlign w:val="bottom"/>
            <w:tcBorders>
              <w:top w:val="single" w:sz="8" w:color="auto"/>
              <w:bottom w:val="single" w:sz="8" w:color="auto"/>
            </w:tcBorders>
          </w:tcPr>
          <w:p>
            <w:pPr>
              <w:spacing w:after="0"/>
              <w:rPr>
                <w:sz w:val="18"/>
                <w:szCs w:val="18"/>
                <w:color w:val="auto"/>
              </w:rPr>
            </w:pPr>
          </w:p>
        </w:tc>
        <w:tc>
          <w:tcPr>
            <w:tcW w:w="350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13 Weeks Ended</w:t>
            </w:r>
          </w:p>
        </w:tc>
        <w:tc>
          <w:tcPr>
            <w:tcW w:w="2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7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2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2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31,</w:t>
            </w:r>
          </w:p>
        </w:tc>
        <w:tc>
          <w:tcPr>
            <w:tcW w:w="12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March 29,</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vMerge w:val="continue"/>
          </w:tcPr>
          <w:p>
            <w:pPr>
              <w:spacing w:after="0"/>
              <w:rPr>
                <w:sz w:val="17"/>
                <w:szCs w:val="17"/>
                <w:color w:val="auto"/>
              </w:rPr>
            </w:pPr>
          </w:p>
        </w:tc>
        <w:tc>
          <w:tcPr>
            <w:tcW w:w="22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22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60,945</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62,934</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126,672</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138,897</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46,443</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45,076</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88,138</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91,345</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22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5,211</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4,744</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10,429</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22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8,768</w:t>
            </w:r>
          </w:p>
        </w:tc>
        <w:tc>
          <w:tcPr>
            <w:tcW w:w="12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9,950</w:t>
            </w:r>
          </w:p>
        </w:tc>
        <w:tc>
          <w:tcPr>
            <w:tcW w:w="12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18,471</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2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121,367</w:t>
            </w:r>
          </w:p>
        </w:tc>
        <w:tc>
          <w:tcPr>
            <w:tcW w:w="12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122,704</w:t>
            </w:r>
          </w:p>
        </w:tc>
        <w:tc>
          <w:tcPr>
            <w:tcW w:w="12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243,710</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258,905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3"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ind w:left="660" w:right="8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$58,563,000 as of March 29, 2020 and $21,720,000 as of September 29, 2019. Revenue recognized in the 13 and 26 weeks ended March 29, 2020 that was included in the contract liability as of September 29, 2019 was $4,460,000 and $17,858,000.</w:t>
      </w:r>
    </w:p>
    <w:p>
      <w:pPr>
        <w:spacing w:after="0" w:line="188"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Contract asset balances relate to our Management Agreement revenue and were $0 as of March 29, 2020 and $1,107,000 as of September 29, 2019 and consisted solely of the variable consideration earned under the Management Agreement. In conjunction with the execution of the Purchase Agreement, the previously recorded contract asset balance was collected on March 16, 2020. Accounts receivable, excluding allowance for doubtful accounts and contract assets, was $81,007,000 and $47,863,000 as of March 29, 2020 and September 29, 2019, respectively. Allowance for doubtful accounts was $7,661,000 and $6,434,000 as of March 29, 2020 and September 29, 2019, respectively.</w:t>
      </w:r>
    </w:p>
    <w:p>
      <w:pPr>
        <w:spacing w:after="0" w:line="173"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are recorded within compensation. The vast majority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202" w:lineRule="exact"/>
        <w:rPr>
          <w:sz w:val="20"/>
          <w:szCs w:val="20"/>
          <w:color w:val="auto"/>
        </w:rPr>
      </w:pPr>
    </w:p>
    <w:p>
      <w:pPr>
        <w:ind w:left="660" w:right="6820" w:hanging="652"/>
        <w:spacing w:after="0" w:line="4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w:t>
      </w:r>
    </w:p>
    <w:p>
      <w:pPr>
        <w:spacing w:after="0" w:line="191" w:lineRule="exact"/>
        <w:rPr>
          <w:rFonts w:ascii="Arial" w:cs="Arial" w:eastAsia="Arial" w:hAnsi="Arial"/>
          <w:sz w:val="18"/>
          <w:szCs w:val="18"/>
          <w:b w:val="1"/>
          <w:bCs w:val="1"/>
          <w:color w:val="auto"/>
        </w:rPr>
      </w:pPr>
    </w:p>
    <w:p>
      <w:pPr>
        <w:ind w:left="660" w:right="314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8"/>
        </w:trPr>
        <w:tc>
          <w:tcPr>
            <w:tcW w:w="4680" w:type="dxa"/>
            <w:vAlign w:val="bottom"/>
            <w:tcBorders>
              <w:top w:val="single" w:sz="8" w:color="auto"/>
              <w:bottom w:val="single" w:sz="8" w:color="auto"/>
            </w:tcBorders>
          </w:tcPr>
          <w:p>
            <w:pPr>
              <w:spacing w:after="0"/>
              <w:rPr>
                <w:sz w:val="17"/>
                <w:szCs w:val="17"/>
                <w:color w:val="auto"/>
              </w:rPr>
            </w:pPr>
          </w:p>
        </w:tc>
        <w:tc>
          <w:tcPr>
            <w:tcW w:w="3580" w:type="dxa"/>
            <w:vAlign w:val="bottom"/>
            <w:tcBorders>
              <w:top w:val="single" w:sz="8" w:color="auto"/>
              <w:bottom w:val="single" w:sz="8" w:color="auto"/>
            </w:tcBorders>
            <w:gridSpan w:val="2"/>
          </w:tcPr>
          <w:p>
            <w:pPr>
              <w:jc w:val="right"/>
              <w:ind w:right="150"/>
              <w:spacing w:after="0" w:line="198" w:lineRule="exact"/>
              <w:rPr>
                <w:sz w:val="20"/>
                <w:szCs w:val="20"/>
                <w:color w:val="auto"/>
              </w:rPr>
            </w:pPr>
            <w:r>
              <w:rPr>
                <w:rFonts w:ascii="Arial" w:cs="Arial" w:eastAsia="Arial" w:hAnsi="Arial"/>
                <w:sz w:val="18"/>
                <w:szCs w:val="18"/>
                <w:color w:val="auto"/>
              </w:rPr>
              <w:t>13 Weeks Ended</w:t>
            </w:r>
          </w:p>
        </w:tc>
        <w:tc>
          <w:tcPr>
            <w:tcW w:w="2400" w:type="dxa"/>
            <w:vAlign w:val="bottom"/>
            <w:tcBorders>
              <w:top w:val="single" w:sz="8" w:color="auto"/>
              <w:bottom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6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3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2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31,</w:t>
            </w:r>
          </w:p>
        </w:tc>
        <w:tc>
          <w:tcPr>
            <w:tcW w:w="12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March 29,</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auto"/>
            </w:tcBorders>
            <w:vMerge w:val="continue"/>
          </w:tcPr>
          <w:p>
            <w:pPr>
              <w:spacing w:after="0"/>
              <w:rPr>
                <w:sz w:val="17"/>
                <w:szCs w:val="17"/>
                <w:color w:val="auto"/>
              </w:rPr>
            </w:pPr>
          </w:p>
        </w:tc>
        <w:tc>
          <w:tcPr>
            <w:tcW w:w="23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3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10,185</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11,480</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20,381</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23,644</w:t>
            </w:r>
          </w:p>
        </w:tc>
        <w:tc>
          <w:tcPr>
            <w:tcW w:w="0" w:type="dxa"/>
            <w:vAlign w:val="bottom"/>
          </w:tcPr>
          <w:p>
            <w:pPr>
              <w:spacing w:after="0"/>
              <w:rPr>
                <w:sz w:val="1"/>
                <w:szCs w:val="1"/>
                <w:color w:val="auto"/>
              </w:rPr>
            </w:pPr>
          </w:p>
        </w:tc>
      </w:tr>
      <w:tr>
        <w:trPr>
          <w:trHeight w:val="202"/>
        </w:trPr>
        <w:tc>
          <w:tcPr>
            <w:tcW w:w="4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3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7,766</w:t>
            </w:r>
          </w:p>
        </w:tc>
        <w:tc>
          <w:tcPr>
            <w:tcW w:w="12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8,832</w:t>
            </w:r>
          </w:p>
        </w:tc>
        <w:tc>
          <w:tcPr>
            <w:tcW w:w="12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15,931</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17,928</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3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2,419</w:t>
            </w:r>
          </w:p>
        </w:tc>
        <w:tc>
          <w:tcPr>
            <w:tcW w:w="12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2,648</w:t>
            </w:r>
          </w:p>
        </w:tc>
        <w:tc>
          <w:tcPr>
            <w:tcW w:w="12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4,450</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183"/>
        </w:trPr>
        <w:tc>
          <w:tcPr>
            <w:tcW w:w="468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2300" w:type="dxa"/>
            <w:vAlign w:val="bottom"/>
          </w:tcPr>
          <w:p>
            <w:pPr>
              <w:jc w:val="right"/>
              <w:ind w:right="150"/>
              <w:spacing w:after="0" w:line="183" w:lineRule="exact"/>
              <w:rPr>
                <w:sz w:val="20"/>
                <w:szCs w:val="20"/>
                <w:color w:val="auto"/>
              </w:rPr>
            </w:pPr>
            <w:r>
              <w:rPr>
                <w:rFonts w:ascii="Arial" w:cs="Arial" w:eastAsia="Arial" w:hAnsi="Arial"/>
                <w:sz w:val="18"/>
                <w:szCs w:val="18"/>
                <w:color w:val="auto"/>
              </w:rPr>
              <w:t>1,210</w:t>
            </w:r>
          </w:p>
        </w:tc>
        <w:tc>
          <w:tcPr>
            <w:tcW w:w="1280" w:type="dxa"/>
            <w:vAlign w:val="bottom"/>
          </w:tcPr>
          <w:p>
            <w:pPr>
              <w:jc w:val="right"/>
              <w:ind w:right="150"/>
              <w:spacing w:after="0" w:line="183" w:lineRule="exact"/>
              <w:rPr>
                <w:sz w:val="20"/>
                <w:szCs w:val="20"/>
                <w:color w:val="auto"/>
              </w:rPr>
            </w:pPr>
            <w:r>
              <w:rPr>
                <w:rFonts w:ascii="Arial" w:cs="Arial" w:eastAsia="Arial" w:hAnsi="Arial"/>
                <w:sz w:val="18"/>
                <w:szCs w:val="18"/>
                <w:color w:val="auto"/>
              </w:rPr>
              <w:t>1,323</w:t>
            </w:r>
          </w:p>
        </w:tc>
        <w:tc>
          <w:tcPr>
            <w:tcW w:w="128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2,225</w:t>
            </w: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02"/>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23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105</w:t>
            </w:r>
          </w:p>
        </w:tc>
        <w:tc>
          <w:tcPr>
            <w:tcW w:w="12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105</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210</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23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1,105</w:t>
            </w:r>
          </w:p>
        </w:tc>
        <w:tc>
          <w:tcPr>
            <w:tcW w:w="12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1,218</w:t>
            </w:r>
          </w:p>
        </w:tc>
        <w:tc>
          <w:tcPr>
            <w:tcW w:w="12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2,015</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TNI makes weekly distributions of its earnings and for the 13 weeks ended March 29, 2020 and March 31, 2019, we received $953,000 and $1,957,000 in distributions, respectively. In the 26 weeks ended March 29, 2020 and March 31, 2019, we received $1,691,000 and $2,506,000 in distributions, respectively.</w:t>
      </w:r>
    </w:p>
    <w:p>
      <w:pPr>
        <w:sectPr>
          <w:pgSz w:w="11900" w:h="16838" w:orient="portrait"/>
          <w:cols w:equalWidth="0" w:num="1">
            <w:col w:w="11320"/>
          </w:cols>
          <w:pgMar w:left="320" w:top="125" w:right="259" w:bottom="765" w:gutter="0" w:footer="0" w:header="0"/>
        </w:sectPr>
      </w:pP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765"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8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13 Weeks Ended</w:t>
            </w:r>
          </w:p>
        </w:tc>
        <w:tc>
          <w:tcPr>
            <w:tcW w:w="2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6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3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2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31,</w:t>
            </w:r>
          </w:p>
        </w:tc>
        <w:tc>
          <w:tcPr>
            <w:tcW w:w="12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March 29,</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3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12,325</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13,092</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26,250</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27,918</w:t>
            </w:r>
          </w:p>
        </w:tc>
        <w:tc>
          <w:tcPr>
            <w:tcW w:w="0" w:type="dxa"/>
            <w:vAlign w:val="bottom"/>
          </w:tcPr>
          <w:p>
            <w:pPr>
              <w:spacing w:after="0"/>
              <w:rPr>
                <w:sz w:val="1"/>
                <w:szCs w:val="1"/>
                <w:color w:val="auto"/>
              </w:rPr>
            </w:pP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 and</w:t>
            </w:r>
          </w:p>
        </w:tc>
        <w:tc>
          <w:tcPr>
            <w:tcW w:w="13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11,561</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11,579</w:t>
            </w:r>
          </w:p>
        </w:tc>
        <w:tc>
          <w:tcPr>
            <w:tcW w:w="12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23,681</w:t>
            </w:r>
          </w:p>
        </w:tc>
        <w:tc>
          <w:tcPr>
            <w:tcW w:w="11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24,272</w:t>
            </w:r>
          </w:p>
        </w:tc>
        <w:tc>
          <w:tcPr>
            <w:tcW w:w="0" w:type="dxa"/>
            <w:vAlign w:val="bottom"/>
          </w:tcPr>
          <w:p>
            <w:pPr>
              <w:spacing w:after="0"/>
              <w:rPr>
                <w:sz w:val="1"/>
                <w:szCs w:val="1"/>
                <w:color w:val="auto"/>
              </w:rPr>
            </w:pPr>
          </w:p>
        </w:tc>
      </w:tr>
      <w:tr>
        <w:trPr>
          <w:trHeight w:val="203"/>
        </w:trPr>
        <w:tc>
          <w:tcPr>
            <w:tcW w:w="5680" w:type="dxa"/>
            <w:vAlign w:val="bottom"/>
          </w:tcPr>
          <w:p>
            <w:pPr>
              <w:spacing w:after="0" w:line="203" w:lineRule="exact"/>
              <w:rPr>
                <w:sz w:val="20"/>
                <w:szCs w:val="20"/>
                <w:color w:val="auto"/>
              </w:rPr>
            </w:pPr>
            <w:r>
              <w:rPr>
                <w:rFonts w:ascii="Arial" w:cs="Arial" w:eastAsia="Arial" w:hAnsi="Arial"/>
                <w:sz w:val="18"/>
                <w:szCs w:val="18"/>
                <w:color w:val="auto"/>
              </w:rPr>
              <w:t>amortization</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3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38</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197</w:t>
            </w:r>
          </w:p>
        </w:tc>
        <w:tc>
          <w:tcPr>
            <w:tcW w:w="12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280</w:t>
            </w:r>
          </w:p>
        </w:tc>
        <w:tc>
          <w:tcPr>
            <w:tcW w:w="12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341</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3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567</w:t>
            </w:r>
          </w:p>
        </w:tc>
        <w:tc>
          <w:tcPr>
            <w:tcW w:w="12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1,195</w:t>
            </w:r>
          </w:p>
        </w:tc>
        <w:tc>
          <w:tcPr>
            <w:tcW w:w="12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2,228</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183"/>
        </w:trPr>
        <w:tc>
          <w:tcPr>
            <w:tcW w:w="568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300" w:type="dxa"/>
            <w:vAlign w:val="bottom"/>
          </w:tcPr>
          <w:p>
            <w:pPr>
              <w:jc w:val="right"/>
              <w:ind w:right="150"/>
              <w:spacing w:after="0" w:line="183" w:lineRule="exact"/>
              <w:rPr>
                <w:sz w:val="20"/>
                <w:szCs w:val="20"/>
                <w:color w:val="auto"/>
              </w:rPr>
            </w:pPr>
            <w:r>
              <w:rPr>
                <w:rFonts w:ascii="Arial" w:cs="Arial" w:eastAsia="Arial" w:hAnsi="Arial"/>
                <w:sz w:val="18"/>
                <w:szCs w:val="18"/>
                <w:color w:val="auto"/>
              </w:rPr>
              <w:t>514</w:t>
            </w:r>
          </w:p>
        </w:tc>
        <w:tc>
          <w:tcPr>
            <w:tcW w:w="1280" w:type="dxa"/>
            <w:vAlign w:val="bottom"/>
          </w:tcPr>
          <w:p>
            <w:pPr>
              <w:jc w:val="right"/>
              <w:ind w:right="150"/>
              <w:spacing w:after="0" w:line="183" w:lineRule="exact"/>
              <w:rPr>
                <w:sz w:val="20"/>
                <w:szCs w:val="20"/>
                <w:color w:val="auto"/>
              </w:rPr>
            </w:pPr>
            <w:r>
              <w:rPr>
                <w:rFonts w:ascii="Arial" w:cs="Arial" w:eastAsia="Arial" w:hAnsi="Arial"/>
                <w:sz w:val="18"/>
                <w:szCs w:val="18"/>
                <w:color w:val="auto"/>
              </w:rPr>
              <w:t>996</w:t>
            </w:r>
          </w:p>
        </w:tc>
        <w:tc>
          <w:tcPr>
            <w:tcW w:w="128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1,830</w:t>
            </w: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MNI</w:t>
            </w:r>
          </w:p>
        </w:tc>
        <w:tc>
          <w:tcPr>
            <w:tcW w:w="13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257</w:t>
            </w:r>
          </w:p>
        </w:tc>
        <w:tc>
          <w:tcPr>
            <w:tcW w:w="12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499</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915</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MNI makes quarterly distributions of its earnings and in the 13 weeks ended March 29, 2020 and March 31, 2019, we received dividends of $1,000,000 and $750,000, respectively. In the 26 weeks ended March 29, 2020 and March 31, 2019, we received dividends of $1,000,000 and $1,500,000 respectively.</w:t>
      </w:r>
    </w:p>
    <w:p>
      <w:pPr>
        <w:spacing w:after="0" w:line="200" w:lineRule="exact"/>
        <w:rPr>
          <w:sz w:val="20"/>
          <w:szCs w:val="20"/>
          <w:color w:val="auto"/>
        </w:rPr>
      </w:pPr>
    </w:p>
    <w:p>
      <w:pPr>
        <w:spacing w:after="0" w:line="210" w:lineRule="exact"/>
        <w:rPr>
          <w:sz w:val="20"/>
          <w:szCs w:val="20"/>
          <w:color w:val="auto"/>
        </w:rPr>
      </w:pPr>
    </w:p>
    <w:p>
      <w:pPr>
        <w:ind w:left="660" w:right="6020" w:hanging="652"/>
        <w:spacing w:after="0" w:line="511"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tbl>
      <w:tblPr>
        <w:tblLayout w:type="fixed"/>
        <w:tblInd w:w="660" w:type="dxa"/>
        <w:tblCellMar>
          <w:top w:w="0" w:type="dxa"/>
          <w:left w:w="0" w:type="dxa"/>
          <w:bottom w:w="0" w:type="dxa"/>
          <w:right w:w="0" w:type="dxa"/>
        </w:tblCellMar>
      </w:tblPr>
      <w:tr>
        <w:trPr>
          <w:trHeight w:val="210"/>
        </w:trPr>
        <w:tc>
          <w:tcPr>
            <w:tcW w:w="572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 Weeks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300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1,539,038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3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period</w:t>
            </w:r>
          </w:p>
        </w:tc>
        <w:tc>
          <w:tcPr>
            <w:tcW w:w="300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250,309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Goodwill acquired in business combinations</w:t>
            </w:r>
          </w:p>
        </w:tc>
        <w:tc>
          <w:tcPr>
            <w:tcW w:w="3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end of period</w:t>
            </w:r>
          </w:p>
        </w:tc>
        <w:tc>
          <w:tcPr>
            <w:tcW w:w="30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313,868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720" w:type="dxa"/>
            <w:vAlign w:val="bottom"/>
          </w:tcPr>
          <w:p>
            <w:pPr>
              <w:spacing w:after="0"/>
              <w:rPr>
                <w:sz w:val="20"/>
                <w:szCs w:val="20"/>
                <w:color w:val="auto"/>
              </w:rPr>
            </w:pPr>
            <w:r>
              <w:rPr>
                <w:rFonts w:ascii="Arial" w:cs="Arial" w:eastAsia="Arial" w:hAnsi="Arial"/>
                <w:sz w:val="18"/>
                <w:szCs w:val="18"/>
                <w:color w:val="auto"/>
              </w:rPr>
              <w:t>Identified intangible assets consist of the following:</w:t>
            </w:r>
          </w:p>
        </w:tc>
        <w:tc>
          <w:tcPr>
            <w:tcW w:w="3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0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March 29,</w:t>
            </w:r>
          </w:p>
        </w:tc>
        <w:tc>
          <w:tcPr>
            <w:tcW w:w="1940" w:type="dxa"/>
            <w:vAlign w:val="bottom"/>
          </w:tcPr>
          <w:p>
            <w:pPr>
              <w:jc w:val="right"/>
              <w:spacing w:after="0" w:line="195" w:lineRule="exact"/>
              <w:rPr>
                <w:sz w:val="20"/>
                <w:szCs w:val="20"/>
                <w:color w:val="auto"/>
              </w:rPr>
            </w:pPr>
            <w:r>
              <w:rPr>
                <w:rFonts w:ascii="Arial" w:cs="Arial" w:eastAsia="Arial" w:hAnsi="Arial"/>
                <w:sz w:val="18"/>
                <w:szCs w:val="18"/>
                <w:color w:val="auto"/>
              </w:rPr>
              <w:t>September 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300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2020</w:t>
            </w:r>
          </w:p>
        </w:tc>
        <w:tc>
          <w:tcPr>
            <w:tcW w:w="1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72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Mastheads</w:t>
            </w:r>
          </w:p>
        </w:tc>
        <w:tc>
          <w:tcPr>
            <w:tcW w:w="30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42,722</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21,883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0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790,586</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697,145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0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620,443</w:t>
            </w:r>
          </w:p>
        </w:tc>
        <w:tc>
          <w:tcPr>
            <w:tcW w:w="1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170,143</w:t>
            </w: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300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28,675</w:t>
            </w:r>
          </w:p>
        </w:tc>
        <w:tc>
          <w:tcPr>
            <w:tcW w:w="1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3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28,562</w:t>
            </w: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shd w:val="clear" w:color="auto" w:fill="CCEEFF"/>
          </w:tcPr>
          <w:p>
            <w:pPr>
              <w:spacing w:after="0"/>
              <w:rPr>
                <w:sz w:val="17"/>
                <w:szCs w:val="17"/>
                <w:color w:val="auto"/>
              </w:rPr>
            </w:pPr>
          </w:p>
        </w:tc>
        <w:tc>
          <w:tcPr>
            <w:tcW w:w="30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113</w:t>
            </w: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intangible assets, net</w:t>
            </w:r>
          </w:p>
        </w:tc>
        <w:tc>
          <w:tcPr>
            <w:tcW w:w="3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212,978</w:t>
            </w: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107,393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Company recognized $ 38,780,000 of advertiser relationships, $36,060,000 of subscriber relationships, $17,130,000 of commercial print relationships and $21,680,000 of indefinite-lived masthead assets as part of the Transactions.</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Annual amortization of intangible assets for the five years ending December 2021 to December 2025 is estimated to be $26,965,000, $24,382,000, $23,393,000, $22,614,000 and $20,355,000, respectively. The weighted average amortization period for those amortizable assets acquired as part of the Transactions is 9.2 years.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of March 29, 2020, the weighted average amortization periods for amortizable intangible assets are 5.4 years for advertiser relationships, 4.9 years for customer relationships, 8.7 years for subscriber relationships. The weighted average amortization period in total for all amortizable intangible assets is 6.4 years.</w:t>
      </w:r>
    </w:p>
    <w:p>
      <w:pPr>
        <w:spacing w:after="0" w:line="20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Company recognized $63,559,000 of Goodwill as part of the Transactions. The value of the acquired Goodwill is primarily related to an assembled workforce and expected synergies from combining operations. For tax purposes, the amount of Goodwill that is expected to be deductible is $28,118,000. Refer to Note 8 for more information regarding preliminary purchase accounting for the Transactions.</w:t>
      </w:r>
    </w:p>
    <w:p>
      <w:pPr>
        <w:sectPr>
          <w:pgSz w:w="11900" w:h="16838" w:orient="portrait"/>
          <w:cols w:equalWidth="0" w:num="1">
            <w:col w:w="11320"/>
          </w:cols>
          <w:pgMar w:left="320" w:top="125" w:right="259" w:bottom="293" w:gutter="0" w:footer="0" w:header="0"/>
        </w:sectPr>
      </w:pP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293"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March 16, 2020 in connection with the closing of the Transactions, the Company completed a comprehensive refinancing of its debt (the “2020 Refinancing”). The 2020 Refinancing consists of a 25-year term loan with BH Finance LLC (“BH Finance”), an affiliate of Berkshire, in an aggregate principal amount of $576,000,000 at a 9% annual rate (referred to herein as “Credit Agreement” and “Term Loan”). The proceeds of the Term Loan were utilized, along with cash on hand, to refinance the Company's $431,502,000 in existing debt as well as the acquisition of the BH Media Newspaper Business assets and the stock of the Buffalo News for $140,000,000 in cash. With the closing of this deal, BH Finance became Lee's sole lender. Proceeds of the Term Loan were used to finance the Transactions and refinance all of the Company’s outstanding debt at par, including:</w:t>
      </w:r>
    </w:p>
    <w:p>
      <w:pPr>
        <w:spacing w:after="0" w:line="189" w:lineRule="exact"/>
        <w:rPr>
          <w:rFonts w:ascii="Arial" w:cs="Arial" w:eastAsia="Arial" w:hAnsi="Arial"/>
          <w:sz w:val="18"/>
          <w:szCs w:val="18"/>
          <w:b w:val="1"/>
          <w:bCs w:val="1"/>
          <w:color w:val="auto"/>
        </w:rPr>
      </w:pPr>
    </w:p>
    <w:p>
      <w:pPr>
        <w:ind w:left="1180" w:hanging="335"/>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redeem the 9.5% senior secured notes (“Notes”) pursuant to an indenture dated as of March 31, 2014 (the “Indenture”);</w:t>
      </w:r>
    </w:p>
    <w:p>
      <w:pPr>
        <w:spacing w:after="0" w:line="198" w:lineRule="exact"/>
        <w:rPr>
          <w:rFonts w:ascii="Arial" w:cs="Arial" w:eastAsia="Arial" w:hAnsi="Arial"/>
          <w:sz w:val="18"/>
          <w:szCs w:val="18"/>
          <w:color w:val="auto"/>
        </w:rPr>
      </w:pPr>
    </w:p>
    <w:p>
      <w:pPr>
        <w:ind w:left="1180" w:right="320" w:hanging="335"/>
        <w:spacing w:after="0" w:line="246"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repay the 12.0% second lien term loan pursuant to a Second Lien Term Loan Agreement dated as of March 31, 2014, as amended (the “2</w:t>
      </w:r>
      <w:r>
        <w:rPr>
          <w:rFonts w:ascii="Arial" w:cs="Arial" w:eastAsia="Arial" w:hAnsi="Arial"/>
          <w:sz w:val="14"/>
          <w:szCs w:val="14"/>
          <w:color w:val="auto"/>
        </w:rPr>
        <w:t>nd</w:t>
      </w:r>
      <w:r>
        <w:rPr>
          <w:rFonts w:ascii="Arial" w:cs="Arial" w:eastAsia="Arial" w:hAnsi="Arial"/>
          <w:sz w:val="18"/>
          <w:szCs w:val="18"/>
          <w:color w:val="auto"/>
        </w:rPr>
        <w:t xml:space="preserve"> Lien Term Loan”).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gain or loss recognized upon extinguishment of the Indenture and the 2nd Lien Term Loan.</w:t>
      </w:r>
    </w:p>
    <w:p>
      <w:pPr>
        <w:spacing w:after="0" w:line="19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a result of the 2020 Refinancing, the Indenture, First Lien Credit Agreement dated as of March 31, 2014 (the “1</w:t>
      </w:r>
      <w:r>
        <w:rPr>
          <w:rFonts w:ascii="Arial" w:cs="Arial" w:eastAsia="Arial" w:hAnsi="Arial"/>
          <w:sz w:val="14"/>
          <w:szCs w:val="14"/>
          <w:color w:val="auto"/>
        </w:rPr>
        <w:t>st</w:t>
      </w:r>
      <w:r>
        <w:rPr>
          <w:rFonts w:ascii="Arial" w:cs="Arial" w:eastAsia="Arial" w:hAnsi="Arial"/>
          <w:sz w:val="18"/>
          <w:szCs w:val="18"/>
          <w:color w:val="auto"/>
        </w:rPr>
        <w:t xml:space="preserve"> Lien Credit Facility”) and 2</w:t>
      </w:r>
      <w:r>
        <w:rPr>
          <w:rFonts w:ascii="Arial" w:cs="Arial" w:eastAsia="Arial" w:hAnsi="Arial"/>
          <w:sz w:val="14"/>
          <w:szCs w:val="14"/>
          <w:color w:val="auto"/>
        </w:rPr>
        <w:t>nd</w:t>
      </w:r>
      <w:r>
        <w:rPr>
          <w:rFonts w:ascii="Arial" w:cs="Arial" w:eastAsia="Arial" w:hAnsi="Arial"/>
          <w:sz w:val="18"/>
          <w:szCs w:val="18"/>
          <w:color w:val="auto"/>
        </w:rPr>
        <w:t xml:space="preserve"> Lien Loan Agreement were terminated, and BH Finance is the Company’s sole lender. The Credit Agreement documents the primary terms of the Term Loan. The Term Loan matures on March 16, 2045.</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7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March 29,</w:t>
            </w:r>
          </w:p>
        </w:tc>
        <w:tc>
          <w:tcPr>
            <w:tcW w:w="19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September 29,</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9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2019</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398"/>
        </w:trPr>
        <w:tc>
          <w:tcPr>
            <w:tcW w:w="4780" w:type="dxa"/>
            <w:vAlign w:val="bottom"/>
          </w:tcPr>
          <w:p>
            <w:pPr>
              <w:spacing w:after="0"/>
              <w:rPr>
                <w:sz w:val="20"/>
                <w:szCs w:val="20"/>
                <w:color w:val="auto"/>
              </w:rPr>
            </w:pPr>
            <w:r>
              <w:rPr>
                <w:rFonts w:ascii="Arial" w:cs="Arial" w:eastAsia="Arial" w:hAnsi="Arial"/>
                <w:sz w:val="18"/>
                <w:szCs w:val="18"/>
                <w:color w:val="auto"/>
              </w:rPr>
              <w:t>Term Loan</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576,000</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Facility</w:t>
            </w:r>
          </w:p>
        </w:tc>
        <w:tc>
          <w:tcPr>
            <w:tcW w:w="26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Notes</w:t>
            </w:r>
          </w:p>
        </w:tc>
        <w:tc>
          <w:tcPr>
            <w:tcW w:w="2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363,420</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4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2nd Lien Term Loan</w:t>
            </w:r>
          </w:p>
        </w:tc>
        <w:tc>
          <w:tcPr>
            <w:tcW w:w="26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80,207</w:t>
            </w:r>
          </w:p>
        </w:tc>
        <w:tc>
          <w:tcPr>
            <w:tcW w:w="13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26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576,000</w:t>
            </w:r>
          </w:p>
        </w:tc>
        <w:tc>
          <w:tcPr>
            <w:tcW w:w="192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443,627</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26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(11,282)</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6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2,954</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26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576,000</w:t>
            </w:r>
          </w:p>
        </w:tc>
        <w:tc>
          <w:tcPr>
            <w:tcW w:w="192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429,391</w:t>
            </w:r>
          </w:p>
        </w:tc>
        <w:tc>
          <w:tcPr>
            <w:tcW w:w="13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part of our refinancing, we incurred approximately $417,000 in debt financing costs, which are reflected in Debt financing and administrative costs. On March 16, 2020, we recognized $9,583,000 in Debt financing and administrative costs related to previously unamortized debt issuance costs related to extinguished debt.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at March 29, 2020 is 9.0%.</w:t>
      </w:r>
    </w:p>
    <w:p>
      <w:pPr>
        <w:spacing w:after="0" w:line="198"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At March 29, 2020, there are no required debt payments. Future payments are contingent on the Company’s ability to generate future excess cash flow, as defined in the Credit Agreement.</w:t>
      </w:r>
    </w:p>
    <w:p>
      <w:pPr>
        <w:spacing w:after="0" w:line="20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Term Loan bears interest at a fixed annual rate of 9.0%, payable monthly, and matures in March 2045.</w:t>
      </w:r>
    </w:p>
    <w:p>
      <w:pPr>
        <w:spacing w:after="0" w:line="17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Voluntary payments under the Credit Agreement are not subject to call premiums and are payable at par.</w:t>
      </w:r>
    </w:p>
    <w:p>
      <w:pPr>
        <w:spacing w:after="0" w:line="198"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1180" w:right="260" w:hanging="33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lease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1180" w:hanging="33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Beginning on June 28, 2020, the Company is required to prepay the Term Loan with excess cash flow, defined as cash on the balance sheet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1180" w:hanging="335"/>
        <w:spacing w:after="0" w:line="246"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13 and 26 weeks ended March 29, 2020, payments on the Term Loan totaled $0.</w:t>
      </w:r>
    </w:p>
    <w:p>
      <w:pPr>
        <w:spacing w:after="0" w:line="19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r>
        <w:rPr>
          <w:rFonts w:ascii="Arial" w:cs="Arial" w:eastAsia="Arial" w:hAnsi="Arial"/>
          <w:sz w:val="18"/>
          <w:szCs w:val="18"/>
          <w:b w:val="1"/>
          <w:bCs w:val="1"/>
          <w:color w:val="auto"/>
        </w:rPr>
        <w:t>.</w:t>
      </w:r>
    </w:p>
    <w:p>
      <w:pPr>
        <w:sectPr>
          <w:pgSz w:w="11900" w:h="16838" w:orient="portrait"/>
          <w:cols w:equalWidth="0" w:num="1">
            <w:col w:w="11320"/>
          </w:cols>
          <w:pgMar w:left="320" w:top="125" w:right="259" w:bottom="549"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549"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89"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 (ii) make certain investments, (iii) enter into mergers, acquisitions and asset sales, (iv) incur or create liens and (v) enter into transactions with certain affiliates. The Credit Agreement contains various representation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Term Loan is fully and unconditionally guaranteed on a joint and several first-priority basis by the Company's material domestic subsidiaries (excluding MNI and TNI, the “Subsidiary Guarantors”), pursuant to a Guarantee and Collateral agreement dated as of March 16, 2020 (the “Guarantee and Collateral Agreement”). The Term Loan and the subsidiary guarantees are secured, subject to certain exceptions, priorities and limitations, by perfected security interests in substantially all property and assets, including certain real estate, of the Company and the Subsidiary Guarantors.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Also, the Term Loan is secured, subject to certain exceptions, priorities and limitations in the various agreements, by first-priority security interests in the capital stock of, and other equity interests owned by, the Company and the Subsidiary Guarantors (excluding the capital stock of MNI and TNI).</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Pursuant to the terms of the Credit Agreement, our new debt does not include a revolver. As part of the Credit Agreement, by June 30, 2020 we are required to cash collateralize all letters of credit which were previously collateralized by a revolving credit facility.</w:t>
      </w:r>
    </w:p>
    <w:p>
      <w:pPr>
        <w:spacing w:after="0" w:line="183"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Including cash, our liquidity at March 29, 2020 totals $30,824,000. This liquidity amount excludes any future cash flows. We expect all interest and principal payments due in the next twelve months will be satisfied by existing cash and our cash flows, which will allow us to maintain an adequate level of liquidity. The Warrants, if and when exercised, would provide additional liquidity in an amount up to $25,140,000, which is not considered in the calculation of Excess Cash Flow.</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New Debt has only limited affirmative covenants with which we are required to maintain compliance and there are no leverage or financial performance covenants. We are in compliance with our debt covenants at March 29, 2020.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 -dilution provisions (the “Warrants”). The Warrants represent, when fully exercised, approximately 10.4% of shares of Common Stock outstanding at March 30, 2014 on a fully diluted basis. The exercise price of the Warrants is $4.19 per share.</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12.</w:t>
      </w:r>
    </w:p>
    <w:p>
      <w:pPr>
        <w:spacing w:after="0" w:line="18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0"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Effective September 30, 2019, the first day of fiscal year 2020, we adopted ASC 842 using the modified retrospective method as of the adoption date. As a result of electing the modified retrospective approach, we have not restated prior year financial statements to conform to the new guidance. Our operating lease portfolio primarily includes real estate, office equipment, and vehicles.</w:t>
      </w:r>
    </w:p>
    <w:p>
      <w:pPr>
        <w:spacing w:after="0" w:line="189"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(“BH Lease”). The Lease was signed and commenced on March 16, 2020. The BH Media Lease requires the Company to pay annual rent of $8,000,000, payable in equal monthly payments, as well as all operating costs relating to the properties (including maintenance, repairs, property taxes and insurance). Rent payments will be subject to a Rent Credit (as defined in the Lease) equal to 8.00% of the net consideration for any leased real estate sold by BH Media during the term of the Lease. In connection with the BH Lease, the Company recognized $56,226,000 and $56,226,000 in ROU assets and lease liabilities, respectively, as of March 16, 2020.</w:t>
      </w:r>
    </w:p>
    <w:p>
      <w:pPr>
        <w:spacing w:after="0" w:line="19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Total lease expense consists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0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 Weeks Ended</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March 29, 2020</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March 29, 2020</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20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1,742</w:t>
            </w:r>
          </w:p>
        </w:tc>
        <w:tc>
          <w:tcPr>
            <w:tcW w:w="16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2,711</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2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295</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w:t>
            </w:r>
          </w:p>
        </w:tc>
      </w:tr>
      <w:tr>
        <w:trPr>
          <w:trHeight w:val="203"/>
        </w:trPr>
        <w:tc>
          <w:tcPr>
            <w:tcW w:w="7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costs</w:t>
            </w:r>
          </w:p>
        </w:tc>
        <w:tc>
          <w:tcPr>
            <w:tcW w:w="20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266</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319</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2,303</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3,605</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99"/>
        </w:trPr>
        <w:tc>
          <w:tcPr>
            <w:tcW w:w="7040" w:type="dxa"/>
            <w:vAlign w:val="bottom"/>
          </w:tcPr>
          <w:p>
            <w:pPr>
              <w:spacing w:after="0"/>
              <w:rPr>
                <w:sz w:val="20"/>
                <w:szCs w:val="20"/>
                <w:color w:val="auto"/>
              </w:rPr>
            </w:pPr>
            <w:r>
              <w:rPr>
                <w:rFonts w:ascii="Arial" w:cs="Arial" w:eastAsia="Arial" w:hAnsi="Arial"/>
                <w:sz w:val="18"/>
                <w:szCs w:val="18"/>
                <w:color w:val="auto"/>
              </w:rPr>
              <w:t>Supplemental cash flow information related to our operating leases was as follows:</w:t>
            </w: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89"/>
        </w:trPr>
        <w:tc>
          <w:tcPr>
            <w:tcW w:w="70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96"/>
        </w:trPr>
        <w:tc>
          <w:tcPr>
            <w:tcW w:w="70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13 Weeks Ended</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 Weeks Ended</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March 29, 2020</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March 29, 2020</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0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Operating cash outflow from operating leases</w:t>
            </w:r>
          </w:p>
        </w:tc>
        <w:tc>
          <w:tcPr>
            <w:tcW w:w="20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2,375</w:t>
            </w: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3,266</w:t>
            </w: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As a result of the adoption of ASC 842, on September 30, 2019, we recorded operating lease right-of-use assets of $10,709,000, current portion of lease liabilities of $2,281,000, and long-term operating lease liabilities of $8,353,000 in a non-cash operating activity.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29, 2020, maturities of lease liabilities were as follows: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Borders>
              <w:top w:val="single" w:sz="8" w:color="auto"/>
              <w:bottom w:val="single" w:sz="8" w:color="auto"/>
            </w:tcBorders>
          </w:tcPr>
          <w:p>
            <w:pPr>
              <w:spacing w:after="0"/>
              <w:rPr>
                <w:sz w:val="19"/>
                <w:szCs w:val="19"/>
                <w:color w:val="auto"/>
              </w:rPr>
            </w:pPr>
          </w:p>
        </w:tc>
        <w:tc>
          <w:tcPr>
            <w:tcW w:w="4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w:t>
            </w:r>
          </w:p>
        </w:tc>
        <w:tc>
          <w:tcPr>
            <w:tcW w:w="4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March 29, 2020</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2020 (six months remaining)</w:t>
            </w:r>
          </w:p>
        </w:tc>
        <w:tc>
          <w:tcPr>
            <w:tcW w:w="4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7,048</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13,681</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11,413</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10,698</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10,218</w:t>
            </w:r>
          </w:p>
        </w:tc>
      </w:tr>
      <w:tr>
        <w:trPr>
          <w:trHeight w:val="216"/>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50,643</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Total lease payments</w:t>
            </w:r>
          </w:p>
        </w:tc>
        <w:tc>
          <w:tcPr>
            <w:tcW w:w="4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103,701</w:t>
            </w:r>
          </w:p>
        </w:tc>
      </w:tr>
      <w:tr>
        <w:trPr>
          <w:trHeight w:val="216"/>
        </w:trPr>
        <w:tc>
          <w:tcPr>
            <w:tcW w:w="5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interest</w:t>
            </w:r>
          </w:p>
        </w:tc>
        <w:tc>
          <w:tcPr>
            <w:tcW w:w="4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r>
      <w:tr>
        <w:trPr>
          <w:trHeight w:val="23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 value of lease liabilities</w:t>
            </w:r>
          </w:p>
        </w:tc>
        <w:tc>
          <w:tcPr>
            <w:tcW w:w="4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71,907</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As of the year ended September 29, 2019, minimum lease payments during the five years ending September 2024 and thereafter were $3,403,000, $2,290,000, $2,238,000, $1,637,000, $1,367,000 and $4,991,000, respectively.</w:t>
      </w:r>
    </w:p>
    <w:p>
      <w:pPr>
        <w:spacing w:after="0" w:line="183"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of the 5 year lease in a similar economic environment. This rate was reassessed as part of the Transactions and was utilized to re-measure the assumed lease liabilities as well as the BH Lease as of March 16, 2020. We will assess this rate annually to determine whether it needs to be updated. The weighted average revolving lease terms and discount rates for all of our operating leases were as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60" w:type="dxa"/>
            <w:vAlign w:val="bottom"/>
            <w:tcBorders>
              <w:top w:val="single" w:sz="8" w:color="auto"/>
              <w:bottom w:val="single" w:sz="8" w:color="auto"/>
            </w:tcBorders>
          </w:tcPr>
          <w:p>
            <w:pPr>
              <w:spacing w:after="0"/>
              <w:rPr>
                <w:sz w:val="18"/>
                <w:szCs w:val="18"/>
                <w:color w:val="auto"/>
              </w:rPr>
            </w:pPr>
          </w:p>
        </w:tc>
        <w:tc>
          <w:tcPr>
            <w:tcW w:w="4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 Weeks Ended</w:t>
            </w:r>
          </w:p>
        </w:tc>
      </w:tr>
      <w:tr>
        <w:trPr>
          <w:trHeight w:val="196"/>
        </w:trPr>
        <w:tc>
          <w:tcPr>
            <w:tcW w:w="646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March 29, 2020</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4200" w:type="dxa"/>
            <w:vAlign w:val="bottom"/>
            <w:shd w:val="clear" w:color="auto" w:fill="CCEEFF"/>
          </w:tcPr>
          <w:p>
            <w:pPr>
              <w:ind w:left="3680"/>
              <w:spacing w:after="0" w:line="196" w:lineRule="exact"/>
              <w:rPr>
                <w:sz w:val="20"/>
                <w:szCs w:val="20"/>
                <w:color w:val="auto"/>
              </w:rPr>
            </w:pPr>
            <w:r>
              <w:rPr>
                <w:rFonts w:ascii="Arial" w:cs="Arial" w:eastAsia="Arial" w:hAnsi="Arial"/>
                <w:sz w:val="18"/>
                <w:szCs w:val="18"/>
                <w:color w:val="auto"/>
              </w:rPr>
              <w:t>9.08</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4200" w:type="dxa"/>
            <w:vAlign w:val="bottom"/>
            <w:tcBorders>
              <w:bottom w:val="single" w:sz="8" w:color="auto"/>
            </w:tcBorders>
          </w:tcPr>
          <w:p>
            <w:pPr>
              <w:ind w:left="3680"/>
              <w:spacing w:after="0" w:line="202" w:lineRule="exact"/>
              <w:rPr>
                <w:sz w:val="20"/>
                <w:szCs w:val="20"/>
                <w:color w:val="auto"/>
              </w:rPr>
            </w:pPr>
            <w:r>
              <w:rPr>
                <w:rFonts w:ascii="Arial" w:cs="Arial" w:eastAsia="Arial" w:hAnsi="Arial"/>
                <w:sz w:val="18"/>
                <w:szCs w:val="18"/>
                <w:color w:val="auto"/>
                <w:w w:val="97"/>
              </w:rPr>
              <w:t>8.27%</w:t>
            </w: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With the exception of defined benefit plans acquired in the Transactions, effective in 2012,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As part of the Transactions, the Company assumed several non-contributory defined benefit pension plans that together cover selected employees. Benefits under the plans are generally based on salary and years of service. The liability and related expense for benefits under the plans are recorded over the service period of employees based upon annual actuarial calculations. Plan funding strategies are influenced by government regulations. Plan assets consist primarily of domestic corporate equity securities, government and corporate bonds, money markets and deposits with insurance companies. The amount of net pension obligations for those plans as of March 16, 2020, the initial measurement date, was $43,503,000. The total pension benefit recognized for the period between March 16, 2020 and March 29, 2020 was $86,000.</w:t>
      </w:r>
    </w:p>
    <w:p>
      <w:pPr>
        <w:spacing w:after="0" w:line="189"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Additionally, as part of the Transactions, the Company assumed certain unfunded postemployment benefit plans which provide coverage to retirees for portions of premiums associated with medical, dental, life, and vision insurance benefits in eight collective bargaining units. The amount of premiums paid in five bargaining units are capped at specific dollar amounts per month. The amount of premiums paid in three bargaining units are uncapped. The plan groups consist of capped retirees, uncapped retirees, capped active employees, and uncapped active employees. New participants in the uncapped plans are eligible for Medicare supplemental medical insurance. The total postemployment benefit obligation recognized for these plans as of March 16, 2020, the initial measurement date, was $36,800,000. The total postemployment benefit cost recognized for the period between March 16, 2020 and March 29, 2020 was $79,000.</w:t>
      </w:r>
    </w:p>
    <w:p>
      <w:pPr>
        <w:spacing w:after="0" w:line="194" w:lineRule="exact"/>
        <w:rPr>
          <w:rFonts w:ascii="Arial" w:cs="Arial" w:eastAsia="Arial" w:hAnsi="Arial"/>
          <w:sz w:val="18"/>
          <w:szCs w:val="18"/>
          <w:b w:val="1"/>
          <w:bCs w:val="1"/>
          <w:color w:val="auto"/>
        </w:rPr>
      </w:pPr>
    </w:p>
    <w:p>
      <w:pPr>
        <w:ind w:left="660" w:right="1900"/>
        <w:spacing w:after="0" w:line="497" w:lineRule="auto"/>
        <w:rPr>
          <w:rFonts w:ascii="Arial" w:cs="Arial" w:eastAsia="Arial" w:hAnsi="Arial"/>
          <w:sz w:val="18"/>
          <w:szCs w:val="18"/>
          <w:b w:val="1"/>
          <w:bCs w:val="1"/>
          <w:color w:val="auto"/>
        </w:rPr>
      </w:pPr>
      <w:r>
        <w:rPr>
          <w:rFonts w:ascii="Arial" w:cs="Arial" w:eastAsia="Arial" w:hAnsi="Arial"/>
          <w:sz w:val="17"/>
          <w:szCs w:val="17"/>
          <w:color w:val="auto"/>
        </w:rPr>
        <w:t>We use a fiscal year end measurement date for all of our pension and postretirement medical plan obligations. The net periodic pension and postretirement cost (benefit) components for our plans are as follows:</w:t>
      </w:r>
    </w:p>
    <w:tbl>
      <w:tblPr>
        <w:tblLayout w:type="fixed"/>
        <w:tblInd w:w="660" w:type="dxa"/>
        <w:tblCellMar>
          <w:top w:w="0" w:type="dxa"/>
          <w:left w:w="0" w:type="dxa"/>
          <w:bottom w:w="0" w:type="dxa"/>
          <w:right w:w="0" w:type="dxa"/>
        </w:tblCellMar>
      </w:tblPr>
      <w:tr>
        <w:trPr>
          <w:trHeight w:val="197"/>
        </w:trPr>
        <w:tc>
          <w:tcPr>
            <w:tcW w:w="4920" w:type="dxa"/>
            <w:vAlign w:val="bottom"/>
            <w:tcBorders>
              <w:top w:val="single" w:sz="8" w:color="auto"/>
              <w:bottom w:val="single" w:sz="8" w:color="auto"/>
            </w:tcBorders>
          </w:tcPr>
          <w:p>
            <w:pPr>
              <w:spacing w:after="0" w:line="197" w:lineRule="exact"/>
              <w:rPr>
                <w:sz w:val="20"/>
                <w:szCs w:val="20"/>
                <w:color w:val="auto"/>
              </w:rPr>
            </w:pPr>
            <w:r>
              <w:rPr>
                <w:rFonts w:ascii="Arial" w:cs="Arial" w:eastAsia="Arial" w:hAnsi="Arial"/>
                <w:sz w:val="18"/>
                <w:szCs w:val="18"/>
                <w:color w:val="auto"/>
              </w:rPr>
              <w:t>PENSION PLANS</w:t>
            </w:r>
          </w:p>
        </w:tc>
        <w:tc>
          <w:tcPr>
            <w:tcW w:w="3380" w:type="dxa"/>
            <w:vAlign w:val="bottom"/>
            <w:tcBorders>
              <w:top w:val="single" w:sz="8" w:color="auto"/>
              <w:bottom w:val="single" w:sz="8" w:color="auto"/>
            </w:tcBorders>
            <w:gridSpan w:val="2"/>
          </w:tcPr>
          <w:p>
            <w:pPr>
              <w:jc w:val="right"/>
              <w:ind w:right="190"/>
              <w:spacing w:after="0" w:line="197" w:lineRule="exact"/>
              <w:rPr>
                <w:sz w:val="20"/>
                <w:szCs w:val="20"/>
                <w:color w:val="auto"/>
              </w:rPr>
            </w:pPr>
            <w:r>
              <w:rPr>
                <w:rFonts w:ascii="Arial" w:cs="Arial" w:eastAsia="Arial" w:hAnsi="Arial"/>
                <w:sz w:val="18"/>
                <w:szCs w:val="18"/>
                <w:color w:val="auto"/>
              </w:rPr>
              <w:t>13 Weeks Ended</w:t>
            </w:r>
          </w:p>
        </w:tc>
        <w:tc>
          <w:tcPr>
            <w:tcW w:w="2360" w:type="dxa"/>
            <w:vAlign w:val="bottom"/>
            <w:tcBorders>
              <w:top w:val="single" w:sz="8" w:color="auto"/>
              <w:bottom w:val="single" w:sz="8" w:color="auto"/>
            </w:tcBorders>
            <w:gridSpan w:val="2"/>
          </w:tcPr>
          <w:p>
            <w:pPr>
              <w:jc w:val="right"/>
              <w:ind w:right="10"/>
              <w:spacing w:after="0" w:line="197"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1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29,</w:t>
            </w:r>
          </w:p>
        </w:tc>
        <w:tc>
          <w:tcPr>
            <w:tcW w:w="1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31,</w:t>
            </w:r>
          </w:p>
        </w:tc>
        <w:tc>
          <w:tcPr>
            <w:tcW w:w="12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1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103</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w:t>
            </w:r>
          </w:p>
        </w:tc>
        <w:tc>
          <w:tcPr>
            <w:tcW w:w="12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111</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1,420</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1,641</w:t>
            </w: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2,651</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1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(2,321)</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(2,018)</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(4,272)</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2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792</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284</w:t>
            </w: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1584</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1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(25)</w:t>
            </w:r>
          </w:p>
        </w:tc>
        <w:tc>
          <w:tcPr>
            <w:tcW w:w="12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21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12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(109)</w:t>
            </w:r>
          </w:p>
        </w:tc>
        <w:tc>
          <w:tcPr>
            <w:tcW w:w="12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70</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2"/>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2"/>
          </w:tcPr>
          <w:p>
            <w:pPr>
              <w:spacing w:after="0"/>
              <w:rPr>
                <w:sz w:val="15"/>
                <w:szCs w:val="15"/>
                <w:color w:val="auto"/>
              </w:rPr>
            </w:pPr>
          </w:p>
        </w:tc>
        <w:tc>
          <w:tcPr>
            <w:tcW w:w="236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80" w:type="dxa"/>
            <w:vAlign w:val="bottom"/>
            <w:tcBorders>
              <w:bottom w:val="single" w:sz="8" w:color="auto"/>
            </w:tcBorders>
            <w:gridSpan w:val="2"/>
          </w:tcPr>
          <w:p>
            <w:pPr>
              <w:jc w:val="right"/>
              <w:ind w:right="190"/>
              <w:spacing w:after="0" w:line="196" w:lineRule="exact"/>
              <w:rPr>
                <w:sz w:val="20"/>
                <w:szCs w:val="20"/>
                <w:color w:val="auto"/>
              </w:rPr>
            </w:pPr>
            <w:r>
              <w:rPr>
                <w:rFonts w:ascii="Arial" w:cs="Arial" w:eastAsia="Arial" w:hAnsi="Arial"/>
                <w:sz w:val="18"/>
                <w:szCs w:val="18"/>
                <w:color w:val="auto"/>
              </w:rPr>
              <w:t>13 Weeks Ended</w:t>
            </w:r>
          </w:p>
        </w:tc>
        <w:tc>
          <w:tcPr>
            <w:tcW w:w="23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1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29,</w:t>
            </w:r>
          </w:p>
        </w:tc>
        <w:tc>
          <w:tcPr>
            <w:tcW w:w="1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31,</w:t>
            </w:r>
          </w:p>
        </w:tc>
        <w:tc>
          <w:tcPr>
            <w:tcW w:w="12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1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36</w:t>
            </w:r>
          </w:p>
        </w:tc>
        <w:tc>
          <w:tcPr>
            <w:tcW w:w="1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36</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110</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103</w:t>
            </w: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1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(265)</w:t>
            </w:r>
          </w:p>
        </w:tc>
        <w:tc>
          <w:tcPr>
            <w:tcW w:w="12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(270)</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(530)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21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(186)</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(244)</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1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(161)</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(181)</w:t>
            </w:r>
          </w:p>
        </w:tc>
        <w:tc>
          <w:tcPr>
            <w:tcW w:w="12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(322)</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21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(466)</w:t>
            </w:r>
          </w:p>
        </w:tc>
        <w:tc>
          <w:tcPr>
            <w:tcW w:w="12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(592)</w:t>
            </w:r>
          </w:p>
        </w:tc>
        <w:tc>
          <w:tcPr>
            <w:tcW w:w="12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(1,011)</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100"/>
        <w:spacing w:after="0" w:line="238" w:lineRule="auto"/>
        <w:rPr>
          <w:sz w:val="20"/>
          <w:szCs w:val="20"/>
          <w:color w:val="auto"/>
        </w:rPr>
      </w:pPr>
      <w:r>
        <w:rPr>
          <w:rFonts w:ascii="Arial" w:cs="Arial" w:eastAsia="Arial" w:hAnsi="Arial"/>
          <w:sz w:val="18"/>
          <w:szCs w:val="18"/>
          <w:color w:val="auto"/>
        </w:rPr>
        <w:t>In the 26 weeks ended March 29, 2020 we did not contribute to our pension plans. Based on our forecast at March 29, 2020, we expected to make contributions of $6,720,000 to our pension trust during the remainder of fiscal 2020. However, the CARES Act allows the Company to defer pension contributions until January 1, 2021. As a result, we do not expect to make pension contributions for the remainder of fiscal 2020.</w:t>
      </w:r>
    </w:p>
    <w:p>
      <w:pPr>
        <w:sectPr>
          <w:pgSz w:w="11900" w:h="16838" w:orient="portrait"/>
          <w:cols w:equalWidth="0" w:num="1">
            <w:col w:w="11320"/>
          </w:cols>
          <w:pgMar w:left="320" w:top="125" w:right="259" w:bottom="1440" w:gutter="0" w:footer="0" w:header="0"/>
        </w:sectPr>
      </w:pP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The allocation of the purchase price is preliminary pending the finalization of the fair value of the acquired net assets and liabilities assumed, deferred income taxes, assumed income and non-income based tax liabilities and goodwill. These amounts are subject to adjustment as additional information is obtained within the measurement period (not to exceed 12 months from the acquisition date). As part of the Transactions, the Company also entered into the Credit Agreement and the BH Lease, as described above. The Company concluded that these agreements were not separate from the Transactions and evaluated these agreements for off-market terms and no such terms were identified. As such, the consideration for the acquisitions was limited to cash consideration, as shown below. The accounting for the Credit Agreement and the BH Lease are described in Notes 5 and 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preliminary determination of fair values of the assets and liabilities for the Transactions.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7722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96"/>
        </w:trPr>
        <w:tc>
          <w:tcPr>
            <w:tcW w:w="612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Cash and cash equivalents</w:t>
            </w:r>
          </w:p>
        </w:tc>
        <w:tc>
          <w:tcPr>
            <w:tcW w:w="346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22,293</w:t>
            </w:r>
          </w:p>
        </w:tc>
      </w:tr>
      <w:tr>
        <w:trPr>
          <w:trHeight w:val="203"/>
        </w:trPr>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rPr>
              <w:t>Current assets</w:t>
            </w:r>
          </w:p>
        </w:tc>
        <w:tc>
          <w:tcPr>
            <w:tcW w:w="346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52,559</w:t>
            </w:r>
          </w:p>
        </w:tc>
      </w:tr>
      <w:tr>
        <w:trPr>
          <w:trHeight w:val="203"/>
        </w:trPr>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assets</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12,167</w:t>
            </w:r>
          </w:p>
        </w:tc>
      </w:tr>
      <w:tr>
        <w:trPr>
          <w:trHeight w:val="203"/>
        </w:trPr>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rPr>
              <w:t>Property and equipment</w:t>
            </w:r>
          </w:p>
        </w:tc>
        <w:tc>
          <w:tcPr>
            <w:tcW w:w="346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42,952</w:t>
            </w:r>
          </w:p>
        </w:tc>
      </w:tr>
      <w:tr>
        <w:trPr>
          <w:trHeight w:val="203"/>
        </w:trPr>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assets</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7,445</w:t>
            </w:r>
          </w:p>
        </w:tc>
      </w:tr>
      <w:tr>
        <w:trPr>
          <w:trHeight w:val="203"/>
        </w:trPr>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rPr>
              <w:t>Advertiser relationships</w:t>
            </w:r>
          </w:p>
        </w:tc>
        <w:tc>
          <w:tcPr>
            <w:tcW w:w="346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38,780</w:t>
            </w:r>
          </w:p>
        </w:tc>
      </w:tr>
      <w:tr>
        <w:trPr>
          <w:trHeight w:val="203"/>
        </w:trPr>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Subscriber relationships</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36,060</w:t>
            </w:r>
          </w:p>
        </w:tc>
      </w:tr>
      <w:tr>
        <w:trPr>
          <w:trHeight w:val="203"/>
        </w:trPr>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rPr>
              <w:t>Commercial print relationships</w:t>
            </w:r>
          </w:p>
        </w:tc>
        <w:tc>
          <w:tcPr>
            <w:tcW w:w="346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17,130</w:t>
            </w:r>
          </w:p>
        </w:tc>
      </w:tr>
      <w:tr>
        <w:trPr>
          <w:trHeight w:val="203"/>
        </w:trPr>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21,680</w:t>
            </w:r>
          </w:p>
        </w:tc>
      </w:tr>
      <w:tr>
        <w:trPr>
          <w:trHeight w:val="203"/>
        </w:trPr>
        <w:tc>
          <w:tcPr>
            <w:tcW w:w="612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Goodwill</w:t>
            </w:r>
          </w:p>
        </w:tc>
        <w:tc>
          <w:tcPr>
            <w:tcW w:w="3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63,559</w:t>
            </w:r>
          </w:p>
        </w:tc>
      </w:tr>
      <w:tr>
        <w:trPr>
          <w:trHeight w:val="196"/>
        </w:trPr>
        <w:tc>
          <w:tcPr>
            <w:tcW w:w="6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3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314,625</w:t>
            </w:r>
          </w:p>
        </w:tc>
      </w:tr>
      <w:tr>
        <w:trPr>
          <w:trHeight w:val="196"/>
        </w:trPr>
        <w:tc>
          <w:tcPr>
            <w:tcW w:w="6120" w:type="dxa"/>
            <w:vAlign w:val="bottom"/>
          </w:tcPr>
          <w:p>
            <w:pPr>
              <w:ind w:left="160"/>
              <w:spacing w:after="0" w:line="196" w:lineRule="exact"/>
              <w:rPr>
                <w:sz w:val="20"/>
                <w:szCs w:val="20"/>
                <w:color w:val="auto"/>
              </w:rPr>
            </w:pPr>
            <w:r>
              <w:rPr>
                <w:rFonts w:ascii="Arial" w:cs="Arial" w:eastAsia="Arial" w:hAnsi="Arial"/>
                <w:sz w:val="18"/>
                <w:szCs w:val="18"/>
                <w:color w:val="auto"/>
              </w:rPr>
              <w:t>Current liabilities assumed</w:t>
            </w:r>
          </w:p>
        </w:tc>
        <w:tc>
          <w:tcPr>
            <w:tcW w:w="34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(73,451)</w:t>
            </w:r>
          </w:p>
        </w:tc>
      </w:tr>
      <w:tr>
        <w:trPr>
          <w:trHeight w:val="203"/>
        </w:trPr>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liabilities</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(6,625)</w:t>
            </w:r>
          </w:p>
        </w:tc>
      </w:tr>
      <w:tr>
        <w:trPr>
          <w:trHeight w:val="203"/>
        </w:trPr>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assumed</w:t>
            </w:r>
          </w:p>
        </w:tc>
        <w:tc>
          <w:tcPr>
            <w:tcW w:w="3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(2,246)</w:t>
            </w:r>
          </w:p>
        </w:tc>
      </w:tr>
      <w:tr>
        <w:trPr>
          <w:trHeight w:val="203"/>
        </w:trPr>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obligations</w:t>
            </w:r>
          </w:p>
        </w:tc>
        <w:tc>
          <w:tcPr>
            <w:tcW w:w="3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(43,503)</w:t>
            </w:r>
          </w:p>
        </w:tc>
      </w:tr>
      <w:tr>
        <w:trPr>
          <w:trHeight w:val="203"/>
        </w:trPr>
        <w:tc>
          <w:tcPr>
            <w:tcW w:w="612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Postemployment benefit obligations</w:t>
            </w:r>
          </w:p>
        </w:tc>
        <w:tc>
          <w:tcPr>
            <w:tcW w:w="3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(36,800)</w:t>
            </w:r>
          </w:p>
        </w:tc>
      </w:tr>
      <w:tr>
        <w:trPr>
          <w:trHeight w:val="196"/>
        </w:trPr>
        <w:tc>
          <w:tcPr>
            <w:tcW w:w="6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3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(162,625)</w:t>
            </w:r>
          </w:p>
        </w:tc>
      </w:tr>
      <w:tr>
        <w:trPr>
          <w:trHeight w:val="196"/>
        </w:trPr>
        <w:tc>
          <w:tcPr>
            <w:tcW w:w="6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w:t>
            </w:r>
          </w:p>
        </w:tc>
        <w:tc>
          <w:tcPr>
            <w:tcW w:w="3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152,000</w:t>
            </w:r>
          </w:p>
        </w:tc>
      </w:tr>
      <w:tr>
        <w:trPr>
          <w:trHeight w:val="196"/>
        </w:trPr>
        <w:tc>
          <w:tcPr>
            <w:tcW w:w="6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acquired cash</w:t>
            </w:r>
          </w:p>
        </w:tc>
        <w:tc>
          <w:tcPr>
            <w:tcW w:w="3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(22,293)</w:t>
            </w:r>
          </w:p>
        </w:tc>
      </w:tr>
      <w:tr>
        <w:trPr>
          <w:trHeight w:val="216"/>
        </w:trPr>
        <w:tc>
          <w:tcPr>
            <w:tcW w:w="6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consideration less acquired cash</w:t>
            </w:r>
          </w:p>
        </w:tc>
        <w:tc>
          <w:tcPr>
            <w:tcW w:w="34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129,707</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finalize our determination of fair values and liabilities by the end of fiscal year 2020.</w:t>
      </w:r>
    </w:p>
    <w:p>
      <w:pPr>
        <w:spacing w:after="0" w:line="185"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For the 13 weeks ended March 29, 2020, the revenue and net income included in the Consolidated Income Statement related to the acquirees was $14,648,000 and $1,013,000,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 Forma Information</w:t>
      </w:r>
    </w:p>
    <w:p>
      <w:pPr>
        <w:spacing w:after="0" w:line="193"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October 1, 2018, the first day of fiscal year 2019.</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Unaudited</w:t>
            </w: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0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13 Weeks Ended</w:t>
            </w:r>
          </w:p>
        </w:tc>
        <w:tc>
          <w:tcPr>
            <w:tcW w:w="236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203"/>
        </w:trPr>
        <w:tc>
          <w:tcPr>
            <w:tcW w:w="51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700" w:type="dxa"/>
            <w:vAlign w:val="bottom"/>
          </w:tcPr>
          <w:p>
            <w:pPr>
              <w:spacing w:after="0"/>
              <w:rPr>
                <w:sz w:val="17"/>
                <w:szCs w:val="17"/>
                <w:color w:val="auto"/>
              </w:rPr>
            </w:pP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March 29,</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March 31,</w:t>
            </w: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March 29,</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2019</w:t>
            </w:r>
          </w:p>
        </w:tc>
        <w:tc>
          <w:tcPr>
            <w:tcW w:w="12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207,329</w:t>
            </w:r>
          </w:p>
        </w:tc>
        <w:tc>
          <w:tcPr>
            <w:tcW w:w="13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230,323</w:t>
            </w:r>
          </w:p>
        </w:tc>
        <w:tc>
          <w:tcPr>
            <w:tcW w:w="124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442,025</w:t>
            </w:r>
          </w:p>
        </w:tc>
        <w:tc>
          <w:tcPr>
            <w:tcW w:w="11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494,072</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4,053</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(3,992)</w:t>
            </w: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20,608</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7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0.07</w:t>
            </w:r>
          </w:p>
        </w:tc>
        <w:tc>
          <w:tcPr>
            <w:tcW w:w="1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(0.07)</w:t>
            </w:r>
          </w:p>
        </w:tc>
        <w:tc>
          <w:tcPr>
            <w:tcW w:w="12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0.36</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Lease agreement entered into as part of the Transactions, the elimination of certain intercompany activity and the related tax effects of the adjustments.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only material, nonrecurring adjustments made relate to the write-off of previously unamortized debt-issuance costs as of October 1, 2018 which resulted in the following changes to net income:</w:t>
      </w:r>
    </w:p>
    <w:p>
      <w:pPr>
        <w:spacing w:after="0" w:line="183" w:lineRule="exact"/>
        <w:rPr>
          <w:sz w:val="20"/>
          <w:szCs w:val="20"/>
          <w:color w:val="auto"/>
        </w:rPr>
      </w:pPr>
    </w:p>
    <w:p>
      <w:pPr>
        <w:ind w:left="1080" w:hanging="20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$10,670,000 increase to net income for the 13 weeks ended March 29, 2020.</w:t>
      </w:r>
    </w:p>
    <w:p>
      <w:pPr>
        <w:spacing w:after="0" w:line="198" w:lineRule="exact"/>
        <w:rPr>
          <w:rFonts w:ascii="Arial" w:cs="Arial" w:eastAsia="Arial" w:hAnsi="Arial"/>
          <w:sz w:val="18"/>
          <w:szCs w:val="18"/>
          <w:color w:val="auto"/>
        </w:rPr>
      </w:pPr>
    </w:p>
    <w:p>
      <w:pPr>
        <w:ind w:left="1080" w:hanging="20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$962,000 increase to net income for the 13 weeks ended March 29, 2019.</w:t>
      </w:r>
    </w:p>
    <w:p>
      <w:pPr>
        <w:spacing w:after="0" w:line="198" w:lineRule="exact"/>
        <w:rPr>
          <w:rFonts w:ascii="Arial" w:cs="Arial" w:eastAsia="Arial" w:hAnsi="Arial"/>
          <w:sz w:val="18"/>
          <w:szCs w:val="18"/>
          <w:color w:val="auto"/>
        </w:rPr>
      </w:pPr>
    </w:p>
    <w:p>
      <w:pPr>
        <w:ind w:left="1080" w:hanging="20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$11,866,000 increase to net income for the 26 weeks ended March 29, 2020.</w:t>
      </w:r>
    </w:p>
    <w:p>
      <w:pPr>
        <w:spacing w:after="0" w:line="198" w:lineRule="exact"/>
        <w:rPr>
          <w:rFonts w:ascii="Arial" w:cs="Arial" w:eastAsia="Arial" w:hAnsi="Arial"/>
          <w:sz w:val="18"/>
          <w:szCs w:val="18"/>
          <w:color w:val="auto"/>
        </w:rPr>
      </w:pPr>
    </w:p>
    <w:p>
      <w:pPr>
        <w:ind w:left="1080" w:hanging="20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$15,614,000 decrease to net income for the 26 weeks ended March 29, 2019.</w:t>
      </w:r>
    </w:p>
    <w:p>
      <w:pPr>
        <w:sectPr>
          <w:pgSz w:w="11900" w:h="16838" w:orient="portrait"/>
          <w:cols w:equalWidth="0" w:num="1">
            <w:col w:w="11320"/>
          </w:cols>
          <w:pgMar w:left="320" w:top="125" w:right="259" w:bottom="779" w:gutter="0" w:footer="0" w:header="0"/>
        </w:sectPr>
      </w:pP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779"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benefit of $2,331,000 related to a loss before taxes of $7,321,000 for the 13 weeks ended March 29, 2020, and an income tax benefit of $460,000 related to income before taxes of $268,000 for the 26 weeks ended March 29, 2020. For the 13 weeks ended March 31, 2019, we recorded an income tax expense of $156,000 related to a loss before taxes of $2,171,000 and an income tax expense of $4,670,000 related to income of $13,062,000 for the 26 weeks ended March 31, 2019. The effective income tax rate for the 13 and 26 weeks ended March 29, 2020 was 31.8% and negative 171.6%, respectively. The effective income tax rate for the 13 and 26 weeks ended March 31, 2019 was negative 7.2% and 35.8%</w:t>
      </w:r>
    </w:p>
    <w:p>
      <w:pPr>
        <w:spacing w:after="0" w:line="191"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mark-to-market adjustments to value the Warrants and certain adjustments made to reflect the impact of the Transactions.</w:t>
      </w:r>
    </w:p>
    <w:p>
      <w:pPr>
        <w:spacing w:after="0" w:line="189"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CARES Act was enacted on March 27, 2020. The Company anticipates that it will realize benefits under the CARES Act related to payroll taxes, including deferrals of certain employer payroll tax payments in 2020 to the end of 2021 and 2022.</w:t>
      </w:r>
    </w:p>
    <w:p>
      <w:pPr>
        <w:spacing w:after="0" w:line="183"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tax examinations in progress. California is the only state with an income tax examination currently in progress. Our income tax returns have generally been audited or closed to audit through 2012. See Note 12 for a discussion of our tax audits.</w:t>
      </w:r>
    </w:p>
    <w:p>
      <w:pPr>
        <w:spacing w:after="0" w:line="191"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At September 29, 2019, we had approximately $63,048,000 of state net operating loss benefits. The Company consumed its federal net operating losses in the year ended September 30, 2018.</w:t>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13 Weeks Ended</w:t>
            </w:r>
          </w:p>
        </w:tc>
        <w:tc>
          <w:tcPr>
            <w:tcW w:w="23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3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17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29,</w:t>
            </w:r>
          </w:p>
        </w:tc>
        <w:tc>
          <w:tcPr>
            <w:tcW w:w="1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31,</w:t>
            </w:r>
          </w:p>
        </w:tc>
        <w:tc>
          <w:tcPr>
            <w:tcW w:w="12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March 29,</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(5,367)</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(2,678)</w:t>
            </w:r>
          </w:p>
        </w:tc>
        <w:tc>
          <w:tcPr>
            <w:tcW w:w="12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(46)</w:t>
            </w:r>
          </w:p>
        </w:tc>
        <w:tc>
          <w:tcPr>
            <w:tcW w:w="11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183"/>
        </w:trPr>
        <w:tc>
          <w:tcPr>
            <w:tcW w:w="532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70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58,136</w:t>
            </w:r>
          </w:p>
        </w:tc>
        <w:tc>
          <w:tcPr>
            <w:tcW w:w="128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57,703</w:t>
            </w:r>
          </w:p>
        </w:tc>
        <w:tc>
          <w:tcPr>
            <w:tcW w:w="1260" w:type="dxa"/>
            <w:vAlign w:val="bottom"/>
          </w:tcPr>
          <w:p>
            <w:pPr>
              <w:jc w:val="right"/>
              <w:ind w:right="150"/>
              <w:spacing w:after="0" w:line="183" w:lineRule="exact"/>
              <w:rPr>
                <w:sz w:val="20"/>
                <w:szCs w:val="20"/>
                <w:color w:val="auto"/>
              </w:rPr>
            </w:pPr>
            <w:r>
              <w:rPr>
                <w:rFonts w:ascii="Arial" w:cs="Arial" w:eastAsia="Arial" w:hAnsi="Arial"/>
                <w:sz w:val="18"/>
                <w:szCs w:val="18"/>
                <w:color w:val="auto"/>
              </w:rPr>
              <w:t>57,931</w:t>
            </w:r>
          </w:p>
        </w:tc>
        <w:tc>
          <w:tcPr>
            <w:tcW w:w="110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57,501</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7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(1,572)</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(2,095)</w:t>
            </w:r>
          </w:p>
        </w:tc>
        <w:tc>
          <w:tcPr>
            <w:tcW w:w="12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(1,515)</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7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56,564</w:t>
            </w:r>
          </w:p>
        </w:tc>
        <w:tc>
          <w:tcPr>
            <w:tcW w:w="12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55,608</w:t>
            </w:r>
          </w:p>
        </w:tc>
        <w:tc>
          <w:tcPr>
            <w:tcW w:w="12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56,416</w:t>
            </w: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55,404</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7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382</w:t>
            </w:r>
          </w:p>
        </w:tc>
        <w:tc>
          <w:tcPr>
            <w:tcW w:w="12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585</w:t>
            </w:r>
          </w:p>
        </w:tc>
        <w:tc>
          <w:tcPr>
            <w:tcW w:w="11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56,946</w:t>
            </w:r>
          </w:p>
        </w:tc>
        <w:tc>
          <w:tcPr>
            <w:tcW w:w="12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55,608</w:t>
            </w:r>
          </w:p>
        </w:tc>
        <w:tc>
          <w:tcPr>
            <w:tcW w:w="12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57,001</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56,691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7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(0.09)</w:t>
            </w: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(0.05)</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(0.00)</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7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(0.09)</w:t>
            </w:r>
          </w:p>
        </w:tc>
        <w:tc>
          <w:tcPr>
            <w:tcW w:w="1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(0.05)</w:t>
            </w:r>
          </w:p>
        </w:tc>
        <w:tc>
          <w:tcPr>
            <w:tcW w:w="12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(0.00)</w:t>
            </w:r>
          </w:p>
        </w:tc>
        <w:tc>
          <w:tcPr>
            <w:tcW w:w="11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For the 13 and 26 weeks ended March 29, 2020, 6,954,300 and 6,393,966 shares, respectively, were not considered in the computation of diluted earnings per common share because the exercise prices of the related stock options and Warrants were in excess of the fair market value of our Common Stock. For the 13 and 26 weeks ended March 31, 2019, 6,000,000 and 6,000,000 shares, respectively, were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26 weeks ended March 29, 2020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0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Weighted</w:t>
            </w:r>
          </w:p>
        </w:tc>
        <w:tc>
          <w:tcPr>
            <w:tcW w:w="1320" w:type="dxa"/>
            <w:vAlign w:val="bottom"/>
            <w:tcBorders>
              <w:top w:val="single" w:sz="8" w:color="auto"/>
            </w:tcBorders>
          </w:tcPr>
          <w:p>
            <w:pPr>
              <w:spacing w:after="0"/>
              <w:rPr>
                <w:sz w:val="18"/>
                <w:szCs w:val="18"/>
                <w:color w:val="auto"/>
              </w:rPr>
            </w:pPr>
          </w:p>
        </w:tc>
      </w:tr>
      <w:tr>
        <w:trPr>
          <w:trHeight w:val="203"/>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Average</w:t>
            </w:r>
          </w:p>
        </w:tc>
        <w:tc>
          <w:tcPr>
            <w:tcW w:w="1320" w:type="dxa"/>
            <w:vAlign w:val="bottom"/>
          </w:tcPr>
          <w:p>
            <w:pPr>
              <w:spacing w:after="0"/>
              <w:rPr>
                <w:sz w:val="17"/>
                <w:szCs w:val="17"/>
                <w:color w:val="auto"/>
              </w:rPr>
            </w:pPr>
          </w:p>
        </w:tc>
      </w:tr>
      <w:tr>
        <w:trPr>
          <w:trHeight w:val="202"/>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Remaining</w:t>
            </w:r>
          </w:p>
        </w:tc>
        <w:tc>
          <w:tcPr>
            <w:tcW w:w="132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Average</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Contractual</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4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Shares</w:t>
            </w:r>
          </w:p>
        </w:tc>
        <w:tc>
          <w:tcPr>
            <w:tcW w:w="14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Exercise Price</w:t>
            </w: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Term (Years)</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Intrinsic Value</w:t>
            </w:r>
          </w:p>
        </w:tc>
      </w:tr>
      <w:tr>
        <w:trPr>
          <w:trHeight w:val="196"/>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29, 2019</w:t>
            </w:r>
          </w:p>
        </w:tc>
        <w:tc>
          <w:tcPr>
            <w:tcW w:w="14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809</w:t>
            </w:r>
          </w:p>
        </w:tc>
        <w:tc>
          <w:tcPr>
            <w:tcW w:w="14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1.82</w:t>
            </w: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5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r>
      <w:tr>
        <w:trPr>
          <w:trHeight w:val="196"/>
        </w:trPr>
        <w:tc>
          <w:tcPr>
            <w:tcW w:w="5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March 29, 2020</w:t>
            </w: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809</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1.82</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36"/>
        </w:trPr>
        <w:tc>
          <w:tcPr>
            <w:tcW w:w="5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March 29, 2020</w:t>
            </w:r>
          </w:p>
        </w:tc>
        <w:tc>
          <w:tcPr>
            <w:tcW w:w="14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809</w:t>
            </w:r>
          </w:p>
        </w:tc>
        <w:tc>
          <w:tcPr>
            <w:tcW w:w="1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1.82</w:t>
            </w:r>
          </w:p>
        </w:tc>
        <w:tc>
          <w:tcPr>
            <w:tcW w:w="1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1.4</w:t>
            </w:r>
          </w:p>
        </w:tc>
        <w:tc>
          <w:tcPr>
            <w:tcW w:w="1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Common Stock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restricted Common Stock activity during the 26 weeks ended March 29, 2020:</w:t>
      </w:r>
    </w:p>
    <w:tbl>
      <w:tblPr>
        <w:tblLayout w:type="fixed"/>
        <w:tblInd w:w="660" w:type="dxa"/>
        <w:tblCellMar>
          <w:top w:w="0" w:type="dxa"/>
          <w:left w:w="0" w:type="dxa"/>
          <w:bottom w:w="0" w:type="dxa"/>
          <w:right w:w="0" w:type="dxa"/>
        </w:tblCellMar>
      </w:tblPr>
      <w:tr>
        <w:trPr>
          <w:trHeight w:val="195"/>
        </w:trPr>
        <w:tc>
          <w:tcPr>
            <w:tcW w:w="60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Weighted</w:t>
            </w:r>
          </w:p>
        </w:tc>
      </w:tr>
      <w:tr>
        <w:trPr>
          <w:trHeight w:val="203"/>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r>
      <w:tr>
        <w:trPr>
          <w:trHeight w:val="203"/>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Grant Date</w:t>
            </w:r>
          </w:p>
        </w:tc>
      </w:tr>
      <w:tr>
        <w:trPr>
          <w:trHeight w:val="203"/>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34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Shares</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Fair Value</w:t>
            </w:r>
          </w:p>
        </w:tc>
      </w:tr>
      <w:tr>
        <w:trPr>
          <w:trHeight w:val="196"/>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29, 2019</w:t>
            </w:r>
          </w:p>
        </w:tc>
        <w:tc>
          <w:tcPr>
            <w:tcW w:w="3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1,477</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2.49</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34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(601)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1.94</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3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720</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w:t>
            </w:r>
          </w:p>
        </w:tc>
      </w:tr>
      <w:tr>
        <w:trPr>
          <w:trHeight w:val="203"/>
        </w:trPr>
        <w:tc>
          <w:tcPr>
            <w:tcW w:w="6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34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(24)</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2.49</w:t>
            </w:r>
          </w:p>
        </w:tc>
      </w:tr>
      <w:tr>
        <w:trPr>
          <w:trHeight w:val="236"/>
        </w:trPr>
        <w:tc>
          <w:tcPr>
            <w:tcW w:w="6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March 29, 2020</w:t>
            </w:r>
          </w:p>
        </w:tc>
        <w:tc>
          <w:tcPr>
            <w:tcW w:w="34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1,572</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2.15</w:t>
            </w:r>
          </w:p>
        </w:tc>
      </w:tr>
    </w:tbl>
    <w:p>
      <w:pPr>
        <w:spacing w:after="0" w:line="202" w:lineRule="exact"/>
        <w:rPr>
          <w:sz w:val="20"/>
          <w:szCs w:val="20"/>
          <w:color w:val="auto"/>
        </w:rPr>
      </w:pPr>
    </w:p>
    <w:p>
      <w:pPr>
        <w:jc w:val="both"/>
        <w:ind w:left="660" w:right="10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March 29, 2020 is $1,764,000, which will be recognized over a weighted average period of 1.8 years.</w:t>
      </w:r>
    </w:p>
    <w:p>
      <w:pPr>
        <w:spacing w:after="0" w:line="200" w:lineRule="exact"/>
        <w:rPr>
          <w:sz w:val="20"/>
          <w:szCs w:val="20"/>
          <w:color w:val="auto"/>
        </w:rPr>
      </w:pP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ind w:left="1140" w:right="58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$6,068,000, including our 17% ownership of the non-voting common stock of TCT and a private equity investment, are carried at cost. As of March 29, 2020, based on the most recent data available, the approximate fair value of the private equity investment is $9,613,000 which is a level 3 fair value measurement. Fair value of the remaining investments approximates book value.</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Our fixed rate debt consists of $576,000,000 principal amount of the Term Loan recorded at carrying value, which approximates fair value. This represents a level 3 fair value measurement.</w:t>
      </w:r>
    </w:p>
    <w:p>
      <w:pPr>
        <w:spacing w:after="0" w:line="18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Warrants at March 29, 2020 and December 29, 2019 are $158,000 and $178,000,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CONTINGENT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9.</w:t>
      </w:r>
    </w:p>
    <w:p>
      <w:pPr>
        <w:spacing w:after="0" w:line="181"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(Loss) in the periods in which such matters are ultimately determined. We do not believe the final resolution of such matters will be material to our consolidated financial position or cash flows.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ectPr>
          <w:pgSz w:w="11900" w:h="16838" w:orient="portrait"/>
          <w:cols w:equalWidth="0" w:num="1">
            <w:col w:w="11320"/>
          </w:cols>
          <w:pgMar w:left="320" w:top="125" w:right="259" w:bottom="0"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We effectuated a total withdrawal from CWA/ITU plan in 2019. As a result, we are subject to a claim from the multiemployer pension plan for a withdrawal liability. The amount and timing of such liability will be dependent on actions taken, or not taken, by the Company and the pension plan, as well as the future investment performance, the funding status of the plan and the effect (if any) of the Transactions on the prior withdrawal liability. We have accrued a liability of $3,255,000 related to this withdrawal, as of March 29, 2020. The withdrawal liability determined to be due under this plan will be funded over a period of 20 years.</w:t>
      </w:r>
    </w:p>
    <w:p>
      <w:pPr>
        <w:spacing w:after="0" w:line="200" w:lineRule="exact"/>
        <w:rPr>
          <w:sz w:val="20"/>
          <w:szCs w:val="20"/>
          <w:color w:val="auto"/>
        </w:rPr>
      </w:pP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and 26 weeks ended March 29, 2020. This discussion should be read in conjunction with the Consolidated Financial Statements and related Notes thereto, included herein, and our 2019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report, we present Adjusted EBITDA, cash costs, and total operating revenue less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included herein, under the caption “Continuing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35" w:lineRule="auto"/>
        <w:rPr>
          <w:sz w:val="20"/>
          <w:szCs w:val="20"/>
          <w:color w:val="auto"/>
        </w:rPr>
      </w:pPr>
      <w:r>
        <w:rPr>
          <w:rFonts w:ascii="Arial" w:cs="Arial" w:eastAsia="Arial" w:hAnsi="Arial"/>
          <w:sz w:val="18"/>
          <w:szCs w:val="18"/>
          <w:color w:val="auto"/>
        </w:rPr>
        <w:t>GAAP measure: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Borders>
              <w:top w:val="single" w:sz="8" w:color="auto"/>
              <w:bottom w:val="single" w:sz="8" w:color="auto"/>
            </w:tcBorders>
          </w:tcPr>
          <w:p>
            <w:pPr>
              <w:spacing w:after="0"/>
              <w:rPr>
                <w:sz w:val="17"/>
                <w:szCs w:val="17"/>
                <w:color w:val="auto"/>
              </w:rPr>
            </w:pPr>
          </w:p>
        </w:tc>
        <w:tc>
          <w:tcPr>
            <w:tcW w:w="3600" w:type="dxa"/>
            <w:vAlign w:val="bottom"/>
            <w:tcBorders>
              <w:top w:val="single" w:sz="8" w:color="auto"/>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rPr>
              <w:t>13 Weeks Ended</w:t>
            </w:r>
          </w:p>
        </w:tc>
        <w:tc>
          <w:tcPr>
            <w:tcW w:w="224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4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3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March 29,</w:t>
            </w:r>
          </w:p>
        </w:tc>
        <w:tc>
          <w:tcPr>
            <w:tcW w:w="12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March 31,</w:t>
            </w:r>
          </w:p>
        </w:tc>
        <w:tc>
          <w:tcPr>
            <w:tcW w:w="12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March 29,</w:t>
            </w:r>
          </w:p>
        </w:tc>
        <w:tc>
          <w:tcPr>
            <w:tcW w:w="10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238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2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2019</w:t>
            </w:r>
          </w:p>
        </w:tc>
        <w:tc>
          <w:tcPr>
            <w:tcW w:w="12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2020</w:t>
            </w: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4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3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(4,990)</w:t>
            </w: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(2,327)</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728</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3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(2,331)</w:t>
            </w: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156</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(460)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21,108</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14,738</w:t>
            </w:r>
          </w:p>
        </w:tc>
        <w:tc>
          <w:tcPr>
            <w:tcW w:w="12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31,825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23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(1,362)</w:t>
            </w: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(1,717)</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(2,931)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(6,113)</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83</w:t>
            </w:r>
          </w:p>
        </w:tc>
        <w:tc>
          <w:tcPr>
            <w:tcW w:w="12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(5,299)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3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7,276</w:t>
            </w: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7,386</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13,995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1,925</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2,759</w:t>
            </w:r>
          </w:p>
        </w:tc>
        <w:tc>
          <w:tcPr>
            <w:tcW w:w="12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3,557</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3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269</w:t>
            </w: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426</w:t>
            </w:r>
          </w:p>
        </w:tc>
        <w:tc>
          <w:tcPr>
            <w:tcW w:w="12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571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3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1,591</w:t>
            </w:r>
          </w:p>
        </w:tc>
        <w:tc>
          <w:tcPr>
            <w:tcW w:w="12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2,080</w:t>
            </w:r>
          </w:p>
        </w:tc>
        <w:tc>
          <w:tcPr>
            <w:tcW w:w="12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3,509</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3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17,373</w:t>
            </w: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23,584</w:t>
            </w:r>
          </w:p>
        </w:tc>
        <w:tc>
          <w:tcPr>
            <w:tcW w:w="12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45,495</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59,728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2016, the FASB issued a new standard for the accounting treatment of leases, known as Accounting Standards Codification 842 (“ASC 842”). The new standard is based on the principle that entities should recognize assets and liabilities arising from leases. The new standard's primary change is the requirement for entities to recognize a lease liability for payments and a right-of-use (“ROU”) asset representing the right to use the leased asset during the term on most operating lease arrangements. We adopted the standard effective September 30, 2019, the first day of fiscal year 2020.</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an ROU asset or lease liability for these leases. Additional information and disclosures required by this new standard are contained in Note 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include the following:</w:t>
      </w:r>
    </w:p>
    <w:p>
      <w:pPr>
        <w:spacing w:after="0" w:line="194" w:lineRule="exact"/>
        <w:rPr>
          <w:sz w:val="20"/>
          <w:szCs w:val="20"/>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ind w:left="46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w:t>
      </w:r>
    </w:p>
    <w:p>
      <w:pPr>
        <w:ind w:left="46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 and</w:t>
      </w: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The Company prepared its initial estimates of the fair values of intangible assets utilizing the multi-period excess earnings method for customer-related amortizable intangible assets and the relief from royalty method for indefinite lived masthead assets. Examples of critical estimates in valuing certain of the intangible assets and goodwill we have acquired include but are not limited to:</w:t>
      </w:r>
    </w:p>
    <w:p>
      <w:pPr>
        <w:spacing w:after="0" w:line="191" w:lineRule="exact"/>
        <w:rPr>
          <w:sz w:val="20"/>
          <w:szCs w:val="20"/>
          <w:color w:val="auto"/>
        </w:rPr>
      </w:pPr>
    </w:p>
    <w:p>
      <w:pPr>
        <w:ind w:left="460" w:right="460" w:hanging="223"/>
        <w:spacing w:after="0" w:line="23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expected cash flows from subscription, advertising and commercial print relationships and related assumptions about future revenue growth and customer retention;</w:t>
      </w:r>
    </w:p>
    <w:p>
      <w:pPr>
        <w:spacing w:after="0" w:line="1" w:lineRule="exact"/>
        <w:rPr>
          <w:rFonts w:ascii="Arial" w:cs="Arial" w:eastAsia="Arial" w:hAnsi="Arial"/>
          <w:sz w:val="18"/>
          <w:szCs w:val="18"/>
          <w:color w:val="auto"/>
        </w:rPr>
      </w:pPr>
    </w:p>
    <w:p>
      <w:pPr>
        <w:ind w:left="460" w:hanging="223"/>
        <w:spacing w:after="0" w:line="23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rates; and</w:t>
      </w: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royalty rates used to value acquired mastheads.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 information regarding our accounting for business combinations can be found in Note 1. Additional information regarding all other critical accounting policies can be found under the caption “Management's Discussion and Analysis of Financial Condition and Results of Operations” in our 2019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w:t>
      </w:r>
    </w:p>
    <w:p>
      <w:pPr>
        <w:spacing w:after="0" w:line="16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On March 16, 2020, we completed the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nearly doubling the size of our operations. Currently, we operate 77 principally mid-sized local media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reach 72.5% of all adults in our larger markets through a combination of our print and digital content offerings.</w:t>
      </w:r>
    </w:p>
    <w:p>
      <w:pPr>
        <w:spacing w:after="0" w:line="198" w:lineRule="exact"/>
        <w:rPr>
          <w:sz w:val="20"/>
          <w:szCs w:val="20"/>
          <w:color w:val="auto"/>
        </w:rPr>
      </w:pPr>
    </w:p>
    <w:p>
      <w:pPr>
        <w:ind w:left="660" w:right="2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43 million unique visitors, excluding the acquisitions, in the month of March 2020 with 342 million page views and 107 million visits.</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printed newspapers, including the acquisitions, reach approximately 1.2 million households daily and approximately 1.6 million on Sunday, with estimated readership totaling three million. Digital only subscribers totaled approximately 200,000, with a 91.7% increase over the prior year at Legacy Lee.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2,000 other media organizations including broadcast.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 with Berkshire Hathaway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The Transactions were financed pursuant to a credit agreement dated as of January 29, 2020 between the Company and BH Finance LLC, a Delaware limited liability company affiliated with Berkshire (“Credit Agreement”). Our Consolidated Financial Statements show the combined results of the Company for the period of March 16, 2020 through and as of March 29, 2020.</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BHMG includes 30 daily newspapers and digital operations, in addition to 49 paid weekly newspapers with websites and 32 other print products. Buffalo News is a provider of local print and digital news to the Buffalo, NY area. Between July 2, 2018 and March 16, 2020, the</w:t>
      </w:r>
    </w:p>
    <w:p>
      <w:pPr>
        <w:sectPr>
          <w:pgSz w:w="11900" w:h="16838" w:orient="portrait"/>
          <w:cols w:equalWidth="0" w:num="1">
            <w:col w:w="11240"/>
          </w:cols>
          <w:pgMar w:left="320" w:top="125" w:right="339" w:bottom="0" w:gutter="0" w:footer="0" w:header="0"/>
        </w:sectPr>
      </w:pPr>
    </w:p>
    <w:bookmarkStart w:id="23" w:name="page24"/>
    <w:bookmarkEnd w:id="23"/>
    <w:p>
      <w:pPr>
        <w:jc w:val="both"/>
        <w:spacing w:after="0" w:line="245" w:lineRule="auto"/>
        <w:rPr>
          <w:sz w:val="20"/>
          <w:szCs w:val="20"/>
          <w:color w:val="auto"/>
        </w:rPr>
      </w:pPr>
      <w:r>
        <w:rPr>
          <w:rFonts w:ascii="Arial" w:cs="Arial" w:eastAsia="Arial" w:hAnsi="Arial"/>
          <w:sz w:val="18"/>
          <w:szCs w:val="18"/>
          <w:color w:val="auto"/>
        </w:rPr>
        <w:t>Company managed the BH Media Newspaper Business pursuant to a Management Agreement between BHMG and the Company dated June 26, 2018 (“Management Agreement”).</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represented $1,245,000 in fixed fees pro-rated under the contract and $4,180,000 in variable fees based upon the pro-rated annual target. The Company did not recognize a gain or loss as a result of the settlement of this preexisting relationship.</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(“BH Lease”). The BH Lease was signed and commenced on March 16, 2020. The BH Lease requires the Company to pay annual rent of $ 8 million,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 Media during the term of the BH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2020 to 2019 and will continue to affect period-over-period comparisons for future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98" w:lineRule="exact"/>
        <w:rPr>
          <w:sz w:val="20"/>
          <w:szCs w:val="20"/>
          <w:color w:val="auto"/>
        </w:rPr>
      </w:pPr>
    </w:p>
    <w:p>
      <w:pPr>
        <w:jc w:val="both"/>
        <w:ind w:left="460" w:hanging="223"/>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March 2020, we completed the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xml:space="preserve"> for a purchase price of $140,000,000. The acquisition was funded by the Term Loan, as part of a broader comprehensive refinancing of all of our then outstanding debt, as well as cash on the balance sheet.</w:t>
      </w:r>
    </w:p>
    <w:p>
      <w:pPr>
        <w:spacing w:after="0" w:line="163"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During 2020 prior to the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we disposed of substantially all of the assets of certain of our smaller properties, including four daily newspapers and related print and digital publications, for an aggregate sales price of $3,950,000.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operations have experienced lower revenue and profitability over the last several years and these trends are expected to continue in the future; however, the pandemic and government restrictions caused significant and immediate declines in demand for certain our products and services, and ultimately in advertising revenue.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currently expects that the COVID-19 pandemic will have a significant negative impact, in the near term, on the Company’s business and operations.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the Company has implemented, and continues to implement, measures to solidify our relationship with our local advertisers, reduce our cost structure and preserve liquidity. The Company believes these initiatives will allow us to meet our commitments; however, they may not be sufficient to fully offset the negative impact of the COVID-19 pandemic on the Company’s business and results of operations.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evaluated the current environment as of March 29, 2020 and have concluded that there is no event or circumstance that has occurred to trigger an impairment assessment of our long-lived or indefinite-lived assets. We will continue to monitor the environment to determine whether the impacts to the Company represent an event or change in circumstances that may trigger a need to reassess for useful life revision or impairment.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MARCH 29,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March 29,</w:t>
            </w:r>
          </w:p>
        </w:tc>
        <w:tc>
          <w:tcPr>
            <w:tcW w:w="14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15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2020</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15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60,945</w:t>
            </w:r>
          </w:p>
        </w:tc>
        <w:tc>
          <w:tcPr>
            <w:tcW w:w="14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62,934</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15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46,443</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45,076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203"/>
        </w:trPr>
        <w:tc>
          <w:tcPr>
            <w:tcW w:w="7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13,979</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14,694</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r>
      <w:tr>
        <w:trPr>
          <w:trHeight w:val="196"/>
        </w:trPr>
        <w:tc>
          <w:tcPr>
            <w:tcW w:w="7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15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121,367</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122,704</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15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48,691</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47,785</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5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4,321</w:t>
            </w:r>
          </w:p>
        </w:tc>
        <w:tc>
          <w:tcPr>
            <w:tcW w:w="14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5,825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w:t>
            </w:r>
          </w:p>
        </w:tc>
      </w:tr>
      <w:tr>
        <w:trPr>
          <w:trHeight w:val="203"/>
        </w:trPr>
        <w:tc>
          <w:tcPr>
            <w:tcW w:w="72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5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52,842</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48,016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10.1</w:t>
            </w:r>
          </w:p>
        </w:tc>
      </w:tr>
      <w:tr>
        <w:trPr>
          <w:trHeight w:val="196"/>
        </w:trPr>
        <w:tc>
          <w:tcPr>
            <w:tcW w:w="7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15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105,854</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101,626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4.2</w:t>
            </w:r>
          </w:p>
        </w:tc>
      </w:tr>
      <w:tr>
        <w:trPr>
          <w:trHeight w:val="196"/>
        </w:trPr>
        <w:tc>
          <w:tcPr>
            <w:tcW w:w="72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15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15,513</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21,078</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w:t>
            </w: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7,276</w:t>
            </w:r>
          </w:p>
        </w:tc>
        <w:tc>
          <w:tcPr>
            <w:tcW w:w="14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7,386</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(6,113)</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7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5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1,925</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2,759</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r>
      <w:tr>
        <w:trPr>
          <w:trHeight w:val="196"/>
        </w:trPr>
        <w:tc>
          <w:tcPr>
            <w:tcW w:w="7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5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108,942</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111,854</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9"/>
        </w:trPr>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 earnings of associated companies</w:t>
            </w:r>
          </w:p>
        </w:tc>
        <w:tc>
          <w:tcPr>
            <w:tcW w:w="15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1,362</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1,717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196"/>
        </w:trPr>
        <w:tc>
          <w:tcPr>
            <w:tcW w:w="7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5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13,787</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12,567</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9.7</w:t>
            </w: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(11,127)</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(12,140)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financing and administrative cost</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(10,670)</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(962)</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03"/>
        </w:trPr>
        <w:tc>
          <w:tcPr>
            <w:tcW w:w="72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689</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(1,636)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7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15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(21,108)</w:t>
            </w:r>
          </w:p>
        </w:tc>
        <w:tc>
          <w:tcPr>
            <w:tcW w:w="1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(14,738)</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43.2</w:t>
            </w:r>
          </w:p>
        </w:tc>
      </w:tr>
      <w:tr>
        <w:trPr>
          <w:trHeight w:val="196"/>
        </w:trPr>
        <w:tc>
          <w:tcPr>
            <w:tcW w:w="720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5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(7,321)</w:t>
            </w:r>
          </w:p>
        </w:tc>
        <w:tc>
          <w:tcPr>
            <w:tcW w:w="14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(2,171)</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72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(benefit) expense</w:t>
            </w:r>
          </w:p>
        </w:tc>
        <w:tc>
          <w:tcPr>
            <w:tcW w:w="15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(2,331)</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156</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72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5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(4,990)</w:t>
            </w:r>
          </w:p>
        </w:tc>
        <w:tc>
          <w:tcPr>
            <w:tcW w:w="14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(2,327)</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7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5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(377)</w:t>
            </w: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(351)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w:t>
            </w:r>
          </w:p>
        </w:tc>
      </w:tr>
      <w:tr>
        <w:trPr>
          <w:trHeight w:val="196"/>
        </w:trPr>
        <w:tc>
          <w:tcPr>
            <w:tcW w:w="7200" w:type="dxa"/>
            <w:vAlign w:val="bottom"/>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15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(5,367)</w:t>
            </w:r>
          </w:p>
        </w:tc>
        <w:tc>
          <w:tcPr>
            <w:tcW w:w="14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(2,678)</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7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5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316</w:t>
            </w:r>
          </w:p>
        </w:tc>
        <w:tc>
          <w:tcPr>
            <w:tcW w:w="14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(122)</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16"/>
        </w:trPr>
        <w:tc>
          <w:tcPr>
            <w:tcW w:w="7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15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(5,051)</w:t>
            </w:r>
          </w:p>
        </w:tc>
        <w:tc>
          <w:tcPr>
            <w:tcW w:w="1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(2,800)</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80.4</w:t>
            </w:r>
          </w:p>
        </w:tc>
      </w:tr>
      <w:tr>
        <w:trPr>
          <w:trHeight w:val="203"/>
        </w:trPr>
        <w:tc>
          <w:tcPr>
            <w:tcW w:w="7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(0.09)</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97.0</w:t>
            </w:r>
          </w:p>
        </w:tc>
      </w:tr>
      <w:tr>
        <w:trPr>
          <w:trHeight w:val="203"/>
        </w:trPr>
        <w:tc>
          <w:tcPr>
            <w:tcW w:w="72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5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(0.09)</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-4422775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the “2020 Quarter” refer to the 13 weeks ended March 29, 2020. Similarly, references to the “2019 Quarter” refer to the 13 weeks ended March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operating revenue was $121,367,000 in the 2020 Quarter, down $1,337,000, or 1.1%, which included $14,648,000 in revenue from the Transactions.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$60,945,000 in the 2020 Quarter, down 3.2% compared to the prior year. Print advertising revenues were $36,248,000 in the 2020 Quarter, down 6.7% compared to the prior year, with $5,388,000 attributable to acquired print advertising revenue. Digital advertising and marketing services totaled $24,697,000 in the 2020 Quarter, up 2.6% compared to the prior year, with $1,389,000 attributable to acquired digital advertising and marketing services revenue. Digital advertising and marketing services represented 40.5% of the 2020 Quarter total advertising and marketing services revenue. Decreases in revenue are attributed to reduced demand for print advertising, consistent with general industry trends adversely affecting the publishing industry, and negative impacts from the COVID-19 pandemic.</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$46,443,000 in the 2020 Quarter, up 3.0% compared to the 2019 Quarter. The increase is attributed to $6,564,000 of acquired subscription revenue and an increase in digital-only subscribers partially offset by lower print circulation units, consistent with industry trends and timing of price increases. As of March 29, 2020, we now have nearly 200,000 digital only subscribers.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which primarily consists of digital services revenue from TownNews, commercial printing revenue and until March 16, 2020, revenue from the Management Agreement, decreased $715,000, or 4.9%, in the 2020 Quarter compared to the 2019 Quarter. Other revenue in the 2020 Quarter included $1,307,000 of acquired other revenue, primarily from commercial printing. The decline in other revenue is primarily related to the reduction of Management Agreement revenue due to the Transactions.</w:t>
      </w:r>
    </w:p>
    <w:p>
      <w:pPr>
        <w:spacing w:after="0" w:line="19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Digital services revenue totaled $5,211,000 in the 2020 Quarter, a 9.8% increase compared to the 2019 Quarter. On a stand-alone basis, revenue at TownNews totaled $6,149,000, an increase of 11.1%. Investments in video and streaming technology expanded product offerings that helped gain market share in publishing and broadcast, and increased revenue.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Commercial printing revenue totaled $2,322,000 in the 2020 Quarter, a 19.9% increase compared to the 2019 Quarter, due to $846,000 of acquired commercial printing revenue offset by declines in volume from our partners, consistent with general industry trends.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Management Agreement revenue totaled $1,836,000 in the 2020 Quarter compared to $3,850,000 in the 2019 Quarter.</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$36,742,000 in the 2020 Quarter, an increase of 4.9% over the 2019 Quarter, and represented 30.3% of our total operating revenue in the 2020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$355,000 in the 2020 Quarter.</w:t>
      </w:r>
    </w:p>
    <w:p>
      <w:pPr>
        <w:sectPr>
          <w:pgSz w:w="11900" w:h="16838" w:orient="portrait"/>
          <w:cols w:equalWidth="0" w:num="1">
            <w:col w:w="11240"/>
          </w:cols>
          <w:pgMar w:left="320" w:top="125" w:right="339" w:bottom="0" w:gutter="0" w:footer="0" w:header="0"/>
        </w:sectPr>
      </w:pPr>
    </w:p>
    <w:bookmarkStart w:id="26" w:name="page27"/>
    <w:bookmarkEnd w:id="26"/>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$108,942,000, a 2.6% decrease compared to the 2019 Quarter, which included $13,351,000 in operating expenses from Transactions. Operating expenses include compensation expense, newsprint and ink, other operating expenses, depreciation, amortization, restructuring and other expenses, assets loss (gain) on sales, and impairments. Cash costs were $105,854,000, a 4.2% increase compared to the 2019 Quarter, which included $12,760,000 of acquired Cash Costs.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$906,000 in the 2020 Quarter, or 1.9%, compared to the 2019 Quarter. This increase was attributable to $6,578,000 of acquired compensation expense, partially offset by a 14.6% reduction in FTEs on a same property basis.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decreased $1,504,000 in the 2020 Quarter, or 25.8%, compared to the 2019 Quarter. The decrease is attributable to declines in newsprint volumes and prices, partially offset by $826,000 of acquired newsprint and ink expenses.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$4,826,000 in the 2020 Quarter, or 10.1%, compared to the 2019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$5,357,000 of acquired other operating expenses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$1,925,000 and $2,759,000 in the 2020 Quarter and 2019 Quarter, respectively. Restructuring costs in 2020 and 2019 are predominately severance.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$458,000, or 14.5%, and amortization expense increased $347,000, or 8.2%, in the 2020 Quarter.</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Assets loss (gain) on sales, impairments and other, was a net gain of $6,113,000 in the 2020 Quarter compared to a net expense of $83,000 in the 2019 Quarter. The gain in the 2020 Quarter was due to the disposition of non-core assets, including real estate.</w:t>
      </w:r>
    </w:p>
    <w:p>
      <w:pPr>
        <w:spacing w:after="0" w:line="183" w:lineRule="exact"/>
        <w:rPr>
          <w:sz w:val="20"/>
          <w:szCs w:val="20"/>
          <w:color w:val="auto"/>
        </w:rPr>
      </w:pPr>
    </w:p>
    <w:p>
      <w:pPr>
        <w:jc w:val="center"/>
        <w:ind w:right="380"/>
        <w:spacing w:after="0" w:line="469" w:lineRule="auto"/>
        <w:rPr>
          <w:sz w:val="20"/>
          <w:szCs w:val="20"/>
          <w:color w:val="auto"/>
        </w:rPr>
      </w:pPr>
      <w:r>
        <w:rPr>
          <w:rFonts w:ascii="Arial" w:cs="Arial" w:eastAsia="Arial" w:hAnsi="Arial"/>
          <w:sz w:val="18"/>
          <w:szCs w:val="18"/>
          <w:color w:val="auto"/>
        </w:rPr>
        <w:t xml:space="preserve">The factors noted above resulted in operating income of $13,787,000 in the 2020 Quarter compared to $12,567,000 in the 2019 Quarter. </w:t>
      </w:r>
      <w:r>
        <w:rPr>
          <w:rFonts w:ascii="Arial" w:cs="Arial" w:eastAsia="Arial" w:hAnsi="Arial"/>
          <w:sz w:val="18"/>
          <w:szCs w:val="18"/>
          <w:b w:val="1"/>
          <w:bCs w:val="1"/>
          <w:color w:val="auto"/>
        </w:rPr>
        <w:t>Non-operating Income and Expense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decreased $1,013,000, or 8.3%, to $11,127,000 in the 2020 Quarter. Our weighted average cost of debt, excluding amortization of debt financing costs, was 9.0% at the end of the 2020 Quarter and 10.0% at the end of the 2019 Quarter. The reduction of the weighted average cost of debt is due to the 2020 Refinancing.</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recognized $10,670,000 of debt financing and administrative expense in the 2020 Quarter compared to $962,000 in the 2019 Quarter. The increase in the 2020 Quarter is primarily driven by expensing previously unamortized financing costs of $9,583,000 and $470,000 of costs which were expensed as incurred as a result of the 2020 Refinancing.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$613,000 of periodic pension and other postretirement benefits in the 2020 Quarter and $710,000 in the 2019 Quarter. We recorded non-operating income of $20,000 in the 2020 Quarter and non-operating expenses of $2,753,000 in the 2019 Quarter, related to the changes in the value of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benefit of $2,331,000, or 31.8% of pretax loss in the 2020 Quarter. In the 2019 Quarter, we recognized an income tax expense of $156,000, or 7.2% of pretax loss.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loss was $4,990,000 and diluted loss per share was $0.09 for the 2020 Quarter compared to net loss of $2,327,000 and diluted loss per share of $0.05 for 2019 Quarter. The change reflects the various items discussed above.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WEEKS ENDED MARCH 29,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21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March 29,</w:t>
            </w:r>
          </w:p>
        </w:tc>
        <w:tc>
          <w:tcPr>
            <w:tcW w:w="16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March 31,</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2020</w:t>
            </w:r>
          </w:p>
        </w:tc>
        <w:tc>
          <w:tcPr>
            <w:tcW w:w="16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2019</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advertising and marketing services revenue</w:t>
            </w:r>
          </w:p>
        </w:tc>
        <w:tc>
          <w:tcPr>
            <w:tcW w:w="210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126,672</w:t>
            </w:r>
          </w:p>
        </w:tc>
        <w:tc>
          <w:tcPr>
            <w:tcW w:w="166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138,897</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21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88,138</w:t>
            </w:r>
          </w:p>
        </w:tc>
        <w:tc>
          <w:tcPr>
            <w:tcW w:w="16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91,345</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28,900</w:t>
            </w:r>
          </w:p>
        </w:tc>
        <w:tc>
          <w:tcPr>
            <w:tcW w:w="166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28,663</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2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243,710</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258,905</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21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91,934</w:t>
            </w:r>
          </w:p>
        </w:tc>
        <w:tc>
          <w:tcPr>
            <w:tcW w:w="16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94,824</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1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9,057</w:t>
            </w:r>
          </w:p>
        </w:tc>
        <w:tc>
          <w:tcPr>
            <w:tcW w:w="16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12,164</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1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101,304</w:t>
            </w:r>
          </w:p>
        </w:tc>
        <w:tc>
          <w:tcPr>
            <w:tcW w:w="16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97,758</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210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202,295</w:t>
            </w:r>
          </w:p>
        </w:tc>
        <w:tc>
          <w:tcPr>
            <w:tcW w:w="166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204,746</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2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41,415</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54,159</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10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13,995</w:t>
            </w:r>
          </w:p>
        </w:tc>
        <w:tc>
          <w:tcPr>
            <w:tcW w:w="166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14,916</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21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(5,299)</w:t>
            </w:r>
          </w:p>
        </w:tc>
        <w:tc>
          <w:tcPr>
            <w:tcW w:w="16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10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3,557</w:t>
            </w:r>
          </w:p>
        </w:tc>
        <w:tc>
          <w:tcPr>
            <w:tcW w:w="166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2,820</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2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214,548</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222,465</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210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2,931</w:t>
            </w:r>
          </w:p>
        </w:tc>
        <w:tc>
          <w:tcPr>
            <w:tcW w:w="166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3,846</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2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32,093</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40,286</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1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(22,242)</w:t>
            </w:r>
          </w:p>
        </w:tc>
        <w:tc>
          <w:tcPr>
            <w:tcW w:w="16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(24,397)</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21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(11,865)</w:t>
            </w:r>
          </w:p>
        </w:tc>
        <w:tc>
          <w:tcPr>
            <w:tcW w:w="16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(1,858)</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1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2,282</w:t>
            </w:r>
          </w:p>
        </w:tc>
        <w:tc>
          <w:tcPr>
            <w:tcW w:w="16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(969)</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1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(31,825)</w:t>
            </w:r>
          </w:p>
        </w:tc>
        <w:tc>
          <w:tcPr>
            <w:tcW w:w="166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(27,224)</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10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268</w:t>
            </w:r>
          </w:p>
        </w:tc>
        <w:tc>
          <w:tcPr>
            <w:tcW w:w="166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13,062</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(benefit) expense</w:t>
            </w:r>
          </w:p>
        </w:tc>
        <w:tc>
          <w:tcPr>
            <w:tcW w:w="21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(460)</w:t>
            </w:r>
          </w:p>
        </w:tc>
        <w:tc>
          <w:tcPr>
            <w:tcW w:w="166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4,670</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10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728</w:t>
            </w:r>
          </w:p>
        </w:tc>
        <w:tc>
          <w:tcPr>
            <w:tcW w:w="166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8,392</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1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(774)</w:t>
            </w:r>
          </w:p>
        </w:tc>
        <w:tc>
          <w:tcPr>
            <w:tcW w:w="16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(709)</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1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(46)</w:t>
            </w:r>
          </w:p>
        </w:tc>
        <w:tc>
          <w:tcPr>
            <w:tcW w:w="166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7,683</w:t>
            </w: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210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633</w:t>
            </w:r>
          </w:p>
        </w:tc>
        <w:tc>
          <w:tcPr>
            <w:tcW w:w="16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(244)</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6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587</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7,439</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2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1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0.00</w:t>
            </w:r>
          </w:p>
        </w:tc>
        <w:tc>
          <w:tcPr>
            <w:tcW w:w="16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0.14</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1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0.00</w:t>
            </w:r>
          </w:p>
        </w:tc>
        <w:tc>
          <w:tcPr>
            <w:tcW w:w="16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0.14</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the “2020 Period” refer to the 26 weeks ended March 29, 2020. Similarly, references to the “2019 Period” refer to the 26 weeks ended March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operating revenue was $243,710,000 in the 2020 Period, down $15,195,000, or 5.9%, compared to the prior year, which included $14,648,000 in revenue from acquisitions.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$126,672,000 in the 2020 Period, down 8.8% compared to the prior year. Print advertising revenues were $76,035,000 in the 2020 Period, down 14.9% compared to the prior year, with $5,387,000 attributable to acquired print advertising revenue. Digital advertising and marketing services totaled $50,637,000 in the 2020 Period, up 2.2% compared to the prior year, with $1,389,000 attributable to acquired digital advertising and marketing services revenue. Digital advertising and marketing services represented 40.0% of the 2020 Period total advertising and marketing services revenue. Decreases in revenue are attributed to reduced demand for print advertising, consistent with general industry trends adversely affecting the publishing industry, negative impacts from the COVID-19 pandemic and incremental advertising revenue in the 2019 Period from certain political campaigns.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$88,138,000 in the 2020 Period, down 3.5% compared to the 2019 period. The decrease is attributable to lower paid print circulation units, consistent with industry trends and timing of price increases, partially offset by $6,564,000 of acquired subscription revenue and an increase in digital only subscribers. As of March 29, 2020, we now have nearly 200,000 digital-only subscribers.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revenue, which primarily consists of digital services revenue from TownNews, commercial printing revenue and until March 16, 2020, revenue from the Management Agreement, totaled $28,900,000, a 0.8% increase compared to the 2019 Period. Other revenue in the 2020 Period includes $1,307,000 of acquired other revenue, primarily from commercial printing.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Digital services revenue totaled $10,429,000 in the 2020 Period, a 10.7% increase compared to the 2019 Period. On a stand-alone basis, revenue at TownNews totaled $12,330,000, an increase of 14.4%, and totaled $22,627,000 over the last twelve months. Investments in video and streaming technology expanded product offerings that helped gain market share in publishing and broadcast, and increased revenue.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Commercial printing revenue totaled $3,991,000 in the 2020 Period, a 9.6% decrease compared to the 2019 Period, due to declines in volume from our partners, consistent with general industry trends.</w:t>
      </w:r>
    </w:p>
    <w:p>
      <w:pPr>
        <w:sectPr>
          <w:pgSz w:w="11900" w:h="16838" w:orient="portrait"/>
          <w:cols w:equalWidth="0" w:num="1">
            <w:col w:w="11240"/>
          </w:cols>
          <w:pgMar w:left="320" w:top="125" w:right="339" w:bottom="792"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92"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Management Agreement revenue totaled $5,814,000 in the 2020 Period compared to $6,450,000 in the 2019 Period.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$73,909,000 in the 2020 Period, an increase of 3.3% over the 2019 Period. Total digital revenue represented 30.3% of our total operating revenue in the 2020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$915,000 in the 2020 Period.</w:t>
      </w:r>
    </w:p>
    <w:p>
      <w:pPr>
        <w:spacing w:after="0" w:line="17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$214,548,000, a 3.6% decrease compared to the 2019 Period, which included $13,351,000 in operating expenses from acquisitions. Operating expenses include compensation expense, newsprint and ink, other operating expenses, depreciation, amortization, restructuring and other expenses, assets loss (gain) on sales, and impairments. Cash Costs were $202,295,000, a 1.2% decrease compared to the 2019 Period, which included $12,760,000 of acquired Cash Costs.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decreased $2,890,000 in the 2020 Period, or 3.0%, compared to the 2019 Period. The decrease was attributable to a 12.2% reduction in FTEs on a same property basis, partially offset by $6,578,000 of acquired compensation expense.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decreased $3,107,000 in the 2020 Period, or 25.5%, compared to the 2019 Period. The decrease is attributable to declines in newsprint volumes and prices, partially offset by $826,000 of acquired newsprint and ink expenses.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$3,546,000 in the 2020 Period, or 3.6%, compared to the 2019 Period.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$5,357,000 of acquired other operating expenses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Restructuring costs and other totaled $3,557,000 and $2,820,000 in the 2020 Period and 2019 Period, respectively. Restructuring costs in 2020 and 2019 are predominately severance.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Depreciation decreased $1,055,000, or 16.6%, and amortization increased $134,000, or 1.6%, in the 2020 Period. Assets loss (gain) on sales, impairments and other, was a net gain of $5,299,000 in the 2020 Period compared to a net gain of $17,000 in the 2019 Period. The net gain in the 2020 was related to the disposition of non-core assets, including real estate.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$32,093,000 in the 2020 Period compared to $40,286,000 in the 2019 Period.</w:t>
      </w:r>
    </w:p>
    <w:p>
      <w:pPr>
        <w:spacing w:after="0" w:line="1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decreased $2,155,000, or 8.8%, to $22,242,000 in the 2020 Period. Our weighted average cost of debt, excluding amortization of debt financing costs, was 9.0% at the end of the 2020 Period and 10.0% at the end of the 2019 Period. The reduction of the weighted average cost of debt is due to the 2020 Refinancing.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recognized $11,865,000 of debt financing and administrative costs in the 2020 Period compared to $1,858,000 in the 2019 Period. The increase in the 2020 Period is primarily driven by expensing previously unamortized financing costs of $9,583,000 and $470,000 of expenses incurred as a result of the 2020 Refinancing.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$1,088,000 of periodic pension and other postretirement benefits in the 2020 Period and $1,420,000 in the 2019 Period. We recorded non-operating income of $1,037,000 in 2020 Period and $2,672,000 in the 2019 Period, related to the changes in the value of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benefit of $460,000, or 171.6% of pretax income in the 2020 Period. In the 2019 Quarter, we recognized an income tax expense of $4,670,000, or 35.8% of pretax income.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expects to realize a tax benefit attributable to the CARES Act legislation, which was enacted on March 27, 2020. The CARES Act permits the Company to defer certain employer payroll tax payments in 2020 to the end of 2021 and 2022. The Company intends to use this deferral, and is anticipating additional guidance from the Treasury and the Internal Revenue Service to determine whether additional tax benefits are available from this legislation.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income was $728,000 and diluted earnings per share was $0.00 for the 2020 Period compared to net income of $8,392,000 million and income per diluted common share of $0.14 for 2019 Period. The change reflects the various items discussed above.</w:t>
      </w:r>
    </w:p>
    <w:p>
      <w:pPr>
        <w:sectPr>
          <w:pgSz w:w="11900" w:h="16838" w:orient="portrait"/>
          <w:cols w:equalWidth="0" w:num="1">
            <w:col w:w="11240"/>
          </w:cols>
          <w:pgMar w:left="320" w:top="125"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was $10,698,000 in the 2020 Period compared to $27,833,000 in the 2019 Period. Net income for the 2020 Period totaled $728,000 compared to $8,392,000 in the 2019 Period. The decrease in cash provided by operating activities in the 2020 Period is mainly attributed to year-over-year changes in operating income as well as changes in working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required for investing activities totaled $119,711,000 in the 2020 Period compared to $7,538,000 in the 2019 Period. Acquisition spending totaled $5,708,000 in the 2019 Period. We spent $130,985,000 on acquisitions, net of cash, in the 2020 Quarter, primarily related to the acquisition of BHMG and the Buffalo News. Capital spending totaled $5,809,000 in the 2020 Period compared to $2,459,000 in the 2019 Quarter. Cash proceeds from asset sales totaled $17,637,000 in the 2020 Period compared to $770,000 in the 2019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financing activities totaled $131,192,000 in the 2020 period compared to cash required for financing activities of $9,010,000 in the 2019 Period. Proceeds from the 2020 Refinancing totaled $576,000,000 in the 2020 Period. Debt reduction accounted for the majority of the remaining usage of funds in both the 2020 Period and the 2019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March 2020, in connection with the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completed a comprehensive refinancing of its debt, which consists of a 25-year term loan with BH Finance in an aggregate principal amount of $576,000,000. The Term Loan, which matures March 16, 2045, bears interest at an annual rate of 9.0%.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tbl>
      <w:tblPr>
        <w:tblLayout w:type="fixed"/>
        <w:tblInd w:w="0" w:type="dxa"/>
        <w:tblCellMar>
          <w:top w:w="0" w:type="dxa"/>
          <w:left w:w="0" w:type="dxa"/>
          <w:bottom w:w="0" w:type="dxa"/>
          <w:right w:w="0" w:type="dxa"/>
        </w:tblCellMar>
      </w:tblPr>
      <w:tr>
        <w:trPr>
          <w:trHeight w:val="195"/>
        </w:trPr>
        <w:tc>
          <w:tcPr>
            <w:tcW w:w="52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02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March 29,</w:t>
            </w:r>
          </w:p>
        </w:tc>
        <w:tc>
          <w:tcPr>
            <w:tcW w:w="176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September 29,</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vMerge w:val="continue"/>
          </w:tcPr>
          <w:p>
            <w:pPr>
              <w:spacing w:after="0"/>
              <w:rPr>
                <w:sz w:val="17"/>
                <w:szCs w:val="17"/>
                <w:color w:val="auto"/>
              </w:rPr>
            </w:pPr>
          </w:p>
        </w:tc>
        <w:tc>
          <w:tcPr>
            <w:tcW w:w="30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398"/>
        </w:trPr>
        <w:tc>
          <w:tcPr>
            <w:tcW w:w="5280" w:type="dxa"/>
            <w:vAlign w:val="bottom"/>
          </w:tcPr>
          <w:p>
            <w:pPr>
              <w:spacing w:after="0"/>
              <w:rPr>
                <w:sz w:val="20"/>
                <w:szCs w:val="20"/>
                <w:color w:val="auto"/>
              </w:rPr>
            </w:pPr>
            <w:r>
              <w:rPr>
                <w:rFonts w:ascii="Arial" w:cs="Arial" w:eastAsia="Arial" w:hAnsi="Arial"/>
                <w:sz w:val="18"/>
                <w:szCs w:val="18"/>
                <w:color w:val="auto"/>
              </w:rPr>
              <w:t>Term Loan</w:t>
            </w:r>
          </w:p>
        </w:tc>
        <w:tc>
          <w:tcPr>
            <w:tcW w:w="3020" w:type="dxa"/>
            <w:vAlign w:val="bottom"/>
          </w:tcPr>
          <w:p>
            <w:pPr>
              <w:jc w:val="right"/>
              <w:ind w:right="110"/>
              <w:spacing w:after="0"/>
              <w:rPr>
                <w:sz w:val="20"/>
                <w:szCs w:val="20"/>
                <w:color w:val="auto"/>
              </w:rPr>
            </w:pPr>
            <w:r>
              <w:rPr>
                <w:rFonts w:ascii="Arial" w:cs="Arial" w:eastAsia="Arial" w:hAnsi="Arial"/>
                <w:sz w:val="18"/>
                <w:szCs w:val="18"/>
                <w:color w:val="auto"/>
              </w:rPr>
              <w:t>576,000</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Facility</w:t>
            </w:r>
          </w:p>
        </w:tc>
        <w:tc>
          <w:tcPr>
            <w:tcW w:w="30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Notes</w:t>
            </w:r>
          </w:p>
        </w:tc>
        <w:tc>
          <w:tcPr>
            <w:tcW w:w="3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363,420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2nd Lien Term Loan</w:t>
            </w:r>
          </w:p>
        </w:tc>
        <w:tc>
          <w:tcPr>
            <w:tcW w:w="30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80,207</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30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576,000</w:t>
            </w:r>
          </w:p>
        </w:tc>
        <w:tc>
          <w:tcPr>
            <w:tcW w:w="17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443,627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30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(11,282)</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0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2,954</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30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576,000</w:t>
            </w:r>
          </w:p>
        </w:tc>
        <w:tc>
          <w:tcPr>
            <w:tcW w:w="17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429,391</w:t>
            </w: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Excluding payments required from the Company’s future excess cash flow (as defined in the Credit Agreement), the only required principal payments include payments from net cash proceeds from asset sales (as defined in the Credit Agreement) and payments upon certain instances of change in control. There are no other scheduled mandatory principal payments required under the Credit Agreement.</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 There are no financial performance covenants under our Credit Agreement.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the Term Loan, the Company incurred $470,000 of fees and expenses that were expensed in the 13 weeks ended March 29,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closing of the transactions, we no longer have access to a Revolving Facility.</w:t>
      </w:r>
    </w:p>
    <w:p>
      <w:pPr>
        <w:spacing w:after="0" w:line="17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Additional Information on Liquidity</w:t>
      </w:r>
    </w:p>
    <w:p>
      <w:pPr>
        <w:spacing w:after="0" w:line="200" w:lineRule="exact"/>
        <w:rPr>
          <w:sz w:val="20"/>
          <w:szCs w:val="20"/>
          <w:color w:val="auto"/>
        </w:rPr>
      </w:pP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evaluate the effects of the COVID-19 pandemic on our results of operations and cash flows. To combat the negative impacts, we have taken significant and immediate action to manage cash flow by implementing various initiatives including reductions in force, compensation reductions, furloughs, and reductions in capital investments. We are also working with our large vendors to evaluate the amount and timing of significant expenses.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part of the Company’s effort to preserve liquidity, we plan to defer remittance of our FICA taxes, and defer required pension contributions, as allowed by the CARES Act.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we currently forecast sufficient near-term liquidity, the ultimate impact of the COVID-19 pandemic could have a material impact on the Company's liquidity and its ability to meet its ongoing obligations.</w:t>
      </w:r>
    </w:p>
    <w:p>
      <w:pPr>
        <w:sectPr>
          <w:pgSz w:w="11900" w:h="16838" w:orient="portrait"/>
          <w:cols w:equalWidth="0" w:num="1">
            <w:col w:w="11240"/>
          </w:cols>
          <w:pgMar w:left="320" w:top="125" w:right="339" w:bottom="954"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54"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2012, the Surface Transportation Extension Act of 2012 (“STEA”) was signed into law. STEA provides for changes in the determination of discount rates that result in a near-term reduction in minimum funding requirements for our defined benefit pension plans. STEA will also result in an increase in future premiums to be paid to the Pension Benefit Guarantee Corporation (“PBGC”).</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2014, the Highway and Transportation Funding Act (“HATFA”) was signed into law. HATFA generally extends the relief offered under STEA and further increases premiums to be paid to the PBGC.</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March 2020, the CARES Act was enacted into law. Among other provisions, the CARES Act allows the Company to defer required pension contributions until January 1,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In March 2020, the CARES Act was enacted into law. Among other provisions, the CARES Act allows the Company to defer payments of the employer’s share of social taxes which shall be paid between December 31, 2021 and December 31, 2022. The CARES Act also provides for an Employee Retention Credit of up to $5,000 per eligible employee which can be applied to the employer’s share of payroll taxes. The Company has elected to defer the employer’s share of social security tax payments and is currently determining the applicability of the Employee Retention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At March 29, 2020, we had no floating debt outstanding.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Newsprint prices decreased during the 2020 Quarter as a result of declining domestic and export demand.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$536,000 annualized based on anticipated consumption in 2020,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fixed rate debt consists of $576,000,000 principal amount of the Term Loan recorded at carrying value, which approximates fair value.</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have not been considered in our assessment over internal control over financial reporting. Other than the Transactions, there have been no changes in our internal control over financial reporting that occurred during the 13 weeks ended March 29, 2020 that have materially affected, or are reasonably likely to materially affect, our internal control over financial reporting.</w:t>
      </w:r>
    </w:p>
    <w:p>
      <w:pPr>
        <w:sectPr>
          <w:pgSz w:w="11900" w:h="16838" w:orient="portrait"/>
          <w:cols w:equalWidth="0" w:num="1">
            <w:col w:w="11240"/>
          </w:cols>
          <w:pgMar w:left="320" w:top="125" w:right="339" w:bottom="914"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14"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2019 Form 10-K.</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5.A</w:t>
      </w:r>
      <w:r>
        <w:rPr>
          <w:sz w:val="20"/>
          <w:szCs w:val="20"/>
          <w:color w:val="auto"/>
        </w:rPr>
        <w:tab/>
      </w:r>
      <w:r>
        <w:rPr>
          <w:rFonts w:ascii="Arial" w:cs="Arial" w:eastAsia="Arial" w:hAnsi="Arial"/>
          <w:sz w:val="17"/>
          <w:szCs w:val="17"/>
          <w:b w:val="1"/>
          <w:bCs w:val="1"/>
          <w:color w:val="auto"/>
        </w:rPr>
        <w:t>Other Information - Compensatory Arrangements of Certain Officers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21, 2020, the Company filed a Form 8-K Current Report disclosing the shareholder approval of the merger of the Company's amended and restated 1996 Stock Plan for Non-Employee Directors into and the amendment of the Company’s amended and restated 1990 Long-Term Incentive Plan (as amended and restated, the “2020 Plan”). This disclosure provides additional information pursuant to item 5.02(e) which is required for material amendments to compensatory arrangements of certain officers. This disclosure incorporates, by reference, the Company's 2020 Proxy Statement, which includes the 2020 Plan as an appendix to the filing.</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Description</w:t>
            </w:r>
          </w:p>
        </w:tc>
        <w:tc>
          <w:tcPr>
            <w:tcW w:w="920" w:type="dxa"/>
            <w:vAlign w:val="bottom"/>
            <w:tcBorders>
              <w:bottom w:val="single" w:sz="8" w:color="auto"/>
            </w:tcBorders>
          </w:tcPr>
          <w:p>
            <w:pPr>
              <w:spacing w:after="0"/>
              <w:rPr>
                <w:sz w:val="18"/>
                <w:szCs w:val="18"/>
                <w:color w:val="auto"/>
              </w:rPr>
            </w:pPr>
          </w:p>
        </w:tc>
      </w:tr>
      <w:tr>
        <w:trPr>
          <w:trHeight w:val="398"/>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620" w:type="dxa"/>
            <w:vAlign w:val="bottom"/>
            <w:gridSpan w:val="2"/>
          </w:tcPr>
          <w:p>
            <w:pPr>
              <w:jc w:val="right"/>
              <w:ind w:right="200"/>
              <w:spacing w:after="0"/>
              <w:rPr>
                <w:rFonts w:ascii="Arial" w:cs="Arial" w:eastAsia="Arial" w:hAnsi="Arial"/>
                <w:sz w:val="18"/>
                <w:szCs w:val="18"/>
                <w:u w:val="single" w:color="auto"/>
                <w:color w:val="3498DB"/>
              </w:rPr>
            </w:pPr>
            <w:hyperlink w:anchor="page35">
              <w:r>
                <w:rPr>
                  <w:rFonts w:ascii="Arial" w:cs="Arial" w:eastAsia="Arial" w:hAnsi="Arial"/>
                  <w:sz w:val="18"/>
                  <w:szCs w:val="18"/>
                  <w:u w:val="single" w:color="auto"/>
                  <w:color w:val="3498DB"/>
                </w:rPr>
                <w:t>Rule 13a-14(a) Certification of Chief Executive Officer</w:t>
              </w:r>
            </w:hyperlink>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202"/>
        </w:trPr>
        <w:tc>
          <w:tcPr>
            <w:tcW w:w="112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620" w:type="dxa"/>
            <w:vAlign w:val="bottom"/>
            <w:gridSpan w:val="2"/>
          </w:tcPr>
          <w:p>
            <w:pPr>
              <w:jc w:val="right"/>
              <w:ind w:right="200"/>
              <w:spacing w:after="0" w:line="202" w:lineRule="exact"/>
              <w:rPr>
                <w:rFonts w:ascii="Arial" w:cs="Arial" w:eastAsia="Arial" w:hAnsi="Arial"/>
                <w:sz w:val="18"/>
                <w:szCs w:val="18"/>
                <w:u w:val="single" w:color="auto"/>
                <w:color w:val="3498DB"/>
              </w:rPr>
            </w:pPr>
            <w:hyperlink w:anchor="page36">
              <w:r>
                <w:rPr>
                  <w:rFonts w:ascii="Arial" w:cs="Arial" w:eastAsia="Arial" w:hAnsi="Arial"/>
                  <w:sz w:val="18"/>
                  <w:szCs w:val="18"/>
                  <w:u w:val="single" w:color="auto"/>
                  <w:color w:val="3498DB"/>
                </w:rPr>
                <w:t>Rule 13a-14(a) Certification of Chief Financial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32.1</w:t>
            </w:r>
          </w:p>
        </w:tc>
        <w:tc>
          <w:tcPr>
            <w:tcW w:w="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620" w:type="dxa"/>
            <w:vAlign w:val="bottom"/>
            <w:gridSpan w:val="2"/>
          </w:tcPr>
          <w:p>
            <w:pPr>
              <w:jc w:val="right"/>
              <w:ind w:right="200"/>
              <w:spacing w:after="0" w:line="202" w:lineRule="exact"/>
              <w:rPr>
                <w:rFonts w:ascii="Arial" w:cs="Arial" w:eastAsia="Arial" w:hAnsi="Arial"/>
                <w:sz w:val="18"/>
                <w:szCs w:val="18"/>
                <w:u w:val="single" w:color="auto"/>
                <w:color w:val="3498DB"/>
              </w:rPr>
            </w:pPr>
            <w:hyperlink w:anchor="page37">
              <w:r>
                <w:rPr>
                  <w:rFonts w:ascii="Arial" w:cs="Arial" w:eastAsia="Arial" w:hAnsi="Arial"/>
                  <w:sz w:val="18"/>
                  <w:szCs w:val="18"/>
                  <w:u w:val="single" w:color="auto"/>
                  <w:color w:val="3498DB"/>
                </w:rPr>
                <w:t>Section 1350 Certification of Chief Executive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32.2</w:t>
            </w:r>
          </w:p>
        </w:tc>
        <w:tc>
          <w:tcPr>
            <w:tcW w:w="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620" w:type="dxa"/>
            <w:vAlign w:val="bottom"/>
            <w:gridSpan w:val="2"/>
          </w:tcPr>
          <w:p>
            <w:pPr>
              <w:jc w:val="right"/>
              <w:ind w:right="200"/>
              <w:spacing w:after="0" w:line="202" w:lineRule="exact"/>
              <w:rPr>
                <w:rFonts w:ascii="Arial" w:cs="Arial" w:eastAsia="Arial" w:hAnsi="Arial"/>
                <w:sz w:val="18"/>
                <w:szCs w:val="18"/>
                <w:u w:val="single" w:color="auto"/>
                <w:color w:val="3498DB"/>
              </w:rPr>
            </w:pPr>
            <w:hyperlink w:anchor="page38">
              <w:r>
                <w:rPr>
                  <w:rFonts w:ascii="Arial" w:cs="Arial" w:eastAsia="Arial" w:hAnsi="Arial"/>
                  <w:sz w:val="18"/>
                  <w:szCs w:val="18"/>
                  <w:u w:val="single" w:color="auto"/>
                  <w:color w:val="3498DB"/>
                </w:rPr>
                <w:t>Section 1350 Certification of Chief Financial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10.1 +*</w:t>
            </w:r>
          </w:p>
        </w:tc>
        <w:tc>
          <w:tcPr>
            <w:tcW w:w="480" w:type="dxa"/>
            <w:vAlign w:val="bottom"/>
          </w:tcPr>
          <w:p>
            <w:pPr>
              <w:spacing w:after="0"/>
              <w:rPr>
                <w:sz w:val="15"/>
                <w:szCs w:val="15"/>
                <w:color w:val="auto"/>
              </w:rPr>
            </w:pPr>
          </w:p>
        </w:tc>
        <w:tc>
          <w:tcPr>
            <w:tcW w:w="8520" w:type="dxa"/>
            <w:vAlign w:val="bottom"/>
            <w:tcBorders>
              <w:bottom w:val="single" w:sz="8" w:color="3498DB"/>
            </w:tcBorders>
            <w:gridSpan w:val="2"/>
          </w:tcPr>
          <w:p>
            <w:pPr>
              <w:jc w:val="right"/>
              <w:spacing w:after="0" w:line="176" w:lineRule="exact"/>
              <w:rPr>
                <w:rFonts w:ascii="Arial" w:cs="Arial" w:eastAsia="Arial" w:hAnsi="Arial"/>
                <w:sz w:val="18"/>
                <w:szCs w:val="18"/>
                <w:color w:val="3498DB"/>
                <w:w w:val="99"/>
              </w:rPr>
            </w:pPr>
            <w:hyperlink r:id="rId42">
              <w:r>
                <w:rPr>
                  <w:rFonts w:ascii="Arial" w:cs="Arial" w:eastAsia="Arial" w:hAnsi="Arial"/>
                  <w:sz w:val="18"/>
                  <w:szCs w:val="18"/>
                  <w:color w:val="3498DB"/>
                  <w:w w:val="99"/>
                </w:rPr>
                <w:t>Lee Enterprises, Incorporated 2020 Long-Term Incentive Plan (Effective February 19, 2020) (Appendix B to</w:t>
              </w:r>
            </w:hyperlink>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720" w:type="dxa"/>
            <w:vAlign w:val="bottom"/>
            <w:gridSpan w:val="3"/>
          </w:tcPr>
          <w:p>
            <w:pPr>
              <w:jc w:val="right"/>
              <w:ind w:right="200"/>
              <w:spacing w:after="0" w:line="182" w:lineRule="exact"/>
              <w:rPr>
                <w:rFonts w:ascii="Arial" w:cs="Arial" w:eastAsia="Arial" w:hAnsi="Arial"/>
                <w:sz w:val="18"/>
                <w:szCs w:val="18"/>
                <w:color w:val="3498DB"/>
              </w:rPr>
            </w:pPr>
            <w:hyperlink r:id="rId42">
              <w:r>
                <w:rPr>
                  <w:rFonts w:ascii="Arial" w:cs="Arial" w:eastAsia="Arial" w:hAnsi="Arial"/>
                  <w:sz w:val="18"/>
                  <w:szCs w:val="18"/>
                  <w:color w:val="3498DB"/>
                </w:rPr>
                <w:t>Schedule 14A Definitive Proxy Statement filed on January 13, 2020)</w:t>
              </w:r>
            </w:hyperlink>
          </w:p>
        </w:tc>
        <w:tc>
          <w:tcPr>
            <w:tcW w:w="920" w:type="dxa"/>
            <w:vAlign w:val="bottom"/>
          </w:tcPr>
          <w:p>
            <w:pPr>
              <w:spacing w:after="0"/>
              <w:rPr>
                <w:sz w:val="15"/>
                <w:szCs w:val="15"/>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5420" w:type="dxa"/>
            <w:vAlign w:val="bottom"/>
            <w:tcBorders>
              <w:top w:val="single" w:sz="8" w:color="3498DB"/>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9000" w:type="dxa"/>
            <w:vAlign w:val="bottom"/>
            <w:gridSpan w:val="3"/>
          </w:tcPr>
          <w:p>
            <w:pPr>
              <w:jc w:val="right"/>
              <w:ind w:right="431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left="280"/>
        <w:spacing w:after="0"/>
        <w:tabs>
          <w:tab w:leader="none" w:pos="980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7"/>
          <w:szCs w:val="17"/>
          <w:color w:val="auto"/>
        </w:rPr>
        <w:t>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3223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Timothy R. Millage</w:t>
      </w:r>
    </w:p>
    <w:p>
      <w:pPr>
        <w:ind w:left="28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18" w:right="339" w:bottom="1440" w:gutter="0" w:footer="0" w:header="0"/>
        </w:sectPr>
      </w:pPr>
    </w:p>
    <w:bookmarkStart w:id="36" w:name="page37"/>
    <w:bookmarkEnd w:id="36"/>
    <w:p>
      <w:pPr>
        <w:ind w:left="10240"/>
        <w:spacing w:after="0"/>
        <w:rPr>
          <w:sz w:val="20"/>
          <w:szCs w:val="20"/>
          <w:color w:val="auto"/>
        </w:rPr>
      </w:pPr>
      <w:r>
        <w:rPr>
          <w:rFonts w:ascii="Arial" w:cs="Arial" w:eastAsia="Arial" w:hAnsi="Arial"/>
          <w:sz w:val="17"/>
          <w:szCs w:val="17"/>
          <w:b w:val="1"/>
          <w:bCs w:val="1"/>
          <w:color w:val="auto"/>
        </w:rPr>
        <w:t>Exhibit 32.1</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200" w:lineRule="exact"/>
        <w:rPr>
          <w:sz w:val="20"/>
          <w:szCs w:val="20"/>
          <w:color w:val="auto"/>
        </w:rPr>
      </w:pPr>
    </w:p>
    <w:p>
      <w:pPr>
        <w:spacing w:after="0" w:line="388" w:lineRule="exact"/>
        <w:rPr>
          <w:sz w:val="20"/>
          <w:szCs w:val="20"/>
          <w:color w:val="auto"/>
        </w:rPr>
      </w:pPr>
    </w:p>
    <w:p>
      <w:pPr>
        <w:ind w:left="920" w:right="20" w:hanging="912"/>
        <w:spacing w:after="0" w:line="246"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29, 2020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8" w:right="339" w:bottom="1440" w:gutter="0" w:footer="0" w:header="0"/>
        </w:sectPr>
      </w:pPr>
    </w:p>
    <w:bookmarkStart w:id="37" w:name="page38"/>
    <w:bookmarkEnd w:id="37"/>
    <w:p>
      <w:pPr>
        <w:ind w:left="10240"/>
        <w:spacing w:after="0"/>
        <w:rPr>
          <w:sz w:val="20"/>
          <w:szCs w:val="20"/>
          <w:color w:val="auto"/>
        </w:rPr>
      </w:pPr>
      <w:r>
        <w:rPr>
          <w:rFonts w:ascii="Arial" w:cs="Arial" w:eastAsia="Arial" w:hAnsi="Arial"/>
          <w:sz w:val="17"/>
          <w:szCs w:val="17"/>
          <w:b w:val="1"/>
          <w:bCs w:val="1"/>
          <w:color w:val="auto"/>
        </w:rPr>
        <w:t>Exhibit 32.2</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200" w:lineRule="exact"/>
        <w:rPr>
          <w:sz w:val="20"/>
          <w:szCs w:val="20"/>
          <w:color w:val="auto"/>
        </w:rPr>
      </w:pPr>
    </w:p>
    <w:p>
      <w:pPr>
        <w:spacing w:after="0" w:line="388" w:lineRule="exact"/>
        <w:rPr>
          <w:sz w:val="20"/>
          <w:szCs w:val="20"/>
          <w:color w:val="auto"/>
        </w:rPr>
      </w:pPr>
    </w:p>
    <w:p>
      <w:pPr>
        <w:ind w:left="920" w:right="20" w:hanging="912"/>
        <w:spacing w:after="0" w:line="246"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29, 2020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3"/>
      <w:numFmt w:val="bullet"/>
      <w:start w:val="1"/>
    </w:lvl>
  </w:abstractNum>
  <w:abstractNum w:abstractNumId="6">
    <w:nsid w:val="257130A3"/>
    <w:multiLevelType w:val="hybridMultilevel"/>
    <w:lvl w:ilvl="0">
      <w:lvlJc w:val="left"/>
      <w:lvlText w:val="4"/>
      <w:numFmt w:val="bullet"/>
      <w:start w:val="1"/>
    </w:lvl>
  </w:abstractNum>
  <w:abstractNum w:abstractNumId="7">
    <w:nsid w:val="62BBD95A"/>
    <w:multiLevelType w:val="hybridMultilevel"/>
    <w:lvl w:ilvl="0">
      <w:lvlJc w:val="left"/>
      <w:lvlText w:val="5"/>
      <w:numFmt w:val="bullet"/>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6"/>
      <w:numFmt w:val="bullet"/>
      <w:start w:val="1"/>
    </w:lvl>
  </w:abstractNum>
  <w:abstractNum w:abstractNumId="10">
    <w:nsid w:val="333AB105"/>
    <w:multiLevelType w:val="hybridMultilevel"/>
    <w:lvl w:ilvl="0">
      <w:lvlJc w:val="left"/>
      <w:lvlText w:val="7"/>
      <w:numFmt w:val="bullet"/>
      <w:start w:val="1"/>
    </w:lvl>
  </w:abstractNum>
  <w:abstractNum w:abstractNumId="11">
    <w:nsid w:val="721DA317"/>
    <w:multiLevelType w:val="hybridMultilevel"/>
    <w:lvl w:ilvl="0">
      <w:lvlJc w:val="left"/>
      <w:lvlText w:val="8"/>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9"/>
      <w:numFmt w:val="bullet"/>
      <w:start w:val="1"/>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2"/>
      <w:numFmt w:val="bullet"/>
      <w:start w:val="1"/>
    </w:lvl>
  </w:abstractNum>
  <w:abstractNum w:abstractNumId="22">
    <w:nsid w:val="71F32454"/>
    <w:multiLevelType w:val="hybridMultilevel"/>
    <w:lvl w:ilvl="0">
      <w:lvlJc w:val="left"/>
      <w:lvlText w:val="3"/>
      <w:numFmt w:val="bullet"/>
      <w:start w:val="1"/>
    </w:lvl>
  </w:abstractNum>
  <w:abstractNum w:abstractNumId="23">
    <w:nsid w:val="2CA88611"/>
    <w:multiLevelType w:val="hybridMultilevel"/>
    <w:lvl w:ilvl="0">
      <w:lvlJc w:val="left"/>
      <w:lvlText w:val="4"/>
      <w:numFmt w:val="bullet"/>
      <w:start w:val="1"/>
    </w:lvl>
    <w:lvl w:ilvl="1">
      <w:lvlJc w:val="left"/>
      <w:lvlText w:val="%2)"/>
      <w:numFmt w:val="lowerLetter"/>
      <w:start w:val="1"/>
    </w:lvl>
  </w:abstractNum>
  <w:abstractNum w:abstractNumId="24">
    <w:nsid w:val="836C40E"/>
    <w:multiLevelType w:val="hybridMultilevel"/>
    <w:lvl w:ilvl="0">
      <w:lvlJc w:val="left"/>
      <w:lvlText w:val="5"/>
      <w:numFmt w:val="bullet"/>
      <w:start w:val="1"/>
    </w:lvl>
    <w:lvl w:ilvl="1">
      <w:lvlJc w:val="left"/>
      <w:lvlText w:val="%2)"/>
      <w:numFmt w:val="lowerLetter"/>
      <w:start w:val="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2"/>
      <w:numFmt w:val="bullet"/>
      <w:start w:val="1"/>
    </w:lvl>
  </w:abstractNum>
  <w:abstractNum w:abstractNumId="27">
    <w:nsid w:val="8138641"/>
    <w:multiLevelType w:val="hybridMultilevel"/>
    <w:lvl w:ilvl="0">
      <w:lvlJc w:val="left"/>
      <w:lvlText w:val="3"/>
      <w:numFmt w:val="bullet"/>
      <w:start w:val="1"/>
    </w:lvl>
  </w:abstractNum>
  <w:abstractNum w:abstractNumId="28">
    <w:nsid w:val="1E7FF521"/>
    <w:multiLevelType w:val="hybridMultilevel"/>
    <w:lvl w:ilvl="0">
      <w:lvlJc w:val="left"/>
      <w:lvlText w:val="4"/>
      <w:numFmt w:val="bullet"/>
      <w:start w:val="1"/>
    </w:lvl>
    <w:lvl w:ilvl="1">
      <w:lvlJc w:val="left"/>
      <w:lvlText w:val="%2)"/>
      <w:numFmt w:val="lowerLetter"/>
      <w:start w:val="1"/>
    </w:lvl>
  </w:abstractNum>
  <w:abstractNum w:abstractNumId="29">
    <w:nsid w:val="7C3DBD3D"/>
    <w:multiLevelType w:val="hybridMultilevel"/>
    <w:lvl w:ilvl="0">
      <w:lvlJc w:val="left"/>
      <w:lvlText w:val="5"/>
      <w:numFmt w:val="bullet"/>
      <w:start w:val="1"/>
    </w:lvl>
    <w:lvl w:ilvl="1">
      <w:lvlJc w:val="left"/>
      <w:lvlText w:val="%2)"/>
      <w:numFmt w:val="lowerLetter"/>
      <w:start w:val="1"/>
    </w:lvl>
  </w:abstractNum>
  <w:abstractNum w:abstractNumId="30">
    <w:nsid w:val="737B8DDC"/>
    <w:multiLevelType w:val="hybridMultilevel"/>
    <w:lvl w:ilvl="0">
      <w:lvlJc w:val="left"/>
      <w:lvlText w:val="(%1)"/>
      <w:numFmt w:val="lowerRoman"/>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2" Type="http://schemas.openxmlformats.org/officeDocument/2006/relationships/hyperlink" Target="http://www.sec.gov/Archives/edgar/data/58361/000143774920000470/lee20191216b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2020-06-22T10:52:51Z</dcterms:created>
  <dcterms:modified xsi:type="dcterms:W3CDTF">2020-06-22T10:52:51Z</dcterms:modified>
</cp:coreProperties>
</file>