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9" w:lineRule="exact"/>
        <w:rPr>
          <w:sz w:val="24"/>
          <w:szCs w:val="24"/>
          <w:color w:val="auto"/>
        </w:rPr>
      </w:pPr>
    </w:p>
    <w:p>
      <w:pPr>
        <w:jc w:val="center"/>
        <w:ind w:right="-19"/>
        <w:spacing w:after="0"/>
        <w:rPr>
          <w:sz w:val="20"/>
          <w:szCs w:val="20"/>
          <w:color w:val="auto"/>
        </w:rPr>
      </w:pPr>
      <w:r>
        <w:rPr>
          <w:rFonts w:ascii="Wingdings" w:cs="Wingdings" w:eastAsia="Wingdings" w:hAnsi="Wingdings"/>
          <w:sz w:val="17"/>
          <w:szCs w:val="17"/>
          <w:b w:val="1"/>
          <w:bCs w:val="1"/>
          <w:color w:val="auto"/>
        </w:rPr>
        <w:t xml:space="preserve">x </w:t>
      </w:r>
      <w:r>
        <w:rPr>
          <w:rFonts w:ascii="Arial" w:cs="Arial" w:eastAsia="Arial" w:hAnsi="Arial"/>
          <w:sz w:val="17"/>
          <w:szCs w:val="17"/>
          <w:color w:val="auto"/>
        </w:rPr>
        <w:t>QUARTERLY REPORT PURSUANT TO SECTION 13 OR 15(d) OF THE</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99"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For The Quarterly Period Ended December 25, 2022</w:t>
      </w:r>
    </w:p>
    <w:p>
      <w:pPr>
        <w:spacing w:after="0" w:line="117" w:lineRule="exact"/>
        <w:rPr>
          <w:sz w:val="24"/>
          <w:szCs w:val="24"/>
          <w:color w:val="auto"/>
        </w:rPr>
      </w:pPr>
    </w:p>
    <w:p>
      <w:pPr>
        <w:ind w:left="5480"/>
        <w:spacing w:after="0"/>
        <w:rPr>
          <w:sz w:val="20"/>
          <w:szCs w:val="20"/>
          <w:color w:val="auto"/>
        </w:rPr>
      </w:pPr>
      <w:r>
        <w:rPr>
          <w:rFonts w:ascii="Arial" w:cs="Arial" w:eastAsia="Arial" w:hAnsi="Arial"/>
          <w:sz w:val="18"/>
          <w:szCs w:val="18"/>
          <w:color w:val="auto"/>
        </w:rPr>
        <w:t>OR</w:t>
      </w:r>
    </w:p>
    <w:p>
      <w:pPr>
        <w:spacing w:after="0" w:line="117" w:lineRule="exact"/>
        <w:rPr>
          <w:sz w:val="24"/>
          <w:szCs w:val="24"/>
          <w:color w:val="auto"/>
        </w:rPr>
      </w:pPr>
    </w:p>
    <w:p>
      <w:pPr>
        <w:ind w:left="2600"/>
        <w:spacing w:after="0"/>
        <w:rPr>
          <w:sz w:val="20"/>
          <w:szCs w:val="20"/>
          <w:color w:val="auto"/>
        </w:rPr>
      </w:pPr>
      <w:r>
        <w:rPr>
          <w:rFonts w:ascii="Wingdings" w:cs="Wingdings" w:eastAsia="Wingdings" w:hAnsi="Wingdings"/>
          <w:sz w:val="17"/>
          <w:szCs w:val="17"/>
          <w:b w:val="1"/>
          <w:bCs w:val="1"/>
          <w:color w:val="auto"/>
        </w:rPr>
        <w:t xml:space="preserve">o </w:t>
      </w:r>
      <w:r>
        <w:rPr>
          <w:rFonts w:ascii="Arial" w:cs="Arial" w:eastAsia="Arial" w:hAnsi="Arial"/>
          <w:sz w:val="17"/>
          <w:szCs w:val="17"/>
          <w:color w:val="auto"/>
        </w:rPr>
        <w:t>TRANSITION REPORT PURSUANT TO SECTION 13 OR 15(d) OF THE</w:t>
      </w:r>
    </w:p>
    <w:p>
      <w:pPr>
        <w:spacing w:after="0" w:line="3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SECURITIES EXCHANGE ACT OF 1934</w:t>
      </w:r>
    </w:p>
    <w:p>
      <w:pPr>
        <w:spacing w:after="0" w:line="99"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Commission File Number 1-6227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LEE ENTERPRISES, INCORPORATED</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229" w:right="339" w:bottom="1440" w:gutter="0" w:footer="0" w:header="0"/>
        </w:sectPr>
      </w:pPr>
    </w:p>
    <w:p>
      <w:pPr>
        <w:spacing w:after="0" w:line="158"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Delaware</w:t>
      </w:r>
    </w:p>
    <w:p>
      <w:pPr>
        <w:spacing w:after="0" w:line="32" w:lineRule="exact"/>
        <w:rPr>
          <w:sz w:val="24"/>
          <w:szCs w:val="24"/>
          <w:color w:val="auto"/>
        </w:rPr>
      </w:pPr>
    </w:p>
    <w:p>
      <w:pPr>
        <w:jc w:val="center"/>
        <w:ind w:right="280"/>
        <w:spacing w:after="0"/>
        <w:rPr>
          <w:sz w:val="20"/>
          <w:szCs w:val="20"/>
          <w:color w:val="auto"/>
        </w:rPr>
      </w:pPr>
      <w:r>
        <w:rPr>
          <w:rFonts w:ascii="Arial" w:cs="Arial" w:eastAsia="Arial" w:hAnsi="Arial"/>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42-0823980</w:t>
      </w:r>
    </w:p>
    <w:p>
      <w:pPr>
        <w:spacing w:after="0" w:line="32" w:lineRule="exact"/>
        <w:rPr>
          <w:sz w:val="24"/>
          <w:szCs w:val="24"/>
          <w:color w:val="auto"/>
        </w:rPr>
      </w:pPr>
    </w:p>
    <w:p>
      <w:pPr>
        <w:jc w:val="center"/>
        <w:ind w:right="10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760" w:space="720"/>
            <w:col w:w="3760"/>
          </w:cols>
          <w:pgMar w:left="320" w:top="229"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4600 E. 53rd Street, Davenport, Iowa 52807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(563) 383-2100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2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8"/>
              </w:rPr>
              <w:t>Trading Symbol(s)</w:t>
            </w:r>
          </w:p>
        </w:tc>
        <w:tc>
          <w:tcPr>
            <w:tcW w:w="44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4320" w:type="dxa"/>
            <w:vAlign w:val="bottom"/>
          </w:tcPr>
          <w:p>
            <w:pPr>
              <w:jc w:val="center"/>
              <w:spacing w:after="0"/>
              <w:rPr>
                <w:sz w:val="20"/>
                <w:szCs w:val="20"/>
                <w:color w:val="auto"/>
              </w:rPr>
            </w:pPr>
            <w:r>
              <w:rPr>
                <w:rFonts w:ascii="Arial" w:cs="Arial" w:eastAsia="Arial" w:hAnsi="Arial"/>
                <w:sz w:val="18"/>
                <w:szCs w:val="18"/>
                <w:color w:val="auto"/>
                <w:w w:val="99"/>
              </w:rPr>
              <w:t>Common Stock, par value $.01 per share</w:t>
            </w:r>
          </w:p>
        </w:tc>
        <w:tc>
          <w:tcPr>
            <w:tcW w:w="2480" w:type="dxa"/>
            <w:vAlign w:val="bottom"/>
          </w:tcPr>
          <w:p>
            <w:pPr>
              <w:jc w:val="center"/>
              <w:ind w:left="50"/>
              <w:spacing w:after="0"/>
              <w:rPr>
                <w:sz w:val="20"/>
                <w:szCs w:val="20"/>
                <w:color w:val="auto"/>
              </w:rPr>
            </w:pPr>
            <w:r>
              <w:rPr>
                <w:rFonts w:ascii="Arial" w:cs="Arial" w:eastAsia="Arial" w:hAnsi="Arial"/>
                <w:sz w:val="18"/>
                <w:szCs w:val="18"/>
                <w:color w:val="auto"/>
                <w:w w:val="99"/>
              </w:rPr>
              <w:t>LEE</w:t>
            </w:r>
          </w:p>
        </w:tc>
        <w:tc>
          <w:tcPr>
            <w:tcW w:w="4440" w:type="dxa"/>
            <w:vAlign w:val="bottom"/>
          </w:tcPr>
          <w:p>
            <w:pPr>
              <w:jc w:val="center"/>
              <w:ind w:left="50"/>
              <w:spacing w:after="0"/>
              <w:rPr>
                <w:sz w:val="20"/>
                <w:szCs w:val="20"/>
                <w:color w:val="auto"/>
              </w:rPr>
            </w:pPr>
            <w:r>
              <w:rPr>
                <w:rFonts w:ascii="Arial" w:cs="Arial" w:eastAsia="Arial" w:hAnsi="Arial"/>
                <w:sz w:val="18"/>
                <w:szCs w:val="18"/>
                <w:color w:val="auto"/>
                <w:w w:val="99"/>
              </w:rPr>
              <w:t>The Nasdaq Global Select Market</w:t>
            </w:r>
          </w:p>
        </w:tc>
      </w:tr>
    </w:tbl>
    <w:p>
      <w:pPr>
        <w:spacing w:after="0" w:line="161"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type w:val="continuous"/>
        </w:sectPr>
      </w:pPr>
    </w:p>
    <w:p>
      <w:pPr>
        <w:spacing w:after="0" w:line="103" w:lineRule="exact"/>
        <w:rPr>
          <w:sz w:val="24"/>
          <w:szCs w:val="24"/>
          <w:color w:val="auto"/>
        </w:rPr>
      </w:pPr>
    </w:p>
    <w:p>
      <w:pPr>
        <w:ind w:left="36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13" w:lineRule="exact"/>
        <w:rPr>
          <w:sz w:val="24"/>
          <w:szCs w:val="24"/>
          <w:color w:val="auto"/>
        </w:rPr>
      </w:pPr>
    </w:p>
    <w:p>
      <w:pPr>
        <w:sectPr>
          <w:pgSz w:w="11900" w:h="16838" w:orient="portrait"/>
          <w:cols w:equalWidth="0" w:num="2">
            <w:col w:w="4900" w:space="720"/>
            <w:col w:w="5620"/>
          </w:cols>
          <w:pgMar w:left="320" w:top="229" w:right="339" w:bottom="1440" w:gutter="0" w:footer="0" w:header="0"/>
          <w:type w:val="continuous"/>
        </w:sectPr>
      </w:pPr>
    </w:p>
    <w:p>
      <w:pPr>
        <w:spacing w:after="0" w:line="11" w:lineRule="exact"/>
        <w:rPr>
          <w:sz w:val="24"/>
          <w:szCs w:val="24"/>
          <w:color w:val="auto"/>
        </w:rPr>
      </w:pPr>
    </w:p>
    <w:p>
      <w:pPr>
        <w:ind w:left="3700"/>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8"/>
          <w:szCs w:val="18"/>
          <w:b w:val="1"/>
          <w:bCs w:val="1"/>
          <w:color w:val="auto"/>
        </w:rPr>
        <w:t>x</w:t>
      </w:r>
    </w:p>
    <w:p>
      <w:pPr>
        <w:spacing w:after="0" w:line="26" w:lineRule="exact"/>
        <w:rPr>
          <w:sz w:val="24"/>
          <w:szCs w:val="24"/>
          <w:color w:val="auto"/>
        </w:rPr>
      </w:pPr>
    </w:p>
    <w:p>
      <w:pPr>
        <w:sectPr>
          <w:pgSz w:w="11900" w:h="16838" w:orient="portrait"/>
          <w:cols w:equalWidth="0" w:num="2">
            <w:col w:w="8600" w:space="720"/>
            <w:col w:w="1920"/>
          </w:cols>
          <w:pgMar w:left="320" w:top="229" w:right="339" w:bottom="1440" w:gutter="0" w:footer="0" w:header="0"/>
          <w:type w:val="continuous"/>
        </w:sectPr>
      </w:pPr>
    </w:p>
    <w:p>
      <w:pPr>
        <w:ind w:left="360"/>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jc w:val="center"/>
        <w:ind w:right="3460"/>
        <w:spacing w:after="0"/>
        <w:rPr>
          <w:sz w:val="20"/>
          <w:szCs w:val="20"/>
          <w:color w:val="auto"/>
        </w:rPr>
      </w:pPr>
      <w:r>
        <w:rPr>
          <w:rFonts w:ascii="Arial" w:cs="Arial" w:eastAsia="Arial" w:hAnsi="Arial"/>
          <w:sz w:val="18"/>
          <w:szCs w:val="18"/>
          <w:color w:val="auto"/>
        </w:rPr>
        <w:t>Smaller reporting company</w:t>
      </w:r>
    </w:p>
    <w:p>
      <w:pPr>
        <w:spacing w:after="0" w:line="13" w:lineRule="exact"/>
        <w:rPr>
          <w:sz w:val="24"/>
          <w:szCs w:val="24"/>
          <w:color w:val="auto"/>
        </w:rPr>
      </w:pPr>
    </w:p>
    <w:p>
      <w:pPr>
        <w:sectPr>
          <w:pgSz w:w="11900" w:h="16838" w:orient="portrait"/>
          <w:cols w:equalWidth="0" w:num="2">
            <w:col w:w="4900" w:space="720"/>
            <w:col w:w="5620"/>
          </w:cols>
          <w:pgMar w:left="320" w:top="229" w:right="339" w:bottom="1440" w:gutter="0" w:footer="0" w:header="0"/>
          <w:type w:val="continuous"/>
        </w:sectPr>
      </w:pPr>
    </w:p>
    <w:p>
      <w:pPr>
        <w:spacing w:after="0" w:line="11" w:lineRule="exact"/>
        <w:rPr>
          <w:sz w:val="24"/>
          <w:szCs w:val="24"/>
          <w:color w:val="auto"/>
        </w:rPr>
      </w:pPr>
    </w:p>
    <w:p>
      <w:pPr>
        <w:ind w:left="3700"/>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8"/>
          <w:szCs w:val="18"/>
          <w:b w:val="1"/>
          <w:bCs w:val="1"/>
          <w:color w:val="auto"/>
        </w:rPr>
        <w:t>x</w:t>
      </w:r>
    </w:p>
    <w:p>
      <w:pPr>
        <w:spacing w:after="0" w:line="4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o</w:t>
      </w:r>
    </w:p>
    <w:p>
      <w:pPr>
        <w:spacing w:after="0" w:line="200" w:lineRule="exact"/>
        <w:rPr>
          <w:sz w:val="24"/>
          <w:szCs w:val="24"/>
          <w:color w:val="auto"/>
        </w:rPr>
      </w:pPr>
    </w:p>
    <w:p>
      <w:pPr>
        <w:sectPr>
          <w:pgSz w:w="11900" w:h="16838" w:orient="portrait"/>
          <w:cols w:equalWidth="0" w:num="3">
            <w:col w:w="4900" w:space="720"/>
            <w:col w:w="2980" w:space="720"/>
            <w:col w:w="1920"/>
          </w:cols>
          <w:pgMar w:left="320" w:top="229" w:right="339" w:bottom="1440" w:gutter="0" w:footer="0" w:header="0"/>
          <w:type w:val="continuous"/>
        </w:sectPr>
      </w:pPr>
    </w:p>
    <w:p>
      <w:pPr>
        <w:spacing w:after="0" w:line="2"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45" w:lineRule="exact"/>
        <w:rPr>
          <w:sz w:val="24"/>
          <w:szCs w:val="24"/>
          <w:color w:val="auto"/>
        </w:rPr>
      </w:pPr>
    </w:p>
    <w:p>
      <w:pPr>
        <w:ind w:right="900"/>
        <w:spacing w:after="0" w:line="412" w:lineRule="auto"/>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x</w:t>
      </w:r>
      <w:r>
        <w:rPr>
          <w:rFonts w:ascii="Arial" w:cs="Arial" w:eastAsia="Arial" w:hAnsi="Arial"/>
          <w:sz w:val="18"/>
          <w:szCs w:val="18"/>
          <w:color w:val="auto"/>
        </w:rPr>
        <w:t xml:space="preserve"> As of February 28, 2023, 6,039,856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Table Of Contents</w:t>
            </w: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PAGE</w:t>
            </w:r>
          </w:p>
        </w:tc>
      </w:tr>
      <w:tr>
        <w:trPr>
          <w:trHeight w:val="331"/>
        </w:trPr>
        <w:tc>
          <w:tcPr>
            <w:tcW w:w="20" w:type="dxa"/>
            <w:vAlign w:val="bottom"/>
          </w:tcPr>
          <w:p>
            <w:pPr>
              <w:spacing w:after="0"/>
              <w:rPr>
                <w:sz w:val="24"/>
                <w:szCs w:val="24"/>
                <w:color w:val="auto"/>
              </w:rPr>
            </w:pPr>
          </w:p>
        </w:tc>
        <w:tc>
          <w:tcPr>
            <w:tcW w:w="10340" w:type="dxa"/>
            <w:vAlign w:val="bottom"/>
            <w:gridSpan w:val="19"/>
          </w:tcPr>
          <w:p>
            <w:pPr>
              <w:spacing w:after="0"/>
              <w:rPr>
                <w:sz w:val="20"/>
                <w:szCs w:val="20"/>
                <w:color w:val="auto"/>
              </w:rPr>
            </w:pPr>
            <w:r>
              <w:rPr>
                <w:rFonts w:ascii="Arial" w:cs="Arial" w:eastAsia="Arial" w:hAnsi="Arial"/>
                <w:sz w:val="18"/>
                <w:szCs w:val="18"/>
                <w:color w:val="0000FF"/>
              </w:rPr>
              <w:t>FORWARD LOOKING STATEMENTS</w:t>
            </w:r>
          </w:p>
        </w:tc>
        <w:tc>
          <w:tcPr>
            <w:tcW w:w="480" w:type="dxa"/>
            <w:vAlign w:val="bottom"/>
            <w:gridSpan w:val="2"/>
          </w:tcPr>
          <w:p>
            <w:pPr>
              <w:jc w:val="center"/>
              <w:ind w:left="290"/>
              <w:spacing w:after="0"/>
              <w:rPr>
                <w:sz w:val="20"/>
                <w:szCs w:val="20"/>
                <w:color w:val="auto"/>
              </w:rPr>
            </w:pPr>
            <w:r>
              <w:rPr>
                <w:rFonts w:ascii="Arial" w:cs="Arial" w:eastAsia="Arial" w:hAnsi="Arial"/>
                <w:sz w:val="18"/>
                <w:szCs w:val="18"/>
                <w:color w:val="0000FF"/>
                <w:w w:val="99"/>
              </w:rPr>
              <w:t>1</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PART I</w:t>
            </w:r>
          </w:p>
        </w:tc>
        <w:tc>
          <w:tcPr>
            <w:tcW w:w="2240" w:type="dxa"/>
            <w:vAlign w:val="bottom"/>
            <w:gridSpan w:val="5"/>
          </w:tcPr>
          <w:p>
            <w:pPr>
              <w:spacing w:after="0"/>
              <w:rPr>
                <w:sz w:val="20"/>
                <w:szCs w:val="20"/>
                <w:color w:val="auto"/>
              </w:rPr>
            </w:pPr>
            <w:r>
              <w:rPr>
                <w:rFonts w:ascii="Arial" w:cs="Arial" w:eastAsia="Arial" w:hAnsi="Arial"/>
                <w:sz w:val="18"/>
                <w:szCs w:val="18"/>
                <w:color w:val="0000FF"/>
                <w:w w:val="98"/>
              </w:rPr>
              <w:t>FINANCIAL INFORMATION</w:t>
            </w:r>
          </w:p>
        </w:tc>
        <w:tc>
          <w:tcPr>
            <w:tcW w:w="6820" w:type="dxa"/>
            <w:vAlign w:val="bottom"/>
            <w:gridSpan w:val="12"/>
          </w:tcPr>
          <w:p>
            <w:pPr>
              <w:spacing w:after="0"/>
              <w:rPr>
                <w:sz w:val="24"/>
                <w:szCs w:val="24"/>
                <w:color w:val="auto"/>
              </w:rPr>
            </w:pPr>
          </w:p>
        </w:tc>
        <w:tc>
          <w:tcPr>
            <w:tcW w:w="480" w:type="dxa"/>
            <w:vAlign w:val="bottom"/>
            <w:gridSpan w:val="2"/>
          </w:tcPr>
          <w:p>
            <w:pPr>
              <w:jc w:val="center"/>
              <w:ind w:left="290"/>
              <w:spacing w:after="0"/>
              <w:rPr>
                <w:sz w:val="20"/>
                <w:szCs w:val="20"/>
                <w:color w:val="auto"/>
              </w:rPr>
            </w:pPr>
            <w:r>
              <w:rPr>
                <w:rFonts w:ascii="Arial" w:cs="Arial" w:eastAsia="Arial" w:hAnsi="Arial"/>
                <w:sz w:val="18"/>
                <w:szCs w:val="18"/>
                <w:color w:val="0000FF"/>
                <w:w w:val="99"/>
              </w:rPr>
              <w:t>2</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2680" w:type="dxa"/>
            <w:vAlign w:val="bottom"/>
            <w:gridSpan w:val="8"/>
          </w:tcPr>
          <w:p>
            <w:pPr>
              <w:spacing w:after="0"/>
              <w:rPr>
                <w:sz w:val="20"/>
                <w:szCs w:val="20"/>
                <w:color w:val="auto"/>
              </w:rPr>
            </w:pPr>
            <w:r>
              <w:rPr>
                <w:rFonts w:ascii="Arial" w:cs="Arial" w:eastAsia="Arial" w:hAnsi="Arial"/>
                <w:sz w:val="18"/>
                <w:szCs w:val="18"/>
                <w:color w:val="0000FF"/>
                <w:w w:val="99"/>
              </w:rPr>
              <w:t>Financial Statements (Unaudited)</w:t>
            </w:r>
          </w:p>
        </w:tc>
        <w:tc>
          <w:tcPr>
            <w:tcW w:w="5240" w:type="dxa"/>
            <w:vAlign w:val="bottom"/>
            <w:gridSpan w:val="8"/>
          </w:tcPr>
          <w:p>
            <w:pPr>
              <w:spacing w:after="0"/>
              <w:rPr>
                <w:sz w:val="24"/>
                <w:szCs w:val="24"/>
                <w:color w:val="auto"/>
              </w:rPr>
            </w:pPr>
          </w:p>
        </w:tc>
        <w:tc>
          <w:tcPr>
            <w:tcW w:w="480" w:type="dxa"/>
            <w:vAlign w:val="bottom"/>
            <w:gridSpan w:val="2"/>
          </w:tcPr>
          <w:p>
            <w:pPr>
              <w:jc w:val="center"/>
              <w:ind w:left="290"/>
              <w:spacing w:after="0"/>
              <w:rPr>
                <w:sz w:val="20"/>
                <w:szCs w:val="20"/>
                <w:color w:val="auto"/>
              </w:rPr>
            </w:pPr>
            <w:r>
              <w:rPr>
                <w:rFonts w:ascii="Arial" w:cs="Arial" w:eastAsia="Arial" w:hAnsi="Arial"/>
                <w:sz w:val="18"/>
                <w:szCs w:val="18"/>
                <w:color w:val="0000FF"/>
                <w:w w:val="99"/>
              </w:rPr>
              <w:t>2</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920" w:type="dxa"/>
            <w:vAlign w:val="bottom"/>
            <w:gridSpan w:val="16"/>
          </w:tcPr>
          <w:p>
            <w:pPr>
              <w:spacing w:after="0"/>
              <w:rPr>
                <w:sz w:val="20"/>
                <w:szCs w:val="20"/>
                <w:color w:val="auto"/>
              </w:rPr>
            </w:pPr>
            <w:r>
              <w:rPr>
                <w:rFonts w:ascii="Arial" w:cs="Arial" w:eastAsia="Arial" w:hAnsi="Arial"/>
                <w:sz w:val="18"/>
                <w:szCs w:val="18"/>
                <w:color w:val="0000FF"/>
              </w:rPr>
              <w:t>Consolidated Balance Sheets - December 25, 2022, and September 25, 2022</w:t>
            </w:r>
          </w:p>
        </w:tc>
        <w:tc>
          <w:tcPr>
            <w:tcW w:w="480" w:type="dxa"/>
            <w:vAlign w:val="bottom"/>
            <w:gridSpan w:val="2"/>
          </w:tcPr>
          <w:p>
            <w:pPr>
              <w:jc w:val="center"/>
              <w:ind w:left="290"/>
              <w:spacing w:after="0"/>
              <w:rPr>
                <w:sz w:val="20"/>
                <w:szCs w:val="20"/>
                <w:color w:val="auto"/>
              </w:rPr>
            </w:pPr>
            <w:r>
              <w:rPr>
                <w:rFonts w:ascii="Arial" w:cs="Arial" w:eastAsia="Arial" w:hAnsi="Arial"/>
                <w:sz w:val="18"/>
                <w:szCs w:val="18"/>
                <w:color w:val="0000FF"/>
                <w:w w:val="99"/>
              </w:rPr>
              <w:t>2</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920" w:type="dxa"/>
            <w:vAlign w:val="bottom"/>
            <w:gridSpan w:val="16"/>
          </w:tcPr>
          <w:p>
            <w:pPr>
              <w:spacing w:after="0"/>
              <w:rPr>
                <w:sz w:val="20"/>
                <w:szCs w:val="20"/>
                <w:color w:val="auto"/>
              </w:rPr>
            </w:pPr>
            <w:r>
              <w:rPr>
                <w:rFonts w:ascii="Arial" w:cs="Arial" w:eastAsia="Arial" w:hAnsi="Arial"/>
                <w:sz w:val="18"/>
                <w:szCs w:val="18"/>
                <w:color w:val="0000FF"/>
              </w:rPr>
              <w:t>Consolidated Statements of Income (Loss) and Comprehensive Income (Loss) -Three months</w:t>
            </w:r>
          </w:p>
        </w:tc>
        <w:tc>
          <w:tcPr>
            <w:tcW w:w="480" w:type="dxa"/>
            <w:vAlign w:val="bottom"/>
            <w:gridSpan w:val="2"/>
          </w:tcPr>
          <w:p>
            <w:pPr>
              <w:jc w:val="center"/>
              <w:ind w:left="290"/>
              <w:spacing w:after="0"/>
              <w:rPr>
                <w:sz w:val="20"/>
                <w:szCs w:val="20"/>
                <w:color w:val="auto"/>
              </w:rPr>
            </w:pPr>
            <w:r>
              <w:rPr>
                <w:rFonts w:ascii="Arial" w:cs="Arial" w:eastAsia="Arial" w:hAnsi="Arial"/>
                <w:sz w:val="18"/>
                <w:szCs w:val="18"/>
                <w:color w:val="0000FF"/>
                <w:w w:val="99"/>
              </w:rPr>
              <w:t>4</w:t>
            </w:r>
          </w:p>
        </w:tc>
        <w:tc>
          <w:tcPr>
            <w:tcW w:w="40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120" w:type="dxa"/>
            <w:vAlign w:val="bottom"/>
            <w:tcBorders>
              <w:top w:val="single" w:sz="8" w:color="0000FF"/>
              <w:bottom w:val="single" w:sz="8" w:color="0000FF"/>
            </w:tcBorders>
            <w:gridSpan w:val="10"/>
          </w:tcPr>
          <w:p>
            <w:pPr>
              <w:spacing w:after="0" w:line="169" w:lineRule="exact"/>
              <w:rPr>
                <w:sz w:val="20"/>
                <w:szCs w:val="20"/>
                <w:color w:val="auto"/>
              </w:rPr>
            </w:pPr>
            <w:r>
              <w:rPr>
                <w:rFonts w:ascii="Arial" w:cs="Arial" w:eastAsia="Arial" w:hAnsi="Arial"/>
                <w:sz w:val="18"/>
                <w:szCs w:val="18"/>
                <w:color w:val="0000FF"/>
                <w:w w:val="99"/>
              </w:rPr>
              <w:t>ended December 25, 2022 and December 26, 2021</w:t>
            </w:r>
          </w:p>
        </w:tc>
        <w:tc>
          <w:tcPr>
            <w:tcW w:w="3360" w:type="dxa"/>
            <w:vAlign w:val="bottom"/>
            <w:tcBorders>
              <w:top w:val="single" w:sz="8" w:color="0000FF"/>
            </w:tcBorders>
            <w:gridSpan w:val="4"/>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0" w:type="dxa"/>
            <w:vAlign w:val="bottom"/>
          </w:tcPr>
          <w:p>
            <w:pPr>
              <w:spacing w:after="0"/>
              <w:rPr>
                <w:sz w:val="14"/>
                <w:szCs w:val="14"/>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920" w:type="dxa"/>
            <w:vAlign w:val="bottom"/>
            <w:gridSpan w:val="16"/>
          </w:tcPr>
          <w:p>
            <w:pPr>
              <w:spacing w:after="0"/>
              <w:rPr>
                <w:sz w:val="20"/>
                <w:szCs w:val="20"/>
                <w:color w:val="auto"/>
              </w:rPr>
            </w:pPr>
            <w:r>
              <w:rPr>
                <w:rFonts w:ascii="Arial" w:cs="Arial" w:eastAsia="Arial" w:hAnsi="Arial"/>
                <w:sz w:val="18"/>
                <w:szCs w:val="18"/>
                <w:color w:val="0000FF"/>
              </w:rPr>
              <w:t>Consolidated Statements of Stockholder's Equity - Three months ended December 25, 2022, and</w:t>
            </w:r>
          </w:p>
        </w:tc>
        <w:tc>
          <w:tcPr>
            <w:tcW w:w="480" w:type="dxa"/>
            <w:vAlign w:val="bottom"/>
            <w:gridSpan w:val="2"/>
          </w:tcPr>
          <w:p>
            <w:pPr>
              <w:jc w:val="center"/>
              <w:ind w:left="290"/>
              <w:spacing w:after="0"/>
              <w:rPr>
                <w:sz w:val="20"/>
                <w:szCs w:val="20"/>
                <w:color w:val="auto"/>
              </w:rPr>
            </w:pPr>
            <w:r>
              <w:rPr>
                <w:rFonts w:ascii="Arial" w:cs="Arial" w:eastAsia="Arial" w:hAnsi="Arial"/>
                <w:sz w:val="18"/>
                <w:szCs w:val="18"/>
                <w:color w:val="0000FF"/>
                <w:w w:val="99"/>
              </w:rPr>
              <w:t>5</w:t>
            </w:r>
          </w:p>
        </w:tc>
        <w:tc>
          <w:tcPr>
            <w:tcW w:w="40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740" w:type="dxa"/>
            <w:vAlign w:val="bottom"/>
            <w:tcBorders>
              <w:top w:val="single" w:sz="8" w:color="0000FF"/>
            </w:tcBorders>
            <w:gridSpan w:val="15"/>
          </w:tcPr>
          <w:p>
            <w:pPr>
              <w:spacing w:after="0" w:line="169" w:lineRule="exact"/>
              <w:rPr>
                <w:sz w:val="20"/>
                <w:szCs w:val="20"/>
                <w:color w:val="auto"/>
              </w:rPr>
            </w:pPr>
            <w:r>
              <w:rPr>
                <w:rFonts w:ascii="Arial" w:cs="Arial" w:eastAsia="Arial" w:hAnsi="Arial"/>
                <w:sz w:val="18"/>
                <w:szCs w:val="18"/>
                <w:color w:val="0000FF"/>
              </w:rPr>
              <w:t>December 26, 2021</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920" w:type="dxa"/>
            <w:vAlign w:val="bottom"/>
            <w:gridSpan w:val="16"/>
          </w:tcPr>
          <w:p>
            <w:pPr>
              <w:spacing w:after="0"/>
              <w:rPr>
                <w:sz w:val="20"/>
                <w:szCs w:val="20"/>
                <w:color w:val="auto"/>
              </w:rPr>
            </w:pPr>
            <w:r>
              <w:rPr>
                <w:rFonts w:ascii="Arial" w:cs="Arial" w:eastAsia="Arial" w:hAnsi="Arial"/>
                <w:sz w:val="18"/>
                <w:szCs w:val="18"/>
                <w:color w:val="0000FF"/>
              </w:rPr>
              <w:t>Consolidated Statements of Cash Flows - Three months ended December 25, 2022, and</w:t>
            </w:r>
          </w:p>
        </w:tc>
        <w:tc>
          <w:tcPr>
            <w:tcW w:w="480" w:type="dxa"/>
            <w:vAlign w:val="bottom"/>
            <w:gridSpan w:val="2"/>
          </w:tcPr>
          <w:p>
            <w:pPr>
              <w:jc w:val="center"/>
              <w:ind w:left="290"/>
              <w:spacing w:after="0"/>
              <w:rPr>
                <w:sz w:val="20"/>
                <w:szCs w:val="20"/>
                <w:color w:val="auto"/>
              </w:rPr>
            </w:pPr>
            <w:r>
              <w:rPr>
                <w:rFonts w:ascii="Arial" w:cs="Arial" w:eastAsia="Arial" w:hAnsi="Arial"/>
                <w:sz w:val="18"/>
                <w:szCs w:val="18"/>
                <w:color w:val="0000FF"/>
                <w:w w:val="99"/>
              </w:rPr>
              <w:t>6</w:t>
            </w:r>
          </w:p>
        </w:tc>
        <w:tc>
          <w:tcPr>
            <w:tcW w:w="40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80" w:type="dxa"/>
            <w:vAlign w:val="bottom"/>
            <w:tcBorders>
              <w:top w:val="single" w:sz="8" w:color="0000FF"/>
            </w:tcBorders>
            <w:gridSpan w:val="13"/>
          </w:tcPr>
          <w:p>
            <w:pPr>
              <w:spacing w:after="0" w:line="169" w:lineRule="exact"/>
              <w:rPr>
                <w:sz w:val="20"/>
                <w:szCs w:val="20"/>
                <w:color w:val="auto"/>
              </w:rPr>
            </w:pPr>
            <w:r>
              <w:rPr>
                <w:rFonts w:ascii="Arial" w:cs="Arial" w:eastAsia="Arial" w:hAnsi="Arial"/>
                <w:sz w:val="18"/>
                <w:szCs w:val="18"/>
                <w:color w:val="0000FF"/>
              </w:rPr>
              <w:t>December 26, 2021</w:t>
            </w:r>
          </w:p>
        </w:tc>
        <w:tc>
          <w:tcPr>
            <w:tcW w:w="840" w:type="dxa"/>
            <w:vAlign w:val="bottom"/>
            <w:gridSpan w:val="3"/>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920" w:type="dxa"/>
            <w:vAlign w:val="bottom"/>
            <w:gridSpan w:val="16"/>
          </w:tcPr>
          <w:p>
            <w:pPr>
              <w:spacing w:after="0"/>
              <w:rPr>
                <w:sz w:val="20"/>
                <w:szCs w:val="20"/>
                <w:color w:val="auto"/>
              </w:rPr>
            </w:pPr>
            <w:r>
              <w:rPr>
                <w:rFonts w:ascii="Arial" w:cs="Arial" w:eastAsia="Arial" w:hAnsi="Arial"/>
                <w:sz w:val="18"/>
                <w:szCs w:val="18"/>
                <w:color w:val="0000FF"/>
              </w:rPr>
              <w:t>Notes to Consolidated Financial Statements</w:t>
            </w:r>
          </w:p>
        </w:tc>
        <w:tc>
          <w:tcPr>
            <w:tcW w:w="480" w:type="dxa"/>
            <w:vAlign w:val="bottom"/>
            <w:gridSpan w:val="2"/>
          </w:tcPr>
          <w:p>
            <w:pPr>
              <w:jc w:val="center"/>
              <w:ind w:left="290"/>
              <w:spacing w:after="0"/>
              <w:rPr>
                <w:sz w:val="20"/>
                <w:szCs w:val="20"/>
                <w:color w:val="auto"/>
              </w:rPr>
            </w:pPr>
            <w:r>
              <w:rPr>
                <w:rFonts w:ascii="Arial" w:cs="Arial" w:eastAsia="Arial" w:hAnsi="Arial"/>
                <w:sz w:val="18"/>
                <w:szCs w:val="18"/>
                <w:color w:val="0000FF"/>
                <w:w w:val="99"/>
              </w:rPr>
              <w:t>7</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3"/>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840" w:type="dxa"/>
            <w:vAlign w:val="bottom"/>
            <w:gridSpan w:val="3"/>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12</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4720" w:type="dxa"/>
            <w:vAlign w:val="bottom"/>
            <w:gridSpan w:val="11"/>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gridSpan w:val="2"/>
          </w:tcPr>
          <w:p>
            <w:pPr>
              <w:spacing w:after="0"/>
              <w:rPr>
                <w:sz w:val="24"/>
                <w:szCs w:val="24"/>
                <w:color w:val="auto"/>
              </w:rPr>
            </w:pPr>
          </w:p>
        </w:tc>
        <w:tc>
          <w:tcPr>
            <w:tcW w:w="840" w:type="dxa"/>
            <w:vAlign w:val="bottom"/>
            <w:gridSpan w:val="3"/>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17</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2000" w:type="dxa"/>
            <w:vAlign w:val="bottom"/>
            <w:gridSpan w:val="7"/>
          </w:tcPr>
          <w:p>
            <w:pPr>
              <w:spacing w:after="0"/>
              <w:rPr>
                <w:sz w:val="20"/>
                <w:szCs w:val="20"/>
                <w:color w:val="auto"/>
              </w:rPr>
            </w:pPr>
            <w:r>
              <w:rPr>
                <w:rFonts w:ascii="Arial" w:cs="Arial" w:eastAsia="Arial" w:hAnsi="Arial"/>
                <w:sz w:val="18"/>
                <w:szCs w:val="18"/>
                <w:color w:val="0000FF"/>
                <w:w w:val="99"/>
              </w:rPr>
              <w:t>Controls and Procedures</w:t>
            </w:r>
          </w:p>
        </w:tc>
        <w:tc>
          <w:tcPr>
            <w:tcW w:w="2720" w:type="dxa"/>
            <w:vAlign w:val="bottom"/>
            <w:gridSpan w:val="4"/>
          </w:tcPr>
          <w:p>
            <w:pPr>
              <w:spacing w:after="0"/>
              <w:rPr>
                <w:sz w:val="24"/>
                <w:szCs w:val="24"/>
                <w:color w:val="auto"/>
              </w:rPr>
            </w:pPr>
          </w:p>
        </w:tc>
        <w:tc>
          <w:tcPr>
            <w:tcW w:w="3200" w:type="dxa"/>
            <w:vAlign w:val="bottom"/>
            <w:gridSpan w:val="5"/>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18</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920" w:type="dxa"/>
            <w:vAlign w:val="bottom"/>
            <w:gridSpan w:val="9"/>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9060" w:type="dxa"/>
            <w:vAlign w:val="bottom"/>
            <w:gridSpan w:val="17"/>
          </w:tcPr>
          <w:p>
            <w:pPr>
              <w:spacing w:after="0"/>
              <w:rPr>
                <w:sz w:val="20"/>
                <w:szCs w:val="20"/>
                <w:color w:val="auto"/>
              </w:rPr>
            </w:pPr>
            <w:r>
              <w:rPr>
                <w:rFonts w:ascii="Arial" w:cs="Arial" w:eastAsia="Arial" w:hAnsi="Arial"/>
                <w:sz w:val="18"/>
                <w:szCs w:val="18"/>
                <w:color w:val="0000FF"/>
              </w:rPr>
              <w:t>OTHER INFORMATION</w:t>
            </w:r>
          </w:p>
        </w:tc>
        <w:tc>
          <w:tcPr>
            <w:tcW w:w="880" w:type="dxa"/>
            <w:vAlign w:val="bottom"/>
            <w:gridSpan w:val="3"/>
          </w:tcPr>
          <w:p>
            <w:pPr>
              <w:jc w:val="center"/>
              <w:ind w:right="40"/>
              <w:spacing w:after="0"/>
              <w:rPr>
                <w:sz w:val="20"/>
                <w:szCs w:val="20"/>
                <w:color w:val="auto"/>
              </w:rPr>
            </w:pPr>
            <w:r>
              <w:rPr>
                <w:rFonts w:ascii="Arial" w:cs="Arial" w:eastAsia="Arial" w:hAnsi="Arial"/>
                <w:sz w:val="18"/>
                <w:szCs w:val="18"/>
                <w:color w:val="0000FF"/>
                <w:w w:val="99"/>
              </w:rPr>
              <w:t>19</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20" w:type="dxa"/>
            <w:vAlign w:val="bottom"/>
            <w:gridSpan w:val="11"/>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5"/>
          </w:tcPr>
          <w:p>
            <w:pPr>
              <w:spacing w:after="0"/>
              <w:rPr>
                <w:sz w:val="20"/>
                <w:szCs w:val="20"/>
                <w:color w:val="auto"/>
              </w:rPr>
            </w:pPr>
            <w:r>
              <w:rPr>
                <w:rFonts w:ascii="Arial" w:cs="Arial" w:eastAsia="Arial" w:hAnsi="Arial"/>
                <w:sz w:val="18"/>
                <w:szCs w:val="18"/>
                <w:color w:val="0000FF"/>
                <w:w w:val="99"/>
              </w:rPr>
              <w:t>Legal Proceedings</w:t>
            </w:r>
          </w:p>
        </w:tc>
        <w:tc>
          <w:tcPr>
            <w:tcW w:w="6420" w:type="dxa"/>
            <w:vAlign w:val="bottom"/>
            <w:gridSpan w:val="11"/>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19</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420" w:type="dxa"/>
            <w:vAlign w:val="bottom"/>
            <w:gridSpan w:val="11"/>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5"/>
          </w:tcPr>
          <w:p>
            <w:pPr>
              <w:spacing w:after="0"/>
              <w:rPr>
                <w:sz w:val="20"/>
                <w:szCs w:val="20"/>
                <w:color w:val="auto"/>
              </w:rPr>
            </w:pPr>
            <w:r>
              <w:rPr>
                <w:rFonts w:ascii="Arial" w:cs="Arial" w:eastAsia="Arial" w:hAnsi="Arial"/>
                <w:sz w:val="18"/>
                <w:szCs w:val="18"/>
                <w:color w:val="0000FF"/>
              </w:rPr>
              <w:t>Risk Factors</w:t>
            </w:r>
          </w:p>
        </w:tc>
        <w:tc>
          <w:tcPr>
            <w:tcW w:w="6420" w:type="dxa"/>
            <w:vAlign w:val="bottom"/>
            <w:gridSpan w:val="11"/>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19</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6920" w:type="dxa"/>
            <w:vAlign w:val="bottom"/>
            <w:gridSpan w:val="13"/>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sz w:val="20"/>
                <w:szCs w:val="20"/>
                <w:color w:val="auto"/>
              </w:rPr>
            </w:pPr>
            <w:r>
              <w:rPr>
                <w:rFonts w:ascii="Arial" w:cs="Arial" w:eastAsia="Arial" w:hAnsi="Arial"/>
                <w:sz w:val="18"/>
                <w:szCs w:val="18"/>
                <w:color w:val="0000FF"/>
                <w:w w:val="88"/>
              </w:rPr>
              <w:t>Exhibits</w:t>
            </w:r>
          </w:p>
        </w:tc>
        <w:tc>
          <w:tcPr>
            <w:tcW w:w="400" w:type="dxa"/>
            <w:vAlign w:val="bottom"/>
            <w:gridSpan w:val="2"/>
          </w:tcPr>
          <w:p>
            <w:pPr>
              <w:spacing w:after="0"/>
              <w:rPr>
                <w:sz w:val="24"/>
                <w:szCs w:val="24"/>
                <w:color w:val="auto"/>
              </w:rPr>
            </w:pPr>
          </w:p>
        </w:tc>
        <w:tc>
          <w:tcPr>
            <w:tcW w:w="6920" w:type="dxa"/>
            <w:vAlign w:val="bottom"/>
            <w:gridSpan w:val="13"/>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19</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21</w:t>
            </w:r>
          </w:p>
        </w:tc>
      </w:tr>
      <w:tr>
        <w:trPr>
          <w:trHeight w:val="1040"/>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References to “we”, “our”, “us” and the like throughout this document refer to Lee Enterprises, Incorporated (the “Company”). References to “2023”, “2022" and the like refer to the fiscal years ended the last Sunday in September.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This report contains information that may be deemed forward-looking that is based largely on our current expectations, and is subject to certain risks, trends and uncertainties that could cause actual results to differ materially from those anticipated. Among such risks, trends and other uncertainties, which in some instances are beyond our control, are:</w:t>
      </w:r>
    </w:p>
    <w:p>
      <w:pPr>
        <w:spacing w:after="0" w:line="68"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overall impact the COVID-19 pandemic has on the Company's revenues and costs;</w:t>
      </w:r>
    </w:p>
    <w:p>
      <w:pPr>
        <w:spacing w:after="0" w:line="27"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long-term or permanent changes the COVID-19 pandemic may have on the publishing industry, which may result in permanent revenue reductions and other risks and uncertainties;</w:t>
      </w:r>
    </w:p>
    <w:p>
      <w:pPr>
        <w:ind w:left="660" w:right="20" w:hanging="328"/>
        <w:spacing w:after="0" w:line="250"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may be required to indemnify the previous owners of the BH Media or Buffalo News for unknown legal and other matters that may arise;</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manage declining print revenue and circulation subscribers;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and duration of adverse conditions in certain aspects of the economy affecting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advertising and subscription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technology that impact our ability to deliver digital advertising;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changes in newsprint, other commodities and energy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Labor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Significant cyber security breaches or failure of our information technology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achieve planned expense reductions and realize the expected benefit of our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employee and customer relationships;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manage increased capital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our listing status on NASDAQ;</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risks detailed from time to time in our publicly filed documents.</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statements that are not statements of historical fact (including statements containing the words “may”, “will”, “would”, “could”, “believes”, “expects”, “anticipates”, “intends”, “plans”, “projects”, “considers” and similar expressions) generally should be considered forward-looking statements. Statements regarding our plans, strategies, prospects and expectations regarding our business and industry, including statements regarding the impacts that the COVID-19 pandemic and our responses thereto may have on our future operations, are forward-looking statements. They reflect our expectations, are not guarantees of performance and speak only as of the date the statement is made. Readers are cautioned not to place undue reliance on such forward-looking statements, which are made as of the date of this report. We do not undertake to publicly update or revise our forward-looking statements, except as required by law.</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8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LEE ENTERPRISES, INCORPORATED</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20" w:type="dxa"/>
            <w:vAlign w:val="bottom"/>
            <w:tcBorders>
              <w:top w:val="single" w:sz="8" w:color="auto"/>
              <w:bottom w:val="single" w:sz="8" w:color="auto"/>
            </w:tcBorders>
          </w:tcPr>
          <w:p>
            <w:pPr>
              <w:spacing w:after="0"/>
              <w:rPr>
                <w:sz w:val="21"/>
                <w:szCs w:val="21"/>
                <w:color w:val="auto"/>
              </w:rPr>
            </w:pPr>
          </w:p>
        </w:tc>
        <w:tc>
          <w:tcPr>
            <w:tcW w:w="46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(Unaudited)</w:t>
            </w:r>
          </w:p>
        </w:tc>
        <w:tc>
          <w:tcPr>
            <w:tcW w:w="1460" w:type="dxa"/>
            <w:vAlign w:val="bottom"/>
            <w:tcBorders>
              <w:top w:val="single" w:sz="8" w:color="auto"/>
              <w:bottom w:val="single" w:sz="8" w:color="auto"/>
            </w:tcBorders>
          </w:tcPr>
          <w:p>
            <w:pPr>
              <w:spacing w:after="0"/>
              <w:rPr>
                <w:sz w:val="21"/>
                <w:szCs w:val="21"/>
                <w:color w:val="auto"/>
              </w:rPr>
            </w:pPr>
          </w:p>
        </w:tc>
      </w:tr>
      <w:tr>
        <w:trPr>
          <w:trHeight w:val="218"/>
        </w:trPr>
        <w:tc>
          <w:tcPr>
            <w:tcW w:w="5120" w:type="dxa"/>
            <w:vAlign w:val="bottom"/>
          </w:tcPr>
          <w:p>
            <w:pPr>
              <w:spacing w:after="0"/>
              <w:rPr>
                <w:sz w:val="18"/>
                <w:szCs w:val="18"/>
                <w:color w:val="auto"/>
              </w:rPr>
            </w:pPr>
          </w:p>
        </w:tc>
        <w:tc>
          <w:tcPr>
            <w:tcW w:w="4660" w:type="dxa"/>
            <w:vAlign w:val="bottom"/>
          </w:tcPr>
          <w:p>
            <w:pPr>
              <w:jc w:val="right"/>
              <w:ind w:right="170"/>
              <w:spacing w:after="0"/>
              <w:rPr>
                <w:sz w:val="20"/>
                <w:szCs w:val="20"/>
                <w:color w:val="auto"/>
              </w:rPr>
            </w:pPr>
            <w:r>
              <w:rPr>
                <w:rFonts w:ascii="Arial" w:cs="Arial" w:eastAsia="Arial" w:hAnsi="Arial"/>
                <w:sz w:val="18"/>
                <w:szCs w:val="18"/>
                <w:color w:val="auto"/>
              </w:rPr>
              <w:t>December 25,</w:t>
            </w:r>
          </w:p>
        </w:tc>
        <w:tc>
          <w:tcPr>
            <w:tcW w:w="1460" w:type="dxa"/>
            <w:vAlign w:val="bottom"/>
          </w:tcPr>
          <w:p>
            <w:pPr>
              <w:jc w:val="right"/>
              <w:spacing w:after="0"/>
              <w:rPr>
                <w:sz w:val="20"/>
                <w:szCs w:val="20"/>
                <w:color w:val="auto"/>
              </w:rPr>
            </w:pPr>
            <w:r>
              <w:rPr>
                <w:rFonts w:ascii="Arial" w:cs="Arial" w:eastAsia="Arial" w:hAnsi="Arial"/>
                <w:sz w:val="18"/>
                <w:szCs w:val="18"/>
                <w:color w:val="auto"/>
              </w:rPr>
              <w:t>September 25,</w:t>
            </w:r>
          </w:p>
        </w:tc>
      </w:tr>
      <w:tr>
        <w:trPr>
          <w:trHeight w:val="262"/>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4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2022</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7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70"/>
        </w:trPr>
        <w:tc>
          <w:tcPr>
            <w:tcW w:w="628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7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62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700" w:type="dxa"/>
            <w:vAlign w:val="bottom"/>
          </w:tcPr>
          <w:p>
            <w:pPr>
              <w:jc w:val="right"/>
              <w:ind w:right="430"/>
              <w:spacing w:after="0"/>
              <w:rPr>
                <w:sz w:val="20"/>
                <w:szCs w:val="20"/>
                <w:color w:val="auto"/>
              </w:rPr>
            </w:pPr>
            <w:r>
              <w:rPr>
                <w:rFonts w:ascii="Arial" w:cs="Arial" w:eastAsia="Arial" w:hAnsi="Arial"/>
                <w:sz w:val="18"/>
                <w:szCs w:val="18"/>
                <w:color w:val="auto"/>
              </w:rPr>
              <w:t>18,346</w:t>
            </w:r>
          </w:p>
        </w:tc>
        <w:tc>
          <w:tcPr>
            <w:tcW w:w="1260" w:type="dxa"/>
            <w:vAlign w:val="bottom"/>
          </w:tcPr>
          <w:p>
            <w:pPr>
              <w:jc w:val="right"/>
              <w:spacing w:after="0"/>
              <w:rPr>
                <w:sz w:val="20"/>
                <w:szCs w:val="20"/>
                <w:color w:val="auto"/>
              </w:rPr>
            </w:pPr>
            <w:r>
              <w:rPr>
                <w:rFonts w:ascii="Arial" w:cs="Arial" w:eastAsia="Arial" w:hAnsi="Arial"/>
                <w:sz w:val="18"/>
                <w:szCs w:val="18"/>
                <w:color w:val="auto"/>
              </w:rPr>
              <w:t>16,185</w:t>
            </w:r>
          </w:p>
        </w:tc>
      </w:tr>
      <w:tr>
        <w:trPr>
          <w:trHeight w:val="23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and contract assets, net</w:t>
            </w:r>
          </w:p>
        </w:tc>
        <w:tc>
          <w:tcPr>
            <w:tcW w:w="3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75,405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69,522</w:t>
            </w:r>
          </w:p>
        </w:tc>
      </w:tr>
      <w:tr>
        <w:trPr>
          <w:trHeight w:val="229"/>
        </w:trPr>
        <w:tc>
          <w:tcPr>
            <w:tcW w:w="628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3700" w:type="dxa"/>
            <w:vAlign w:val="bottom"/>
          </w:tcPr>
          <w:p>
            <w:pPr>
              <w:jc w:val="right"/>
              <w:ind w:right="430"/>
              <w:spacing w:after="0"/>
              <w:rPr>
                <w:sz w:val="20"/>
                <w:szCs w:val="20"/>
                <w:color w:val="auto"/>
              </w:rPr>
            </w:pPr>
            <w:r>
              <w:rPr>
                <w:rFonts w:ascii="Arial" w:cs="Arial" w:eastAsia="Arial" w:hAnsi="Arial"/>
                <w:sz w:val="18"/>
                <w:szCs w:val="18"/>
                <w:color w:val="auto"/>
              </w:rPr>
              <w:t>8,991</w:t>
            </w:r>
          </w:p>
        </w:tc>
        <w:tc>
          <w:tcPr>
            <w:tcW w:w="1260" w:type="dxa"/>
            <w:vAlign w:val="bottom"/>
          </w:tcPr>
          <w:p>
            <w:pPr>
              <w:jc w:val="right"/>
              <w:spacing w:after="0"/>
              <w:rPr>
                <w:sz w:val="20"/>
                <w:szCs w:val="20"/>
                <w:color w:val="auto"/>
              </w:rPr>
            </w:pPr>
            <w:r>
              <w:rPr>
                <w:rFonts w:ascii="Arial" w:cs="Arial" w:eastAsia="Arial" w:hAnsi="Arial"/>
                <w:sz w:val="18"/>
                <w:szCs w:val="18"/>
                <w:color w:val="auto"/>
              </w:rPr>
              <w:t>8,265</w:t>
            </w:r>
          </w:p>
        </w:tc>
      </w:tr>
      <w:tr>
        <w:trPr>
          <w:trHeight w:val="229"/>
        </w:trPr>
        <w:tc>
          <w:tcPr>
            <w:tcW w:w="6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37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18,352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15,151</w:t>
            </w:r>
          </w:p>
        </w:tc>
      </w:tr>
      <w:tr>
        <w:trPr>
          <w:trHeight w:val="223"/>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current assets</w:t>
            </w:r>
          </w:p>
        </w:tc>
        <w:tc>
          <w:tcPr>
            <w:tcW w:w="37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121,094</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109,123</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37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6280" w:type="dxa"/>
            <w:vAlign w:val="bottom"/>
          </w:tcPr>
          <w:p>
            <w:pPr>
              <w:ind w:left="180"/>
              <w:spacing w:after="0"/>
              <w:rPr>
                <w:sz w:val="20"/>
                <w:szCs w:val="20"/>
                <w:color w:val="auto"/>
              </w:rPr>
            </w:pPr>
            <w:r>
              <w:rPr>
                <w:rFonts w:ascii="Arial" w:cs="Arial" w:eastAsia="Arial" w:hAnsi="Arial"/>
                <w:sz w:val="18"/>
                <w:szCs w:val="18"/>
                <w:color w:val="auto"/>
              </w:rPr>
              <w:t>Associated companies</w:t>
            </w:r>
          </w:p>
        </w:tc>
        <w:tc>
          <w:tcPr>
            <w:tcW w:w="3700" w:type="dxa"/>
            <w:vAlign w:val="bottom"/>
          </w:tcPr>
          <w:p>
            <w:pPr>
              <w:jc w:val="right"/>
              <w:ind w:right="430"/>
              <w:spacing w:after="0"/>
              <w:rPr>
                <w:sz w:val="20"/>
                <w:szCs w:val="20"/>
                <w:color w:val="auto"/>
              </w:rPr>
            </w:pPr>
            <w:r>
              <w:rPr>
                <w:rFonts w:ascii="Arial" w:cs="Arial" w:eastAsia="Arial" w:hAnsi="Arial"/>
                <w:sz w:val="18"/>
                <w:szCs w:val="18"/>
                <w:color w:val="auto"/>
              </w:rPr>
              <w:t>28,064</w:t>
            </w:r>
          </w:p>
        </w:tc>
        <w:tc>
          <w:tcPr>
            <w:tcW w:w="1260" w:type="dxa"/>
            <w:vAlign w:val="bottom"/>
          </w:tcPr>
          <w:p>
            <w:pPr>
              <w:jc w:val="right"/>
              <w:spacing w:after="0"/>
              <w:rPr>
                <w:sz w:val="20"/>
                <w:szCs w:val="20"/>
                <w:color w:val="auto"/>
              </w:rPr>
            </w:pPr>
            <w:r>
              <w:rPr>
                <w:rFonts w:ascii="Arial" w:cs="Arial" w:eastAsia="Arial" w:hAnsi="Arial"/>
                <w:sz w:val="18"/>
                <w:szCs w:val="18"/>
                <w:color w:val="auto"/>
              </w:rPr>
              <w:t>27,378</w:t>
            </w:r>
          </w:p>
        </w:tc>
      </w:tr>
      <w:tr>
        <w:trPr>
          <w:trHeight w:val="229"/>
        </w:trPr>
        <w:tc>
          <w:tcPr>
            <w:tcW w:w="6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7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5,765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5,971</w:t>
            </w:r>
          </w:p>
        </w:tc>
      </w:tr>
      <w:tr>
        <w:trPr>
          <w:trHeight w:val="223"/>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investments</w:t>
            </w:r>
          </w:p>
        </w:tc>
        <w:tc>
          <w:tcPr>
            <w:tcW w:w="37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33,829</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33,349</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37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6280" w:type="dxa"/>
            <w:vAlign w:val="bottom"/>
          </w:tcPr>
          <w:p>
            <w:pPr>
              <w:ind w:left="180"/>
              <w:spacing w:after="0"/>
              <w:rPr>
                <w:sz w:val="20"/>
                <w:szCs w:val="20"/>
                <w:color w:val="auto"/>
              </w:rPr>
            </w:pPr>
            <w:r>
              <w:rPr>
                <w:rFonts w:ascii="Arial" w:cs="Arial" w:eastAsia="Arial" w:hAnsi="Arial"/>
                <w:sz w:val="18"/>
                <w:szCs w:val="18"/>
                <w:color w:val="auto"/>
              </w:rPr>
              <w:t>Land and improvements</w:t>
            </w:r>
          </w:p>
        </w:tc>
        <w:tc>
          <w:tcPr>
            <w:tcW w:w="3700" w:type="dxa"/>
            <w:vAlign w:val="bottom"/>
          </w:tcPr>
          <w:p>
            <w:pPr>
              <w:jc w:val="right"/>
              <w:ind w:right="430"/>
              <w:spacing w:after="0"/>
              <w:rPr>
                <w:sz w:val="20"/>
                <w:szCs w:val="20"/>
                <w:color w:val="auto"/>
              </w:rPr>
            </w:pPr>
            <w:r>
              <w:rPr>
                <w:rFonts w:ascii="Arial" w:cs="Arial" w:eastAsia="Arial" w:hAnsi="Arial"/>
                <w:sz w:val="18"/>
                <w:szCs w:val="18"/>
                <w:color w:val="auto"/>
              </w:rPr>
              <w:t>14,130</w:t>
            </w:r>
          </w:p>
        </w:tc>
        <w:tc>
          <w:tcPr>
            <w:tcW w:w="1260" w:type="dxa"/>
            <w:vAlign w:val="bottom"/>
          </w:tcPr>
          <w:p>
            <w:pPr>
              <w:jc w:val="right"/>
              <w:spacing w:after="0"/>
              <w:rPr>
                <w:sz w:val="20"/>
                <w:szCs w:val="20"/>
                <w:color w:val="auto"/>
              </w:rPr>
            </w:pPr>
            <w:r>
              <w:rPr>
                <w:rFonts w:ascii="Arial" w:cs="Arial" w:eastAsia="Arial" w:hAnsi="Arial"/>
                <w:sz w:val="18"/>
                <w:szCs w:val="18"/>
                <w:color w:val="auto"/>
              </w:rPr>
              <w:t>14,505</w:t>
            </w:r>
          </w:p>
        </w:tc>
      </w:tr>
      <w:tr>
        <w:trPr>
          <w:trHeight w:val="23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Buildings and improvements</w:t>
            </w:r>
          </w:p>
        </w:tc>
        <w:tc>
          <w:tcPr>
            <w:tcW w:w="3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93,328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95,111</w:t>
            </w:r>
          </w:p>
        </w:tc>
      </w:tr>
      <w:tr>
        <w:trPr>
          <w:trHeight w:val="230"/>
        </w:trPr>
        <w:tc>
          <w:tcPr>
            <w:tcW w:w="628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3700" w:type="dxa"/>
            <w:vAlign w:val="bottom"/>
          </w:tcPr>
          <w:p>
            <w:pPr>
              <w:jc w:val="right"/>
              <w:ind w:right="430"/>
              <w:spacing w:after="0"/>
              <w:rPr>
                <w:sz w:val="20"/>
                <w:szCs w:val="20"/>
                <w:color w:val="auto"/>
              </w:rPr>
            </w:pPr>
            <w:r>
              <w:rPr>
                <w:rFonts w:ascii="Arial" w:cs="Arial" w:eastAsia="Arial" w:hAnsi="Arial"/>
                <w:sz w:val="18"/>
                <w:szCs w:val="18"/>
                <w:color w:val="auto"/>
              </w:rPr>
              <w:t>216,065</w:t>
            </w:r>
          </w:p>
        </w:tc>
        <w:tc>
          <w:tcPr>
            <w:tcW w:w="1260" w:type="dxa"/>
            <w:vAlign w:val="bottom"/>
          </w:tcPr>
          <w:p>
            <w:pPr>
              <w:jc w:val="right"/>
              <w:spacing w:after="0"/>
              <w:rPr>
                <w:sz w:val="20"/>
                <w:szCs w:val="20"/>
                <w:color w:val="auto"/>
              </w:rPr>
            </w:pPr>
            <w:r>
              <w:rPr>
                <w:rFonts w:ascii="Arial" w:cs="Arial" w:eastAsia="Arial" w:hAnsi="Arial"/>
                <w:sz w:val="18"/>
                <w:szCs w:val="18"/>
                <w:color w:val="auto"/>
              </w:rPr>
              <w:t>215,731</w:t>
            </w:r>
          </w:p>
        </w:tc>
      </w:tr>
      <w:tr>
        <w:trPr>
          <w:trHeight w:val="230"/>
        </w:trPr>
        <w:tc>
          <w:tcPr>
            <w:tcW w:w="6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Construction in process</w:t>
            </w:r>
          </w:p>
        </w:tc>
        <w:tc>
          <w:tcPr>
            <w:tcW w:w="37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2,137</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r>
      <w:tr>
        <w:trPr>
          <w:trHeight w:val="223"/>
        </w:trPr>
        <w:tc>
          <w:tcPr>
            <w:tcW w:w="6280" w:type="dxa"/>
            <w:vAlign w:val="bottom"/>
          </w:tcPr>
          <w:p>
            <w:pPr>
              <w:spacing w:after="0"/>
              <w:rPr>
                <w:sz w:val="19"/>
                <w:szCs w:val="19"/>
                <w:color w:val="auto"/>
              </w:rPr>
            </w:pPr>
          </w:p>
        </w:tc>
        <w:tc>
          <w:tcPr>
            <w:tcW w:w="3700" w:type="dxa"/>
            <w:vAlign w:val="bottom"/>
          </w:tcPr>
          <w:p>
            <w:pPr>
              <w:jc w:val="right"/>
              <w:ind w:right="430"/>
              <w:spacing w:after="0"/>
              <w:rPr>
                <w:sz w:val="20"/>
                <w:szCs w:val="20"/>
                <w:color w:val="auto"/>
              </w:rPr>
            </w:pPr>
            <w:r>
              <w:rPr>
                <w:rFonts w:ascii="Arial" w:cs="Arial" w:eastAsia="Arial" w:hAnsi="Arial"/>
                <w:sz w:val="18"/>
                <w:szCs w:val="18"/>
                <w:color w:val="auto"/>
              </w:rPr>
              <w:t>325,660</w:t>
            </w:r>
          </w:p>
        </w:tc>
        <w:tc>
          <w:tcPr>
            <w:tcW w:w="1260" w:type="dxa"/>
            <w:vAlign w:val="bottom"/>
          </w:tcPr>
          <w:p>
            <w:pPr>
              <w:jc w:val="right"/>
              <w:spacing w:after="0"/>
              <w:rPr>
                <w:sz w:val="20"/>
                <w:szCs w:val="20"/>
                <w:color w:val="auto"/>
              </w:rPr>
            </w:pPr>
            <w:r>
              <w:rPr>
                <w:rFonts w:ascii="Arial" w:cs="Arial" w:eastAsia="Arial" w:hAnsi="Arial"/>
                <w:sz w:val="18"/>
                <w:szCs w:val="18"/>
                <w:color w:val="auto"/>
              </w:rPr>
              <w:t>326,796</w:t>
            </w:r>
          </w:p>
        </w:tc>
      </w:tr>
      <w:tr>
        <w:trPr>
          <w:trHeight w:val="230"/>
        </w:trPr>
        <w:tc>
          <w:tcPr>
            <w:tcW w:w="6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37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255,224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253,083</w:t>
            </w:r>
          </w:p>
        </w:tc>
      </w:tr>
      <w:tr>
        <w:trPr>
          <w:trHeight w:val="223"/>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Property and equipment, net</w:t>
            </w:r>
          </w:p>
        </w:tc>
        <w:tc>
          <w:tcPr>
            <w:tcW w:w="37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70,436</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73,713</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47,097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47,490</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Goodwill</w:t>
            </w:r>
          </w:p>
        </w:tc>
        <w:tc>
          <w:tcPr>
            <w:tcW w:w="3700" w:type="dxa"/>
            <w:vAlign w:val="bottom"/>
          </w:tcPr>
          <w:p>
            <w:pPr>
              <w:jc w:val="right"/>
              <w:ind w:right="430"/>
              <w:spacing w:after="0"/>
              <w:rPr>
                <w:sz w:val="20"/>
                <w:szCs w:val="20"/>
                <w:color w:val="auto"/>
              </w:rPr>
            </w:pPr>
            <w:r>
              <w:rPr>
                <w:rFonts w:ascii="Arial" w:cs="Arial" w:eastAsia="Arial" w:hAnsi="Arial"/>
                <w:sz w:val="18"/>
                <w:szCs w:val="18"/>
                <w:color w:val="auto"/>
              </w:rPr>
              <w:t>329,504</w:t>
            </w:r>
          </w:p>
        </w:tc>
        <w:tc>
          <w:tcPr>
            <w:tcW w:w="1260" w:type="dxa"/>
            <w:vAlign w:val="bottom"/>
          </w:tcPr>
          <w:p>
            <w:pPr>
              <w:jc w:val="right"/>
              <w:spacing w:after="0"/>
              <w:rPr>
                <w:sz w:val="20"/>
                <w:szCs w:val="20"/>
                <w:color w:val="auto"/>
              </w:rPr>
            </w:pPr>
            <w:r>
              <w:rPr>
                <w:rFonts w:ascii="Arial" w:cs="Arial" w:eastAsia="Arial" w:hAnsi="Arial"/>
                <w:sz w:val="18"/>
                <w:szCs w:val="18"/>
                <w:color w:val="auto"/>
              </w:rPr>
              <w:t>329,504</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3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116,534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121,373</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Pension plan assets, net</w:t>
            </w:r>
          </w:p>
        </w:tc>
        <w:tc>
          <w:tcPr>
            <w:tcW w:w="3700" w:type="dxa"/>
            <w:vAlign w:val="bottom"/>
          </w:tcPr>
          <w:p>
            <w:pPr>
              <w:jc w:val="right"/>
              <w:ind w:right="430"/>
              <w:spacing w:after="0"/>
              <w:rPr>
                <w:sz w:val="20"/>
                <w:szCs w:val="20"/>
                <w:color w:val="auto"/>
              </w:rPr>
            </w:pPr>
            <w:r>
              <w:rPr>
                <w:rFonts w:ascii="Arial" w:cs="Arial" w:eastAsia="Arial" w:hAnsi="Arial"/>
                <w:sz w:val="18"/>
                <w:szCs w:val="18"/>
                <w:color w:val="auto"/>
              </w:rPr>
              <w:t>486</w:t>
            </w:r>
          </w:p>
        </w:tc>
        <w:tc>
          <w:tcPr>
            <w:tcW w:w="1260" w:type="dxa"/>
            <w:vAlign w:val="bottom"/>
          </w:tcPr>
          <w:p>
            <w:pPr>
              <w:jc w:val="right"/>
              <w:spacing w:after="0"/>
              <w:rPr>
                <w:sz w:val="20"/>
                <w:szCs w:val="20"/>
                <w:color w:val="auto"/>
              </w:rPr>
            </w:pPr>
            <w:r>
              <w:rPr>
                <w:rFonts w:ascii="Arial" w:cs="Arial" w:eastAsia="Arial" w:hAnsi="Arial"/>
                <w:sz w:val="18"/>
                <w:szCs w:val="18"/>
                <w:color w:val="auto"/>
              </w:rPr>
              <w:t>528</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Medical plan assets, net</w:t>
            </w:r>
          </w:p>
        </w:tc>
        <w:tc>
          <w:tcPr>
            <w:tcW w:w="3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19,597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19,066</w:t>
            </w:r>
          </w:p>
        </w:tc>
      </w:tr>
      <w:tr>
        <w:trPr>
          <w:trHeight w:val="230"/>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7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9,119</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9,896</w:t>
            </w:r>
          </w:p>
        </w:tc>
      </w:tr>
      <w:tr>
        <w:trPr>
          <w:trHeight w:val="248"/>
        </w:trPr>
        <w:tc>
          <w:tcPr>
            <w:tcW w:w="6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7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747,696</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744,042</w:t>
            </w:r>
          </w:p>
        </w:tc>
      </w:tr>
      <w:tr>
        <w:trPr>
          <w:trHeight w:val="20"/>
        </w:trPr>
        <w:tc>
          <w:tcPr>
            <w:tcW w:w="6280" w:type="dxa"/>
            <w:vAlign w:val="bottom"/>
            <w:tcBorders>
              <w:top w:val="single" w:sz="8" w:color="CCEEFF"/>
              <w:bottom w:val="single" w:sz="8" w:color="auto"/>
            </w:tcBorders>
          </w:tcPr>
          <w:p>
            <w:pPr>
              <w:spacing w:after="0" w:line="20" w:lineRule="exact"/>
              <w:rPr>
                <w:sz w:val="1"/>
                <w:szCs w:val="1"/>
                <w:color w:val="auto"/>
              </w:rPr>
            </w:pPr>
          </w:p>
        </w:tc>
        <w:tc>
          <w:tcPr>
            <w:tcW w:w="37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80" w:type="dxa"/>
            <w:vAlign w:val="bottom"/>
            <w:tcBorders>
              <w:top w:val="single" w:sz="8" w:color="auto"/>
              <w:bottom w:val="single" w:sz="8" w:color="auto"/>
            </w:tcBorders>
          </w:tcPr>
          <w:p>
            <w:pPr>
              <w:spacing w:after="0"/>
              <w:rPr>
                <w:sz w:val="21"/>
                <w:szCs w:val="21"/>
                <w:color w:val="auto"/>
              </w:rPr>
            </w:pPr>
          </w:p>
        </w:tc>
        <w:tc>
          <w:tcPr>
            <w:tcW w:w="32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(Unaudited)</w:t>
            </w:r>
          </w:p>
        </w:tc>
        <w:tc>
          <w:tcPr>
            <w:tcW w:w="14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65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 and Shares, Except Per Share Data)</w:t>
            </w:r>
          </w:p>
        </w:tc>
        <w:tc>
          <w:tcPr>
            <w:tcW w:w="3200" w:type="dxa"/>
            <w:vAlign w:val="bottom"/>
          </w:tcPr>
          <w:p>
            <w:pPr>
              <w:jc w:val="right"/>
              <w:ind w:right="170"/>
              <w:spacing w:after="0" w:line="177" w:lineRule="exact"/>
              <w:rPr>
                <w:sz w:val="20"/>
                <w:szCs w:val="20"/>
                <w:color w:val="auto"/>
              </w:rPr>
            </w:pPr>
            <w:r>
              <w:rPr>
                <w:rFonts w:ascii="Arial" w:cs="Arial" w:eastAsia="Arial" w:hAnsi="Arial"/>
                <w:sz w:val="18"/>
                <w:szCs w:val="18"/>
                <w:color w:val="auto"/>
              </w:rPr>
              <w:t>December 25,</w:t>
            </w:r>
          </w:p>
        </w:tc>
        <w:tc>
          <w:tcPr>
            <w:tcW w:w="1460" w:type="dxa"/>
            <w:vAlign w:val="bottom"/>
          </w:tcPr>
          <w:p>
            <w:pPr>
              <w:jc w:val="right"/>
              <w:spacing w:after="0" w:line="177" w:lineRule="exact"/>
              <w:rPr>
                <w:sz w:val="20"/>
                <w:szCs w:val="20"/>
                <w:color w:val="auto"/>
              </w:rPr>
            </w:pPr>
            <w:r>
              <w:rPr>
                <w:rFonts w:ascii="Arial" w:cs="Arial" w:eastAsia="Arial" w:hAnsi="Arial"/>
                <w:sz w:val="18"/>
                <w:szCs w:val="18"/>
                <w:color w:val="auto"/>
              </w:rPr>
              <w:t>September 25,</w:t>
            </w:r>
          </w:p>
        </w:tc>
        <w:tc>
          <w:tcPr>
            <w:tcW w:w="0" w:type="dxa"/>
            <w:vAlign w:val="bottom"/>
          </w:tcPr>
          <w:p>
            <w:pPr>
              <w:spacing w:after="0"/>
              <w:rPr>
                <w:sz w:val="1"/>
                <w:szCs w:val="1"/>
                <w:color w:val="auto"/>
              </w:rPr>
            </w:pPr>
          </w:p>
        </w:tc>
      </w:tr>
      <w:tr>
        <w:trPr>
          <w:trHeight w:val="235"/>
        </w:trPr>
        <w:tc>
          <w:tcPr>
            <w:tcW w:w="6580" w:type="dxa"/>
            <w:vAlign w:val="bottom"/>
            <w:tcBorders>
              <w:bottom w:val="single" w:sz="8" w:color="auto"/>
            </w:tcBorders>
            <w:vMerge w:val="continue"/>
          </w:tcPr>
          <w:p>
            <w:pPr>
              <w:spacing w:after="0"/>
              <w:rPr>
                <w:sz w:val="20"/>
                <w:szCs w:val="20"/>
                <w:color w:val="auto"/>
              </w:rPr>
            </w:pPr>
          </w:p>
        </w:tc>
        <w:tc>
          <w:tcPr>
            <w:tcW w:w="3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2022</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EQUITY</w:t>
            </w:r>
          </w:p>
        </w:tc>
        <w:tc>
          <w:tcPr>
            <w:tcW w:w="2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70"/>
        </w:trPr>
        <w:tc>
          <w:tcPr>
            <w:tcW w:w="78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820" w:type="dxa"/>
            <w:vAlign w:val="bottom"/>
          </w:tcPr>
          <w:p>
            <w:pPr>
              <w:ind w:left="180"/>
              <w:spacing w:after="0"/>
              <w:rPr>
                <w:sz w:val="20"/>
                <w:szCs w:val="20"/>
                <w:color w:val="auto"/>
              </w:rPr>
            </w:pPr>
            <w:r>
              <w:rPr>
                <w:rFonts w:ascii="Arial" w:cs="Arial" w:eastAsia="Arial" w:hAnsi="Arial"/>
                <w:sz w:val="18"/>
                <w:szCs w:val="18"/>
                <w:color w:val="auto"/>
              </w:rPr>
              <w:t>Current portion of lease liabilities</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7,848</w:t>
            </w:r>
          </w:p>
        </w:tc>
        <w:tc>
          <w:tcPr>
            <w:tcW w:w="1260" w:type="dxa"/>
            <w:vAlign w:val="bottom"/>
          </w:tcPr>
          <w:p>
            <w:pPr>
              <w:jc w:val="right"/>
              <w:spacing w:after="0"/>
              <w:rPr>
                <w:sz w:val="20"/>
                <w:szCs w:val="20"/>
                <w:color w:val="auto"/>
              </w:rPr>
            </w:pPr>
            <w:r>
              <w:rPr>
                <w:rFonts w:ascii="Arial" w:cs="Arial" w:eastAsia="Arial" w:hAnsi="Arial"/>
                <w:sz w:val="18"/>
                <w:szCs w:val="18"/>
                <w:color w:val="auto"/>
              </w:rPr>
              <w:t>7,859</w:t>
            </w:r>
          </w:p>
        </w:tc>
      </w:tr>
      <w:tr>
        <w:trPr>
          <w:trHeight w:val="230"/>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39,383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28,608</w:t>
            </w:r>
          </w:p>
        </w:tc>
      </w:tr>
      <w:tr>
        <w:trPr>
          <w:trHeight w:val="229"/>
        </w:trPr>
        <w:tc>
          <w:tcPr>
            <w:tcW w:w="7820" w:type="dxa"/>
            <w:vAlign w:val="bottom"/>
          </w:tcPr>
          <w:p>
            <w:pPr>
              <w:ind w:left="180"/>
              <w:spacing w:after="0"/>
              <w:rPr>
                <w:sz w:val="20"/>
                <w:szCs w:val="20"/>
                <w:color w:val="auto"/>
              </w:rPr>
            </w:pPr>
            <w:r>
              <w:rPr>
                <w:rFonts w:ascii="Arial" w:cs="Arial" w:eastAsia="Arial" w:hAnsi="Arial"/>
                <w:sz w:val="18"/>
                <w:szCs w:val="18"/>
                <w:color w:val="auto"/>
              </w:rPr>
              <w:t>Compensation and other accrued liabilities</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39,945</w:t>
            </w:r>
          </w:p>
        </w:tc>
        <w:tc>
          <w:tcPr>
            <w:tcW w:w="1260" w:type="dxa"/>
            <w:vAlign w:val="bottom"/>
          </w:tcPr>
          <w:p>
            <w:pPr>
              <w:jc w:val="right"/>
              <w:spacing w:after="0"/>
              <w:rPr>
                <w:sz w:val="20"/>
                <w:szCs w:val="20"/>
                <w:color w:val="auto"/>
              </w:rPr>
            </w:pPr>
            <w:r>
              <w:rPr>
                <w:rFonts w:ascii="Arial" w:cs="Arial" w:eastAsia="Arial" w:hAnsi="Arial"/>
                <w:sz w:val="18"/>
                <w:szCs w:val="18"/>
                <w:color w:val="auto"/>
              </w:rPr>
              <w:t>44,740</w:t>
            </w:r>
          </w:p>
        </w:tc>
      </w:tr>
      <w:tr>
        <w:trPr>
          <w:trHeight w:val="229"/>
        </w:trPr>
        <w:tc>
          <w:tcPr>
            <w:tcW w:w="7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Unearned revenue</w:t>
            </w:r>
          </w:p>
        </w:tc>
        <w:tc>
          <w:tcPr>
            <w:tcW w:w="2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48,750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49,929</w:t>
            </w:r>
          </w:p>
        </w:tc>
      </w:tr>
      <w:tr>
        <w:trPr>
          <w:trHeight w:val="223"/>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current liabilities</w:t>
            </w:r>
          </w:p>
        </w:tc>
        <w:tc>
          <w:tcPr>
            <w:tcW w:w="2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135,926</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131,136</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current maturities</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462,554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462,554</w:t>
            </w: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44,062</w:t>
            </w:r>
          </w:p>
        </w:tc>
        <w:tc>
          <w:tcPr>
            <w:tcW w:w="1260" w:type="dxa"/>
            <w:vAlign w:val="bottom"/>
          </w:tcPr>
          <w:p>
            <w:pPr>
              <w:jc w:val="right"/>
              <w:spacing w:after="0"/>
              <w:rPr>
                <w:sz w:val="20"/>
                <w:szCs w:val="20"/>
                <w:color w:val="auto"/>
              </w:rPr>
            </w:pPr>
            <w:r>
              <w:rPr>
                <w:rFonts w:ascii="Arial" w:cs="Arial" w:eastAsia="Arial" w:hAnsi="Arial"/>
                <w:sz w:val="18"/>
                <w:szCs w:val="18"/>
                <w:color w:val="auto"/>
              </w:rPr>
              <w:t>46,003</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obligations</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984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Postretirement and postemployment benefit obligations</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9,291</w:t>
            </w:r>
          </w:p>
        </w:tc>
        <w:tc>
          <w:tcPr>
            <w:tcW w:w="1260" w:type="dxa"/>
            <w:vAlign w:val="bottom"/>
          </w:tcPr>
          <w:p>
            <w:pPr>
              <w:jc w:val="right"/>
              <w:spacing w:after="0"/>
              <w:rPr>
                <w:sz w:val="20"/>
                <w:szCs w:val="20"/>
                <w:color w:val="auto"/>
              </w:rPr>
            </w:pPr>
            <w:r>
              <w:rPr>
                <w:rFonts w:ascii="Arial" w:cs="Arial" w:eastAsia="Arial" w:hAnsi="Arial"/>
                <w:sz w:val="18"/>
                <w:szCs w:val="18"/>
                <w:color w:val="auto"/>
              </w:rPr>
              <w:t>9,221</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42,503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42,719</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8,446</w:t>
            </w:r>
          </w:p>
        </w:tc>
        <w:tc>
          <w:tcPr>
            <w:tcW w:w="1260" w:type="dxa"/>
            <w:vAlign w:val="bottom"/>
          </w:tcPr>
          <w:p>
            <w:pPr>
              <w:jc w:val="right"/>
              <w:spacing w:after="0"/>
              <w:rPr>
                <w:sz w:val="20"/>
                <w:szCs w:val="20"/>
                <w:color w:val="auto"/>
              </w:rPr>
            </w:pPr>
            <w:r>
              <w:rPr>
                <w:rFonts w:ascii="Arial" w:cs="Arial" w:eastAsia="Arial" w:hAnsi="Arial"/>
                <w:sz w:val="18"/>
                <w:szCs w:val="18"/>
                <w:color w:val="auto"/>
              </w:rPr>
              <w:t>8,292</w:t>
            </w:r>
          </w:p>
        </w:tc>
      </w:tr>
      <w:tr>
        <w:trPr>
          <w:trHeight w:val="229"/>
        </w:trPr>
        <w:tc>
          <w:tcPr>
            <w:tcW w:w="7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Withdrawal liabilities and other</w:t>
            </w:r>
          </w:p>
        </w:tc>
        <w:tc>
          <w:tcPr>
            <w:tcW w:w="2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25,512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25,914</w:t>
            </w:r>
          </w:p>
        </w:tc>
      </w:tr>
      <w:tr>
        <w:trPr>
          <w:trHeight w:val="223"/>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w:t>
            </w:r>
          </w:p>
        </w:tc>
        <w:tc>
          <w:tcPr>
            <w:tcW w:w="2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729,278</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726,805</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820" w:type="dxa"/>
            <w:vAlign w:val="bottom"/>
          </w:tcPr>
          <w:p>
            <w:pPr>
              <w:ind w:left="180"/>
              <w:spacing w:after="0"/>
              <w:rPr>
                <w:sz w:val="20"/>
                <w:szCs w:val="20"/>
                <w:color w:val="auto"/>
              </w:rPr>
            </w:pPr>
            <w:r>
              <w:rPr>
                <w:rFonts w:ascii="Arial" w:cs="Arial" w:eastAsia="Arial" w:hAnsi="Arial"/>
                <w:sz w:val="18"/>
                <w:szCs w:val="18"/>
                <w:color w:val="auto"/>
              </w:rPr>
              <w:t>Stockholders' equity:</w:t>
            </w:r>
          </w:p>
        </w:tc>
        <w:tc>
          <w:tcPr>
            <w:tcW w:w="2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Serial convertible preferred stock, no par value; authorized 500 shares; none issued</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20" w:type="dxa"/>
            <w:vAlign w:val="bottom"/>
          </w:tcPr>
          <w:p>
            <w:pPr>
              <w:ind w:left="180"/>
              <w:spacing w:after="0"/>
              <w:rPr>
                <w:sz w:val="20"/>
                <w:szCs w:val="20"/>
                <w:color w:val="auto"/>
              </w:rPr>
            </w:pPr>
            <w:r>
              <w:rPr>
                <w:rFonts w:ascii="Arial" w:cs="Arial" w:eastAsia="Arial" w:hAnsi="Arial"/>
                <w:sz w:val="18"/>
                <w:szCs w:val="18"/>
                <w:color w:val="auto"/>
              </w:rPr>
              <w:t>Common Stock, $0.01 par value; authorized 12,000 shares; issued and outstanding:</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60</w:t>
            </w:r>
          </w:p>
        </w:tc>
        <w:tc>
          <w:tcPr>
            <w:tcW w:w="12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25, 2022; 6,043 shares; $0.01 par value</w:t>
            </w:r>
          </w:p>
        </w:tc>
        <w:tc>
          <w:tcPr>
            <w:tcW w:w="2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September 25, 2022; 5,979 shares; $0.01 par value</w:t>
            </w:r>
          </w:p>
        </w:tc>
        <w:tc>
          <w:tcPr>
            <w:tcW w:w="2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B Common Stock, $2 par value; authorized 3,000 shares; none issued</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259,487</w:t>
            </w:r>
          </w:p>
        </w:tc>
        <w:tc>
          <w:tcPr>
            <w:tcW w:w="1260" w:type="dxa"/>
            <w:vAlign w:val="bottom"/>
          </w:tcPr>
          <w:p>
            <w:pPr>
              <w:jc w:val="right"/>
              <w:spacing w:after="0"/>
              <w:rPr>
                <w:sz w:val="20"/>
                <w:szCs w:val="20"/>
                <w:color w:val="auto"/>
              </w:rPr>
            </w:pPr>
            <w:r>
              <w:rPr>
                <w:rFonts w:ascii="Arial" w:cs="Arial" w:eastAsia="Arial" w:hAnsi="Arial"/>
                <w:sz w:val="18"/>
                <w:szCs w:val="18"/>
                <w:color w:val="auto"/>
              </w:rPr>
              <w:t>259,521</w:t>
            </w:r>
          </w:p>
        </w:tc>
      </w:tr>
      <w:tr>
        <w:trPr>
          <w:trHeight w:val="230"/>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1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(260,130)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(261,229)</w:t>
            </w:r>
          </w:p>
        </w:tc>
      </w:tr>
      <w:tr>
        <w:trPr>
          <w:trHeight w:val="230"/>
        </w:trPr>
        <w:tc>
          <w:tcPr>
            <w:tcW w:w="7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16,513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16,653</w:t>
            </w:r>
          </w:p>
        </w:tc>
      </w:tr>
      <w:tr>
        <w:trPr>
          <w:trHeight w:val="223"/>
        </w:trPr>
        <w:tc>
          <w:tcPr>
            <w:tcW w:w="7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2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15,930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15,005</w:t>
            </w:r>
          </w:p>
        </w:tc>
      </w:tr>
      <w:tr>
        <w:trPr>
          <w:trHeight w:val="223"/>
        </w:trPr>
        <w:tc>
          <w:tcPr>
            <w:tcW w:w="7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Non-controlling interests</w:t>
            </w:r>
          </w:p>
        </w:tc>
        <w:tc>
          <w:tcPr>
            <w:tcW w:w="2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2,488</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w:t>
            </w:r>
          </w:p>
        </w:tc>
      </w:tr>
      <w:tr>
        <w:trPr>
          <w:trHeight w:val="223"/>
        </w:trPr>
        <w:tc>
          <w:tcPr>
            <w:tcW w:w="7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2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18,418</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17,237</w:t>
            </w:r>
          </w:p>
        </w:tc>
      </w:tr>
      <w:tr>
        <w:trPr>
          <w:trHeight w:val="223"/>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 and equity</w:t>
            </w:r>
          </w:p>
        </w:tc>
        <w:tc>
          <w:tcPr>
            <w:tcW w:w="2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747,696</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744,042</w:t>
            </w:r>
          </w:p>
        </w:tc>
      </w:tr>
      <w:tr>
        <w:trPr>
          <w:trHeight w:val="20"/>
        </w:trPr>
        <w:tc>
          <w:tcPr>
            <w:tcW w:w="78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(LOSS)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9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(Thousands of Dollars, Except Per Common Share Data)</w:t>
            </w:r>
          </w:p>
        </w:tc>
        <w:tc>
          <w:tcPr>
            <w:tcW w:w="2860" w:type="dxa"/>
            <w:vAlign w:val="bottom"/>
            <w:tcBorders>
              <w:top w:val="single" w:sz="8" w:color="auto"/>
            </w:tcBorders>
          </w:tcPr>
          <w:p>
            <w:pPr>
              <w:jc w:val="right"/>
              <w:ind w:right="190"/>
              <w:spacing w:after="0" w:line="169" w:lineRule="exact"/>
              <w:rPr>
                <w:sz w:val="20"/>
                <w:szCs w:val="20"/>
                <w:color w:val="auto"/>
              </w:rPr>
            </w:pPr>
            <w:r>
              <w:rPr>
                <w:rFonts w:ascii="Arial" w:cs="Arial" w:eastAsia="Arial" w:hAnsi="Arial"/>
                <w:sz w:val="18"/>
                <w:szCs w:val="18"/>
                <w:color w:val="auto"/>
              </w:rPr>
              <w:t>December 25,</w:t>
            </w:r>
          </w:p>
        </w:tc>
        <w:tc>
          <w:tcPr>
            <w:tcW w:w="14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December 26,</w:t>
            </w:r>
          </w:p>
        </w:tc>
        <w:tc>
          <w:tcPr>
            <w:tcW w:w="0" w:type="dxa"/>
            <w:vAlign w:val="bottom"/>
          </w:tcPr>
          <w:p>
            <w:pPr>
              <w:spacing w:after="0"/>
              <w:rPr>
                <w:sz w:val="1"/>
                <w:szCs w:val="1"/>
                <w:color w:val="auto"/>
              </w:rPr>
            </w:pPr>
          </w:p>
        </w:tc>
      </w:tr>
      <w:tr>
        <w:trPr>
          <w:trHeight w:val="243"/>
        </w:trPr>
        <w:tc>
          <w:tcPr>
            <w:tcW w:w="6940" w:type="dxa"/>
            <w:vAlign w:val="bottom"/>
            <w:tcBorders>
              <w:bottom w:val="single" w:sz="8" w:color="auto"/>
            </w:tcBorders>
            <w:vMerge w:val="continue"/>
          </w:tcPr>
          <w:p>
            <w:pPr>
              <w:spacing w:after="0"/>
              <w:rPr>
                <w:sz w:val="21"/>
                <w:szCs w:val="21"/>
                <w:color w:val="auto"/>
              </w:rPr>
            </w:pPr>
          </w:p>
        </w:tc>
        <w:tc>
          <w:tcPr>
            <w:tcW w:w="2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50"/>
        </w:trPr>
        <w:tc>
          <w:tcPr>
            <w:tcW w:w="694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8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180"/>
              <w:spacing w:after="0"/>
              <w:rPr>
                <w:sz w:val="20"/>
                <w:szCs w:val="20"/>
                <w:color w:val="auto"/>
              </w:rPr>
            </w:pPr>
            <w:r>
              <w:rPr>
                <w:rFonts w:ascii="Arial" w:cs="Arial" w:eastAsia="Arial" w:hAnsi="Arial"/>
                <w:sz w:val="18"/>
                <w:szCs w:val="18"/>
                <w:color w:val="auto"/>
              </w:rPr>
              <w:t>Advertising and marketing services</w:t>
            </w:r>
          </w:p>
        </w:tc>
        <w:tc>
          <w:tcPr>
            <w:tcW w:w="2860" w:type="dxa"/>
            <w:vAlign w:val="bottom"/>
          </w:tcPr>
          <w:p>
            <w:pPr>
              <w:jc w:val="right"/>
              <w:ind w:right="250"/>
              <w:spacing w:after="0"/>
              <w:rPr>
                <w:sz w:val="20"/>
                <w:szCs w:val="20"/>
                <w:color w:val="auto"/>
              </w:rPr>
            </w:pPr>
            <w:r>
              <w:rPr>
                <w:rFonts w:ascii="Arial" w:cs="Arial" w:eastAsia="Arial" w:hAnsi="Arial"/>
                <w:sz w:val="18"/>
                <w:szCs w:val="18"/>
                <w:color w:val="auto"/>
              </w:rPr>
              <w:t>89,585</w:t>
            </w:r>
          </w:p>
        </w:tc>
        <w:tc>
          <w:tcPr>
            <w:tcW w:w="1440" w:type="dxa"/>
            <w:vAlign w:val="bottom"/>
          </w:tcPr>
          <w:p>
            <w:pPr>
              <w:jc w:val="right"/>
              <w:spacing w:after="0"/>
              <w:rPr>
                <w:sz w:val="20"/>
                <w:szCs w:val="20"/>
                <w:color w:val="auto"/>
              </w:rPr>
            </w:pPr>
            <w:r>
              <w:rPr>
                <w:rFonts w:ascii="Arial" w:cs="Arial" w:eastAsia="Arial" w:hAnsi="Arial"/>
                <w:sz w:val="18"/>
                <w:szCs w:val="18"/>
                <w:color w:val="auto"/>
              </w:rPr>
              <w:t>98,754</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Subscription</w:t>
            </w:r>
          </w:p>
        </w:tc>
        <w:tc>
          <w:tcPr>
            <w:tcW w:w="28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79,699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87,519</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w:t>
            </w:r>
          </w:p>
        </w:tc>
        <w:tc>
          <w:tcPr>
            <w:tcW w:w="2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15,847</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16,009</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28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185,131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202,282</w:t>
            </w:r>
          </w:p>
        </w:tc>
        <w:tc>
          <w:tcPr>
            <w:tcW w:w="0" w:type="dxa"/>
            <w:vAlign w:val="bottom"/>
          </w:tcPr>
          <w:p>
            <w:pPr>
              <w:spacing w:after="0"/>
              <w:rPr>
                <w:sz w:val="1"/>
                <w:szCs w:val="1"/>
                <w:color w:val="auto"/>
              </w:rPr>
            </w:pP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28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75,446</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84,694</w:t>
            </w:r>
          </w:p>
        </w:tc>
        <w:tc>
          <w:tcPr>
            <w:tcW w:w="0" w:type="dxa"/>
            <w:vAlign w:val="bottom"/>
          </w:tcPr>
          <w:p>
            <w:pPr>
              <w:spacing w:after="0"/>
              <w:rPr>
                <w:sz w:val="1"/>
                <w:szCs w:val="1"/>
                <w:color w:val="auto"/>
              </w:rPr>
            </w:pPr>
          </w:p>
        </w:tc>
      </w:tr>
      <w:tr>
        <w:trPr>
          <w:trHeight w:val="229"/>
        </w:trPr>
        <w:tc>
          <w:tcPr>
            <w:tcW w:w="6940" w:type="dxa"/>
            <w:vAlign w:val="bottom"/>
          </w:tcPr>
          <w:p>
            <w:pPr>
              <w:ind w:left="180"/>
              <w:spacing w:after="0"/>
              <w:rPr>
                <w:sz w:val="20"/>
                <w:szCs w:val="20"/>
                <w:color w:val="auto"/>
              </w:rPr>
            </w:pPr>
            <w:r>
              <w:rPr>
                <w:rFonts w:ascii="Arial" w:cs="Arial" w:eastAsia="Arial" w:hAnsi="Arial"/>
                <w:sz w:val="18"/>
                <w:szCs w:val="18"/>
                <w:color w:val="auto"/>
              </w:rPr>
              <w:t>Newsprint and ink</w:t>
            </w:r>
          </w:p>
        </w:tc>
        <w:tc>
          <w:tcPr>
            <w:tcW w:w="2860" w:type="dxa"/>
            <w:vAlign w:val="bottom"/>
          </w:tcPr>
          <w:p>
            <w:pPr>
              <w:jc w:val="right"/>
              <w:ind w:right="250"/>
              <w:spacing w:after="0"/>
              <w:rPr>
                <w:sz w:val="20"/>
                <w:szCs w:val="20"/>
                <w:color w:val="auto"/>
              </w:rPr>
            </w:pPr>
            <w:r>
              <w:rPr>
                <w:rFonts w:ascii="Arial" w:cs="Arial" w:eastAsia="Arial" w:hAnsi="Arial"/>
                <w:sz w:val="18"/>
                <w:szCs w:val="18"/>
                <w:color w:val="auto"/>
              </w:rPr>
              <w:t>7,432</w:t>
            </w:r>
          </w:p>
        </w:tc>
        <w:tc>
          <w:tcPr>
            <w:tcW w:w="1440" w:type="dxa"/>
            <w:vAlign w:val="bottom"/>
          </w:tcPr>
          <w:p>
            <w:pPr>
              <w:jc w:val="right"/>
              <w:spacing w:after="0"/>
              <w:rPr>
                <w:sz w:val="20"/>
                <w:szCs w:val="20"/>
                <w:color w:val="auto"/>
              </w:rPr>
            </w:pPr>
            <w:r>
              <w:rPr>
                <w:rFonts w:ascii="Arial" w:cs="Arial" w:eastAsia="Arial" w:hAnsi="Arial"/>
                <w:sz w:val="18"/>
                <w:szCs w:val="18"/>
                <w:color w:val="auto"/>
              </w:rPr>
              <w:t>7,644</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expenses</w:t>
            </w:r>
          </w:p>
        </w:tc>
        <w:tc>
          <w:tcPr>
            <w:tcW w:w="28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86,774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85,982</w:t>
            </w:r>
          </w:p>
        </w:tc>
        <w:tc>
          <w:tcPr>
            <w:tcW w:w="0" w:type="dxa"/>
            <w:vAlign w:val="bottom"/>
          </w:tcPr>
          <w:p>
            <w:pPr>
              <w:spacing w:after="0"/>
              <w:rPr>
                <w:sz w:val="1"/>
                <w:szCs w:val="1"/>
                <w:color w:val="auto"/>
              </w:rPr>
            </w:pPr>
          </w:p>
        </w:tc>
      </w:tr>
      <w:tr>
        <w:trPr>
          <w:trHeight w:val="230"/>
        </w:trPr>
        <w:tc>
          <w:tcPr>
            <w:tcW w:w="69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60" w:type="dxa"/>
            <w:vAlign w:val="bottom"/>
          </w:tcPr>
          <w:p>
            <w:pPr>
              <w:jc w:val="right"/>
              <w:ind w:right="250"/>
              <w:spacing w:after="0"/>
              <w:rPr>
                <w:sz w:val="20"/>
                <w:szCs w:val="20"/>
                <w:color w:val="auto"/>
              </w:rPr>
            </w:pPr>
            <w:r>
              <w:rPr>
                <w:rFonts w:ascii="Arial" w:cs="Arial" w:eastAsia="Arial" w:hAnsi="Arial"/>
                <w:sz w:val="18"/>
                <w:szCs w:val="18"/>
                <w:color w:val="auto"/>
              </w:rPr>
              <w:t>7,886</w:t>
            </w:r>
          </w:p>
        </w:tc>
        <w:tc>
          <w:tcPr>
            <w:tcW w:w="1440" w:type="dxa"/>
            <w:vAlign w:val="bottom"/>
          </w:tcPr>
          <w:p>
            <w:pPr>
              <w:jc w:val="right"/>
              <w:spacing w:after="0"/>
              <w:rPr>
                <w:sz w:val="20"/>
                <w:szCs w:val="20"/>
                <w:color w:val="auto"/>
              </w:rPr>
            </w:pPr>
            <w:r>
              <w:rPr>
                <w:rFonts w:ascii="Arial" w:cs="Arial" w:eastAsia="Arial" w:hAnsi="Arial"/>
                <w:sz w:val="18"/>
                <w:szCs w:val="18"/>
                <w:color w:val="auto"/>
              </w:rPr>
              <w:t>9,676</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gain on sales, impairments and other, net</w:t>
            </w:r>
          </w:p>
        </w:tc>
        <w:tc>
          <w:tcPr>
            <w:tcW w:w="28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(2,563)</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(12,274)</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Restructuring costs and other</w:t>
            </w:r>
          </w:p>
        </w:tc>
        <w:tc>
          <w:tcPr>
            <w:tcW w:w="2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646</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8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175,621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178,922</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 earnings of associated companies</w:t>
            </w:r>
          </w:p>
        </w:tc>
        <w:tc>
          <w:tcPr>
            <w:tcW w:w="2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1,668</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11,178</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25,114</w:t>
            </w:r>
          </w:p>
        </w:tc>
        <w:tc>
          <w:tcPr>
            <w:tcW w:w="0" w:type="dxa"/>
            <w:vAlign w:val="bottom"/>
          </w:tcPr>
          <w:p>
            <w:pPr>
              <w:spacing w:after="0"/>
              <w:rPr>
                <w:sz w:val="1"/>
                <w:szCs w:val="1"/>
                <w:color w:val="auto"/>
              </w:rPr>
            </w:pP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Non-operating (expense) income:</w:t>
            </w:r>
          </w:p>
        </w:tc>
        <w:tc>
          <w:tcPr>
            <w:tcW w:w="2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8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(10,408)</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(10,663)</w:t>
            </w:r>
          </w:p>
        </w:tc>
        <w:tc>
          <w:tcPr>
            <w:tcW w:w="0" w:type="dxa"/>
            <w:vAlign w:val="bottom"/>
          </w:tcPr>
          <w:p>
            <w:pPr>
              <w:spacing w:after="0"/>
              <w:rPr>
                <w:sz w:val="1"/>
                <w:szCs w:val="1"/>
                <w:color w:val="auto"/>
              </w:rPr>
            </w:pPr>
          </w:p>
        </w:tc>
      </w:tr>
      <w:tr>
        <w:trPr>
          <w:trHeight w:val="230"/>
        </w:trPr>
        <w:tc>
          <w:tcPr>
            <w:tcW w:w="6940" w:type="dxa"/>
            <w:vAlign w:val="bottom"/>
          </w:tcPr>
          <w:p>
            <w:pPr>
              <w:ind w:left="180"/>
              <w:spacing w:after="0"/>
              <w:rPr>
                <w:sz w:val="20"/>
                <w:szCs w:val="20"/>
                <w:color w:val="auto"/>
              </w:rPr>
            </w:pPr>
            <w:r>
              <w:rPr>
                <w:rFonts w:ascii="Arial" w:cs="Arial" w:eastAsia="Arial" w:hAnsi="Arial"/>
                <w:sz w:val="18"/>
                <w:szCs w:val="18"/>
                <w:color w:val="auto"/>
              </w:rPr>
              <w:t>Curtailment gain</w:t>
            </w:r>
          </w:p>
        </w:tc>
        <w:tc>
          <w:tcPr>
            <w:tcW w:w="28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8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1,494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non-operating expense, net</w:t>
            </w:r>
          </w:p>
        </w:tc>
        <w:tc>
          <w:tcPr>
            <w:tcW w:w="2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(8,914)</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(6,564)</w:t>
            </w: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8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2,264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18,550</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w:t>
            </w:r>
          </w:p>
        </w:tc>
        <w:tc>
          <w:tcPr>
            <w:tcW w:w="2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440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5,351</w:t>
            </w: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1,824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13,199</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(725)</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attributable to Lee Enterprises, Incorporated</w:t>
            </w:r>
          </w:p>
        </w:tc>
        <w:tc>
          <w:tcPr>
            <w:tcW w:w="28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1,099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12,658</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comprehensive loss, net of income taxes</w:t>
            </w:r>
          </w:p>
        </w:tc>
        <w:tc>
          <w:tcPr>
            <w:tcW w:w="2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(140)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(6,112)</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Lee Enterprises, Incorporated</w:t>
            </w:r>
          </w:p>
        </w:tc>
        <w:tc>
          <w:tcPr>
            <w:tcW w:w="28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959</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6,546</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auto"/>
            </w:tcBorders>
          </w:tcPr>
          <w:p>
            <w:pPr>
              <w:spacing w:after="0" w:line="20" w:lineRule="exact"/>
              <w:rPr>
                <w:sz w:val="1"/>
                <w:szCs w:val="1"/>
                <w:color w:val="auto"/>
              </w:rPr>
            </w:pPr>
          </w:p>
        </w:tc>
        <w:tc>
          <w:tcPr>
            <w:tcW w:w="28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40" w:type="dxa"/>
            <w:vAlign w:val="bottom"/>
          </w:tcPr>
          <w:p>
            <w:pPr>
              <w:ind w:left="20"/>
              <w:spacing w:after="0" w:line="203" w:lineRule="exact"/>
              <w:rPr>
                <w:sz w:val="20"/>
                <w:szCs w:val="20"/>
                <w:color w:val="auto"/>
              </w:rPr>
            </w:pPr>
            <w:r>
              <w:rPr>
                <w:rFonts w:ascii="Arial" w:cs="Arial" w:eastAsia="Arial" w:hAnsi="Arial"/>
                <w:sz w:val="18"/>
                <w:szCs w:val="18"/>
                <w:color w:val="auto"/>
              </w:rPr>
              <w:t>Earnings per common share:</w:t>
            </w:r>
          </w:p>
        </w:tc>
        <w:tc>
          <w:tcPr>
            <w:tcW w:w="28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0.19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Diluted:</w:t>
            </w:r>
          </w:p>
        </w:tc>
        <w:tc>
          <w:tcPr>
            <w:tcW w:w="2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0.19</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694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0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tcPr>
          <w:p>
            <w:pPr>
              <w:jc w:val="right"/>
              <w:ind w:right="350"/>
              <w:spacing w:after="0" w:line="189" w:lineRule="exact"/>
              <w:rPr>
                <w:sz w:val="20"/>
                <w:szCs w:val="20"/>
                <w:color w:val="auto"/>
              </w:rPr>
            </w:pPr>
            <w:r>
              <w:rPr>
                <w:rFonts w:ascii="Arial" w:cs="Arial" w:eastAsia="Arial" w:hAnsi="Arial"/>
                <w:sz w:val="18"/>
                <w:szCs w:val="18"/>
                <w:color w:val="auto"/>
              </w:rPr>
              <w:t>Accumulated</w:t>
            </w: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900" w:type="dxa"/>
            <w:vAlign w:val="bottom"/>
          </w:tcPr>
          <w:p>
            <w:pPr>
              <w:spacing w:after="0"/>
              <w:rPr>
                <w:sz w:val="15"/>
                <w:szCs w:val="15"/>
                <w:color w:val="auto"/>
              </w:rPr>
            </w:pPr>
          </w:p>
        </w:tc>
        <w:tc>
          <w:tcPr>
            <w:tcW w:w="1960" w:type="dxa"/>
            <w:vAlign w:val="bottom"/>
            <w:vMerge w:val="restart"/>
          </w:tcPr>
          <w:p>
            <w:pPr>
              <w:jc w:val="right"/>
              <w:ind w:right="130"/>
              <w:spacing w:after="0"/>
              <w:rPr>
                <w:sz w:val="20"/>
                <w:szCs w:val="20"/>
                <w:color w:val="auto"/>
              </w:rPr>
            </w:pPr>
            <w:r>
              <w:rPr>
                <w:rFonts w:ascii="Arial" w:cs="Arial" w:eastAsia="Arial" w:hAnsi="Arial"/>
                <w:sz w:val="18"/>
                <w:szCs w:val="18"/>
                <w:color w:val="auto"/>
              </w:rPr>
              <w:t>Accumulated</w:t>
            </w:r>
          </w:p>
        </w:tc>
        <w:tc>
          <w:tcPr>
            <w:tcW w:w="1720" w:type="dxa"/>
            <w:vAlign w:val="bottom"/>
          </w:tcPr>
          <w:p>
            <w:pPr>
              <w:spacing w:after="0"/>
              <w:rPr>
                <w:sz w:val="15"/>
                <w:szCs w:val="15"/>
                <w:color w:val="auto"/>
              </w:rPr>
            </w:pPr>
          </w:p>
        </w:tc>
        <w:tc>
          <w:tcPr>
            <w:tcW w:w="1620" w:type="dxa"/>
            <w:vAlign w:val="bottom"/>
            <w:vMerge w:val="restart"/>
          </w:tcPr>
          <w:p>
            <w:pPr>
              <w:jc w:val="right"/>
              <w:ind w:right="190"/>
              <w:spacing w:after="0"/>
              <w:rPr>
                <w:sz w:val="20"/>
                <w:szCs w:val="20"/>
                <w:color w:val="auto"/>
              </w:rPr>
            </w:pPr>
            <w:r>
              <w:rPr>
                <w:rFonts w:ascii="Arial" w:cs="Arial" w:eastAsia="Arial" w:hAnsi="Arial"/>
                <w:sz w:val="18"/>
                <w:szCs w:val="18"/>
                <w:color w:val="auto"/>
              </w:rPr>
              <w:t>Additional</w:t>
            </w:r>
          </w:p>
        </w:tc>
        <w:tc>
          <w:tcPr>
            <w:tcW w:w="1980" w:type="dxa"/>
            <w:vAlign w:val="bottom"/>
          </w:tcPr>
          <w:p>
            <w:pPr>
              <w:jc w:val="right"/>
              <w:ind w:right="350"/>
              <w:spacing w:after="0" w:line="176" w:lineRule="exact"/>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960" w:type="dxa"/>
            <w:vAlign w:val="bottom"/>
            <w:vMerge w:val="continue"/>
          </w:tcPr>
          <w:p>
            <w:pPr>
              <w:spacing w:after="0"/>
              <w:rPr>
                <w:sz w:val="15"/>
                <w:szCs w:val="15"/>
                <w:color w:val="auto"/>
              </w:rPr>
            </w:pPr>
          </w:p>
        </w:tc>
        <w:tc>
          <w:tcPr>
            <w:tcW w:w="1720" w:type="dxa"/>
            <w:vAlign w:val="bottom"/>
            <w:vMerge w:val="restart"/>
          </w:tcPr>
          <w:p>
            <w:pPr>
              <w:jc w:val="right"/>
              <w:ind w:right="150"/>
              <w:spacing w:after="0"/>
              <w:rPr>
                <w:sz w:val="20"/>
                <w:szCs w:val="20"/>
                <w:color w:val="auto"/>
              </w:rPr>
            </w:pPr>
            <w:r>
              <w:rPr>
                <w:rFonts w:ascii="Arial" w:cs="Arial" w:eastAsia="Arial" w:hAnsi="Arial"/>
                <w:sz w:val="18"/>
                <w:szCs w:val="18"/>
                <w:color w:val="auto"/>
              </w:rPr>
              <w:t>Common Stock</w:t>
            </w:r>
          </w:p>
        </w:tc>
        <w:tc>
          <w:tcPr>
            <w:tcW w:w="1620" w:type="dxa"/>
            <w:vAlign w:val="bottom"/>
            <w:vMerge w:val="continue"/>
          </w:tcPr>
          <w:p>
            <w:pPr>
              <w:spacing w:after="0"/>
              <w:rPr>
                <w:sz w:val="15"/>
                <w:szCs w:val="15"/>
                <w:color w:val="auto"/>
              </w:rPr>
            </w:pPr>
          </w:p>
        </w:tc>
        <w:tc>
          <w:tcPr>
            <w:tcW w:w="1980" w:type="dxa"/>
            <w:vAlign w:val="bottom"/>
          </w:tcPr>
          <w:p>
            <w:pPr>
              <w:jc w:val="right"/>
              <w:ind w:right="350"/>
              <w:spacing w:after="0" w:line="176" w:lineRule="exact"/>
              <w:rPr>
                <w:sz w:val="20"/>
                <w:szCs w:val="20"/>
                <w:color w:val="auto"/>
              </w:rPr>
            </w:pPr>
            <w:r>
              <w:rPr>
                <w:rFonts w:ascii="Arial" w:cs="Arial" w:eastAsia="Arial" w:hAnsi="Arial"/>
                <w:sz w:val="18"/>
                <w:szCs w:val="18"/>
                <w:color w:val="auto"/>
              </w:rPr>
              <w:t>Comprehensive</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3"/>
        </w:trPr>
        <w:tc>
          <w:tcPr>
            <w:tcW w:w="2900" w:type="dxa"/>
            <w:vAlign w:val="bottom"/>
            <w:tcBorders>
              <w:bottom w:val="single" w:sz="8" w:color="auto"/>
            </w:tcBorders>
            <w:vMerge w:val="continue"/>
          </w:tcPr>
          <w:p>
            <w:pPr>
              <w:spacing w:after="0"/>
              <w:rPr>
                <w:sz w:val="21"/>
                <w:szCs w:val="21"/>
                <w:color w:val="auto"/>
              </w:rPr>
            </w:pPr>
          </w:p>
        </w:tc>
        <w:tc>
          <w:tcPr>
            <w:tcW w:w="1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Deficit</w:t>
            </w:r>
          </w:p>
        </w:tc>
        <w:tc>
          <w:tcPr>
            <w:tcW w:w="1720" w:type="dxa"/>
            <w:vAlign w:val="bottom"/>
            <w:tcBorders>
              <w:bottom w:val="single" w:sz="8" w:color="auto"/>
            </w:tcBorders>
            <w:vMerge w:val="continue"/>
          </w:tcPr>
          <w:p>
            <w:pPr>
              <w:spacing w:after="0"/>
              <w:rPr>
                <w:sz w:val="21"/>
                <w:szCs w:val="21"/>
                <w:color w:val="auto"/>
              </w:rPr>
            </w:pPr>
          </w:p>
        </w:tc>
        <w:tc>
          <w:tcPr>
            <w:tcW w:w="1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paid-in capital</w:t>
            </w:r>
          </w:p>
        </w:tc>
        <w:tc>
          <w:tcPr>
            <w:tcW w:w="1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Income</w:t>
            </w:r>
          </w:p>
        </w:tc>
        <w:tc>
          <w:tcPr>
            <w:tcW w:w="10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9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26, 2022</w:t>
            </w:r>
          </w:p>
        </w:tc>
        <w:tc>
          <w:tcPr>
            <w:tcW w:w="1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(261,229)</w:t>
            </w:r>
          </w:p>
        </w:tc>
        <w:tc>
          <w:tcPr>
            <w:tcW w:w="17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60</w:t>
            </w:r>
          </w:p>
        </w:tc>
        <w:tc>
          <w:tcPr>
            <w:tcW w:w="1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259,521</w:t>
            </w:r>
          </w:p>
        </w:tc>
        <w:tc>
          <w:tcPr>
            <w:tcW w:w="19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16,653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15,005</w:t>
            </w: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Shares issued (redeemed)</w:t>
            </w:r>
          </w:p>
        </w:tc>
        <w:tc>
          <w:tcPr>
            <w:tcW w:w="1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(383)</w:t>
            </w:r>
          </w:p>
        </w:tc>
        <w:tc>
          <w:tcPr>
            <w:tcW w:w="19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175"/>
        </w:trPr>
        <w:tc>
          <w:tcPr>
            <w:tcW w:w="2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Income attributable to Lee</w:t>
            </w:r>
          </w:p>
        </w:tc>
        <w:tc>
          <w:tcPr>
            <w:tcW w:w="196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1,099</w:t>
            </w:r>
          </w:p>
        </w:tc>
        <w:tc>
          <w:tcPr>
            <w:tcW w:w="17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980" w:type="dxa"/>
            <w:vAlign w:val="bottom"/>
            <w:vMerge w:val="restart"/>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43"/>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Enterprises, Incorporated</w:t>
            </w:r>
          </w:p>
        </w:tc>
        <w:tc>
          <w:tcPr>
            <w:tcW w:w="1960" w:type="dxa"/>
            <w:vAlign w:val="bottom"/>
            <w:vMerge w:val="continue"/>
            <w:shd w:val="clear" w:color="auto" w:fill="CCEEFF"/>
          </w:tcPr>
          <w:p>
            <w:pPr>
              <w:spacing w:after="0"/>
              <w:rPr>
                <w:sz w:val="21"/>
                <w:szCs w:val="21"/>
                <w:color w:val="auto"/>
              </w:rPr>
            </w:pPr>
          </w:p>
        </w:tc>
        <w:tc>
          <w:tcPr>
            <w:tcW w:w="1720" w:type="dxa"/>
            <w:vAlign w:val="bottom"/>
            <w:vMerge w:val="continue"/>
            <w:shd w:val="clear" w:color="auto" w:fill="CCEEFF"/>
          </w:tcPr>
          <w:p>
            <w:pPr>
              <w:spacing w:after="0"/>
              <w:rPr>
                <w:sz w:val="21"/>
                <w:szCs w:val="21"/>
                <w:color w:val="auto"/>
              </w:rPr>
            </w:pPr>
          </w:p>
        </w:tc>
        <w:tc>
          <w:tcPr>
            <w:tcW w:w="1620" w:type="dxa"/>
            <w:vAlign w:val="bottom"/>
            <w:vMerge w:val="continue"/>
            <w:shd w:val="clear" w:color="auto" w:fill="CCEEFF"/>
          </w:tcPr>
          <w:p>
            <w:pPr>
              <w:spacing w:after="0"/>
              <w:rPr>
                <w:sz w:val="21"/>
                <w:szCs w:val="21"/>
                <w:color w:val="auto"/>
              </w:rPr>
            </w:pPr>
          </w:p>
        </w:tc>
        <w:tc>
          <w:tcPr>
            <w:tcW w:w="1980" w:type="dxa"/>
            <w:vAlign w:val="bottom"/>
            <w:vMerge w:val="continue"/>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50"/>
              <w:spacing w:after="0"/>
              <w:rPr>
                <w:sz w:val="20"/>
                <w:szCs w:val="20"/>
                <w:color w:val="auto"/>
              </w:rPr>
            </w:pPr>
            <w:r>
              <w:rPr>
                <w:rFonts w:ascii="Arial" w:cs="Arial" w:eastAsia="Arial" w:hAnsi="Arial"/>
                <w:sz w:val="18"/>
                <w:szCs w:val="18"/>
                <w:color w:val="auto"/>
              </w:rPr>
              <w:t>349</w:t>
            </w:r>
          </w:p>
        </w:tc>
        <w:tc>
          <w:tcPr>
            <w:tcW w:w="19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(200)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income taxes, net</w:t>
            </w:r>
          </w:p>
        </w:tc>
        <w:tc>
          <w:tcPr>
            <w:tcW w:w="1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60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8"/>
        </w:trPr>
        <w:tc>
          <w:tcPr>
            <w:tcW w:w="2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25, 2022</w:t>
            </w:r>
          </w:p>
        </w:tc>
        <w:tc>
          <w:tcPr>
            <w:tcW w:w="19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(260,130)</w:t>
            </w:r>
          </w:p>
        </w:tc>
        <w:tc>
          <w:tcPr>
            <w:tcW w:w="17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60</w:t>
            </w:r>
          </w:p>
        </w:tc>
        <w:tc>
          <w:tcPr>
            <w:tcW w:w="16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259,487</w:t>
            </w:r>
          </w:p>
        </w:tc>
        <w:tc>
          <w:tcPr>
            <w:tcW w:w="19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16,513</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15,930</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90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29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980" w:type="dxa"/>
            <w:vAlign w:val="bottom"/>
          </w:tcPr>
          <w:p>
            <w:pPr>
              <w:jc w:val="right"/>
              <w:ind w:right="350"/>
              <w:spacing w:after="0" w:line="169" w:lineRule="exact"/>
              <w:rPr>
                <w:sz w:val="20"/>
                <w:szCs w:val="20"/>
                <w:color w:val="auto"/>
              </w:rPr>
            </w:pPr>
            <w:r>
              <w:rPr>
                <w:rFonts w:ascii="Arial" w:cs="Arial" w:eastAsia="Arial" w:hAnsi="Arial"/>
                <w:sz w:val="18"/>
                <w:szCs w:val="18"/>
                <w:color w:val="auto"/>
              </w:rPr>
              <w:t>Accumulated</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1960" w:type="dxa"/>
            <w:vAlign w:val="bottom"/>
            <w:vMerge w:val="restart"/>
          </w:tcPr>
          <w:p>
            <w:pPr>
              <w:jc w:val="right"/>
              <w:ind w:right="130"/>
              <w:spacing w:after="0"/>
              <w:rPr>
                <w:sz w:val="20"/>
                <w:szCs w:val="20"/>
                <w:color w:val="auto"/>
              </w:rPr>
            </w:pPr>
            <w:r>
              <w:rPr>
                <w:rFonts w:ascii="Arial" w:cs="Arial" w:eastAsia="Arial" w:hAnsi="Arial"/>
                <w:sz w:val="18"/>
                <w:szCs w:val="18"/>
                <w:color w:val="auto"/>
              </w:rPr>
              <w:t>Accumulated</w:t>
            </w:r>
          </w:p>
        </w:tc>
        <w:tc>
          <w:tcPr>
            <w:tcW w:w="1720" w:type="dxa"/>
            <w:vAlign w:val="bottom"/>
          </w:tcPr>
          <w:p>
            <w:pPr>
              <w:spacing w:after="0"/>
              <w:rPr>
                <w:sz w:val="15"/>
                <w:szCs w:val="15"/>
                <w:color w:val="auto"/>
              </w:rPr>
            </w:pPr>
          </w:p>
        </w:tc>
        <w:tc>
          <w:tcPr>
            <w:tcW w:w="1620" w:type="dxa"/>
            <w:vAlign w:val="bottom"/>
            <w:vMerge w:val="restart"/>
          </w:tcPr>
          <w:p>
            <w:pPr>
              <w:jc w:val="right"/>
              <w:ind w:right="190"/>
              <w:spacing w:after="0"/>
              <w:rPr>
                <w:sz w:val="20"/>
                <w:szCs w:val="20"/>
                <w:color w:val="auto"/>
              </w:rPr>
            </w:pPr>
            <w:r>
              <w:rPr>
                <w:rFonts w:ascii="Arial" w:cs="Arial" w:eastAsia="Arial" w:hAnsi="Arial"/>
                <w:sz w:val="18"/>
                <w:szCs w:val="18"/>
                <w:color w:val="auto"/>
              </w:rPr>
              <w:t>Additional</w:t>
            </w:r>
          </w:p>
        </w:tc>
        <w:tc>
          <w:tcPr>
            <w:tcW w:w="1980" w:type="dxa"/>
            <w:vAlign w:val="bottom"/>
          </w:tcPr>
          <w:p>
            <w:pPr>
              <w:jc w:val="right"/>
              <w:ind w:right="350"/>
              <w:spacing w:after="0" w:line="176" w:lineRule="exact"/>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960" w:type="dxa"/>
            <w:vAlign w:val="bottom"/>
            <w:vMerge w:val="continue"/>
          </w:tcPr>
          <w:p>
            <w:pPr>
              <w:spacing w:after="0"/>
              <w:rPr>
                <w:sz w:val="15"/>
                <w:szCs w:val="15"/>
                <w:color w:val="auto"/>
              </w:rPr>
            </w:pPr>
          </w:p>
        </w:tc>
        <w:tc>
          <w:tcPr>
            <w:tcW w:w="1720" w:type="dxa"/>
            <w:vAlign w:val="bottom"/>
            <w:vMerge w:val="restart"/>
          </w:tcPr>
          <w:p>
            <w:pPr>
              <w:jc w:val="right"/>
              <w:ind w:right="150"/>
              <w:spacing w:after="0"/>
              <w:rPr>
                <w:sz w:val="20"/>
                <w:szCs w:val="20"/>
                <w:color w:val="auto"/>
              </w:rPr>
            </w:pPr>
            <w:r>
              <w:rPr>
                <w:rFonts w:ascii="Arial" w:cs="Arial" w:eastAsia="Arial" w:hAnsi="Arial"/>
                <w:sz w:val="18"/>
                <w:szCs w:val="18"/>
                <w:color w:val="auto"/>
              </w:rPr>
              <w:t>Common Stock</w:t>
            </w:r>
          </w:p>
        </w:tc>
        <w:tc>
          <w:tcPr>
            <w:tcW w:w="1620" w:type="dxa"/>
            <w:vAlign w:val="bottom"/>
            <w:vMerge w:val="continue"/>
          </w:tcPr>
          <w:p>
            <w:pPr>
              <w:spacing w:after="0"/>
              <w:rPr>
                <w:sz w:val="15"/>
                <w:szCs w:val="15"/>
                <w:color w:val="auto"/>
              </w:rPr>
            </w:pPr>
          </w:p>
        </w:tc>
        <w:tc>
          <w:tcPr>
            <w:tcW w:w="1980" w:type="dxa"/>
            <w:vAlign w:val="bottom"/>
          </w:tcPr>
          <w:p>
            <w:pPr>
              <w:jc w:val="right"/>
              <w:ind w:right="350"/>
              <w:spacing w:after="0" w:line="176" w:lineRule="exact"/>
              <w:rPr>
                <w:sz w:val="20"/>
                <w:szCs w:val="20"/>
                <w:color w:val="auto"/>
              </w:rPr>
            </w:pPr>
            <w:r>
              <w:rPr>
                <w:rFonts w:ascii="Arial" w:cs="Arial" w:eastAsia="Arial" w:hAnsi="Arial"/>
                <w:sz w:val="18"/>
                <w:szCs w:val="18"/>
                <w:color w:val="auto"/>
              </w:rPr>
              <w:t>Comprehensive</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3"/>
        </w:trPr>
        <w:tc>
          <w:tcPr>
            <w:tcW w:w="2900" w:type="dxa"/>
            <w:vAlign w:val="bottom"/>
            <w:tcBorders>
              <w:bottom w:val="single" w:sz="8" w:color="auto"/>
            </w:tcBorders>
            <w:vMerge w:val="continue"/>
          </w:tcPr>
          <w:p>
            <w:pPr>
              <w:spacing w:after="0"/>
              <w:rPr>
                <w:sz w:val="21"/>
                <w:szCs w:val="21"/>
                <w:color w:val="auto"/>
              </w:rPr>
            </w:pPr>
          </w:p>
        </w:tc>
        <w:tc>
          <w:tcPr>
            <w:tcW w:w="1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Deficit</w:t>
            </w:r>
          </w:p>
        </w:tc>
        <w:tc>
          <w:tcPr>
            <w:tcW w:w="1720" w:type="dxa"/>
            <w:vAlign w:val="bottom"/>
            <w:tcBorders>
              <w:bottom w:val="single" w:sz="8" w:color="auto"/>
            </w:tcBorders>
            <w:vMerge w:val="continue"/>
          </w:tcPr>
          <w:p>
            <w:pPr>
              <w:spacing w:after="0"/>
              <w:rPr>
                <w:sz w:val="21"/>
                <w:szCs w:val="21"/>
                <w:color w:val="auto"/>
              </w:rPr>
            </w:pPr>
          </w:p>
        </w:tc>
        <w:tc>
          <w:tcPr>
            <w:tcW w:w="1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paid-in capital</w:t>
            </w:r>
          </w:p>
        </w:tc>
        <w:tc>
          <w:tcPr>
            <w:tcW w:w="1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Loss</w:t>
            </w:r>
          </w:p>
        </w:tc>
        <w:tc>
          <w:tcPr>
            <w:tcW w:w="10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9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27, 2021</w:t>
            </w:r>
          </w:p>
        </w:tc>
        <w:tc>
          <w:tcPr>
            <w:tcW w:w="1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(259,212)</w:t>
            </w:r>
          </w:p>
        </w:tc>
        <w:tc>
          <w:tcPr>
            <w:tcW w:w="17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59</w:t>
            </w:r>
          </w:p>
        </w:tc>
        <w:tc>
          <w:tcPr>
            <w:tcW w:w="1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258,063</w:t>
            </w:r>
          </w:p>
        </w:tc>
        <w:tc>
          <w:tcPr>
            <w:tcW w:w="19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42,187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41,097</w:t>
            </w: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Shares issued (redeemed)</w:t>
            </w:r>
          </w:p>
        </w:tc>
        <w:tc>
          <w:tcPr>
            <w:tcW w:w="1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10"/>
              <w:spacing w:after="0"/>
              <w:rPr>
                <w:sz w:val="20"/>
                <w:szCs w:val="20"/>
                <w:color w:val="auto"/>
              </w:rPr>
            </w:pPr>
            <w:r>
              <w:rPr>
                <w:rFonts w:ascii="Arial" w:cs="Arial" w:eastAsia="Arial" w:hAnsi="Arial"/>
                <w:sz w:val="18"/>
                <w:szCs w:val="18"/>
                <w:color w:val="auto"/>
              </w:rPr>
              <w:t>1</w:t>
            </w: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(386)</w:t>
            </w:r>
          </w:p>
        </w:tc>
        <w:tc>
          <w:tcPr>
            <w:tcW w:w="19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175"/>
        </w:trPr>
        <w:tc>
          <w:tcPr>
            <w:tcW w:w="2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Income attributable to Lee</w:t>
            </w:r>
          </w:p>
        </w:tc>
        <w:tc>
          <w:tcPr>
            <w:tcW w:w="196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12,658</w:t>
            </w:r>
          </w:p>
        </w:tc>
        <w:tc>
          <w:tcPr>
            <w:tcW w:w="17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980" w:type="dxa"/>
            <w:vAlign w:val="bottom"/>
            <w:vMerge w:val="restart"/>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12,658</w:t>
            </w:r>
          </w:p>
        </w:tc>
        <w:tc>
          <w:tcPr>
            <w:tcW w:w="0" w:type="dxa"/>
            <w:vAlign w:val="bottom"/>
          </w:tcPr>
          <w:p>
            <w:pPr>
              <w:spacing w:after="0"/>
              <w:rPr>
                <w:sz w:val="1"/>
                <w:szCs w:val="1"/>
                <w:color w:val="auto"/>
              </w:rPr>
            </w:pPr>
          </w:p>
        </w:tc>
      </w:tr>
      <w:tr>
        <w:trPr>
          <w:trHeight w:val="243"/>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Enterprises, Incorporated</w:t>
            </w:r>
          </w:p>
        </w:tc>
        <w:tc>
          <w:tcPr>
            <w:tcW w:w="1960" w:type="dxa"/>
            <w:vAlign w:val="bottom"/>
            <w:vMerge w:val="continue"/>
            <w:shd w:val="clear" w:color="auto" w:fill="CCEEFF"/>
          </w:tcPr>
          <w:p>
            <w:pPr>
              <w:spacing w:after="0"/>
              <w:rPr>
                <w:sz w:val="21"/>
                <w:szCs w:val="21"/>
                <w:color w:val="auto"/>
              </w:rPr>
            </w:pPr>
          </w:p>
        </w:tc>
        <w:tc>
          <w:tcPr>
            <w:tcW w:w="1720" w:type="dxa"/>
            <w:vAlign w:val="bottom"/>
            <w:vMerge w:val="continue"/>
            <w:shd w:val="clear" w:color="auto" w:fill="CCEEFF"/>
          </w:tcPr>
          <w:p>
            <w:pPr>
              <w:spacing w:after="0"/>
              <w:rPr>
                <w:sz w:val="21"/>
                <w:szCs w:val="21"/>
                <w:color w:val="auto"/>
              </w:rPr>
            </w:pPr>
          </w:p>
        </w:tc>
        <w:tc>
          <w:tcPr>
            <w:tcW w:w="1620" w:type="dxa"/>
            <w:vAlign w:val="bottom"/>
            <w:vMerge w:val="continue"/>
            <w:shd w:val="clear" w:color="auto" w:fill="CCEEFF"/>
          </w:tcPr>
          <w:p>
            <w:pPr>
              <w:spacing w:after="0"/>
              <w:rPr>
                <w:sz w:val="21"/>
                <w:szCs w:val="21"/>
                <w:color w:val="auto"/>
              </w:rPr>
            </w:pPr>
          </w:p>
        </w:tc>
        <w:tc>
          <w:tcPr>
            <w:tcW w:w="1980" w:type="dxa"/>
            <w:vAlign w:val="bottom"/>
            <w:vMerge w:val="continue"/>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50"/>
              <w:spacing w:after="0"/>
              <w:rPr>
                <w:sz w:val="20"/>
                <w:szCs w:val="20"/>
                <w:color w:val="auto"/>
              </w:rPr>
            </w:pPr>
            <w:r>
              <w:rPr>
                <w:rFonts w:ascii="Arial" w:cs="Arial" w:eastAsia="Arial" w:hAnsi="Arial"/>
                <w:sz w:val="18"/>
                <w:szCs w:val="18"/>
                <w:color w:val="auto"/>
              </w:rPr>
              <w:t>186</w:t>
            </w:r>
          </w:p>
        </w:tc>
        <w:tc>
          <w:tcPr>
            <w:tcW w:w="19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(8,174)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(8,174)</w:t>
            </w:r>
          </w:p>
        </w:tc>
        <w:tc>
          <w:tcPr>
            <w:tcW w:w="0" w:type="dxa"/>
            <w:vAlign w:val="bottom"/>
          </w:tcPr>
          <w:p>
            <w:pPr>
              <w:spacing w:after="0"/>
              <w:rPr>
                <w:sz w:val="1"/>
                <w:szCs w:val="1"/>
                <w:color w:val="auto"/>
              </w:rPr>
            </w:pPr>
          </w:p>
        </w:tc>
      </w:tr>
      <w:tr>
        <w:trPr>
          <w:trHeight w:val="230"/>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income taxes, net</w:t>
            </w:r>
          </w:p>
        </w:tc>
        <w:tc>
          <w:tcPr>
            <w:tcW w:w="1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2,062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48"/>
        </w:trPr>
        <w:tc>
          <w:tcPr>
            <w:tcW w:w="2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26, 2021</w:t>
            </w:r>
          </w:p>
        </w:tc>
        <w:tc>
          <w:tcPr>
            <w:tcW w:w="19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(246,554)</w:t>
            </w:r>
          </w:p>
        </w:tc>
        <w:tc>
          <w:tcPr>
            <w:tcW w:w="17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60</w:t>
            </w:r>
          </w:p>
        </w:tc>
        <w:tc>
          <w:tcPr>
            <w:tcW w:w="16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257,863</w:t>
            </w:r>
          </w:p>
        </w:tc>
        <w:tc>
          <w:tcPr>
            <w:tcW w:w="19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36,075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47,444</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0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tcPr>
          <w:p>
            <w:pPr>
              <w:jc w:val="right"/>
              <w:ind w:right="190"/>
              <w:spacing w:after="0" w:line="169" w:lineRule="exact"/>
              <w:rPr>
                <w:sz w:val="20"/>
                <w:szCs w:val="20"/>
                <w:color w:val="auto"/>
              </w:rPr>
            </w:pPr>
            <w:r>
              <w:rPr>
                <w:rFonts w:ascii="Arial" w:cs="Arial" w:eastAsia="Arial" w:hAnsi="Arial"/>
                <w:sz w:val="18"/>
                <w:szCs w:val="18"/>
                <w:color w:val="auto"/>
              </w:rPr>
              <w:t>December 25,</w:t>
            </w:r>
          </w:p>
        </w:tc>
        <w:tc>
          <w:tcPr>
            <w:tcW w:w="14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December 26,</w:t>
            </w:r>
          </w:p>
        </w:tc>
      </w:tr>
      <w:tr>
        <w:trPr>
          <w:trHeight w:val="242"/>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51"/>
        </w:trPr>
        <w:tc>
          <w:tcPr>
            <w:tcW w:w="78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(required for) provided by operating activities:</w:t>
            </w:r>
          </w:p>
        </w:tc>
        <w:tc>
          <w:tcPr>
            <w:tcW w:w="20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8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1,824</w:t>
            </w:r>
          </w:p>
        </w:tc>
        <w:tc>
          <w:tcPr>
            <w:tcW w:w="1440" w:type="dxa"/>
            <w:vAlign w:val="bottom"/>
          </w:tcPr>
          <w:p>
            <w:pPr>
              <w:jc w:val="right"/>
              <w:spacing w:after="0"/>
              <w:rPr>
                <w:sz w:val="20"/>
                <w:szCs w:val="20"/>
                <w:color w:val="auto"/>
              </w:rPr>
            </w:pPr>
            <w:r>
              <w:rPr>
                <w:rFonts w:ascii="Arial" w:cs="Arial" w:eastAsia="Arial" w:hAnsi="Arial"/>
                <w:sz w:val="18"/>
                <w:szCs w:val="18"/>
                <w:color w:val="auto"/>
              </w:rPr>
              <w:t>13,199</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8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7,886</w:t>
            </w:r>
          </w:p>
        </w:tc>
        <w:tc>
          <w:tcPr>
            <w:tcW w:w="1440" w:type="dxa"/>
            <w:vAlign w:val="bottom"/>
          </w:tcPr>
          <w:p>
            <w:pPr>
              <w:jc w:val="right"/>
              <w:spacing w:after="0"/>
              <w:rPr>
                <w:sz w:val="20"/>
                <w:szCs w:val="20"/>
                <w:color w:val="auto"/>
              </w:rPr>
            </w:pPr>
            <w:r>
              <w:rPr>
                <w:rFonts w:ascii="Arial" w:cs="Arial" w:eastAsia="Arial" w:hAnsi="Arial"/>
                <w:sz w:val="18"/>
                <w:szCs w:val="18"/>
                <w:color w:val="auto"/>
              </w:rPr>
              <w:t>9,676</w:t>
            </w:r>
          </w:p>
        </w:tc>
      </w:tr>
      <w:tr>
        <w:trPr>
          <w:trHeight w:val="230"/>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Curtailment gain</w:t>
            </w:r>
          </w:p>
        </w:tc>
        <w:tc>
          <w:tcPr>
            <w:tcW w:w="20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r>
      <w:tr>
        <w:trPr>
          <w:trHeight w:val="229"/>
        </w:trPr>
        <w:tc>
          <w:tcPr>
            <w:tcW w:w="7800" w:type="dxa"/>
            <w:vAlign w:val="bottom"/>
          </w:tcPr>
          <w:p>
            <w:pPr>
              <w:ind w:left="180"/>
              <w:spacing w:after="0"/>
              <w:rPr>
                <w:sz w:val="20"/>
                <w:szCs w:val="20"/>
                <w:color w:val="auto"/>
              </w:rPr>
            </w:pPr>
            <w:r>
              <w:rPr>
                <w:rFonts w:ascii="Arial" w:cs="Arial" w:eastAsia="Arial" w:hAnsi="Arial"/>
                <w:sz w:val="18"/>
                <w:szCs w:val="18"/>
                <w:color w:val="auto"/>
              </w:rPr>
              <w:t>Pension withdrawal cost</w:t>
            </w: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20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349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30"/>
        </w:trPr>
        <w:tc>
          <w:tcPr>
            <w:tcW w:w="7800" w:type="dxa"/>
            <w:vAlign w:val="bottom"/>
          </w:tcPr>
          <w:p>
            <w:pPr>
              <w:ind w:left="180"/>
              <w:spacing w:after="0"/>
              <w:rPr>
                <w:sz w:val="20"/>
                <w:szCs w:val="20"/>
                <w:color w:val="auto"/>
              </w:rPr>
            </w:pPr>
            <w:r>
              <w:rPr>
                <w:rFonts w:ascii="Arial" w:cs="Arial" w:eastAsia="Arial" w:hAnsi="Arial"/>
                <w:sz w:val="18"/>
                <w:szCs w:val="18"/>
                <w:color w:val="auto"/>
              </w:rPr>
              <w:t>Assets gain loss on sales, impairments and other, net</w:t>
            </w:r>
          </w:p>
        </w:tc>
        <w:tc>
          <w:tcPr>
            <w:tcW w:w="2000" w:type="dxa"/>
            <w:vAlign w:val="bottom"/>
          </w:tcPr>
          <w:p>
            <w:pPr>
              <w:jc w:val="right"/>
              <w:ind w:right="190"/>
              <w:spacing w:after="0"/>
              <w:rPr>
                <w:sz w:val="20"/>
                <w:szCs w:val="20"/>
                <w:color w:val="auto"/>
              </w:rPr>
            </w:pPr>
            <w:r>
              <w:rPr>
                <w:rFonts w:ascii="Arial" w:cs="Arial" w:eastAsia="Arial" w:hAnsi="Arial"/>
                <w:sz w:val="18"/>
                <w:szCs w:val="18"/>
                <w:color w:val="auto"/>
              </w:rPr>
              <w:t>(2,563)</w:t>
            </w:r>
          </w:p>
        </w:tc>
        <w:tc>
          <w:tcPr>
            <w:tcW w:w="1440" w:type="dxa"/>
            <w:vAlign w:val="bottom"/>
          </w:tcPr>
          <w:p>
            <w:pPr>
              <w:jc w:val="right"/>
              <w:spacing w:after="0"/>
              <w:rPr>
                <w:sz w:val="20"/>
                <w:szCs w:val="20"/>
                <w:color w:val="auto"/>
              </w:rPr>
            </w:pPr>
            <w:r>
              <w:rPr>
                <w:rFonts w:ascii="Arial" w:cs="Arial" w:eastAsia="Arial" w:hAnsi="Arial"/>
                <w:sz w:val="18"/>
                <w:szCs w:val="18"/>
                <w:color w:val="auto"/>
              </w:rPr>
              <w:t>(12,274)</w:t>
            </w:r>
          </w:p>
        </w:tc>
      </w:tr>
      <w:tr>
        <w:trPr>
          <w:trHeight w:val="229"/>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investment</w:t>
            </w:r>
          </w:p>
        </w:tc>
        <w:tc>
          <w:tcPr>
            <w:tcW w:w="2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(1,408)</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0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000" w:type="dxa"/>
            <w:vAlign w:val="bottom"/>
          </w:tcPr>
          <w:p>
            <w:pPr>
              <w:jc w:val="right"/>
              <w:ind w:right="190"/>
              <w:spacing w:after="0"/>
              <w:rPr>
                <w:sz w:val="20"/>
                <w:szCs w:val="20"/>
                <w:color w:val="auto"/>
              </w:rPr>
            </w:pPr>
            <w:r>
              <w:rPr>
                <w:rFonts w:ascii="Arial" w:cs="Arial" w:eastAsia="Arial" w:hAnsi="Arial"/>
                <w:sz w:val="18"/>
                <w:szCs w:val="18"/>
                <w:color w:val="auto"/>
              </w:rPr>
              <w:t>(216)</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Return of letters of credit collateral</w:t>
            </w:r>
          </w:p>
        </w:tc>
        <w:tc>
          <w:tcPr>
            <w:tcW w:w="20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778</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000" w:type="dxa"/>
            <w:vAlign w:val="bottom"/>
          </w:tcPr>
          <w:p>
            <w:pPr>
              <w:jc w:val="right"/>
              <w:ind w:right="190"/>
              <w:spacing w:after="0"/>
              <w:rPr>
                <w:sz w:val="20"/>
                <w:szCs w:val="20"/>
                <w:color w:val="auto"/>
              </w:rPr>
            </w:pPr>
            <w:r>
              <w:rPr>
                <w:rFonts w:ascii="Arial" w:cs="Arial" w:eastAsia="Arial" w:hAnsi="Arial"/>
                <w:sz w:val="18"/>
                <w:szCs w:val="18"/>
                <w:color w:val="auto"/>
              </w:rPr>
              <w:t>(459)</w:t>
            </w:r>
          </w:p>
        </w:tc>
        <w:tc>
          <w:tcPr>
            <w:tcW w:w="144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30"/>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0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800" w:type="dxa"/>
            <w:vAlign w:val="bottom"/>
          </w:tcPr>
          <w:p>
            <w:pPr>
              <w:ind w:left="360"/>
              <w:spacing w:after="0"/>
              <w:rPr>
                <w:sz w:val="20"/>
                <w:szCs w:val="20"/>
                <w:color w:val="auto"/>
              </w:rPr>
            </w:pPr>
            <w:r>
              <w:rPr>
                <w:rFonts w:ascii="Arial" w:cs="Arial" w:eastAsia="Arial" w:hAnsi="Arial"/>
                <w:sz w:val="18"/>
                <w:szCs w:val="18"/>
                <w:color w:val="auto"/>
              </w:rPr>
              <w:t>Increase in receivables and contract assets</w:t>
            </w:r>
          </w:p>
        </w:tc>
        <w:tc>
          <w:tcPr>
            <w:tcW w:w="2000" w:type="dxa"/>
            <w:vAlign w:val="bottom"/>
          </w:tcPr>
          <w:p>
            <w:pPr>
              <w:jc w:val="right"/>
              <w:ind w:right="190"/>
              <w:spacing w:after="0"/>
              <w:rPr>
                <w:sz w:val="20"/>
                <w:szCs w:val="20"/>
                <w:color w:val="auto"/>
              </w:rPr>
            </w:pPr>
            <w:r>
              <w:rPr>
                <w:rFonts w:ascii="Arial" w:cs="Arial" w:eastAsia="Arial" w:hAnsi="Arial"/>
                <w:sz w:val="18"/>
                <w:szCs w:val="18"/>
                <w:color w:val="auto"/>
              </w:rPr>
              <w:t>(6,098)</w:t>
            </w:r>
          </w:p>
        </w:tc>
        <w:tc>
          <w:tcPr>
            <w:tcW w:w="1440" w:type="dxa"/>
            <w:vAlign w:val="bottom"/>
          </w:tcPr>
          <w:p>
            <w:pPr>
              <w:jc w:val="right"/>
              <w:spacing w:after="0"/>
              <w:rPr>
                <w:sz w:val="20"/>
                <w:szCs w:val="20"/>
                <w:color w:val="auto"/>
              </w:rPr>
            </w:pPr>
            <w:r>
              <w:rPr>
                <w:rFonts w:ascii="Arial" w:cs="Arial" w:eastAsia="Arial" w:hAnsi="Arial"/>
                <w:sz w:val="18"/>
                <w:szCs w:val="18"/>
                <w:color w:val="auto"/>
              </w:rPr>
              <w:t>(8,519)</w:t>
            </w:r>
          </w:p>
        </w:tc>
      </w:tr>
      <w:tr>
        <w:trPr>
          <w:trHeight w:val="229"/>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in inventories and other</w:t>
            </w:r>
          </w:p>
        </w:tc>
        <w:tc>
          <w:tcPr>
            <w:tcW w:w="20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153</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r>
      <w:tr>
        <w:trPr>
          <w:trHeight w:val="230"/>
        </w:trPr>
        <w:tc>
          <w:tcPr>
            <w:tcW w:w="7800" w:type="dxa"/>
            <w:vAlign w:val="bottom"/>
          </w:tcPr>
          <w:p>
            <w:pPr>
              <w:ind w:left="360"/>
              <w:spacing w:after="0"/>
              <w:rPr>
                <w:sz w:val="20"/>
                <w:szCs w:val="20"/>
                <w:color w:val="auto"/>
              </w:rPr>
            </w:pPr>
            <w:r>
              <w:rPr>
                <w:rFonts w:ascii="Arial" w:cs="Arial" w:eastAsia="Arial" w:hAnsi="Arial"/>
                <w:sz w:val="18"/>
                <w:szCs w:val="18"/>
                <w:color w:val="auto"/>
              </w:rPr>
              <w:t>Increase (decrease) in accounts payable and other accrued liabilities</w:t>
            </w:r>
          </w:p>
        </w:tc>
        <w:tc>
          <w:tcPr>
            <w:tcW w:w="2000" w:type="dxa"/>
            <w:vAlign w:val="bottom"/>
          </w:tcPr>
          <w:p>
            <w:pPr>
              <w:jc w:val="right"/>
              <w:ind w:right="190"/>
              <w:spacing w:after="0"/>
              <w:rPr>
                <w:sz w:val="20"/>
                <w:szCs w:val="20"/>
                <w:color w:val="auto"/>
              </w:rPr>
            </w:pPr>
            <w:r>
              <w:rPr>
                <w:rFonts w:ascii="Arial" w:cs="Arial" w:eastAsia="Arial" w:hAnsi="Arial"/>
                <w:sz w:val="18"/>
                <w:szCs w:val="18"/>
                <w:color w:val="auto"/>
              </w:rPr>
              <w:t>(1,738)</w:t>
            </w:r>
          </w:p>
        </w:tc>
        <w:tc>
          <w:tcPr>
            <w:tcW w:w="1440" w:type="dxa"/>
            <w:vAlign w:val="bottom"/>
          </w:tcPr>
          <w:p>
            <w:pPr>
              <w:jc w:val="right"/>
              <w:spacing w:after="0"/>
              <w:rPr>
                <w:sz w:val="20"/>
                <w:szCs w:val="20"/>
                <w:color w:val="auto"/>
              </w:rPr>
            </w:pPr>
            <w:r>
              <w:rPr>
                <w:rFonts w:ascii="Arial" w:cs="Arial" w:eastAsia="Arial" w:hAnsi="Arial"/>
                <w:sz w:val="18"/>
                <w:szCs w:val="18"/>
                <w:color w:val="auto"/>
              </w:rPr>
              <w:t>3,369</w:t>
            </w:r>
          </w:p>
        </w:tc>
      </w:tr>
      <w:tr>
        <w:trPr>
          <w:trHeight w:val="230"/>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in pension and other postretirement and postemployment benefit obligations</w:t>
            </w:r>
          </w:p>
        </w:tc>
        <w:tc>
          <w:tcPr>
            <w:tcW w:w="2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(192)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w:t>
            </w:r>
          </w:p>
        </w:tc>
      </w:tr>
      <w:tr>
        <w:trPr>
          <w:trHeight w:val="230"/>
        </w:trPr>
        <w:tc>
          <w:tcPr>
            <w:tcW w:w="7800" w:type="dxa"/>
            <w:vAlign w:val="bottom"/>
          </w:tcPr>
          <w:p>
            <w:pPr>
              <w:ind w:left="360"/>
              <w:spacing w:after="0"/>
              <w:rPr>
                <w:sz w:val="20"/>
                <w:szCs w:val="20"/>
                <w:color w:val="auto"/>
              </w:rPr>
            </w:pPr>
            <w:r>
              <w:rPr>
                <w:rFonts w:ascii="Arial" w:cs="Arial" w:eastAsia="Arial" w:hAnsi="Arial"/>
                <w:sz w:val="18"/>
                <w:szCs w:val="18"/>
                <w:color w:val="auto"/>
              </w:rPr>
              <w:t>Change in income taxes payable</w:t>
            </w: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570</w:t>
            </w:r>
          </w:p>
        </w:tc>
        <w:tc>
          <w:tcPr>
            <w:tcW w:w="1440" w:type="dxa"/>
            <w:vAlign w:val="bottom"/>
          </w:tcPr>
          <w:p>
            <w:pPr>
              <w:jc w:val="right"/>
              <w:spacing w:after="0"/>
              <w:rPr>
                <w:sz w:val="20"/>
                <w:szCs w:val="20"/>
                <w:color w:val="auto"/>
              </w:rPr>
            </w:pPr>
            <w:r>
              <w:rPr>
                <w:rFonts w:ascii="Arial" w:cs="Arial" w:eastAsia="Arial" w:hAnsi="Arial"/>
                <w:sz w:val="18"/>
                <w:szCs w:val="18"/>
                <w:color w:val="auto"/>
              </w:rPr>
              <w:t>2,427</w:t>
            </w:r>
          </w:p>
        </w:tc>
      </w:tr>
      <w:tr>
        <w:trPr>
          <w:trHeight w:val="230"/>
        </w:trPr>
        <w:tc>
          <w:tcPr>
            <w:tcW w:w="78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(578)</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(3,109)</w:t>
            </w:r>
          </w:p>
        </w:tc>
      </w:tr>
      <w:tr>
        <w:trPr>
          <w:trHeight w:val="223"/>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(required for) provided by operating activities</w:t>
            </w:r>
          </w:p>
        </w:tc>
        <w:tc>
          <w:tcPr>
            <w:tcW w:w="2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(1,692)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investing activities:</w:t>
            </w:r>
          </w:p>
        </w:tc>
        <w:tc>
          <w:tcPr>
            <w:tcW w:w="20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80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2000" w:type="dxa"/>
            <w:vAlign w:val="bottom"/>
          </w:tcPr>
          <w:p>
            <w:pPr>
              <w:jc w:val="right"/>
              <w:ind w:right="190"/>
              <w:spacing w:after="0"/>
              <w:rPr>
                <w:sz w:val="20"/>
                <w:szCs w:val="20"/>
                <w:color w:val="auto"/>
              </w:rPr>
            </w:pPr>
            <w:r>
              <w:rPr>
                <w:rFonts w:ascii="Arial" w:cs="Arial" w:eastAsia="Arial" w:hAnsi="Arial"/>
                <w:sz w:val="18"/>
                <w:szCs w:val="18"/>
                <w:color w:val="auto"/>
              </w:rPr>
              <w:t>(1,187)</w:t>
            </w:r>
          </w:p>
        </w:tc>
        <w:tc>
          <w:tcPr>
            <w:tcW w:w="1440" w:type="dxa"/>
            <w:vAlign w:val="bottom"/>
          </w:tcPr>
          <w:p>
            <w:pPr>
              <w:jc w:val="right"/>
              <w:spacing w:after="0"/>
              <w:rPr>
                <w:sz w:val="20"/>
                <w:szCs w:val="20"/>
                <w:color w:val="auto"/>
              </w:rPr>
            </w:pPr>
            <w:r>
              <w:rPr>
                <w:rFonts w:ascii="Arial" w:cs="Arial" w:eastAsia="Arial" w:hAnsi="Arial"/>
                <w:sz w:val="18"/>
                <w:szCs w:val="18"/>
                <w:color w:val="auto"/>
              </w:rPr>
              <w:t>(1,777)</w:t>
            </w:r>
          </w:p>
        </w:tc>
      </w:tr>
      <w:tr>
        <w:trPr>
          <w:trHeight w:val="230"/>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of assets</w:t>
            </w:r>
          </w:p>
        </w:tc>
        <w:tc>
          <w:tcPr>
            <w:tcW w:w="20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4,052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14,406</w:t>
            </w:r>
          </w:p>
        </w:tc>
      </w:tr>
      <w:tr>
        <w:trPr>
          <w:trHeight w:val="229"/>
        </w:trPr>
        <w:tc>
          <w:tcPr>
            <w:tcW w:w="7800" w:type="dxa"/>
            <w:vAlign w:val="bottom"/>
          </w:tcPr>
          <w:p>
            <w:pPr>
              <w:ind w:left="180"/>
              <w:spacing w:after="0"/>
              <w:rPr>
                <w:sz w:val="20"/>
                <w:szCs w:val="20"/>
                <w:color w:val="auto"/>
              </w:rPr>
            </w:pPr>
            <w:r>
              <w:rPr>
                <w:rFonts w:ascii="Arial" w:cs="Arial" w:eastAsia="Arial" w:hAnsi="Arial"/>
                <w:sz w:val="18"/>
                <w:szCs w:val="18"/>
                <w:color w:val="auto"/>
              </w:rPr>
              <w:t>Distributions less than earnings of TNI and MNI</w:t>
            </w:r>
          </w:p>
        </w:tc>
        <w:tc>
          <w:tcPr>
            <w:tcW w:w="2000" w:type="dxa"/>
            <w:vAlign w:val="bottom"/>
          </w:tcPr>
          <w:p>
            <w:pPr>
              <w:jc w:val="right"/>
              <w:ind w:right="190"/>
              <w:spacing w:after="0"/>
              <w:rPr>
                <w:sz w:val="20"/>
                <w:szCs w:val="20"/>
                <w:color w:val="auto"/>
              </w:rPr>
            </w:pPr>
            <w:r>
              <w:rPr>
                <w:rFonts w:ascii="Arial" w:cs="Arial" w:eastAsia="Arial" w:hAnsi="Arial"/>
                <w:sz w:val="18"/>
                <w:szCs w:val="18"/>
                <w:color w:val="auto"/>
              </w:rPr>
              <w:t>(522)</w:t>
            </w:r>
          </w:p>
        </w:tc>
        <w:tc>
          <w:tcPr>
            <w:tcW w:w="144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30"/>
        </w:trPr>
        <w:tc>
          <w:tcPr>
            <w:tcW w:w="78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0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1,678</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2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4,021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11,954</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required for financing activities:</w:t>
            </w:r>
          </w:p>
        </w:tc>
        <w:tc>
          <w:tcPr>
            <w:tcW w:w="20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800" w:type="dxa"/>
            <w:vAlign w:val="bottom"/>
          </w:tcPr>
          <w:p>
            <w:pPr>
              <w:ind w:left="180"/>
              <w:spacing w:after="0"/>
              <w:rPr>
                <w:sz w:val="20"/>
                <w:szCs w:val="20"/>
                <w:color w:val="auto"/>
              </w:rPr>
            </w:pPr>
            <w:r>
              <w:rPr>
                <w:rFonts w:ascii="Arial" w:cs="Arial" w:eastAsia="Arial" w:hAnsi="Arial"/>
                <w:sz w:val="18"/>
                <w:szCs w:val="18"/>
                <w:color w:val="auto"/>
              </w:rPr>
              <w:t>Payments on long-term debt</w:t>
            </w: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(20,062)</w:t>
            </w:r>
          </w:p>
        </w:tc>
      </w:tr>
      <w:tr>
        <w:trPr>
          <w:trHeight w:val="230"/>
        </w:trPr>
        <w:tc>
          <w:tcPr>
            <w:tcW w:w="78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Common stock transactions, net</w:t>
            </w:r>
          </w:p>
        </w:tc>
        <w:tc>
          <w:tcPr>
            <w:tcW w:w="20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(168)</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required for financing activities</w:t>
            </w:r>
          </w:p>
        </w:tc>
        <w:tc>
          <w:tcPr>
            <w:tcW w:w="2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(168)</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(20,051)</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0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2,161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(7,527)</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0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8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Beginning of period</w:t>
            </w:r>
          </w:p>
        </w:tc>
        <w:tc>
          <w:tcPr>
            <w:tcW w:w="20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16,185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26,112</w:t>
            </w:r>
          </w:p>
        </w:tc>
      </w:tr>
      <w:tr>
        <w:trPr>
          <w:trHeight w:val="223"/>
        </w:trPr>
        <w:tc>
          <w:tcPr>
            <w:tcW w:w="7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End of period</w:t>
            </w:r>
          </w:p>
        </w:tc>
        <w:tc>
          <w:tcPr>
            <w:tcW w:w="2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18,346</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18,585</w:t>
            </w:r>
          </w:p>
        </w:tc>
      </w:tr>
      <w:tr>
        <w:trPr>
          <w:trHeight w:val="20"/>
        </w:trPr>
        <w:tc>
          <w:tcPr>
            <w:tcW w:w="78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300" w:hanging="292"/>
        <w:spacing w:after="0"/>
        <w:tabs>
          <w:tab w:leader="none" w:pos="3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8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accompanying unaudited, interim, Consolidated Financial Statements included herein have been prepared pursuant to the rules and regulations of the Securities and Exchange Commission for quarterly reports. In the opinion of management, these financial statements contain all adjustments (consisting of only normal recurring items) necessary to present fairly the financial position of Lee Enterprises, Incorporated and its subsidiaries (the “Company”) as of December 25, 2022, and our results of operations and cash flows for the periods presented. The Consolidated Financial Statements should be read in conjunction with the Consolidated Financial Statements and Notes thereto included in the Company's 2022 Annual Report on Form 10-K.</w:t>
      </w:r>
    </w:p>
    <w:p>
      <w:pPr>
        <w:spacing w:after="0" w:line="14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Company's fiscal year ends on the last Sunday in September. Fiscal year 2023 ends on September 24, 2023, and fiscal year 2022 ended September 25, 2022. Fiscal year 2023 and 2022 are 52-week years with 13 weeks in each quarter. Because of seasonal and other factors, the results of operations for the three months ended December 25, 2022, are not necessarily indicative of the results to be expected for the full year.</w:t>
      </w:r>
    </w:p>
    <w:p>
      <w:pPr>
        <w:spacing w:after="0" w:line="149"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Consolidated Financial Statements include our accounts and those of our wholly owned subsidiaries, as well as our 82.5% interest in INN Partners, L.C. (“BLOX Digital" formerly "TownNews”).</w:t>
      </w:r>
    </w:p>
    <w:p>
      <w:pPr>
        <w:spacing w:after="0" w:line="11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Our 50% interest in TNI Partners ("TNI") and our 50% interest in Madison Newspapers, Inc. ("MNI") are accounted for using the equity method and are reported at cost, plus our share of undistributed earnings since acquisition less, for TNI, amortization of intangible assets.</w:t>
      </w:r>
    </w:p>
    <w:p>
      <w:pPr>
        <w:spacing w:after="0" w:line="130"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source: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146050</wp:posOffset>
            </wp:positionV>
            <wp:extent cx="62236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pacing w:after="0" w:line="219"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Three months Ended</w:t>
      </w:r>
    </w:p>
    <w:p>
      <w:pPr>
        <w:spacing w:after="0" w:line="28" w:lineRule="exact"/>
        <w:rPr>
          <w:sz w:val="20"/>
          <w:szCs w:val="20"/>
          <w:color w:val="auto"/>
        </w:rPr>
      </w:pPr>
    </w:p>
    <w:tbl>
      <w:tblPr>
        <w:tblLayout w:type="fixed"/>
        <w:tblInd w:w="660" w:type="dxa"/>
        <w:tblCellMar>
          <w:top w:w="0" w:type="dxa"/>
          <w:left w:w="0" w:type="dxa"/>
          <w:bottom w:w="0" w:type="dxa"/>
          <w:right w:w="0" w:type="dxa"/>
        </w:tblCellMar>
      </w:tblPr>
      <w:tr>
        <w:trPr>
          <w:trHeight w:val="169"/>
        </w:trPr>
        <w:tc>
          <w:tcPr>
            <w:tcW w:w="52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140" w:type="dxa"/>
            <w:vAlign w:val="bottom"/>
            <w:tcBorders>
              <w:top w:val="single" w:sz="8" w:color="auto"/>
            </w:tcBorders>
          </w:tcPr>
          <w:p>
            <w:pPr>
              <w:jc w:val="right"/>
              <w:ind w:right="150"/>
              <w:spacing w:after="0" w:line="169" w:lineRule="exact"/>
              <w:rPr>
                <w:sz w:val="20"/>
                <w:szCs w:val="20"/>
                <w:color w:val="auto"/>
              </w:rPr>
            </w:pPr>
            <w:r>
              <w:rPr>
                <w:rFonts w:ascii="Arial" w:cs="Arial" w:eastAsia="Arial" w:hAnsi="Arial"/>
                <w:sz w:val="18"/>
                <w:szCs w:val="18"/>
                <w:color w:val="auto"/>
              </w:rPr>
              <w:t>December 25,</w:t>
            </w:r>
          </w:p>
        </w:tc>
        <w:tc>
          <w:tcPr>
            <w:tcW w:w="13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December 26,</w:t>
            </w:r>
          </w:p>
        </w:tc>
        <w:tc>
          <w:tcPr>
            <w:tcW w:w="0" w:type="dxa"/>
            <w:vAlign w:val="bottom"/>
          </w:tcPr>
          <w:p>
            <w:pPr>
              <w:spacing w:after="0"/>
              <w:rPr>
                <w:sz w:val="1"/>
                <w:szCs w:val="1"/>
                <w:color w:val="auto"/>
              </w:rPr>
            </w:pPr>
          </w:p>
        </w:tc>
      </w:tr>
      <w:tr>
        <w:trPr>
          <w:trHeight w:val="243"/>
        </w:trPr>
        <w:tc>
          <w:tcPr>
            <w:tcW w:w="5280" w:type="dxa"/>
            <w:vAlign w:val="bottom"/>
            <w:tcBorders>
              <w:bottom w:val="single" w:sz="8" w:color="auto"/>
            </w:tcBorders>
            <w:vMerge w:val="continue"/>
          </w:tcPr>
          <w:p>
            <w:pPr>
              <w:spacing w:after="0"/>
              <w:rPr>
                <w:sz w:val="21"/>
                <w:szCs w:val="21"/>
                <w:color w:val="auto"/>
              </w:rPr>
            </w:pPr>
          </w:p>
        </w:tc>
        <w:tc>
          <w:tcPr>
            <w:tcW w:w="3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50"/>
        </w:trPr>
        <w:tc>
          <w:tcPr>
            <w:tcW w:w="528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3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80"/>
              <w:spacing w:after="0"/>
              <w:rPr>
                <w:sz w:val="20"/>
                <w:szCs w:val="20"/>
                <w:color w:val="auto"/>
              </w:rPr>
            </w:pPr>
            <w:r>
              <w:rPr>
                <w:rFonts w:ascii="Arial" w:cs="Arial" w:eastAsia="Arial" w:hAnsi="Arial"/>
                <w:sz w:val="18"/>
                <w:szCs w:val="18"/>
                <w:color w:val="auto"/>
              </w:rPr>
              <w:t>Print advertising revenue</w:t>
            </w:r>
          </w:p>
        </w:tc>
        <w:tc>
          <w:tcPr>
            <w:tcW w:w="3140" w:type="dxa"/>
            <w:vAlign w:val="bottom"/>
          </w:tcPr>
          <w:p>
            <w:pPr>
              <w:jc w:val="right"/>
              <w:ind w:right="210"/>
              <w:spacing w:after="0"/>
              <w:rPr>
                <w:sz w:val="20"/>
                <w:szCs w:val="20"/>
                <w:color w:val="auto"/>
              </w:rPr>
            </w:pPr>
            <w:r>
              <w:rPr>
                <w:rFonts w:ascii="Arial" w:cs="Arial" w:eastAsia="Arial" w:hAnsi="Arial"/>
                <w:sz w:val="18"/>
                <w:szCs w:val="18"/>
                <w:color w:val="auto"/>
              </w:rPr>
              <w:t>41,836</w:t>
            </w:r>
          </w:p>
        </w:tc>
        <w:tc>
          <w:tcPr>
            <w:tcW w:w="1380" w:type="dxa"/>
            <w:vAlign w:val="bottom"/>
          </w:tcPr>
          <w:p>
            <w:pPr>
              <w:jc w:val="right"/>
              <w:spacing w:after="0"/>
              <w:rPr>
                <w:sz w:val="20"/>
                <w:szCs w:val="20"/>
                <w:color w:val="auto"/>
              </w:rPr>
            </w:pPr>
            <w:r>
              <w:rPr>
                <w:rFonts w:ascii="Arial" w:cs="Arial" w:eastAsia="Arial" w:hAnsi="Arial"/>
                <w:sz w:val="18"/>
                <w:szCs w:val="18"/>
                <w:color w:val="auto"/>
              </w:rPr>
              <w:t>55,970</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Digital advertising revenue</w:t>
            </w:r>
          </w:p>
        </w:tc>
        <w:tc>
          <w:tcPr>
            <w:tcW w:w="31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47,749</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42,784</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Advertising and marketing services revenue</w:t>
            </w:r>
          </w:p>
        </w:tc>
        <w:tc>
          <w:tcPr>
            <w:tcW w:w="3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89,585</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98,754</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Print subscription revenue</w:t>
            </w:r>
          </w:p>
        </w:tc>
        <w:tc>
          <w:tcPr>
            <w:tcW w:w="3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67,370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79,628</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Digital subscription revenue</w:t>
            </w:r>
          </w:p>
        </w:tc>
        <w:tc>
          <w:tcPr>
            <w:tcW w:w="3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12,329</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7,891</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31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79,699</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87,519</w:t>
            </w:r>
          </w:p>
        </w:tc>
        <w:tc>
          <w:tcPr>
            <w:tcW w:w="0" w:type="dxa"/>
            <w:vAlign w:val="bottom"/>
          </w:tcPr>
          <w:p>
            <w:pPr>
              <w:spacing w:after="0"/>
              <w:rPr>
                <w:sz w:val="1"/>
                <w:szCs w:val="1"/>
                <w:color w:val="auto"/>
              </w:rPr>
            </w:pPr>
          </w:p>
        </w:tc>
      </w:tr>
      <w:tr>
        <w:trPr>
          <w:trHeight w:val="223"/>
        </w:trPr>
        <w:tc>
          <w:tcPr>
            <w:tcW w:w="5280" w:type="dxa"/>
            <w:vAlign w:val="bottom"/>
          </w:tcPr>
          <w:p>
            <w:pPr>
              <w:ind w:left="180"/>
              <w:spacing w:after="0"/>
              <w:rPr>
                <w:sz w:val="20"/>
                <w:szCs w:val="20"/>
                <w:color w:val="auto"/>
              </w:rPr>
            </w:pPr>
            <w:r>
              <w:rPr>
                <w:rFonts w:ascii="Arial" w:cs="Arial" w:eastAsia="Arial" w:hAnsi="Arial"/>
                <w:sz w:val="18"/>
                <w:szCs w:val="18"/>
                <w:color w:val="auto"/>
              </w:rPr>
              <w:t>Print other revenue</w:t>
            </w:r>
          </w:p>
        </w:tc>
        <w:tc>
          <w:tcPr>
            <w:tcW w:w="3140" w:type="dxa"/>
            <w:vAlign w:val="bottom"/>
          </w:tcPr>
          <w:p>
            <w:pPr>
              <w:jc w:val="right"/>
              <w:ind w:right="210"/>
              <w:spacing w:after="0"/>
              <w:rPr>
                <w:sz w:val="20"/>
                <w:szCs w:val="20"/>
                <w:color w:val="auto"/>
              </w:rPr>
            </w:pPr>
            <w:r>
              <w:rPr>
                <w:rFonts w:ascii="Arial" w:cs="Arial" w:eastAsia="Arial" w:hAnsi="Arial"/>
                <w:sz w:val="18"/>
                <w:szCs w:val="18"/>
                <w:color w:val="auto"/>
              </w:rPr>
              <w:t>11,120</w:t>
            </w:r>
          </w:p>
        </w:tc>
        <w:tc>
          <w:tcPr>
            <w:tcW w:w="1380" w:type="dxa"/>
            <w:vAlign w:val="bottom"/>
          </w:tcPr>
          <w:p>
            <w:pPr>
              <w:jc w:val="right"/>
              <w:spacing w:after="0"/>
              <w:rPr>
                <w:sz w:val="20"/>
                <w:szCs w:val="20"/>
                <w:color w:val="auto"/>
              </w:rPr>
            </w:pPr>
            <w:r>
              <w:rPr>
                <w:rFonts w:ascii="Arial" w:cs="Arial" w:eastAsia="Arial" w:hAnsi="Arial"/>
                <w:sz w:val="18"/>
                <w:szCs w:val="18"/>
                <w:color w:val="auto"/>
              </w:rPr>
              <w:t>11,385</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Digital other revenue</w:t>
            </w:r>
          </w:p>
        </w:tc>
        <w:tc>
          <w:tcPr>
            <w:tcW w:w="31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4,727</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revenue</w:t>
            </w:r>
          </w:p>
        </w:tc>
        <w:tc>
          <w:tcPr>
            <w:tcW w:w="3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15,847</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16,009</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31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185,131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202,282</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auto"/>
            </w:tcBorders>
          </w:tcPr>
          <w:p>
            <w:pPr>
              <w:spacing w:after="0" w:line="20" w:lineRule="exact"/>
              <w:rPr>
                <w:sz w:val="1"/>
                <w:szCs w:val="1"/>
                <w:color w:val="auto"/>
              </w:rPr>
            </w:pPr>
          </w:p>
        </w:tc>
        <w:tc>
          <w:tcPr>
            <w:tcW w:w="3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i w:val="1"/>
          <w:iCs w:val="1"/>
          <w:color w:val="auto"/>
        </w:rPr>
        <w:t xml:space="preserve">Recognition principles: </w:t>
      </w:r>
      <w:r>
        <w:rPr>
          <w:rFonts w:ascii="Arial" w:cs="Arial" w:eastAsia="Arial" w:hAnsi="Arial"/>
          <w:sz w:val="18"/>
          <w:szCs w:val="18"/>
          <w:color w:val="auto"/>
        </w:rPr>
        <w:t>Revenue is recognized when a performance obligation is satisfied by the transfer of control of the contracted</w:t>
      </w:r>
      <w:r>
        <w:rPr>
          <w:rFonts w:ascii="Arial" w:cs="Arial" w:eastAsia="Arial" w:hAnsi="Arial"/>
          <w:sz w:val="18"/>
          <w:szCs w:val="18"/>
          <w:i w:val="1"/>
          <w:iCs w:val="1"/>
          <w:color w:val="auto"/>
        </w:rPr>
        <w:t xml:space="preserve"> </w:t>
      </w:r>
      <w:r>
        <w:rPr>
          <w:rFonts w:ascii="Arial" w:cs="Arial" w:eastAsia="Arial" w:hAnsi="Arial"/>
          <w:sz w:val="18"/>
          <w:szCs w:val="18"/>
          <w:color w:val="auto"/>
        </w:rPr>
        <w:t>goods or services to our customers, in an amount that reflects the consideration we expect to receive in exchange for those goods or services.</w:t>
      </w:r>
    </w:p>
    <w:p>
      <w:pPr>
        <w:spacing w:after="0" w:line="130"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i w:val="1"/>
          <w:iCs w:val="1"/>
          <w:color w:val="auto"/>
        </w:rPr>
        <w:t xml:space="preserve">Arrangements with multiple performance obligations: </w:t>
      </w:r>
      <w:r>
        <w:rPr>
          <w:rFonts w:ascii="Arial" w:cs="Arial" w:eastAsia="Arial" w:hAnsi="Arial"/>
          <w:sz w:val="18"/>
          <w:szCs w:val="18"/>
          <w:color w:val="auto"/>
        </w:rPr>
        <w:t>We have various advertising and subscription agreements which include both</w:t>
      </w:r>
      <w:r>
        <w:rPr>
          <w:rFonts w:ascii="Arial" w:cs="Arial" w:eastAsia="Arial" w:hAnsi="Arial"/>
          <w:sz w:val="18"/>
          <w:szCs w:val="18"/>
          <w:i w:val="1"/>
          <w:iCs w:val="1"/>
          <w:color w:val="auto"/>
        </w:rPr>
        <w:t xml:space="preserve"> </w:t>
      </w:r>
      <w:r>
        <w:rPr>
          <w:rFonts w:ascii="Arial" w:cs="Arial" w:eastAsia="Arial" w:hAnsi="Arial"/>
          <w:sz w:val="18"/>
          <w:szCs w:val="18"/>
          <w:color w:val="auto"/>
        </w:rPr>
        <w:t>print and digital performance obligations. Revenue from sales agreements that contain multiple performance obligations are allocated to each obligation based on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relative standalone selling price. We determine standalone selling prices based on observable prices charged to customers.</w:t>
      </w:r>
    </w:p>
    <w:p>
      <w:pPr>
        <w:spacing w:after="0" w:line="198"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i w:val="1"/>
          <w:iCs w:val="1"/>
          <w:color w:val="auto"/>
        </w:rPr>
        <w:t xml:space="preserve">Contract Assets and Liabilities: </w:t>
      </w:r>
      <w:r>
        <w:rPr>
          <w:rFonts w:ascii="Arial" w:cs="Arial" w:eastAsia="Arial" w:hAnsi="Arial"/>
          <w:sz w:val="18"/>
          <w:szCs w:val="18"/>
          <w:color w:val="auto"/>
        </w:rPr>
        <w:t>The Company’s primary source of contract liabilities is unearned revenue from subscriptions paid in</w:t>
      </w:r>
      <w:r>
        <w:rPr>
          <w:rFonts w:ascii="Arial" w:cs="Arial" w:eastAsia="Arial" w:hAnsi="Arial"/>
          <w:sz w:val="18"/>
          <w:szCs w:val="18"/>
          <w:i w:val="1"/>
          <w:iCs w:val="1"/>
          <w:color w:val="auto"/>
        </w:rPr>
        <w:t xml:space="preserve"> </w:t>
      </w:r>
      <w:r>
        <w:rPr>
          <w:rFonts w:ascii="Arial" w:cs="Arial" w:eastAsia="Arial" w:hAnsi="Arial"/>
          <w:sz w:val="18"/>
          <w:szCs w:val="18"/>
          <w:color w:val="auto"/>
        </w:rPr>
        <w:t>advance of the service provided. The Company expects to recognize the revenue related to unsatisfied performance obligations over the next twelve months in accordance with the terms of the subscriptions and other contracts with customers. Revenue recognized in the three months ended December 25, 2022, that was included in the contract liability as of September 25, 2022, was $32.2 million.</w:t>
      </w:r>
    </w:p>
    <w:p>
      <w:pPr>
        <w:spacing w:after="0" w:line="136"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Accounts receivable, excluding allowance for credit losses was $80.8 million and $74.8 million as of December 25, 2022, and September 25, 2022</w:t>
      </w:r>
      <w:r>
        <w:rPr>
          <w:rFonts w:ascii="Arial" w:cs="Arial" w:eastAsia="Arial" w:hAnsi="Arial"/>
          <w:sz w:val="18"/>
          <w:szCs w:val="18"/>
          <w:i w:val="1"/>
          <w:iCs w:val="1"/>
          <w:color w:val="auto"/>
        </w:rPr>
        <w:t>,</w:t>
      </w:r>
      <w:r>
        <w:rPr>
          <w:rFonts w:ascii="Arial" w:cs="Arial" w:eastAsia="Arial" w:hAnsi="Arial"/>
          <w:sz w:val="18"/>
          <w:szCs w:val="18"/>
          <w:color w:val="auto"/>
        </w:rPr>
        <w:t xml:space="preserve"> respectively. Allowance for credit losses was $5.4 million and $5.2 million as of December 25, 2022, and September 25, 2022</w:t>
      </w:r>
      <w:r>
        <w:rPr>
          <w:rFonts w:ascii="Arial" w:cs="Arial" w:eastAsia="Arial" w:hAnsi="Arial"/>
          <w:sz w:val="18"/>
          <w:szCs w:val="18"/>
          <w:i w:val="1"/>
          <w:iCs w:val="1"/>
          <w:color w:val="auto"/>
        </w:rPr>
        <w:t>,</w:t>
      </w:r>
      <w:r>
        <w:rPr>
          <w:rFonts w:ascii="Arial" w:cs="Arial" w:eastAsia="Arial" w:hAnsi="Arial"/>
          <w:sz w:val="18"/>
          <w:szCs w:val="18"/>
          <w:color w:val="auto"/>
        </w:rPr>
        <w:t xml:space="preserve"> respectively.</w:t>
      </w:r>
    </w:p>
    <w:p>
      <w:pPr>
        <w:spacing w:after="0" w:line="130"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Sales commissions are expensed as incurred as the associated contractual periods are one year or less. These costs are recorded within compensation. Most of our contracts have original expected lengths of one year or less and revenue is earned at a rate and amount that corresponds directly with the value to the customer.</w:t>
      </w:r>
    </w:p>
    <w:p>
      <w:pPr>
        <w:spacing w:after="0" w:line="144" w:lineRule="exact"/>
        <w:rPr>
          <w:sz w:val="20"/>
          <w:szCs w:val="20"/>
          <w:color w:val="auto"/>
        </w:rPr>
      </w:pPr>
    </w:p>
    <w:p>
      <w:pPr>
        <w:ind w:left="660" w:right="7080" w:hanging="652"/>
        <w:spacing w:after="0" w:line="453" w:lineRule="auto"/>
        <w:tabs>
          <w:tab w:leader="none" w:pos="31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ASSOCIATED COMPANIES TNI Partners</w:t>
      </w:r>
    </w:p>
    <w:p>
      <w:pPr>
        <w:spacing w:after="0" w:line="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 xml:space="preserve">In Tucson, Arizona, TNI, acting as agent for our subsidiary, Star Publishing Company (“Star Publishing”), and Gannets Co. Inc.'s subsidiary Citizen Publishing Company (“Citizen”), is responsible for printing, delivery, advertising, and subscription activities of the </w:t>
      </w:r>
      <w:r>
        <w:rPr>
          <w:rFonts w:ascii="Arial" w:cs="Arial" w:eastAsia="Arial" w:hAnsi="Arial"/>
          <w:sz w:val="18"/>
          <w:szCs w:val="18"/>
          <w:i w:val="1"/>
          <w:iCs w:val="1"/>
          <w:color w:val="auto"/>
        </w:rPr>
        <w:t xml:space="preserve">Arizona Daily Star </w:t>
      </w:r>
      <w:r>
        <w:rPr>
          <w:rFonts w:ascii="Arial" w:cs="Arial" w:eastAsia="Arial" w:hAnsi="Arial"/>
          <w:sz w:val="18"/>
          <w:szCs w:val="18"/>
          <w:color w:val="auto"/>
        </w:rPr>
        <w:t>as well as the related digital platforms and specialty publications. TNI collects all receipts and income and pays</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operating expenses incident to the partnership's operations and publication of the newspaper and other media.</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or loss of TNI (before income taxes) is allocated equally to Star Publishing and Citizen.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results of TNI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146050</wp:posOffset>
            </wp:positionV>
            <wp:extent cx="6223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219"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Three months ended</w:t>
      </w:r>
    </w:p>
    <w:p>
      <w:pPr>
        <w:spacing w:after="0" w:line="28" w:lineRule="exact"/>
        <w:rPr>
          <w:sz w:val="20"/>
          <w:szCs w:val="20"/>
          <w:color w:val="auto"/>
        </w:rPr>
      </w:pPr>
    </w:p>
    <w:tbl>
      <w:tblPr>
        <w:tblLayout w:type="fixed"/>
        <w:tblInd w:w="660" w:type="dxa"/>
        <w:tblCellMar>
          <w:top w:w="0" w:type="dxa"/>
          <w:left w:w="0" w:type="dxa"/>
          <w:bottom w:w="0" w:type="dxa"/>
          <w:right w:w="0" w:type="dxa"/>
        </w:tblCellMar>
      </w:tblPr>
      <w:tr>
        <w:trPr>
          <w:trHeight w:val="177"/>
        </w:trPr>
        <w:tc>
          <w:tcPr>
            <w:tcW w:w="52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180" w:type="dxa"/>
            <w:vAlign w:val="bottom"/>
            <w:tcBorders>
              <w:top w:val="single" w:sz="8" w:color="auto"/>
            </w:tcBorders>
          </w:tcPr>
          <w:p>
            <w:pPr>
              <w:jc w:val="right"/>
              <w:ind w:right="150"/>
              <w:spacing w:after="0" w:line="177" w:lineRule="exact"/>
              <w:rPr>
                <w:sz w:val="20"/>
                <w:szCs w:val="20"/>
                <w:color w:val="auto"/>
              </w:rPr>
            </w:pPr>
            <w:r>
              <w:rPr>
                <w:rFonts w:ascii="Arial" w:cs="Arial" w:eastAsia="Arial" w:hAnsi="Arial"/>
                <w:sz w:val="18"/>
                <w:szCs w:val="18"/>
                <w:color w:val="auto"/>
              </w:rPr>
              <w:t>December 25,</w:t>
            </w:r>
          </w:p>
        </w:tc>
        <w:tc>
          <w:tcPr>
            <w:tcW w:w="138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December 26,</w:t>
            </w:r>
          </w:p>
        </w:tc>
        <w:tc>
          <w:tcPr>
            <w:tcW w:w="0" w:type="dxa"/>
            <w:vAlign w:val="bottom"/>
          </w:tcPr>
          <w:p>
            <w:pPr>
              <w:spacing w:after="0"/>
              <w:rPr>
                <w:sz w:val="1"/>
                <w:szCs w:val="1"/>
                <w:color w:val="auto"/>
              </w:rPr>
            </w:pPr>
          </w:p>
        </w:tc>
      </w:tr>
      <w:tr>
        <w:trPr>
          <w:trHeight w:val="235"/>
        </w:trPr>
        <w:tc>
          <w:tcPr>
            <w:tcW w:w="5240" w:type="dxa"/>
            <w:vAlign w:val="bottom"/>
            <w:tcBorders>
              <w:bottom w:val="single" w:sz="8" w:color="auto"/>
            </w:tcBorders>
            <w:vMerge w:val="continue"/>
          </w:tcPr>
          <w:p>
            <w:pPr>
              <w:spacing w:after="0"/>
              <w:rPr>
                <w:sz w:val="20"/>
                <w:szCs w:val="20"/>
                <w:color w:val="auto"/>
              </w:rPr>
            </w:pPr>
          </w:p>
        </w:tc>
        <w:tc>
          <w:tcPr>
            <w:tcW w:w="3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50"/>
        </w:trPr>
        <w:tc>
          <w:tcPr>
            <w:tcW w:w="52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3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8,814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8,981</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expenses</w:t>
            </w:r>
          </w:p>
        </w:tc>
        <w:tc>
          <w:tcPr>
            <w:tcW w:w="3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6,285</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6,465</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1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2,529</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auto"/>
            </w:tcBorders>
          </w:tcPr>
          <w:p>
            <w:pPr>
              <w:spacing w:after="0" w:line="20" w:lineRule="exact"/>
              <w:rPr>
                <w:sz w:val="1"/>
                <w:szCs w:val="1"/>
                <w:color w:val="auto"/>
              </w:rPr>
            </w:pPr>
          </w:p>
        </w:tc>
        <w:tc>
          <w:tcPr>
            <w:tcW w:w="3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tcPr>
          <w:p>
            <w:pPr>
              <w:ind w:left="20"/>
              <w:spacing w:after="0" w:line="203" w:lineRule="exact"/>
              <w:rPr>
                <w:sz w:val="20"/>
                <w:szCs w:val="20"/>
                <w:color w:val="auto"/>
              </w:rPr>
            </w:pPr>
            <w:r>
              <w:rPr>
                <w:rFonts w:ascii="Arial" w:cs="Arial" w:eastAsia="Arial" w:hAnsi="Arial"/>
                <w:sz w:val="18"/>
                <w:szCs w:val="18"/>
                <w:color w:val="auto"/>
              </w:rPr>
              <w:t>Company's 50% share of operating income</w:t>
            </w:r>
          </w:p>
        </w:tc>
        <w:tc>
          <w:tcPr>
            <w:tcW w:w="3180" w:type="dxa"/>
            <w:vAlign w:val="bottom"/>
          </w:tcPr>
          <w:p>
            <w:pPr>
              <w:jc w:val="right"/>
              <w:ind w:right="210"/>
              <w:spacing w:after="0" w:line="203" w:lineRule="exact"/>
              <w:rPr>
                <w:sz w:val="20"/>
                <w:szCs w:val="20"/>
                <w:color w:val="auto"/>
              </w:rPr>
            </w:pPr>
            <w:r>
              <w:rPr>
                <w:rFonts w:ascii="Arial" w:cs="Arial" w:eastAsia="Arial" w:hAnsi="Arial"/>
                <w:sz w:val="18"/>
                <w:szCs w:val="18"/>
                <w:color w:val="auto"/>
              </w:rPr>
              <w:t>1,265</w:t>
            </w: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55"/>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in earnings of TNI</w:t>
            </w:r>
          </w:p>
        </w:tc>
        <w:tc>
          <w:tcPr>
            <w:tcW w:w="31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1,265</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auto"/>
            </w:tcBorders>
          </w:tcPr>
          <w:p>
            <w:pPr>
              <w:spacing w:after="0" w:line="20" w:lineRule="exact"/>
              <w:rPr>
                <w:sz w:val="1"/>
                <w:szCs w:val="1"/>
                <w:color w:val="auto"/>
              </w:rPr>
            </w:pPr>
          </w:p>
        </w:tc>
        <w:tc>
          <w:tcPr>
            <w:tcW w:w="3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TNI makes periodic distributions of its earnings and for the three months ended December 25, 2022, and December 26, 2021, and in both periods we received $0.9 million in distributions, respectively.</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Madison Newspapers, Inc.</w:t>
      </w:r>
    </w:p>
    <w:p>
      <w:pPr>
        <w:spacing w:after="0" w:line="18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We have a 50% ownership interest in MNI, which publishes daily and Sunday newspapers, and other publications in Madison, Wisconsin, and other Wisconsin locations, and operates their related digital platforms. Net income or loss of MNI (after income taxes) is allocated equally to us and The Capital Times Company (“TCT”). MNI conducts its business under the trade name Capital Newspapers.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results of MNI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154940</wp:posOffset>
            </wp:positionV>
            <wp:extent cx="61550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55055" cy="8255"/>
                    </a:xfrm>
                    <a:prstGeom prst="rect">
                      <a:avLst/>
                    </a:prstGeom>
                    <a:noFill/>
                  </pic:spPr>
                </pic:pic>
              </a:graphicData>
            </a:graphic>
          </wp:anchor>
        </w:drawing>
      </w:r>
    </w:p>
    <w:p>
      <w:pPr>
        <w:spacing w:after="0" w:line="232"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Three months ended</w:t>
      </w:r>
    </w:p>
    <w:p>
      <w:pPr>
        <w:spacing w:after="0" w:line="28" w:lineRule="exact"/>
        <w:rPr>
          <w:sz w:val="20"/>
          <w:szCs w:val="20"/>
          <w:color w:val="auto"/>
        </w:rPr>
      </w:pPr>
    </w:p>
    <w:tbl>
      <w:tblPr>
        <w:tblLayout w:type="fixed"/>
        <w:tblInd w:w="660" w:type="dxa"/>
        <w:tblCellMar>
          <w:top w:w="0" w:type="dxa"/>
          <w:left w:w="0" w:type="dxa"/>
          <w:bottom w:w="0" w:type="dxa"/>
          <w:right w:w="0" w:type="dxa"/>
        </w:tblCellMar>
      </w:tblPr>
      <w:tr>
        <w:trPr>
          <w:trHeight w:val="169"/>
        </w:trPr>
        <w:tc>
          <w:tcPr>
            <w:tcW w:w="670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600" w:type="dxa"/>
            <w:vAlign w:val="bottom"/>
            <w:tcBorders>
              <w:top w:val="single" w:sz="8" w:color="auto"/>
            </w:tcBorders>
          </w:tcPr>
          <w:p>
            <w:pPr>
              <w:jc w:val="right"/>
              <w:ind w:right="130"/>
              <w:spacing w:after="0" w:line="169" w:lineRule="exact"/>
              <w:rPr>
                <w:sz w:val="20"/>
                <w:szCs w:val="20"/>
                <w:color w:val="auto"/>
              </w:rPr>
            </w:pPr>
            <w:r>
              <w:rPr>
                <w:rFonts w:ascii="Arial" w:cs="Arial" w:eastAsia="Arial" w:hAnsi="Arial"/>
                <w:sz w:val="18"/>
                <w:szCs w:val="18"/>
                <w:color w:val="auto"/>
              </w:rPr>
              <w:t>December 25,</w:t>
            </w:r>
          </w:p>
        </w:tc>
        <w:tc>
          <w:tcPr>
            <w:tcW w:w="13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December 26,</w:t>
            </w:r>
          </w:p>
        </w:tc>
        <w:tc>
          <w:tcPr>
            <w:tcW w:w="0" w:type="dxa"/>
            <w:vAlign w:val="bottom"/>
          </w:tcPr>
          <w:p>
            <w:pPr>
              <w:spacing w:after="0"/>
              <w:rPr>
                <w:sz w:val="1"/>
                <w:szCs w:val="1"/>
                <w:color w:val="auto"/>
              </w:rPr>
            </w:pPr>
          </w:p>
        </w:tc>
      </w:tr>
      <w:tr>
        <w:trPr>
          <w:trHeight w:val="243"/>
        </w:trPr>
        <w:tc>
          <w:tcPr>
            <w:tcW w:w="6700" w:type="dxa"/>
            <w:vAlign w:val="bottom"/>
            <w:tcBorders>
              <w:bottom w:val="single" w:sz="8" w:color="auto"/>
            </w:tcBorders>
            <w:vMerge w:val="continue"/>
          </w:tcPr>
          <w:p>
            <w:pPr>
              <w:spacing w:after="0"/>
              <w:rPr>
                <w:sz w:val="21"/>
                <w:szCs w:val="21"/>
                <w:color w:val="auto"/>
              </w:rPr>
            </w:pP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50"/>
        </w:trPr>
        <w:tc>
          <w:tcPr>
            <w:tcW w:w="67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11,904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12,195</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Operating expenses, excluding restructuring costs, depreciation and amortization</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9,346</w:t>
            </w:r>
          </w:p>
        </w:tc>
        <w:tc>
          <w:tcPr>
            <w:tcW w:w="1380" w:type="dxa"/>
            <w:vAlign w:val="bottom"/>
          </w:tcPr>
          <w:p>
            <w:pPr>
              <w:jc w:val="right"/>
              <w:spacing w:after="0"/>
              <w:rPr>
                <w:sz w:val="20"/>
                <w:szCs w:val="20"/>
                <w:color w:val="auto"/>
              </w:rPr>
            </w:pPr>
            <w:r>
              <w:rPr>
                <w:rFonts w:ascii="Arial" w:cs="Arial" w:eastAsia="Arial" w:hAnsi="Arial"/>
                <w:sz w:val="18"/>
                <w:szCs w:val="18"/>
                <w:color w:val="auto"/>
              </w:rPr>
              <w:t>9,546</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26</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137</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2,395</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Net income</w:t>
            </w:r>
          </w:p>
        </w:tc>
        <w:tc>
          <w:tcPr>
            <w:tcW w:w="16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807</w:t>
            </w: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0"/>
        </w:trPr>
        <w:tc>
          <w:tcPr>
            <w:tcW w:w="67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in earnings of MNI</w:t>
            </w:r>
          </w:p>
        </w:tc>
        <w:tc>
          <w:tcPr>
            <w:tcW w:w="1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404</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MNI makes periodic distributions of its earnings and in the three months ended December 25, 2022 and December 26, 2021, in both periods we received $0.3 million in distributions.</w:t>
      </w:r>
    </w:p>
    <w:p>
      <w:pPr>
        <w:spacing w:after="0" w:line="112"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GOODWILL AND OTHER INTANGIBLE ASSETS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and identified intangible assets consist of the following:</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52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120" w:type="dxa"/>
            <w:vAlign w:val="bottom"/>
            <w:tcBorders>
              <w:top w:val="single" w:sz="8" w:color="auto"/>
            </w:tcBorders>
          </w:tcPr>
          <w:p>
            <w:pPr>
              <w:jc w:val="right"/>
              <w:ind w:right="110"/>
              <w:spacing w:after="0" w:line="189" w:lineRule="exact"/>
              <w:rPr>
                <w:sz w:val="20"/>
                <w:szCs w:val="20"/>
                <w:color w:val="auto"/>
              </w:rPr>
            </w:pPr>
            <w:r>
              <w:rPr>
                <w:rFonts w:ascii="Arial" w:cs="Arial" w:eastAsia="Arial" w:hAnsi="Arial"/>
                <w:sz w:val="18"/>
                <w:szCs w:val="18"/>
                <w:color w:val="auto"/>
              </w:rPr>
              <w:t>December 25,</w:t>
            </w:r>
          </w:p>
        </w:tc>
        <w:tc>
          <w:tcPr>
            <w:tcW w:w="14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September 25,</w:t>
            </w:r>
          </w:p>
        </w:tc>
        <w:tc>
          <w:tcPr>
            <w:tcW w:w="0" w:type="dxa"/>
            <w:vAlign w:val="bottom"/>
          </w:tcPr>
          <w:p>
            <w:pPr>
              <w:spacing w:after="0"/>
              <w:rPr>
                <w:sz w:val="1"/>
                <w:szCs w:val="1"/>
                <w:color w:val="auto"/>
              </w:rPr>
            </w:pPr>
          </w:p>
        </w:tc>
      </w:tr>
      <w:tr>
        <w:trPr>
          <w:trHeight w:val="243"/>
        </w:trPr>
        <w:tc>
          <w:tcPr>
            <w:tcW w:w="5260" w:type="dxa"/>
            <w:vAlign w:val="bottom"/>
            <w:tcBorders>
              <w:bottom w:val="single" w:sz="8" w:color="auto"/>
            </w:tcBorders>
            <w:vMerge w:val="continue"/>
          </w:tcPr>
          <w:p>
            <w:pPr>
              <w:spacing w:after="0"/>
              <w:rPr>
                <w:sz w:val="21"/>
                <w:szCs w:val="21"/>
                <w:color w:val="auto"/>
              </w:rPr>
            </w:pPr>
          </w:p>
        </w:tc>
        <w:tc>
          <w:tcPr>
            <w:tcW w:w="3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beginning of period</w:t>
            </w:r>
          </w:p>
        </w:tc>
        <w:tc>
          <w:tcPr>
            <w:tcW w:w="3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329,504</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330,204</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Impairment</w:t>
            </w:r>
          </w:p>
        </w:tc>
        <w:tc>
          <w:tcPr>
            <w:tcW w:w="3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end of period</w:t>
            </w:r>
          </w:p>
        </w:tc>
        <w:tc>
          <w:tcPr>
            <w:tcW w:w="3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329,504</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329,504</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Non-amortized intangible assets:</w:t>
            </w:r>
          </w:p>
        </w:tc>
        <w:tc>
          <w:tcPr>
            <w:tcW w:w="3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Mastheads</w:t>
            </w:r>
          </w:p>
        </w:tc>
        <w:tc>
          <w:tcPr>
            <w:tcW w:w="3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26,346</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26,346</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Amortizable intangible assets:</w:t>
            </w:r>
          </w:p>
        </w:tc>
        <w:tc>
          <w:tcPr>
            <w:tcW w:w="3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and newspaper subscriber lists</w:t>
            </w:r>
          </w:p>
        </w:tc>
        <w:tc>
          <w:tcPr>
            <w:tcW w:w="3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323,568</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323,568</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Less accumulated amortization</w:t>
            </w:r>
          </w:p>
        </w:tc>
        <w:tc>
          <w:tcPr>
            <w:tcW w:w="3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(233,380)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(228,541)</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auto"/>
            </w:tcBorders>
            <w:shd w:val="clear" w:color="auto" w:fill="CCEEFF"/>
          </w:tcPr>
          <w:p>
            <w:pPr>
              <w:spacing w:after="0"/>
              <w:rPr>
                <w:sz w:val="19"/>
                <w:szCs w:val="19"/>
                <w:color w:val="auto"/>
              </w:rPr>
            </w:pPr>
          </w:p>
        </w:tc>
        <w:tc>
          <w:tcPr>
            <w:tcW w:w="31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90,188</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95,027</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intangibles, net</w:t>
            </w:r>
          </w:p>
        </w:tc>
        <w:tc>
          <w:tcPr>
            <w:tcW w:w="3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446,038</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450,877</w:t>
            </w:r>
          </w:p>
        </w:tc>
        <w:tc>
          <w:tcPr>
            <w:tcW w:w="0" w:type="dxa"/>
            <w:vAlign w:val="bottom"/>
          </w:tcPr>
          <w:p>
            <w:pPr>
              <w:spacing w:after="0"/>
              <w:rPr>
                <w:sz w:val="1"/>
                <w:szCs w:val="1"/>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amortization period for amortizable assets is 12.2 years.</w:t>
      </w:r>
    </w:p>
    <w:p>
      <w:pPr>
        <w:spacing w:after="0" w:line="185"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85"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Company has debt consisting of a single 25-year term loan with BH Finance LLC, with an aggregate principal balance of $462.6 million at a 9% annual fixed rate and maturing on March 16, 2045 (referred to herein as “Credit Agreement” and “Term Loan”). On December 25, 2022, the fair value is $480.8 million. This represents a level 2 fair value measurement.</w:t>
      </w:r>
    </w:p>
    <w:p>
      <w:pPr>
        <w:spacing w:after="0" w:line="144"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During the three months ended December 25, 2022, we made no principal debt payments. Future payments are contingent on the Company's ability to generate future excess cash flow, as defined in the Credit Agreement. As of December 25, 2022, there was no excess cash flow payment due.</w:t>
      </w:r>
    </w:p>
    <w:p>
      <w:pPr>
        <w:spacing w:after="0" w:line="130"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PENSION, POSTRETIREMENT AND POSTEMPLOYMENT DEFINED BENEFIT PLANS</w:t>
      </w:r>
    </w:p>
    <w:p>
      <w:pPr>
        <w:spacing w:after="0" w:line="185"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We have two defined benefit pension plans that together cover certain employees, including plans established under collective bargaining agreements. Additionally, we provide retiree medical and life insurance benefits under postretirement plans at several of our operating locations. Through</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December 25, 2022, our liability and related expense for benefits under the plans are recorded over the service period of employees based upon annual actuarial calculations.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periodic pension and postretirement cost (benefit) components for our plans are as follows:</w:t>
      </w: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5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PENSION PLANS</w:t>
            </w:r>
          </w:p>
        </w:tc>
        <w:tc>
          <w:tcPr>
            <w:tcW w:w="3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Three months ended</w:t>
            </w:r>
          </w:p>
        </w:tc>
        <w:tc>
          <w:tcPr>
            <w:tcW w:w="12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2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340" w:type="dxa"/>
            <w:vAlign w:val="bottom"/>
          </w:tcPr>
          <w:p>
            <w:pPr>
              <w:jc w:val="right"/>
              <w:ind w:right="850"/>
              <w:spacing w:after="0" w:line="169" w:lineRule="exact"/>
              <w:rPr>
                <w:sz w:val="20"/>
                <w:szCs w:val="20"/>
                <w:color w:val="auto"/>
              </w:rPr>
            </w:pPr>
            <w:r>
              <w:rPr>
                <w:rFonts w:ascii="Arial" w:cs="Arial" w:eastAsia="Arial" w:hAnsi="Arial"/>
                <w:sz w:val="18"/>
                <w:szCs w:val="18"/>
                <w:color w:val="auto"/>
              </w:rPr>
              <w:t>December 25,</w:t>
            </w:r>
          </w:p>
        </w:tc>
        <w:tc>
          <w:tcPr>
            <w:tcW w:w="1260" w:type="dxa"/>
            <w:vAlign w:val="bottom"/>
          </w:tcPr>
          <w:p>
            <w:pPr>
              <w:jc w:val="right"/>
              <w:spacing w:after="0" w:line="169" w:lineRule="exact"/>
              <w:rPr>
                <w:sz w:val="20"/>
                <w:szCs w:val="20"/>
                <w:color w:val="auto"/>
              </w:rPr>
            </w:pPr>
            <w:r>
              <w:rPr>
                <w:rFonts w:ascii="Arial" w:cs="Arial" w:eastAsia="Arial" w:hAnsi="Arial"/>
                <w:sz w:val="18"/>
                <w:szCs w:val="18"/>
                <w:color w:val="auto"/>
              </w:rPr>
              <w:t>December 26,</w:t>
            </w:r>
          </w:p>
        </w:tc>
        <w:tc>
          <w:tcPr>
            <w:tcW w:w="0" w:type="dxa"/>
            <w:vAlign w:val="bottom"/>
          </w:tcPr>
          <w:p>
            <w:pPr>
              <w:spacing w:after="0"/>
              <w:rPr>
                <w:sz w:val="1"/>
                <w:szCs w:val="1"/>
                <w:color w:val="auto"/>
              </w:rPr>
            </w:pPr>
          </w:p>
        </w:tc>
      </w:tr>
      <w:tr>
        <w:trPr>
          <w:trHeight w:val="243"/>
        </w:trPr>
        <w:tc>
          <w:tcPr>
            <w:tcW w:w="5200" w:type="dxa"/>
            <w:vAlign w:val="bottom"/>
            <w:tcBorders>
              <w:bottom w:val="single" w:sz="8" w:color="auto"/>
            </w:tcBorders>
            <w:vMerge w:val="continue"/>
          </w:tcPr>
          <w:p>
            <w:pPr>
              <w:spacing w:after="0"/>
              <w:rPr>
                <w:sz w:val="21"/>
                <w:szCs w:val="21"/>
                <w:color w:val="auto"/>
              </w:rPr>
            </w:pPr>
          </w:p>
        </w:tc>
        <w:tc>
          <w:tcPr>
            <w:tcW w:w="33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50"/>
        </w:trPr>
        <w:tc>
          <w:tcPr>
            <w:tcW w:w="52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 for benefits earned during the period</w:t>
            </w:r>
          </w:p>
        </w:tc>
        <w:tc>
          <w:tcPr>
            <w:tcW w:w="33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3340" w:type="dxa"/>
            <w:vAlign w:val="bottom"/>
          </w:tcPr>
          <w:p>
            <w:pPr>
              <w:jc w:val="right"/>
              <w:ind w:right="910"/>
              <w:spacing w:after="0"/>
              <w:rPr>
                <w:sz w:val="20"/>
                <w:szCs w:val="20"/>
                <w:color w:val="auto"/>
              </w:rPr>
            </w:pPr>
            <w:r>
              <w:rPr>
                <w:rFonts w:ascii="Arial" w:cs="Arial" w:eastAsia="Arial" w:hAnsi="Arial"/>
                <w:sz w:val="18"/>
                <w:szCs w:val="18"/>
                <w:color w:val="auto"/>
              </w:rPr>
              <w:t>2,592</w:t>
            </w:r>
          </w:p>
        </w:tc>
        <w:tc>
          <w:tcPr>
            <w:tcW w:w="1260" w:type="dxa"/>
            <w:vAlign w:val="bottom"/>
          </w:tcPr>
          <w:p>
            <w:pPr>
              <w:jc w:val="right"/>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334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(2,548)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Amortization of net (gain) loss</w:t>
            </w:r>
          </w:p>
        </w:tc>
        <w:tc>
          <w:tcPr>
            <w:tcW w:w="3340" w:type="dxa"/>
            <w:vAlign w:val="bottom"/>
          </w:tcPr>
          <w:p>
            <w:pPr>
              <w:jc w:val="right"/>
              <w:ind w:right="910"/>
              <w:spacing w:after="0"/>
              <w:rPr>
                <w:sz w:val="20"/>
                <w:szCs w:val="20"/>
                <w:color w:val="auto"/>
              </w:rPr>
            </w:pPr>
            <w:r>
              <w:rPr>
                <w:rFonts w:ascii="Arial" w:cs="Arial" w:eastAsia="Arial" w:hAnsi="Arial"/>
                <w:sz w:val="18"/>
                <w:szCs w:val="18"/>
                <w:color w:val="auto"/>
              </w:rPr>
              <w:t>2</w:t>
            </w:r>
          </w:p>
        </w:tc>
        <w:tc>
          <w:tcPr>
            <w:tcW w:w="1260" w:type="dxa"/>
            <w:vAlign w:val="bottom"/>
          </w:tcPr>
          <w:p>
            <w:pPr>
              <w:jc w:val="right"/>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benefit</w:t>
            </w:r>
          </w:p>
        </w:tc>
        <w:tc>
          <w:tcPr>
            <w:tcW w:w="33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213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Curtailment gain</w:t>
            </w:r>
          </w:p>
        </w:tc>
        <w:tc>
          <w:tcPr>
            <w:tcW w:w="334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Pension benefit</w:t>
            </w:r>
          </w:p>
        </w:tc>
        <w:tc>
          <w:tcPr>
            <w:tcW w:w="334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264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auto"/>
            </w:tcBorders>
          </w:tcPr>
          <w:p>
            <w:pPr>
              <w:spacing w:after="0" w:line="20" w:lineRule="exact"/>
              <w:rPr>
                <w:sz w:val="1"/>
                <w:szCs w:val="1"/>
                <w:color w:val="auto"/>
              </w:rPr>
            </w:pPr>
          </w:p>
        </w:tc>
        <w:tc>
          <w:tcPr>
            <w:tcW w:w="3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20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POSTRETIREMENT MEDICAL PLANS</w:t>
            </w:r>
          </w:p>
        </w:tc>
        <w:tc>
          <w:tcPr>
            <w:tcW w:w="3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Three months ended</w:t>
            </w: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2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340" w:type="dxa"/>
            <w:vAlign w:val="bottom"/>
          </w:tcPr>
          <w:p>
            <w:pPr>
              <w:jc w:val="right"/>
              <w:ind w:right="850"/>
              <w:spacing w:after="0" w:line="169" w:lineRule="exact"/>
              <w:rPr>
                <w:sz w:val="20"/>
                <w:szCs w:val="20"/>
                <w:color w:val="auto"/>
              </w:rPr>
            </w:pPr>
            <w:r>
              <w:rPr>
                <w:rFonts w:ascii="Arial" w:cs="Arial" w:eastAsia="Arial" w:hAnsi="Arial"/>
                <w:sz w:val="18"/>
                <w:szCs w:val="18"/>
                <w:color w:val="auto"/>
              </w:rPr>
              <w:t>December 25,</w:t>
            </w:r>
          </w:p>
        </w:tc>
        <w:tc>
          <w:tcPr>
            <w:tcW w:w="1260" w:type="dxa"/>
            <w:vAlign w:val="bottom"/>
          </w:tcPr>
          <w:p>
            <w:pPr>
              <w:jc w:val="right"/>
              <w:spacing w:after="0" w:line="169" w:lineRule="exact"/>
              <w:rPr>
                <w:sz w:val="20"/>
                <w:szCs w:val="20"/>
                <w:color w:val="auto"/>
              </w:rPr>
            </w:pPr>
            <w:r>
              <w:rPr>
                <w:rFonts w:ascii="Arial" w:cs="Arial" w:eastAsia="Arial" w:hAnsi="Arial"/>
                <w:sz w:val="18"/>
                <w:szCs w:val="18"/>
                <w:color w:val="auto"/>
              </w:rPr>
              <w:t>December 26,</w:t>
            </w:r>
          </w:p>
        </w:tc>
        <w:tc>
          <w:tcPr>
            <w:tcW w:w="0" w:type="dxa"/>
            <w:vAlign w:val="bottom"/>
          </w:tcPr>
          <w:p>
            <w:pPr>
              <w:spacing w:after="0"/>
              <w:rPr>
                <w:sz w:val="1"/>
                <w:szCs w:val="1"/>
                <w:color w:val="auto"/>
              </w:rPr>
            </w:pPr>
          </w:p>
        </w:tc>
      </w:tr>
      <w:tr>
        <w:trPr>
          <w:trHeight w:val="243"/>
        </w:trPr>
        <w:tc>
          <w:tcPr>
            <w:tcW w:w="5200" w:type="dxa"/>
            <w:vAlign w:val="bottom"/>
            <w:tcBorders>
              <w:bottom w:val="single" w:sz="8" w:color="auto"/>
            </w:tcBorders>
            <w:vMerge w:val="continue"/>
          </w:tcPr>
          <w:p>
            <w:pPr>
              <w:spacing w:after="0"/>
              <w:rPr>
                <w:sz w:val="21"/>
                <w:szCs w:val="21"/>
                <w:color w:val="auto"/>
              </w:rPr>
            </w:pPr>
          </w:p>
        </w:tc>
        <w:tc>
          <w:tcPr>
            <w:tcW w:w="33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50"/>
        </w:trPr>
        <w:tc>
          <w:tcPr>
            <w:tcW w:w="52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 for benefits earned during the period</w:t>
            </w:r>
          </w:p>
        </w:tc>
        <w:tc>
          <w:tcPr>
            <w:tcW w:w="33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17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3340" w:type="dxa"/>
            <w:vAlign w:val="bottom"/>
          </w:tcPr>
          <w:p>
            <w:pPr>
              <w:jc w:val="right"/>
              <w:ind w:right="910"/>
              <w:spacing w:after="0"/>
              <w:rPr>
                <w:sz w:val="20"/>
                <w:szCs w:val="20"/>
                <w:color w:val="auto"/>
              </w:rPr>
            </w:pPr>
            <w:r>
              <w:rPr>
                <w:rFonts w:ascii="Arial" w:cs="Arial" w:eastAsia="Arial" w:hAnsi="Arial"/>
                <w:sz w:val="18"/>
                <w:szCs w:val="18"/>
                <w:color w:val="auto"/>
              </w:rPr>
              <w:t>149</w:t>
            </w:r>
          </w:p>
        </w:tc>
        <w:tc>
          <w:tcPr>
            <w:tcW w:w="126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334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(295)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Amortization of net gain</w:t>
            </w:r>
          </w:p>
        </w:tc>
        <w:tc>
          <w:tcPr>
            <w:tcW w:w="3340" w:type="dxa"/>
            <w:vAlign w:val="bottom"/>
          </w:tcPr>
          <w:p>
            <w:pPr>
              <w:jc w:val="right"/>
              <w:ind w:right="870"/>
              <w:spacing w:after="0"/>
              <w:rPr>
                <w:sz w:val="20"/>
                <w:szCs w:val="20"/>
                <w:color w:val="auto"/>
              </w:rPr>
            </w:pPr>
            <w:r>
              <w:rPr>
                <w:rFonts w:ascii="Arial" w:cs="Arial" w:eastAsia="Arial" w:hAnsi="Arial"/>
                <w:sz w:val="18"/>
                <w:szCs w:val="18"/>
                <w:color w:val="auto"/>
              </w:rPr>
              <w:t>(254)</w:t>
            </w:r>
          </w:p>
        </w:tc>
        <w:tc>
          <w:tcPr>
            <w:tcW w:w="126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Amortization of prior service benefit</w:t>
            </w:r>
          </w:p>
        </w:tc>
        <w:tc>
          <w:tcPr>
            <w:tcW w:w="334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(162)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Postretirement medical benefit</w:t>
            </w:r>
          </w:p>
        </w:tc>
        <w:tc>
          <w:tcPr>
            <w:tcW w:w="33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(545)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color w:val="auto"/>
        </w:rPr>
        <w:t>In the three months ended December 25, 2022 and December 26, 2021, we made no contributions to our pension plans. We have no required contributions to our pension plans for 2023.</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Multiemployer Pension Plans</w:t>
      </w:r>
    </w:p>
    <w:p>
      <w:pPr>
        <w:spacing w:after="0" w:line="198"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In prior periods, the Company effectuated withdrawals from several multiemployer plans. As of December 25, 2022, and September 25, 2022, we had $23.7 million and $25.0 million of accrued withdrawal liabilities. The liabilities reflect the estimated value of payments to the fund, payable over 20-years.</w:t>
      </w:r>
    </w:p>
    <w:p>
      <w:pPr>
        <w:spacing w:after="0" w:line="130"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We recorded an income tax expense of $0.4 million related to income before taxes of $2.3 million for the three months ended December 25, 2022. We recorded an income tax expense of $5.4 million related to income before taxes of $18.6 million for the three months ended December 26, 2021. The effective income tax rate for the three months ended December 25, 2022, was 19.4%. The effective income tax rate for the three months ended December 26, 2021, was 28.8%.</w:t>
      </w:r>
    </w:p>
    <w:p>
      <w:pPr>
        <w:spacing w:after="0" w:line="149"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primary differences between these rates and the U.S. federal statutory rate of 21% are because of state taxes, non-deductible expenses, adjustments to reserves for uncertain tax positions, including any related interest, and mark-to-market adjustments to value stock warrants.</w:t>
      </w:r>
    </w:p>
    <w:p>
      <w:pPr>
        <w:spacing w:after="0" w:line="130"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We file a consolidated federal tax return, as well as combined and separate tax returns in approximately 27 state and local jurisdictions. We do not currently have any federal or material state income tax examinations in progress. Our income tax returns have generally been audited or closed to audit through 2015.</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COMMON SHARE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5600" w:type="dxa"/>
            <w:vAlign w:val="bottom"/>
            <w:tcBorders>
              <w:top w:val="single" w:sz="8" w:color="auto"/>
              <w:bottom w:val="single" w:sz="8" w:color="auto"/>
            </w:tcBorders>
          </w:tcPr>
          <w:p>
            <w:pPr>
              <w:spacing w:after="0"/>
              <w:rPr>
                <w:sz w:val="21"/>
                <w:szCs w:val="21"/>
                <w:color w:val="auto"/>
              </w:rPr>
            </w:pPr>
          </w:p>
        </w:tc>
        <w:tc>
          <w:tcPr>
            <w:tcW w:w="2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Three months ended</w:t>
            </w:r>
          </w:p>
        </w:tc>
        <w:tc>
          <w:tcPr>
            <w:tcW w:w="12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6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 and Shares, Except Per Share Data)</w:t>
            </w:r>
          </w:p>
        </w:tc>
        <w:tc>
          <w:tcPr>
            <w:tcW w:w="2920" w:type="dxa"/>
            <w:vAlign w:val="bottom"/>
          </w:tcPr>
          <w:p>
            <w:pPr>
              <w:jc w:val="right"/>
              <w:ind w:right="850"/>
              <w:spacing w:after="0" w:line="169" w:lineRule="exact"/>
              <w:rPr>
                <w:sz w:val="20"/>
                <w:szCs w:val="20"/>
                <w:color w:val="auto"/>
              </w:rPr>
            </w:pPr>
            <w:r>
              <w:rPr>
                <w:rFonts w:ascii="Arial" w:cs="Arial" w:eastAsia="Arial" w:hAnsi="Arial"/>
                <w:sz w:val="18"/>
                <w:szCs w:val="18"/>
                <w:color w:val="auto"/>
              </w:rPr>
              <w:t>December 25,</w:t>
            </w:r>
          </w:p>
        </w:tc>
        <w:tc>
          <w:tcPr>
            <w:tcW w:w="1240" w:type="dxa"/>
            <w:vAlign w:val="bottom"/>
          </w:tcPr>
          <w:p>
            <w:pPr>
              <w:jc w:val="right"/>
              <w:spacing w:after="0" w:line="169" w:lineRule="exact"/>
              <w:rPr>
                <w:sz w:val="20"/>
                <w:szCs w:val="20"/>
                <w:color w:val="auto"/>
              </w:rPr>
            </w:pPr>
            <w:r>
              <w:rPr>
                <w:rFonts w:ascii="Arial" w:cs="Arial" w:eastAsia="Arial" w:hAnsi="Arial"/>
                <w:sz w:val="18"/>
                <w:szCs w:val="18"/>
                <w:color w:val="auto"/>
              </w:rPr>
              <w:t>December 26,</w:t>
            </w:r>
          </w:p>
        </w:tc>
        <w:tc>
          <w:tcPr>
            <w:tcW w:w="0" w:type="dxa"/>
            <w:vAlign w:val="bottom"/>
          </w:tcPr>
          <w:p>
            <w:pPr>
              <w:spacing w:after="0"/>
              <w:rPr>
                <w:sz w:val="1"/>
                <w:szCs w:val="1"/>
                <w:color w:val="auto"/>
              </w:rPr>
            </w:pPr>
          </w:p>
        </w:tc>
      </w:tr>
      <w:tr>
        <w:trPr>
          <w:trHeight w:val="243"/>
        </w:trPr>
        <w:tc>
          <w:tcPr>
            <w:tcW w:w="5600" w:type="dxa"/>
            <w:vAlign w:val="bottom"/>
            <w:tcBorders>
              <w:bottom w:val="single" w:sz="8" w:color="auto"/>
            </w:tcBorders>
            <w:vMerge w:val="continue"/>
          </w:tcPr>
          <w:p>
            <w:pPr>
              <w:spacing w:after="0"/>
              <w:rPr>
                <w:sz w:val="21"/>
                <w:szCs w:val="21"/>
                <w:color w:val="auto"/>
              </w:rPr>
            </w:pPr>
          </w:p>
        </w:tc>
        <w:tc>
          <w:tcPr>
            <w:tcW w:w="29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50"/>
        </w:trPr>
        <w:tc>
          <w:tcPr>
            <w:tcW w:w="56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attributable to Lee Enterprises, Incorporated:</w:t>
            </w:r>
          </w:p>
        </w:tc>
        <w:tc>
          <w:tcPr>
            <w:tcW w:w="29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1,099</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12,658</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auto"/>
            </w:tcBorders>
          </w:tcPr>
          <w:p>
            <w:pPr>
              <w:spacing w:after="0" w:line="20" w:lineRule="exact"/>
              <w:rPr>
                <w:sz w:val="1"/>
                <w:szCs w:val="1"/>
                <w:color w:val="auto"/>
              </w:rPr>
            </w:pPr>
          </w:p>
        </w:tc>
        <w:tc>
          <w:tcPr>
            <w:tcW w:w="29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00" w:type="dxa"/>
            <w:vAlign w:val="bottom"/>
          </w:tcPr>
          <w:p>
            <w:pPr>
              <w:ind w:left="20"/>
              <w:spacing w:after="0" w:line="203" w:lineRule="exact"/>
              <w:rPr>
                <w:sz w:val="20"/>
                <w:szCs w:val="20"/>
                <w:color w:val="auto"/>
              </w:rPr>
            </w:pPr>
            <w:r>
              <w:rPr>
                <w:rFonts w:ascii="Arial" w:cs="Arial" w:eastAsia="Arial" w:hAnsi="Arial"/>
                <w:sz w:val="18"/>
                <w:szCs w:val="18"/>
                <w:color w:val="auto"/>
              </w:rPr>
              <w:t>Weighted average common shares</w:t>
            </w:r>
          </w:p>
        </w:tc>
        <w:tc>
          <w:tcPr>
            <w:tcW w:w="2920" w:type="dxa"/>
            <w:vAlign w:val="bottom"/>
          </w:tcPr>
          <w:p>
            <w:pPr>
              <w:jc w:val="right"/>
              <w:ind w:right="910"/>
              <w:spacing w:after="0" w:line="203" w:lineRule="exact"/>
              <w:rPr>
                <w:sz w:val="20"/>
                <w:szCs w:val="20"/>
                <w:color w:val="auto"/>
              </w:rPr>
            </w:pPr>
            <w:r>
              <w:rPr>
                <w:rFonts w:ascii="Arial" w:cs="Arial" w:eastAsia="Arial" w:hAnsi="Arial"/>
                <w:sz w:val="18"/>
                <w:szCs w:val="18"/>
                <w:color w:val="auto"/>
              </w:rPr>
              <w:t>5,996</w:t>
            </w: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5,885</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weighted average restricted Common Stock</w:t>
            </w:r>
          </w:p>
        </w:tc>
        <w:tc>
          <w:tcPr>
            <w:tcW w:w="292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(171)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Basic average common shares</w:t>
            </w:r>
          </w:p>
        </w:tc>
        <w:tc>
          <w:tcPr>
            <w:tcW w:w="2920" w:type="dxa"/>
            <w:vAlign w:val="bottom"/>
          </w:tcPr>
          <w:p>
            <w:pPr>
              <w:jc w:val="right"/>
              <w:ind w:right="910"/>
              <w:spacing w:after="0"/>
              <w:rPr>
                <w:sz w:val="20"/>
                <w:szCs w:val="20"/>
                <w:color w:val="auto"/>
              </w:rPr>
            </w:pPr>
            <w:r>
              <w:rPr>
                <w:rFonts w:ascii="Arial" w:cs="Arial" w:eastAsia="Arial" w:hAnsi="Arial"/>
                <w:sz w:val="18"/>
                <w:szCs w:val="18"/>
                <w:color w:val="auto"/>
              </w:rPr>
              <w:t>5,825</w:t>
            </w:r>
          </w:p>
        </w:tc>
        <w:tc>
          <w:tcPr>
            <w:tcW w:w="1240" w:type="dxa"/>
            <w:vAlign w:val="bottom"/>
          </w:tcPr>
          <w:p>
            <w:pPr>
              <w:jc w:val="right"/>
              <w:spacing w:after="0"/>
              <w:rPr>
                <w:sz w:val="20"/>
                <w:szCs w:val="20"/>
                <w:color w:val="auto"/>
              </w:rPr>
            </w:pPr>
            <w:r>
              <w:rPr>
                <w:rFonts w:ascii="Arial" w:cs="Arial" w:eastAsia="Arial" w:hAnsi="Arial"/>
                <w:sz w:val="18"/>
                <w:szCs w:val="18"/>
                <w:color w:val="auto"/>
              </w:rPr>
              <w:t>5,726</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Dilutive stock options and restricted Common Stock</w:t>
            </w:r>
          </w:p>
        </w:tc>
        <w:tc>
          <w:tcPr>
            <w:tcW w:w="29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71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 average common shares</w:t>
            </w:r>
          </w:p>
        </w:tc>
        <w:tc>
          <w:tcPr>
            <w:tcW w:w="29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5,896</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5,844</w:t>
            </w:r>
          </w:p>
        </w:tc>
        <w:tc>
          <w:tcPr>
            <w:tcW w:w="0" w:type="dxa"/>
            <w:vAlign w:val="bottom"/>
          </w:tcPr>
          <w:p>
            <w:pPr>
              <w:spacing w:after="0"/>
              <w:rPr>
                <w:sz w:val="1"/>
                <w:szCs w:val="1"/>
                <w:color w:val="auto"/>
              </w:rPr>
            </w:pPr>
          </w:p>
        </w:tc>
      </w:tr>
      <w:tr>
        <w:trPr>
          <w:trHeight w:val="20"/>
        </w:trPr>
        <w:tc>
          <w:tcPr>
            <w:tcW w:w="560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29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180"/>
              <w:spacing w:after="0"/>
              <w:rPr>
                <w:sz w:val="20"/>
                <w:szCs w:val="20"/>
                <w:color w:val="auto"/>
              </w:rPr>
            </w:pPr>
            <w:r>
              <w:rPr>
                <w:rFonts w:ascii="Arial" w:cs="Arial" w:eastAsia="Arial" w:hAnsi="Arial"/>
                <w:sz w:val="18"/>
                <w:szCs w:val="18"/>
                <w:color w:val="auto"/>
              </w:rPr>
              <w:t>Basic</w:t>
            </w:r>
          </w:p>
        </w:tc>
        <w:tc>
          <w:tcPr>
            <w:tcW w:w="2920" w:type="dxa"/>
            <w:vAlign w:val="bottom"/>
          </w:tcPr>
          <w:p>
            <w:pPr>
              <w:jc w:val="right"/>
              <w:ind w:right="910"/>
              <w:spacing w:after="0"/>
              <w:rPr>
                <w:sz w:val="20"/>
                <w:szCs w:val="20"/>
                <w:color w:val="auto"/>
              </w:rPr>
            </w:pPr>
            <w:r>
              <w:rPr>
                <w:rFonts w:ascii="Arial" w:cs="Arial" w:eastAsia="Arial" w:hAnsi="Arial"/>
                <w:sz w:val="18"/>
                <w:szCs w:val="18"/>
                <w:color w:val="auto"/>
              </w:rPr>
              <w:t>0.19</w:t>
            </w:r>
          </w:p>
        </w:tc>
        <w:tc>
          <w:tcPr>
            <w:tcW w:w="124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54"/>
        </w:trPr>
        <w:tc>
          <w:tcPr>
            <w:tcW w:w="56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9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0.19</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auto"/>
            </w:tcBorders>
          </w:tcPr>
          <w:p>
            <w:pPr>
              <w:spacing w:after="0" w:line="20" w:lineRule="exact"/>
              <w:rPr>
                <w:sz w:val="1"/>
                <w:szCs w:val="1"/>
                <w:color w:val="auto"/>
              </w:rPr>
            </w:pPr>
          </w:p>
        </w:tc>
        <w:tc>
          <w:tcPr>
            <w:tcW w:w="29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For the three months ended December 25, 2022 and December 26, 2021, 74,304 and 600,000 shares, respectively, were not considered in the computation of diluted earnings per common share because their inclusion would result in an anti-dilutive effect on per share amounts.</w:t>
      </w:r>
    </w:p>
    <w:p>
      <w:pPr>
        <w:spacing w:after="0" w:line="130"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Legal Proceedings</w:t>
      </w:r>
    </w:p>
    <w:p>
      <w:pPr>
        <w:spacing w:after="0" w:line="185"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 xml:space="preserve">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have a material adverse effect on our Consolidated Financial Statements, taken as a whole.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discussion includes comments and analysis relating to our results of operations and financial condition as of and for the three months ended December 25, 2022. This discussion should be read in conjunction with the Consolidated Financial Statements and related Notes thereto, included herein, and our 2022 Annual Report on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Lee Enterprises, Incorporated is a leading provider of high quality, trusted, local news and information in the markets we serve with rapidly growing digital subscription and advertising platforms.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operate 77 principally mid-sized local media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reach nearly 70% of all adults in our larger markets through a combination of our print and digital content offerings.</w:t>
      </w:r>
    </w:p>
    <w:p>
      <w:pPr>
        <w:spacing w:after="0" w:line="185" w:lineRule="exact"/>
        <w:rPr>
          <w:sz w:val="20"/>
          <w:szCs w:val="20"/>
          <w:color w:val="auto"/>
        </w:rPr>
      </w:pPr>
    </w:p>
    <w:p>
      <w:pPr>
        <w:ind w:left="66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web and mobile sites are the number one digital source of local news in most of our markets, reaching almost 38 million monthly unique visitors in 2023 with 343 million page views and 78 million visits.</w:t>
      </w:r>
    </w:p>
    <w:p>
      <w:pPr>
        <w:spacing w:after="0" w:line="125"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approximately one million paid subscribers to our print and digital products. Digital-only subscribers totaled approximately 564,000, a 25.3% increase over the prior year.</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Our products include daily newspapers, websites and mobile applications, mobile news and advertising, video products, a digital marketing agency, digital services including web hosting and content management, niche publications and community newspapers. Our local media operations range from large daily newspapers and their associated digital products, such as the </w:t>
      </w:r>
      <w:r>
        <w:rPr>
          <w:rFonts w:ascii="Arial" w:cs="Arial" w:eastAsia="Arial" w:hAnsi="Arial"/>
          <w:sz w:val="18"/>
          <w:szCs w:val="18"/>
          <w:i w:val="1"/>
          <w:iCs w:val="1"/>
          <w:color w:val="auto"/>
        </w:rPr>
        <w:t>St. Louis Post-Dispatch</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Buffalo</w:t>
      </w:r>
      <w:r>
        <w:rPr>
          <w:rFonts w:ascii="Arial" w:cs="Arial" w:eastAsia="Arial" w:hAnsi="Arial"/>
          <w:sz w:val="18"/>
          <w:szCs w:val="18"/>
          <w:color w:val="auto"/>
        </w:rPr>
        <w:t xml:space="preserve"> </w:t>
      </w:r>
      <w:r>
        <w:rPr>
          <w:rFonts w:ascii="Arial" w:cs="Arial" w:eastAsia="Arial" w:hAnsi="Arial"/>
          <w:sz w:val="18"/>
          <w:szCs w:val="18"/>
          <w:i w:val="1"/>
          <w:iCs w:val="1"/>
          <w:color w:val="auto"/>
        </w:rPr>
        <w:t>News</w:t>
      </w:r>
      <w:r>
        <w:rPr>
          <w:rFonts w:ascii="Arial" w:cs="Arial" w:eastAsia="Arial" w:hAnsi="Arial"/>
          <w:sz w:val="18"/>
          <w:szCs w:val="18"/>
          <w:color w:val="auto"/>
        </w:rPr>
        <w:t>, to non-daily newspapers with news websites and digital platforms serving smaller communities.</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also operate Amplified Digital, a full service digital marketing agency offering omnichannel marketing solutions, audience targeted display, social audience targeting, social media management, email marketing, banners, video streaming and much more. Amplified Digital serves more than 4,500 customers in 49 states.</w:t>
      </w:r>
    </w:p>
    <w:p>
      <w:pPr>
        <w:spacing w:after="0" w:line="14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also operate BLOX Digital which provides state-of-the-art web hosting, content management services and video management services to nearly 2,200 other media organizations including broadcast.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 major subscription and advertising platform, a trusted local news provider and innovative, digitally-focused marketing solutions company. Our focus is on the local market - including local news and information, local advertising and marketing services to top local accounts, and digital services to local content curators. To align with the core strength of our Company, our post-pandemic operating strategy is locally focused around three pillars:</w:t>
      </w:r>
    </w:p>
    <w:p>
      <w:pPr>
        <w:spacing w:after="0" w:line="14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Grow digital audiences by transforming the way we present local news and information</w:t>
      </w:r>
    </w:p>
    <w:p>
      <w:pPr>
        <w:spacing w:after="0" w:line="18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our digital subscription base and revenue through audience growth and continued conversion of our massive digital audiences.</w:t>
      </w:r>
    </w:p>
    <w:p>
      <w:pPr>
        <w:spacing w:after="0" w:line="11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Diversify and expand offerings for advertisers by launching a portfolio of video advertising initiatives and e-commerce sales strategies through Amplified Digital that will enable advertisers to leverage our vast data-rich digital audiences and reach consumers in new ways.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December 25,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are summarized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 Except Per Common Share Data)</w:t>
            </w:r>
          </w:p>
        </w:tc>
        <w:tc>
          <w:tcPr>
            <w:tcW w:w="24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4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2021</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Percent Change</w:t>
            </w:r>
          </w:p>
        </w:tc>
      </w:tr>
      <w:tr>
        <w:trPr>
          <w:trHeight w:val="250"/>
        </w:trPr>
        <w:tc>
          <w:tcPr>
            <w:tcW w:w="57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3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4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5760" w:type="dxa"/>
            <w:vAlign w:val="bottom"/>
          </w:tcPr>
          <w:p>
            <w:pPr>
              <w:ind w:left="140"/>
              <w:spacing w:after="0"/>
              <w:rPr>
                <w:sz w:val="20"/>
                <w:szCs w:val="20"/>
                <w:color w:val="auto"/>
              </w:rPr>
            </w:pPr>
            <w:r>
              <w:rPr>
                <w:rFonts w:ascii="Arial" w:cs="Arial" w:eastAsia="Arial" w:hAnsi="Arial"/>
                <w:sz w:val="18"/>
                <w:szCs w:val="18"/>
                <w:color w:val="auto"/>
              </w:rPr>
              <w:t>Print advertising revenue</w:t>
            </w:r>
          </w:p>
        </w:tc>
        <w:tc>
          <w:tcPr>
            <w:tcW w:w="2420" w:type="dxa"/>
            <w:vAlign w:val="bottom"/>
          </w:tcPr>
          <w:p>
            <w:pPr>
              <w:jc w:val="right"/>
              <w:ind w:right="470"/>
              <w:spacing w:after="0"/>
              <w:rPr>
                <w:sz w:val="20"/>
                <w:szCs w:val="20"/>
                <w:color w:val="auto"/>
              </w:rPr>
            </w:pPr>
            <w:r>
              <w:rPr>
                <w:rFonts w:ascii="Arial" w:cs="Arial" w:eastAsia="Arial" w:hAnsi="Arial"/>
                <w:sz w:val="18"/>
                <w:szCs w:val="18"/>
                <w:color w:val="auto"/>
              </w:rPr>
              <w:t>41,836</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55,970</w:t>
            </w:r>
          </w:p>
        </w:tc>
        <w:tc>
          <w:tcPr>
            <w:tcW w:w="160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30"/>
        </w:trPr>
        <w:tc>
          <w:tcPr>
            <w:tcW w:w="57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advertising revenue</w:t>
            </w:r>
          </w:p>
        </w:tc>
        <w:tc>
          <w:tcPr>
            <w:tcW w:w="24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47,749</w:t>
            </w:r>
          </w:p>
        </w:tc>
        <w:tc>
          <w:tcPr>
            <w:tcW w:w="14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42,784</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11.6 %</w:t>
            </w:r>
          </w:p>
        </w:tc>
      </w:tr>
      <w:tr>
        <w:trPr>
          <w:trHeight w:val="223"/>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Advertising and marketing services revenue</w:t>
            </w:r>
          </w:p>
        </w:tc>
        <w:tc>
          <w:tcPr>
            <w:tcW w:w="2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89,585</w:t>
            </w:r>
          </w:p>
        </w:tc>
        <w:tc>
          <w:tcPr>
            <w:tcW w:w="1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98,754</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5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Print subscription revenue</w:t>
            </w:r>
          </w:p>
        </w:tc>
        <w:tc>
          <w:tcPr>
            <w:tcW w:w="2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67,370</w:t>
            </w:r>
          </w:p>
        </w:tc>
        <w:tc>
          <w:tcPr>
            <w:tcW w:w="1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79,628</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29"/>
        </w:trPr>
        <w:tc>
          <w:tcPr>
            <w:tcW w:w="57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Digital subscription revenue</w:t>
            </w:r>
          </w:p>
        </w:tc>
        <w:tc>
          <w:tcPr>
            <w:tcW w:w="2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12,329</w:t>
            </w:r>
          </w:p>
        </w:tc>
        <w:tc>
          <w:tcPr>
            <w:tcW w:w="1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7,891</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56.2 %</w:t>
            </w:r>
          </w:p>
        </w:tc>
      </w:tr>
      <w:tr>
        <w:trPr>
          <w:trHeight w:val="223"/>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24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79,699</w:t>
            </w:r>
          </w:p>
        </w:tc>
        <w:tc>
          <w:tcPr>
            <w:tcW w:w="14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87,519</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23"/>
        </w:trPr>
        <w:tc>
          <w:tcPr>
            <w:tcW w:w="5760" w:type="dxa"/>
            <w:vAlign w:val="bottom"/>
          </w:tcPr>
          <w:p>
            <w:pPr>
              <w:ind w:left="140"/>
              <w:spacing w:after="0"/>
              <w:rPr>
                <w:sz w:val="20"/>
                <w:szCs w:val="20"/>
                <w:color w:val="auto"/>
              </w:rPr>
            </w:pPr>
            <w:r>
              <w:rPr>
                <w:rFonts w:ascii="Arial" w:cs="Arial" w:eastAsia="Arial" w:hAnsi="Arial"/>
                <w:sz w:val="18"/>
                <w:szCs w:val="18"/>
                <w:color w:val="auto"/>
              </w:rPr>
              <w:t>Print other revenue</w:t>
            </w:r>
          </w:p>
        </w:tc>
        <w:tc>
          <w:tcPr>
            <w:tcW w:w="2420" w:type="dxa"/>
            <w:vAlign w:val="bottom"/>
          </w:tcPr>
          <w:p>
            <w:pPr>
              <w:jc w:val="right"/>
              <w:ind w:right="470"/>
              <w:spacing w:after="0"/>
              <w:rPr>
                <w:sz w:val="20"/>
                <w:szCs w:val="20"/>
                <w:color w:val="auto"/>
              </w:rPr>
            </w:pPr>
            <w:r>
              <w:rPr>
                <w:rFonts w:ascii="Arial" w:cs="Arial" w:eastAsia="Arial" w:hAnsi="Arial"/>
                <w:sz w:val="18"/>
                <w:szCs w:val="18"/>
                <w:color w:val="auto"/>
              </w:rPr>
              <w:t>11,120</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11,385</w:t>
            </w:r>
          </w:p>
        </w:tc>
        <w:tc>
          <w:tcPr>
            <w:tcW w:w="1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57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other revenue</w:t>
            </w:r>
          </w:p>
        </w:tc>
        <w:tc>
          <w:tcPr>
            <w:tcW w:w="24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4,727</w:t>
            </w:r>
          </w:p>
        </w:tc>
        <w:tc>
          <w:tcPr>
            <w:tcW w:w="14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4,624</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23"/>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revenue</w:t>
            </w:r>
          </w:p>
        </w:tc>
        <w:tc>
          <w:tcPr>
            <w:tcW w:w="2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15,847</w:t>
            </w:r>
          </w:p>
        </w:tc>
        <w:tc>
          <w:tcPr>
            <w:tcW w:w="1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16,009</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24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185,131</w:t>
            </w:r>
          </w:p>
        </w:tc>
        <w:tc>
          <w:tcPr>
            <w:tcW w:w="14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202,282</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57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5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2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75,446</w:t>
            </w:r>
          </w:p>
        </w:tc>
        <w:tc>
          <w:tcPr>
            <w:tcW w:w="1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84,694</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29"/>
        </w:trPr>
        <w:tc>
          <w:tcPr>
            <w:tcW w:w="5760" w:type="dxa"/>
            <w:vAlign w:val="bottom"/>
          </w:tcPr>
          <w:p>
            <w:pPr>
              <w:ind w:left="140"/>
              <w:spacing w:after="0"/>
              <w:rPr>
                <w:sz w:val="20"/>
                <w:szCs w:val="20"/>
                <w:color w:val="auto"/>
              </w:rPr>
            </w:pPr>
            <w:r>
              <w:rPr>
                <w:rFonts w:ascii="Arial" w:cs="Arial" w:eastAsia="Arial" w:hAnsi="Arial"/>
                <w:sz w:val="18"/>
                <w:szCs w:val="18"/>
                <w:color w:val="auto"/>
              </w:rPr>
              <w:t>Newsprint and ink</w:t>
            </w:r>
          </w:p>
        </w:tc>
        <w:tc>
          <w:tcPr>
            <w:tcW w:w="2420" w:type="dxa"/>
            <w:vAlign w:val="bottom"/>
          </w:tcPr>
          <w:p>
            <w:pPr>
              <w:jc w:val="right"/>
              <w:ind w:right="470"/>
              <w:spacing w:after="0"/>
              <w:rPr>
                <w:sz w:val="20"/>
                <w:szCs w:val="20"/>
                <w:color w:val="auto"/>
              </w:rPr>
            </w:pPr>
            <w:r>
              <w:rPr>
                <w:rFonts w:ascii="Arial" w:cs="Arial" w:eastAsia="Arial" w:hAnsi="Arial"/>
                <w:sz w:val="18"/>
                <w:szCs w:val="18"/>
                <w:color w:val="auto"/>
              </w:rPr>
              <w:t>7,432</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7,644</w:t>
            </w:r>
          </w:p>
        </w:tc>
        <w:tc>
          <w:tcPr>
            <w:tcW w:w="16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5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expenses</w:t>
            </w:r>
          </w:p>
        </w:tc>
        <w:tc>
          <w:tcPr>
            <w:tcW w:w="2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86,774</w:t>
            </w:r>
          </w:p>
        </w:tc>
        <w:tc>
          <w:tcPr>
            <w:tcW w:w="1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85,982</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29"/>
        </w:trPr>
        <w:tc>
          <w:tcPr>
            <w:tcW w:w="57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420" w:type="dxa"/>
            <w:vAlign w:val="bottom"/>
          </w:tcPr>
          <w:p>
            <w:pPr>
              <w:jc w:val="right"/>
              <w:ind w:right="470"/>
              <w:spacing w:after="0"/>
              <w:rPr>
                <w:sz w:val="20"/>
                <w:szCs w:val="20"/>
                <w:color w:val="auto"/>
              </w:rPr>
            </w:pPr>
            <w:r>
              <w:rPr>
                <w:rFonts w:ascii="Arial" w:cs="Arial" w:eastAsia="Arial" w:hAnsi="Arial"/>
                <w:sz w:val="18"/>
                <w:szCs w:val="18"/>
                <w:color w:val="auto"/>
              </w:rPr>
              <w:t>7,886</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9,676</w:t>
            </w:r>
          </w:p>
        </w:tc>
        <w:tc>
          <w:tcPr>
            <w:tcW w:w="160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30"/>
        </w:trPr>
        <w:tc>
          <w:tcPr>
            <w:tcW w:w="5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Assets gain on sales, impairments and other</w:t>
            </w:r>
          </w:p>
        </w:tc>
        <w:tc>
          <w:tcPr>
            <w:tcW w:w="2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(2,563)</w:t>
            </w:r>
          </w:p>
        </w:tc>
        <w:tc>
          <w:tcPr>
            <w:tcW w:w="1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(12,274)</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r>
      <w:tr>
        <w:trPr>
          <w:trHeight w:val="229"/>
        </w:trPr>
        <w:tc>
          <w:tcPr>
            <w:tcW w:w="57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Restructuring costs and other</w:t>
            </w:r>
          </w:p>
        </w:tc>
        <w:tc>
          <w:tcPr>
            <w:tcW w:w="2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646</w:t>
            </w:r>
          </w:p>
        </w:tc>
        <w:tc>
          <w:tcPr>
            <w:tcW w:w="1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3,200</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175,621</w:t>
            </w:r>
          </w:p>
        </w:tc>
        <w:tc>
          <w:tcPr>
            <w:tcW w:w="1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178,922</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 earnings of associated companies</w:t>
            </w:r>
          </w:p>
        </w:tc>
        <w:tc>
          <w:tcPr>
            <w:tcW w:w="2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1,668</w:t>
            </w:r>
          </w:p>
        </w:tc>
        <w:tc>
          <w:tcPr>
            <w:tcW w:w="1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1,754</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11,178</w:t>
            </w:r>
          </w:p>
        </w:tc>
        <w:tc>
          <w:tcPr>
            <w:tcW w:w="14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25,114</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23"/>
        </w:trPr>
        <w:tc>
          <w:tcPr>
            <w:tcW w:w="576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2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5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(10,408)</w:t>
            </w:r>
          </w:p>
        </w:tc>
        <w:tc>
          <w:tcPr>
            <w:tcW w:w="1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(10,663)</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5760" w:type="dxa"/>
            <w:vAlign w:val="bottom"/>
          </w:tcPr>
          <w:p>
            <w:pPr>
              <w:ind w:left="140"/>
              <w:spacing w:after="0"/>
              <w:rPr>
                <w:sz w:val="20"/>
                <w:szCs w:val="20"/>
                <w:color w:val="auto"/>
              </w:rPr>
            </w:pPr>
            <w:r>
              <w:rPr>
                <w:rFonts w:ascii="Arial" w:cs="Arial" w:eastAsia="Arial" w:hAnsi="Arial"/>
                <w:sz w:val="18"/>
                <w:szCs w:val="18"/>
                <w:color w:val="auto"/>
              </w:rPr>
              <w:t>Curtailment gain</w:t>
            </w:r>
          </w:p>
        </w:tc>
        <w:tc>
          <w:tcPr>
            <w:tcW w:w="2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1,027</w:t>
            </w: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57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Pension and OPEB related benefit (cost) and other, net</w:t>
            </w:r>
          </w:p>
        </w:tc>
        <w:tc>
          <w:tcPr>
            <w:tcW w:w="24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1,494</w:t>
            </w:r>
          </w:p>
        </w:tc>
        <w:tc>
          <w:tcPr>
            <w:tcW w:w="14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3,072</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23"/>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non-operating expense, net</w:t>
            </w:r>
          </w:p>
        </w:tc>
        <w:tc>
          <w:tcPr>
            <w:tcW w:w="24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(8,914)</w:t>
            </w:r>
          </w:p>
        </w:tc>
        <w:tc>
          <w:tcPr>
            <w:tcW w:w="1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(6,564)</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35.8 %</w:t>
            </w: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2,264</w:t>
            </w:r>
          </w:p>
        </w:tc>
        <w:tc>
          <w:tcPr>
            <w:tcW w:w="1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18,550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r>
      <w:tr>
        <w:trPr>
          <w:trHeight w:val="230"/>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w:t>
            </w:r>
          </w:p>
        </w:tc>
        <w:tc>
          <w:tcPr>
            <w:tcW w:w="2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440</w:t>
            </w:r>
          </w:p>
        </w:tc>
        <w:tc>
          <w:tcPr>
            <w:tcW w:w="1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5,351</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r>
      <w:tr>
        <w:trPr>
          <w:trHeight w:val="223"/>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1,824</w:t>
            </w:r>
          </w:p>
        </w:tc>
        <w:tc>
          <w:tcPr>
            <w:tcW w:w="14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13,199</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r>
      <w:tr>
        <w:trPr>
          <w:trHeight w:val="250"/>
        </w:trPr>
        <w:tc>
          <w:tcPr>
            <w:tcW w:w="57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3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per common share:</w:t>
            </w:r>
          </w:p>
        </w:tc>
        <w:tc>
          <w:tcPr>
            <w:tcW w:w="24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5760" w:type="dxa"/>
            <w:vAlign w:val="bottom"/>
          </w:tcPr>
          <w:p>
            <w:pPr>
              <w:ind w:left="140"/>
              <w:spacing w:after="0"/>
              <w:rPr>
                <w:sz w:val="20"/>
                <w:szCs w:val="20"/>
                <w:color w:val="auto"/>
              </w:rPr>
            </w:pPr>
            <w:r>
              <w:rPr>
                <w:rFonts w:ascii="Arial" w:cs="Arial" w:eastAsia="Arial" w:hAnsi="Arial"/>
                <w:sz w:val="18"/>
                <w:szCs w:val="18"/>
                <w:color w:val="auto"/>
              </w:rPr>
              <w:t>Basic</w:t>
            </w:r>
          </w:p>
        </w:tc>
        <w:tc>
          <w:tcPr>
            <w:tcW w:w="2420" w:type="dxa"/>
            <w:vAlign w:val="bottom"/>
          </w:tcPr>
          <w:p>
            <w:pPr>
              <w:jc w:val="right"/>
              <w:ind w:right="470"/>
              <w:spacing w:after="0"/>
              <w:rPr>
                <w:sz w:val="20"/>
                <w:szCs w:val="20"/>
                <w:color w:val="auto"/>
              </w:rPr>
            </w:pPr>
            <w:r>
              <w:rPr>
                <w:rFonts w:ascii="Arial" w:cs="Arial" w:eastAsia="Arial" w:hAnsi="Arial"/>
                <w:sz w:val="18"/>
                <w:szCs w:val="18"/>
                <w:color w:val="auto"/>
              </w:rPr>
              <w:t>0.19</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2.21</w:t>
            </w:r>
          </w:p>
        </w:tc>
        <w:tc>
          <w:tcPr>
            <w:tcW w:w="1600" w:type="dxa"/>
            <w:vAlign w:val="bottom"/>
          </w:tcPr>
          <w:p>
            <w:pPr>
              <w:jc w:val="right"/>
              <w:spacing w:after="0"/>
              <w:rPr>
                <w:sz w:val="20"/>
                <w:szCs w:val="20"/>
                <w:color w:val="auto"/>
              </w:rPr>
            </w:pPr>
            <w:r>
              <w:rPr>
                <w:rFonts w:ascii="Arial" w:cs="Arial" w:eastAsia="Arial" w:hAnsi="Arial"/>
                <w:sz w:val="18"/>
                <w:szCs w:val="18"/>
                <w:color w:val="auto"/>
              </w:rPr>
              <w:t>(91.4)%</w:t>
            </w:r>
          </w:p>
        </w:tc>
      </w:tr>
      <w:tr>
        <w:trPr>
          <w:trHeight w:val="230"/>
        </w:trPr>
        <w:tc>
          <w:tcPr>
            <w:tcW w:w="57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4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0.19</w:t>
            </w:r>
          </w:p>
        </w:tc>
        <w:tc>
          <w:tcPr>
            <w:tcW w:w="1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2.17</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References to the “2023 Quarter” refer to the three months ended December 25, 2022. Similarly, references to the “2022 Quarter” refer to the three months ended December 26, 2021.</w:t>
      </w:r>
    </w:p>
    <w:p>
      <w:pPr>
        <w:spacing w:after="0" w:line="126"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Operating Revenue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revenue was $185.1 million in the 2023 Quarter, down $17.2 million, or 8.5%,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Advertising and marketing services revenue totaled $89.6 million in the 2023 Quarter, down 9.3% compared to the 2022 Quarter. Print advertising revenues were $41.8 million in the 2023 Quarter, down 25.3% compared to the 2022 Quarter due to continued secular declines in demand for print advertising. Digital advertising and marketing services totaled $47.7 million in the 2023 Quarter, up 11.6% compared to the 2022 Quarter. These gains resulted from an increase in Amplified Digital revenue. Digital advertising and marketing services represented 53.3% of the 2023 Quarter total advertising and marketing services revenue, compared to 43.3% in the same period last year.</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Subscription revenue totaled $79.7 million in the 2023 Quarter, down 8.9% compared to the 2022 Quarter. Decline in full access volume, consistent with historical and industry trends were partially offset by selective increases on our full access subscriptions, growth in digital-only subscribers and price increases on digital subscriptions. Digital-only subscribers grew 25.3% since the 2022 Quarter and now total 564,000, and revenue from digital-only subscribers totaled $12.3 million, up 56% compared to the 2022 Quarter.</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revenue, which primarily consists of commercial printing revenue and digital services from BLOX Digital, decreased $0.2 million, or 1.0%, in the 2023 Quarter compared to the 2022 Quarter. Digital services revenue totaled $4.7 million in the 2023 Quarter, a 2.2% increase compared to the 2022 Quarter. Commercial printing revenue totaled $5.5 million in the 2023 Quarter, a 4.6% decrease compared to the 2022 Quarter, primarily driven by reduction in print volumes from our partners.</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digital revenue including digital advertising revenue, digital subscription revenue and digital services revenue totaled $64.8 million in the 2023 Quarter, an increase of 17.2% over the 2022 Quarter, and represented 35.0% of our total operating revenue in the 2023 Quarter.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TNI and MNI decreased 0.1 in the 2023 Quarter.</w:t>
      </w:r>
    </w:p>
    <w:p>
      <w:pPr>
        <w:spacing w:after="0" w:line="18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Operating Expenses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operating expenses were $175.6 million in the 2023 Quarter, a 1.8% decrease compared to the 2022 Quarter. Cash Costs, a non-GAAP financial measure used to summarize certain operating expense (see reconciliation of Non-GAAP financial measures below), were down 4.9% in the 2023 Quarter.</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Compensation expense decreased $ 9.2 million in the 2023 Quarter, or 10.9%, compared to the 2022 Quarter from reductions in full time employees ("FTEs") due to continued business transformation efforts, partially offset by investments in digital talent.</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Newsprint and ink costs decreased $0.2 in the 2023 Quarter, or 2.8%, compared to the 2022 Quarter. The decrease is attributable to declines in newsprint volumes offset by higher newsprint prices. See Item 3, “Commodities”, included herein, for further discussion and analysis of the impact of newsprint on our business.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operating expenses increased $ 0.8 in the 2023 Quarter, or 0.9%, compared to the 2022 Quarter. Other operating expenses include all operating costs not considered to be compensation, newsprint, depreciation and amortization, or restructuring costs and assets loss on sales, impairments, and other, net. The largest components are costs associated with printing and distribution of our printed products, digital cost of goods sold and facility expenses. The increase is attributable to increases in investments to fund our digital growth strategy partially offset by lower delivery and other print-related costs due to lower volumes of our print editions.</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Restructuring costs and other totaled $0.6 million and $3.2 million in the 2023 Quarter and 2022 Quarter, respectively. Restructuring costs and other include severance costs, litigation expenses, restructuring expenses, and advisor expenses. Restructuring costs in the 2023 Quarter are predominately severance related to our ongoing business transformation, while restructuring costs In the 2022 quarter also include costs associated with the unsolicited offer in November 2021.</w:t>
      </w:r>
    </w:p>
    <w:p>
      <w:pPr>
        <w:spacing w:after="0" w:line="13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Depreciation and amortization expense decreased $1.8 million, or 18.5%, in the 2023 Quarter. The decrease in both is attributable to assets becoming fully depreciated or amortized.</w:t>
      </w:r>
    </w:p>
    <w:p>
      <w:pPr>
        <w:spacing w:after="0" w:line="11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Assets gain on sales, impairments and other, was a net gain of $2.6 million in the 2023 Quarter compared to a net gain of $ 12.3 million in the 2022 Quarter. Assets gain on sales, impairments and other in the 2023 Quarter and in the 2022 Quarter were the result of the disposition of non-core assets, including real estate.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factors noted above resulted in an operating income of $11.2 million in the 2023 Quarter compared to operating income of $25.1 million in the 2022 Quarter.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Non-operating Income and Expense</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expense decreased $0.3 million, or 2.4%, to $10.4 million in the 2023 Quarter, compared to the same period last year. The decrease was due to a lower outstanding balance on our Term Loan. Our weighted average cost of debt was 9.0% at the end of the 2023 Quarter and 2022 Quarter.</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non-operating income and expense consists of benefits associated with our pension and other postretirement plans and the fair value adjustment of our Warrants. We recorded $0.3 million periodic pension and other postretirement benefits in the 2023 Quarter compared to $4.4 million in the 2022 Quarter. We recorded non-operating income of $0 in the 2023 Quarter and non-operating expense of $1.9 million in the 2022 Quarter, related to the changes in the value of the Warrants.</w:t>
      </w:r>
    </w:p>
    <w:p>
      <w:pPr>
        <w:spacing w:after="0" w:line="149" w:lineRule="exact"/>
        <w:rPr>
          <w:sz w:val="20"/>
          <w:szCs w:val="20"/>
          <w:color w:val="auto"/>
        </w:rPr>
      </w:pPr>
    </w:p>
    <w:p>
      <w:pPr>
        <w:jc w:val="center"/>
        <w:ind w:right="220"/>
        <w:spacing w:after="0" w:line="453" w:lineRule="auto"/>
        <w:rPr>
          <w:sz w:val="20"/>
          <w:szCs w:val="20"/>
          <w:color w:val="auto"/>
        </w:rPr>
      </w:pPr>
      <w:r>
        <w:rPr>
          <w:rFonts w:ascii="Arial" w:cs="Arial" w:eastAsia="Arial" w:hAnsi="Arial"/>
          <w:sz w:val="18"/>
          <w:szCs w:val="18"/>
          <w:color w:val="auto"/>
        </w:rPr>
        <w:t xml:space="preserve">We recognized a non-cash curtailment gain of $1.0 million in the 2022 Quarter as a result of freezing certain defined benefit pension plans. </w:t>
      </w:r>
      <w:r>
        <w:rPr>
          <w:rFonts w:ascii="Arial" w:cs="Arial" w:eastAsia="Arial" w:hAnsi="Arial"/>
          <w:sz w:val="18"/>
          <w:szCs w:val="18"/>
          <w:b w:val="1"/>
          <w:bCs w:val="1"/>
          <w:color w:val="auto"/>
        </w:rPr>
        <w:t>Income Tax Expense</w:t>
      </w:r>
    </w:p>
    <w:p>
      <w:pPr>
        <w:spacing w:after="0" w:line="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recorded an income tax expense of $0.4 million, or 19.4% of pretax income in the 2023 Quarter. In the 2022 Quarter, we recognized an income tax expense of $5.4 million, or 28.8% of pretax income.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Income and Earnings (losses) Per Share</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Net income was $1.8 million and diluted earnings per share were $0.19 for the 2023 Quarter compared to net income of $13.2 million and diluted earnings per share of $2.17 for the 2022 Quarter. The change reflects the various items discussed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use non-GAAP financial performance measures to supplement the financial information presented on a GAAP basis. These non-GAAP financial measures should not be considered in isolation or as a substitute for the relevant GAAP measures and should be read in conjunction with information presented on a GAAP basis.</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this report, we present Adjusted EBITDA and Cash Costs which are non-GAAP financial performance measures that exclude from our reported GAAP results the impact of certain items consisting primarily of restructuring charges and non-cash charges. We believe such expenses, charges and gains are not indicative of normal, ongoing operations, and their inclusion in results makes for more difficult comparisons between years and with peer group companies. In the future, however, we are likely to incur expenses, charges and gains similar to the items for which the applicable GAAP financial measures have been adjusted and to report non-GAAP financial measures excluding such items. Accordingly, exclusion of those or similar items in our non-GAAP presentations should not be interpreted as implying the items are non-recurring, infrequent, or unusual.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We define our non-GAAP measures, which may not be comparable to similarly titled measures reported by other companies, as follows: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is a non-GAAP financial performance measure that enhances financial statement users' overall understanding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performance of the Company. The measure isolates unusual, infrequent, or non-cash transactions from the operating performance of the business. This allows users to easily compare operating performance among various fiscal periods and how management measures the performance of the business. This measure also provides users with a benchmark that can be used when forecasting future operating performance of the Company that excludes unusual, nonrecurring or one-time transactions. Adjusted EBITDA is also a component of the calculation used by stockholders and analysts to determine the value of our business when using the market approach, which applies a market multiple to financial metrics. It is also a measure used to calculate the leverage ratio of the Company, which is a key financial ratio monitored and used by the Company and its investors. Adjusted EBITDA is defined as net income (loss), plus non-operating expenses, income tax expense, depreciation and amortization, assets loss (gain) on sales, impairments and other, restructuring costs and other, stock compensation and our 50% share of EBITDA from TNI and MNI, minus equity in earnings of TNI and MNI.</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Cash Costs </w:t>
      </w:r>
      <w:r>
        <w:rPr>
          <w:rFonts w:ascii="Arial" w:cs="Arial" w:eastAsia="Arial" w:hAnsi="Arial"/>
          <w:sz w:val="18"/>
          <w:szCs w:val="18"/>
          <w:color w:val="auto"/>
        </w:rPr>
        <w:t>represent a non-GAAP financial performance measure of operating expenses which are measured on an accrual basis and</w:t>
      </w:r>
      <w:r>
        <w:rPr>
          <w:rFonts w:ascii="Arial" w:cs="Arial" w:eastAsia="Arial" w:hAnsi="Arial"/>
          <w:sz w:val="18"/>
          <w:szCs w:val="18"/>
          <w:i w:val="1"/>
          <w:iCs w:val="1"/>
          <w:color w:val="auto"/>
        </w:rPr>
        <w:t xml:space="preserve"> </w:t>
      </w:r>
      <w:r>
        <w:rPr>
          <w:rFonts w:ascii="Arial" w:cs="Arial" w:eastAsia="Arial" w:hAnsi="Arial"/>
          <w:sz w:val="18"/>
          <w:szCs w:val="18"/>
          <w:color w:val="auto"/>
        </w:rPr>
        <w:t>settled in cash. This measure is useful to investors in understanding the components of the Company’s cash-settled operating costs. Generally, the Company provides forward-looking guidance of Cash Costs, which can be used by financial statement users to assess the Company's ability to manage and control its operating cost structure. Cash Costs are defined as compensation, newsprint and ink and other operating expenses. Depreciation and amortization, assets loss (gain) on sales, impairments and other, other non-cash operating expenses and other expenses are excluded. Cash Costs also exclude restructuring costs and other, which are typically settled in cash.</w:t>
      </w:r>
    </w:p>
    <w:p>
      <w:pPr>
        <w:spacing w:after="0" w:line="15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Adjusted EBITDA and Cash Costs are reconciled to net income (loss) and operating expenses, below, the closest comparable numbers under GAAP.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the non-GAAP financial performance measure of Adjusted EBITDA to net income, the most directly comparable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4"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3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December 25, 2022</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December 26, 2021</w:t>
            </w:r>
          </w:p>
        </w:tc>
      </w:tr>
      <w:tr>
        <w:trPr>
          <w:trHeight w:val="250"/>
        </w:trPr>
        <w:tc>
          <w:tcPr>
            <w:tcW w:w="598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1,824</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13,199</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Adjusted to exclude</w:t>
            </w:r>
          </w:p>
        </w:tc>
        <w:tc>
          <w:tcPr>
            <w:tcW w:w="36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3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w:t>
            </w: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Non-operating expenses, net</w:t>
            </w:r>
          </w:p>
        </w:tc>
        <w:tc>
          <w:tcPr>
            <w:tcW w:w="3600" w:type="dxa"/>
            <w:vAlign w:val="bottom"/>
          </w:tcPr>
          <w:p>
            <w:pPr>
              <w:jc w:val="right"/>
              <w:ind w:right="30"/>
              <w:spacing w:after="0"/>
              <w:rPr>
                <w:sz w:val="20"/>
                <w:szCs w:val="20"/>
                <w:color w:val="auto"/>
              </w:rPr>
            </w:pPr>
            <w:r>
              <w:rPr>
                <w:rFonts w:ascii="Arial" w:cs="Arial" w:eastAsia="Arial" w:hAnsi="Arial"/>
                <w:sz w:val="18"/>
                <w:szCs w:val="18"/>
                <w:color w:val="auto"/>
              </w:rPr>
              <w:t>8,914</w:t>
            </w:r>
          </w:p>
        </w:tc>
        <w:tc>
          <w:tcPr>
            <w:tcW w:w="1660" w:type="dxa"/>
            <w:vAlign w:val="bottom"/>
          </w:tcPr>
          <w:p>
            <w:pPr>
              <w:jc w:val="right"/>
              <w:spacing w:after="0"/>
              <w:rPr>
                <w:sz w:val="20"/>
                <w:szCs w:val="20"/>
                <w:color w:val="auto"/>
              </w:rPr>
            </w:pPr>
            <w:r>
              <w:rPr>
                <w:rFonts w:ascii="Arial" w:cs="Arial" w:eastAsia="Arial" w:hAnsi="Arial"/>
                <w:sz w:val="18"/>
                <w:szCs w:val="18"/>
                <w:color w:val="auto"/>
              </w:rPr>
              <w:t>6,564</w:t>
            </w: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 earnings of TNI and MNI</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w:t>
            </w: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600" w:type="dxa"/>
            <w:vAlign w:val="bottom"/>
          </w:tcPr>
          <w:p>
            <w:pPr>
              <w:jc w:val="right"/>
              <w:ind w:right="30"/>
              <w:spacing w:after="0"/>
              <w:rPr>
                <w:sz w:val="20"/>
                <w:szCs w:val="20"/>
                <w:color w:val="auto"/>
              </w:rPr>
            </w:pPr>
            <w:r>
              <w:rPr>
                <w:rFonts w:ascii="Arial" w:cs="Arial" w:eastAsia="Arial" w:hAnsi="Arial"/>
                <w:sz w:val="18"/>
                <w:szCs w:val="18"/>
                <w:color w:val="auto"/>
              </w:rPr>
              <w:t>7,886</w:t>
            </w:r>
          </w:p>
        </w:tc>
        <w:tc>
          <w:tcPr>
            <w:tcW w:w="1660" w:type="dxa"/>
            <w:vAlign w:val="bottom"/>
          </w:tcPr>
          <w:p>
            <w:pPr>
              <w:jc w:val="right"/>
              <w:spacing w:after="0"/>
              <w:rPr>
                <w:sz w:val="20"/>
                <w:szCs w:val="20"/>
                <w:color w:val="auto"/>
              </w:rPr>
            </w:pPr>
            <w:r>
              <w:rPr>
                <w:rFonts w:ascii="Arial" w:cs="Arial" w:eastAsia="Arial" w:hAnsi="Arial"/>
                <w:sz w:val="18"/>
                <w:szCs w:val="18"/>
                <w:color w:val="auto"/>
              </w:rPr>
              <w:t>9,676</w:t>
            </w: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costs and other</w:t>
            </w:r>
          </w:p>
        </w:tc>
        <w:tc>
          <w:tcPr>
            <w:tcW w:w="3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646</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Assets gain on sales, impairments and other, net</w:t>
            </w:r>
          </w:p>
        </w:tc>
        <w:tc>
          <w:tcPr>
            <w:tcW w:w="3600" w:type="dxa"/>
            <w:vAlign w:val="bottom"/>
          </w:tcPr>
          <w:p>
            <w:pPr>
              <w:jc w:val="right"/>
              <w:spacing w:after="0"/>
              <w:rPr>
                <w:sz w:val="20"/>
                <w:szCs w:val="20"/>
                <w:color w:val="auto"/>
              </w:rPr>
            </w:pPr>
            <w:r>
              <w:rPr>
                <w:rFonts w:ascii="Arial" w:cs="Arial" w:eastAsia="Arial" w:hAnsi="Arial"/>
                <w:sz w:val="18"/>
                <w:szCs w:val="18"/>
                <w:color w:val="auto"/>
              </w:rPr>
              <w:t>(2,563)</w:t>
            </w:r>
          </w:p>
        </w:tc>
        <w:tc>
          <w:tcPr>
            <w:tcW w:w="1660" w:type="dxa"/>
            <w:vAlign w:val="bottom"/>
          </w:tcPr>
          <w:p>
            <w:pPr>
              <w:jc w:val="right"/>
              <w:spacing w:after="0"/>
              <w:rPr>
                <w:sz w:val="20"/>
                <w:szCs w:val="20"/>
                <w:color w:val="auto"/>
              </w:rPr>
            </w:pPr>
            <w:r>
              <w:rPr>
                <w:rFonts w:ascii="Arial" w:cs="Arial" w:eastAsia="Arial" w:hAnsi="Arial"/>
                <w:sz w:val="18"/>
                <w:szCs w:val="18"/>
                <w:color w:val="auto"/>
              </w:rPr>
              <w:t>(12,274)</w:t>
            </w: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compensation</w:t>
            </w:r>
          </w:p>
        </w:tc>
        <w:tc>
          <w:tcPr>
            <w:tcW w:w="3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349</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Add:</w:t>
            </w:r>
          </w:p>
        </w:tc>
        <w:tc>
          <w:tcPr>
            <w:tcW w:w="36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59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Ownership share of TNI and MNI EBITDA (50%)</w:t>
            </w:r>
          </w:p>
        </w:tc>
        <w:tc>
          <w:tcPr>
            <w:tcW w:w="3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1,791</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w:t>
            </w:r>
          </w:p>
        </w:tc>
      </w:tr>
      <w:tr>
        <w:trPr>
          <w:trHeight w:val="223"/>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EBITDA</w:t>
            </w:r>
          </w:p>
        </w:tc>
        <w:tc>
          <w:tcPr>
            <w:tcW w:w="3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17,619</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26,087</w:t>
            </w:r>
          </w:p>
        </w:tc>
      </w:tr>
      <w:tr>
        <w:trPr>
          <w:trHeight w:val="20"/>
        </w:trPr>
        <w:tc>
          <w:tcPr>
            <w:tcW w:w="598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color w:val="auto"/>
        </w:rPr>
        <w:t>The table below reconciles the non-GAAP financial performance measure of Cash Costs to Operating expenses, the most directly comparable 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4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December 25, 2022</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December 26, 2021</w:t>
            </w:r>
          </w:p>
        </w:tc>
      </w:tr>
      <w:tr>
        <w:trPr>
          <w:trHeight w:val="250"/>
        </w:trPr>
        <w:tc>
          <w:tcPr>
            <w:tcW w:w="476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175,621</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178,922</w:t>
            </w: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48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4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7,886</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9,676</w:t>
            </w: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Assets gain on sales, impairments and other, net</w:t>
            </w:r>
          </w:p>
        </w:tc>
        <w:tc>
          <w:tcPr>
            <w:tcW w:w="4820" w:type="dxa"/>
            <w:vAlign w:val="bottom"/>
          </w:tcPr>
          <w:p>
            <w:pPr>
              <w:jc w:val="right"/>
              <w:spacing w:after="0"/>
              <w:rPr>
                <w:sz w:val="20"/>
                <w:szCs w:val="20"/>
                <w:color w:val="auto"/>
              </w:rPr>
            </w:pPr>
            <w:r>
              <w:rPr>
                <w:rFonts w:ascii="Arial" w:cs="Arial" w:eastAsia="Arial" w:hAnsi="Arial"/>
                <w:sz w:val="18"/>
                <w:szCs w:val="18"/>
                <w:color w:val="auto"/>
              </w:rPr>
              <w:t>(2,563)</w:t>
            </w:r>
          </w:p>
        </w:tc>
        <w:tc>
          <w:tcPr>
            <w:tcW w:w="1660" w:type="dxa"/>
            <w:vAlign w:val="bottom"/>
          </w:tcPr>
          <w:p>
            <w:pPr>
              <w:jc w:val="right"/>
              <w:spacing w:after="0"/>
              <w:rPr>
                <w:sz w:val="20"/>
                <w:szCs w:val="20"/>
                <w:color w:val="auto"/>
              </w:rPr>
            </w:pPr>
            <w:r>
              <w:rPr>
                <w:rFonts w:ascii="Arial" w:cs="Arial" w:eastAsia="Arial" w:hAnsi="Arial"/>
                <w:sz w:val="18"/>
                <w:szCs w:val="18"/>
                <w:color w:val="auto"/>
              </w:rPr>
              <w:t>(12,274)</w:t>
            </w:r>
          </w:p>
        </w:tc>
      </w:tr>
      <w:tr>
        <w:trPr>
          <w:trHeight w:val="230"/>
        </w:trPr>
        <w:tc>
          <w:tcPr>
            <w:tcW w:w="47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Restructuring costs and other</w:t>
            </w:r>
          </w:p>
        </w:tc>
        <w:tc>
          <w:tcPr>
            <w:tcW w:w="4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646</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w:t>
            </w:r>
          </w:p>
        </w:tc>
      </w:tr>
      <w:tr>
        <w:trPr>
          <w:trHeight w:val="223"/>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Costs</w:t>
            </w:r>
          </w:p>
        </w:tc>
        <w:tc>
          <w:tcPr>
            <w:tcW w:w="4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169,652</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178,320</w:t>
            </w: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902"/>
        </w:trPr>
        <w:tc>
          <w:tcPr>
            <w:tcW w:w="4760" w:type="dxa"/>
            <w:vAlign w:val="bottom"/>
          </w:tcPr>
          <w:p>
            <w:pPr>
              <w:spacing w:after="0"/>
              <w:rPr>
                <w:sz w:val="24"/>
                <w:szCs w:val="24"/>
                <w:color w:val="auto"/>
              </w:rPr>
            </w:pPr>
          </w:p>
        </w:tc>
        <w:tc>
          <w:tcPr>
            <w:tcW w:w="4820" w:type="dxa"/>
            <w:vAlign w:val="bottom"/>
          </w:tcPr>
          <w:p>
            <w:pPr>
              <w:jc w:val="right"/>
              <w:ind w:right="3770"/>
              <w:spacing w:after="0"/>
              <w:rPr>
                <w:sz w:val="20"/>
                <w:szCs w:val="20"/>
                <w:color w:val="auto"/>
              </w:rPr>
            </w:pPr>
            <w:r>
              <w:rPr>
                <w:rFonts w:ascii="Arial" w:cs="Arial" w:eastAsia="Arial" w:hAnsi="Arial"/>
                <w:sz w:val="18"/>
                <w:szCs w:val="18"/>
                <w:color w:val="auto"/>
              </w:rPr>
              <w:t>16</w:t>
            </w:r>
          </w:p>
        </w:tc>
        <w:tc>
          <w:tcPr>
            <w:tcW w:w="1660" w:type="dxa"/>
            <w:vAlign w:val="bottom"/>
          </w:tcPr>
          <w:p>
            <w:pPr>
              <w:spacing w:after="0"/>
              <w:rPr>
                <w:sz w:val="24"/>
                <w:szCs w:val="24"/>
                <w:color w:val="auto"/>
              </w:rPr>
            </w:pPr>
          </w:p>
        </w:tc>
      </w:tr>
      <w:tr>
        <w:trPr>
          <w:trHeight w:val="111"/>
        </w:trPr>
        <w:tc>
          <w:tcPr>
            <w:tcW w:w="4760" w:type="dxa"/>
            <w:vAlign w:val="bottom"/>
            <w:tcBorders>
              <w:bottom w:val="single" w:sz="8" w:color="9A9A9A"/>
            </w:tcBorders>
          </w:tcPr>
          <w:p>
            <w:pPr>
              <w:spacing w:after="0"/>
              <w:rPr>
                <w:sz w:val="9"/>
                <w:szCs w:val="9"/>
                <w:color w:val="auto"/>
              </w:rPr>
            </w:pPr>
          </w:p>
        </w:tc>
        <w:tc>
          <w:tcPr>
            <w:tcW w:w="48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operations have historically generated strong positive cash flow and are expected to provide sufficient liquidity, together with cash on hand, to meet our requirements, primarily operating expenses, interest expense and capital expenditures. A summary of our cash flows is included in the narrative below.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Activities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Cash required for operating activities totaled $1.7 million in 2023 compared to cash provided by operating activities of $0.6 million in 2022, a decrease of $2.3 million. The decrease was driven by a decrease in operating results of $ 4.0 million (defined as net income (loss) adjusted for non-working capital items) and an increase in working capital of $1.7 million, primarily related to unfavorable changes in postretirement liabilities, income taxes payable, and accounts receivable.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Investing Activities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Cash provided by investing activities totaled $4.0 million in the 2023 Period compared to cash provided by investing activities of $12.0 million in the 2022 Period. 2023 and 2022 included $4.1 million and $14.4 million, respectively, in proceeds from the sale of assets as the Company divested non-core real estate.</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anticipate that funds necessary for capital expenditures, which are expected to total up to $10.0 million in 2023, and other requirements, will be available from internally generated funds.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Financing Activities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required for financing activities totaled $0.2 million in the 2023 Period compared to $20.1 million in the 2022 Period. Debt reduction accounted for nearly all the usage of funds in 2022.</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on Liquidity</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liquidity, consisting of cash on the balance sheet, totaled $ 18.3 million on December 25, 2022. This liquidity amount excludes any future cash flows from operations. We expect all interest and principal payments due in the next twelve months will be satisfied by existing cash and our cash flows, which will allow us to maintain an adequate level of liquidity.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AND REGULATIONS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Wage Laws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United States and various state and local governments are considering increasing their respective minimum wage rates. Most of our employees are paid more than the current United States or state minimum wage rates. However, until changes to such rates are enacted, the impact of the changes cannot be determined.</w:t>
      </w:r>
    </w:p>
    <w:p>
      <w:pPr>
        <w:spacing w:after="0" w:line="13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exposed to market risk stemming from changes in interest rates and commodity prices. Changes in these factors could cause fluctuations in earnings and cash flows. In the normal course of business, exposure to certain of these market risks is managed as described below.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 ON DEBT</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debt structure, which is entirely fixed rate, eliminates the potential impact of an increase in interest rates. We have no interest rate hedging in place.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COMMODITIES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Newsprint prices have remained steady after the increases in prices implemented throughout 2022 and expect to remain there for the foreseeable future. Despite reduced consumption, the newsprint supply chain is challenged due to significant capacity reductions taken in the last two years including paper machine permanent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shutdowns, conversion to paper grades other than newsprint, and recovering demand, domestically and exports, for newsprint.</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long-term supply strategy continues to align the Company with those cost-effective suppliers most likely to continue producing and supplying newsprint to the North American market and geographically aligned with our print locations. Where possible the Company will align supply with the lowest cost material, but may be restricted due to shipping expenses and paper production availability.</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$10 per tonne price increase on 27.7-pound newsprint would result in an annualized reduction in income before taxes of approximately $0.3 million based on current and anticipated consumption trends in 2023, excluding consumption of TNI and MNI and the impact of LIFO accounting.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SENSITIVITY TO CHANGES IN VALUE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fixed rate debt consists of $462.6 million principal amount of the Term Loan recorded at carrying value.</w:t>
      </w:r>
    </w:p>
    <w:p>
      <w:pPr>
        <w:spacing w:after="0" w:line="18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25, 2022, 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Exchange Act. Based on that evaluation the Company has concluded that, because the material weaknesses in the Company's internal control that existed as of September 25, 2022 and have not been remediated by the end of the period covered by this report, our disclosure controls and procedures were not effective..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material weaknesses identified by the Company are described below:</w:t>
      </w:r>
    </w:p>
    <w:p>
      <w:pPr>
        <w:spacing w:after="0" w:line="185" w:lineRule="exact"/>
        <w:rPr>
          <w:sz w:val="20"/>
          <w:szCs w:val="20"/>
          <w:color w:val="auto"/>
        </w:rPr>
      </w:pPr>
    </w:p>
    <w:p>
      <w:pPr>
        <w:jc w:val="both"/>
        <w:ind w:left="660" w:hanging="328"/>
        <w:spacing w:after="0" w:line="26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did not maintain appropriately designed information technology general controls in the areas of user access for certain of its information systems that are relevant to the preparation of the Company’s consolidated financial statements and system of internal control over financial reporting.</w:t>
      </w:r>
    </w:p>
    <w:p>
      <w:pPr>
        <w:spacing w:after="0" w:line="130"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did not maintain appropriately designed controls over data provided by third-party service organizations for which a System and Organization Controls (SOC) 1 Type 2 report is not available. Specifically, management did not design and implement controls over the validation of the completeness and accuracy of information received from these service organizations and correspondingly relied upon by the Company in the preparation of the Company’s consolidated financial statements.</w:t>
      </w:r>
    </w:p>
    <w:p>
      <w:pPr>
        <w:spacing w:after="0" w:line="14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did not maintain appropriately designed controls to validate the accuracy of the tax basis associated with certain deferred tax assets and liabilities, which resulted in an immaterial error correction associated with the Company's previously issued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Plans and Actions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is committed to remediating the material weaknesses that have been identified and maintaining an effective system of disclosure controls and procedures. These remediation efforts, summarized below, are intended to both address the identified material weaknesses and to enhance our overall financial control environment. In this regard, our initiatives include:</w:t>
      </w:r>
    </w:p>
    <w:p>
      <w:pPr>
        <w:spacing w:after="0" w:line="144" w:lineRule="exact"/>
        <w:rPr>
          <w:sz w:val="20"/>
          <w:szCs w:val="20"/>
          <w:color w:val="auto"/>
        </w:rPr>
      </w:pPr>
    </w:p>
    <w:p>
      <w:pPr>
        <w:jc w:val="both"/>
        <w:ind w:left="660" w:hanging="328"/>
        <w:spacing w:after="0" w:line="26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a project team to review, evaluate, and remediate material weaknesses in internal controls over financial reporting. The Company's recently expanded Corporate Compliance function will lead management's efforts related to effective control design, documentation, and implementation, as well as remediate ineffective controls.</w:t>
      </w:r>
    </w:p>
    <w:p>
      <w:pPr>
        <w:spacing w:after="0" w:line="130"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Undergoing a complete user access review related to our information technology systems to refine user roles and establish appropriate user access to various systems that the Company relies upon in its internal controls over financial reporting, which includes enhancing user access provisioning and monitoring controls to enforce appropriate system access and segregation of duties.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Providing training to relevant personnel reinforcing existing Company policies regarding user access and the steps and procedures required to perform the required reviews of access to Company systems.</w:t>
      </w:r>
    </w:p>
    <w:p>
      <w:pPr>
        <w:spacing w:after="0" w:line="1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Enhancing the design of internal controls around evaluating data provided by third-party service organizations for which a SOC 1, Type 2 is not available to validate completeness and accuracy.</w:t>
      </w:r>
    </w:p>
    <w:p>
      <w:pPr>
        <w:spacing w:after="0" w:line="11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Enhancing the design of internal controls to validate the accuracy of the tax basis for deferred tax assets and liabilities, including enhancing our record retention policy to include retaining documentation for complex tax items for as long as such tax items impact our consolidated financial statements.</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material weaknesses will be considered remediated when management concludes that, through testing, the applicable remedial controls are designed and implemented effectively.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6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Except as otherwise described herein, there have been no material changes in the risk factors previously disclosed in “Part I, Item 1A. Risk Factors” of our 2022 Form 10-K.</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may, from time to time, evaluate and pursue other opportunities for growth, including through strategic investments, joint ventures, and other acquisitions. These strategic initiatives involve various inherent risks, including, without limitation, general business risk, integration and synergy risk, market acceptance risk and risks associated with the potential distraction of management. Such transactions and initiatives may not ultimately create value for us or our stockholders and may harm our reputation and materially adversely affect our business, financial condition, and results of operations.</w:t>
      </w:r>
    </w:p>
    <w:p>
      <w:pPr>
        <w:spacing w:after="0" w:line="1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Exhibits marked with an asterisk (*) are incorporated by reference to documents previously filed by us with the SEC, as indicated. Exhibits marked with a plus (+) are management contracts or compensatory plan contracts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or arrangements filed pursuant to Item 601(b)(10)(iii)(A) of Regulation S-K. All other documents listed are filed with this Quarterly Report on Form 10-Q.</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8560" w:type="dxa"/>
            <w:vAlign w:val="bottom"/>
            <w:tcBorders>
              <w:top w:val="single" w:sz="8" w:color="auto"/>
              <w:bottom w:val="single" w:sz="8" w:color="auto"/>
            </w:tcBorders>
            <w:gridSpan w:val="5"/>
          </w:tcPr>
          <w:p>
            <w:pPr>
              <w:ind w:left="3780"/>
              <w:spacing w:after="0"/>
              <w:rPr>
                <w:sz w:val="20"/>
                <w:szCs w:val="20"/>
                <w:color w:val="auto"/>
              </w:rPr>
            </w:pPr>
            <w:r>
              <w:rPr>
                <w:rFonts w:ascii="Arial" w:cs="Arial" w:eastAsia="Arial" w:hAnsi="Arial"/>
                <w:sz w:val="18"/>
                <w:szCs w:val="18"/>
                <w:color w:val="auto"/>
              </w:rPr>
              <w:t>Description</w:t>
            </w:r>
          </w:p>
        </w:tc>
        <w:tc>
          <w:tcPr>
            <w:tcW w:w="1300" w:type="dxa"/>
            <w:vAlign w:val="bottom"/>
            <w:tcBorders>
              <w:top w:val="single" w:sz="8" w:color="auto"/>
              <w:bottom w:val="single" w:sz="8" w:color="auto"/>
            </w:tcBorders>
          </w:tcPr>
          <w:p>
            <w:pPr>
              <w:spacing w:after="0"/>
              <w:rPr>
                <w:sz w:val="21"/>
                <w:szCs w:val="21"/>
                <w:color w:val="auto"/>
              </w:rPr>
            </w:pPr>
          </w:p>
        </w:tc>
      </w:tr>
      <w:tr>
        <w:trPr>
          <w:trHeight w:val="439"/>
        </w:trPr>
        <w:tc>
          <w:tcPr>
            <w:tcW w:w="1380" w:type="dxa"/>
            <w:vAlign w:val="bottom"/>
          </w:tcPr>
          <w:p>
            <w:pPr>
              <w:ind w:left="20"/>
              <w:spacing w:after="0"/>
              <w:rPr>
                <w:sz w:val="20"/>
                <w:szCs w:val="20"/>
                <w:color w:val="auto"/>
              </w:rPr>
            </w:pPr>
            <w:r>
              <w:rPr>
                <w:rFonts w:ascii="Arial" w:cs="Arial" w:eastAsia="Arial" w:hAnsi="Arial"/>
                <w:sz w:val="18"/>
                <w:szCs w:val="18"/>
                <w:color w:val="auto"/>
              </w:rPr>
              <w:t>31.1</w:t>
            </w:r>
          </w:p>
        </w:tc>
        <w:tc>
          <w:tcPr>
            <w:tcW w:w="42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Rule 13a-14(a) Certification of Chief Executive Officer</w:t>
            </w:r>
          </w:p>
        </w:tc>
        <w:tc>
          <w:tcPr>
            <w:tcW w:w="4280" w:type="dxa"/>
            <w:vAlign w:val="bottom"/>
          </w:tcPr>
          <w:p>
            <w:pPr>
              <w:spacing w:after="0"/>
              <w:rPr>
                <w:sz w:val="24"/>
                <w:szCs w:val="24"/>
                <w:color w:val="auto"/>
              </w:rPr>
            </w:pPr>
          </w:p>
        </w:tc>
        <w:tc>
          <w:tcPr>
            <w:tcW w:w="1300" w:type="dxa"/>
            <w:vAlign w:val="bottom"/>
          </w:tcPr>
          <w:p>
            <w:pPr>
              <w:ind w:left="580"/>
              <w:spacing w:after="0"/>
              <w:rPr>
                <w:sz w:val="20"/>
                <w:szCs w:val="20"/>
                <w:color w:val="auto"/>
              </w:rPr>
            </w:pPr>
            <w:r>
              <w:rPr>
                <w:rFonts w:ascii="Arial" w:cs="Arial" w:eastAsia="Arial" w:hAnsi="Arial"/>
                <w:sz w:val="18"/>
                <w:szCs w:val="18"/>
                <w:color w:val="auto"/>
                <w:w w:val="98"/>
              </w:rPr>
              <w:t>Attached</w:t>
            </w:r>
          </w:p>
        </w:tc>
      </w:tr>
      <w:tr>
        <w:trPr>
          <w:trHeight w:val="210"/>
        </w:trPr>
        <w:tc>
          <w:tcPr>
            <w:tcW w:w="1380" w:type="dxa"/>
            <w:vAlign w:val="bottom"/>
          </w:tcPr>
          <w:p>
            <w:pPr>
              <w:ind w:left="20"/>
              <w:spacing w:after="0"/>
              <w:rPr>
                <w:sz w:val="20"/>
                <w:szCs w:val="20"/>
                <w:color w:val="auto"/>
              </w:rPr>
            </w:pPr>
            <w:r>
              <w:rPr>
                <w:rFonts w:ascii="Arial" w:cs="Arial" w:eastAsia="Arial" w:hAnsi="Arial"/>
                <w:sz w:val="18"/>
                <w:szCs w:val="18"/>
                <w:color w:val="auto"/>
              </w:rPr>
              <w:t>31.2</w:t>
            </w:r>
          </w:p>
        </w:tc>
        <w:tc>
          <w:tcPr>
            <w:tcW w:w="42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Rule 13a-14(a) Certification of Chief Financial Officer</w:t>
            </w:r>
          </w:p>
        </w:tc>
        <w:tc>
          <w:tcPr>
            <w:tcW w:w="4340" w:type="dxa"/>
            <w:vAlign w:val="bottom"/>
            <w:gridSpan w:val="2"/>
          </w:tcPr>
          <w:p>
            <w:pPr>
              <w:spacing w:after="0"/>
              <w:rPr>
                <w:sz w:val="18"/>
                <w:szCs w:val="18"/>
                <w:color w:val="auto"/>
              </w:rPr>
            </w:pPr>
          </w:p>
        </w:tc>
        <w:tc>
          <w:tcPr>
            <w:tcW w:w="1300" w:type="dxa"/>
            <w:vAlign w:val="bottom"/>
          </w:tcPr>
          <w:p>
            <w:pPr>
              <w:ind w:left="580"/>
              <w:spacing w:after="0"/>
              <w:rPr>
                <w:sz w:val="20"/>
                <w:szCs w:val="20"/>
                <w:color w:val="auto"/>
              </w:rPr>
            </w:pPr>
            <w:r>
              <w:rPr>
                <w:rFonts w:ascii="Arial" w:cs="Arial" w:eastAsia="Arial" w:hAnsi="Arial"/>
                <w:sz w:val="18"/>
                <w:szCs w:val="18"/>
                <w:color w:val="auto"/>
                <w:w w:val="98"/>
              </w:rPr>
              <w:t>Attached</w:t>
            </w:r>
          </w:p>
        </w:tc>
      </w:tr>
      <w:tr>
        <w:trPr>
          <w:trHeight w:val="210"/>
        </w:trPr>
        <w:tc>
          <w:tcPr>
            <w:tcW w:w="1380" w:type="dxa"/>
            <w:vAlign w:val="bottom"/>
          </w:tcPr>
          <w:p>
            <w:pPr>
              <w:ind w:left="20"/>
              <w:spacing w:after="0"/>
              <w:rPr>
                <w:sz w:val="20"/>
                <w:szCs w:val="20"/>
                <w:color w:val="auto"/>
              </w:rPr>
            </w:pPr>
            <w:r>
              <w:rPr>
                <w:rFonts w:ascii="Arial" w:cs="Arial" w:eastAsia="Arial" w:hAnsi="Arial"/>
                <w:sz w:val="18"/>
                <w:szCs w:val="18"/>
                <w:color w:val="auto"/>
              </w:rPr>
              <w:t>32.1</w:t>
            </w:r>
          </w:p>
        </w:tc>
        <w:tc>
          <w:tcPr>
            <w:tcW w:w="8560" w:type="dxa"/>
            <w:vAlign w:val="bottom"/>
            <w:gridSpan w:val="5"/>
          </w:tcPr>
          <w:p>
            <w:pPr>
              <w:spacing w:after="0"/>
              <w:rPr>
                <w:sz w:val="20"/>
                <w:szCs w:val="20"/>
                <w:color w:val="auto"/>
              </w:rPr>
            </w:pPr>
            <w:r>
              <w:rPr>
                <w:rFonts w:ascii="Arial" w:cs="Arial" w:eastAsia="Arial" w:hAnsi="Arial"/>
                <w:sz w:val="18"/>
                <w:szCs w:val="18"/>
                <w:color w:val="0000FF"/>
              </w:rPr>
              <w:t>Section 1350 Certification of Chief Executive Officer</w:t>
            </w:r>
          </w:p>
        </w:tc>
        <w:tc>
          <w:tcPr>
            <w:tcW w:w="1300" w:type="dxa"/>
            <w:vAlign w:val="bottom"/>
          </w:tcPr>
          <w:p>
            <w:pPr>
              <w:ind w:left="580"/>
              <w:spacing w:after="0"/>
              <w:rPr>
                <w:sz w:val="20"/>
                <w:szCs w:val="20"/>
                <w:color w:val="auto"/>
              </w:rPr>
            </w:pPr>
            <w:r>
              <w:rPr>
                <w:rFonts w:ascii="Arial" w:cs="Arial" w:eastAsia="Arial" w:hAnsi="Arial"/>
                <w:sz w:val="18"/>
                <w:szCs w:val="18"/>
                <w:color w:val="auto"/>
                <w:w w:val="98"/>
              </w:rPr>
              <w:t>Attached</w:t>
            </w:r>
          </w:p>
        </w:tc>
      </w:tr>
      <w:tr>
        <w:trPr>
          <w:trHeight w:val="209"/>
        </w:trPr>
        <w:tc>
          <w:tcPr>
            <w:tcW w:w="1380" w:type="dxa"/>
            <w:vAlign w:val="bottom"/>
          </w:tcPr>
          <w:p>
            <w:pPr>
              <w:ind w:left="20"/>
              <w:spacing w:after="0"/>
              <w:rPr>
                <w:sz w:val="20"/>
                <w:szCs w:val="20"/>
                <w:color w:val="auto"/>
              </w:rPr>
            </w:pPr>
            <w:r>
              <w:rPr>
                <w:rFonts w:ascii="Arial" w:cs="Arial" w:eastAsia="Arial" w:hAnsi="Arial"/>
                <w:sz w:val="18"/>
                <w:szCs w:val="18"/>
                <w:color w:val="auto"/>
              </w:rPr>
              <w:t>32.2</w:t>
            </w:r>
          </w:p>
        </w:tc>
        <w:tc>
          <w:tcPr>
            <w:tcW w:w="41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rPr>
              <w:t>Section 1350 Certification of Chief Financial Officer</w:t>
            </w:r>
          </w:p>
        </w:tc>
        <w:tc>
          <w:tcPr>
            <w:tcW w:w="4440" w:type="dxa"/>
            <w:vAlign w:val="bottom"/>
            <w:gridSpan w:val="3"/>
          </w:tcPr>
          <w:p>
            <w:pPr>
              <w:spacing w:after="0"/>
              <w:rPr>
                <w:sz w:val="18"/>
                <w:szCs w:val="18"/>
                <w:color w:val="auto"/>
              </w:rPr>
            </w:pPr>
          </w:p>
        </w:tc>
        <w:tc>
          <w:tcPr>
            <w:tcW w:w="1300" w:type="dxa"/>
            <w:vAlign w:val="bottom"/>
          </w:tcPr>
          <w:p>
            <w:pPr>
              <w:ind w:left="580"/>
              <w:spacing w:after="0"/>
              <w:rPr>
                <w:sz w:val="20"/>
                <w:szCs w:val="20"/>
                <w:color w:val="auto"/>
              </w:rPr>
            </w:pPr>
            <w:r>
              <w:rPr>
                <w:rFonts w:ascii="Arial" w:cs="Arial" w:eastAsia="Arial" w:hAnsi="Arial"/>
                <w:sz w:val="18"/>
                <w:szCs w:val="18"/>
                <w:color w:val="auto"/>
                <w:w w:val="98"/>
              </w:rPr>
              <w:t>Attached</w:t>
            </w:r>
          </w:p>
        </w:tc>
      </w:tr>
      <w:tr>
        <w:trPr>
          <w:trHeight w:val="20"/>
        </w:trPr>
        <w:tc>
          <w:tcPr>
            <w:tcW w:w="1380" w:type="dxa"/>
            <w:vAlign w:val="bottom"/>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380" w:type="dxa"/>
            <w:vAlign w:val="bottom"/>
          </w:tcPr>
          <w:p>
            <w:pPr>
              <w:ind w:left="20"/>
              <w:spacing w:after="0" w:line="196" w:lineRule="exact"/>
              <w:rPr>
                <w:sz w:val="20"/>
                <w:szCs w:val="20"/>
                <w:color w:val="auto"/>
              </w:rPr>
            </w:pPr>
            <w:r>
              <w:rPr>
                <w:rFonts w:ascii="Arial" w:cs="Arial" w:eastAsia="Arial" w:hAnsi="Arial"/>
                <w:sz w:val="18"/>
                <w:szCs w:val="18"/>
                <w:color w:val="auto"/>
              </w:rPr>
              <w:t>101.INS</w:t>
            </w:r>
          </w:p>
        </w:tc>
        <w:tc>
          <w:tcPr>
            <w:tcW w:w="8560" w:type="dxa"/>
            <w:vAlign w:val="bottom"/>
            <w:gridSpan w:val="5"/>
          </w:tcPr>
          <w:p>
            <w:pPr>
              <w:spacing w:after="0" w:line="196" w:lineRule="exact"/>
              <w:rPr>
                <w:sz w:val="20"/>
                <w:szCs w:val="20"/>
                <w:color w:val="auto"/>
              </w:rPr>
            </w:pPr>
            <w:r>
              <w:rPr>
                <w:rFonts w:ascii="Arial" w:cs="Arial" w:eastAsia="Arial" w:hAnsi="Arial"/>
                <w:sz w:val="18"/>
                <w:szCs w:val="18"/>
                <w:color w:val="auto"/>
              </w:rPr>
              <w:t>Inline XBRL Instance Document (the Instance Document does not appear in the Interactive Data File</w:t>
            </w:r>
          </w:p>
        </w:tc>
        <w:tc>
          <w:tcPr>
            <w:tcW w:w="1300" w:type="dxa"/>
            <w:vAlign w:val="bottom"/>
          </w:tcPr>
          <w:p>
            <w:pPr>
              <w:ind w:left="580"/>
              <w:spacing w:after="0" w:line="196" w:lineRule="exact"/>
              <w:rPr>
                <w:sz w:val="20"/>
                <w:szCs w:val="20"/>
                <w:color w:val="auto"/>
              </w:rPr>
            </w:pPr>
            <w:r>
              <w:rPr>
                <w:rFonts w:ascii="Arial" w:cs="Arial" w:eastAsia="Arial" w:hAnsi="Arial"/>
                <w:sz w:val="18"/>
                <w:szCs w:val="18"/>
                <w:color w:val="auto"/>
                <w:w w:val="98"/>
              </w:rPr>
              <w:t>Attached</w:t>
            </w:r>
          </w:p>
        </w:tc>
      </w:tr>
      <w:tr>
        <w:trPr>
          <w:trHeight w:val="238"/>
        </w:trPr>
        <w:tc>
          <w:tcPr>
            <w:tcW w:w="1380" w:type="dxa"/>
            <w:vAlign w:val="bottom"/>
          </w:tcPr>
          <w:p>
            <w:pPr>
              <w:spacing w:after="0"/>
              <w:rPr>
                <w:sz w:val="20"/>
                <w:szCs w:val="20"/>
                <w:color w:val="auto"/>
              </w:rPr>
            </w:pPr>
          </w:p>
        </w:tc>
        <w:tc>
          <w:tcPr>
            <w:tcW w:w="8560" w:type="dxa"/>
            <w:vAlign w:val="bottom"/>
            <w:gridSpan w:val="5"/>
          </w:tcPr>
          <w:p>
            <w:pPr>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1300" w:type="dxa"/>
            <w:vAlign w:val="bottom"/>
          </w:tcPr>
          <w:p>
            <w:pPr>
              <w:spacing w:after="0"/>
              <w:rPr>
                <w:sz w:val="20"/>
                <w:szCs w:val="20"/>
                <w:color w:val="auto"/>
              </w:rPr>
            </w:pP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101.SCH</w:t>
            </w:r>
          </w:p>
        </w:tc>
        <w:tc>
          <w:tcPr>
            <w:tcW w:w="856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c>
          <w:tcPr>
            <w:tcW w:w="1300" w:type="dxa"/>
            <w:vAlign w:val="bottom"/>
          </w:tcPr>
          <w:p>
            <w:pPr>
              <w:ind w:left="580"/>
              <w:spacing w:after="0"/>
              <w:rPr>
                <w:sz w:val="20"/>
                <w:szCs w:val="20"/>
                <w:color w:val="auto"/>
              </w:rPr>
            </w:pPr>
            <w:r>
              <w:rPr>
                <w:rFonts w:ascii="Arial" w:cs="Arial" w:eastAsia="Arial" w:hAnsi="Arial"/>
                <w:sz w:val="18"/>
                <w:szCs w:val="18"/>
                <w:color w:val="auto"/>
                <w:w w:val="98"/>
              </w:rPr>
              <w:t>Attached</w:t>
            </w:r>
          </w:p>
        </w:tc>
      </w:tr>
      <w:tr>
        <w:trPr>
          <w:trHeight w:val="229"/>
        </w:trPr>
        <w:tc>
          <w:tcPr>
            <w:tcW w:w="1380" w:type="dxa"/>
            <w:vAlign w:val="bottom"/>
          </w:tcPr>
          <w:p>
            <w:pPr>
              <w:ind w:left="20"/>
              <w:spacing w:after="0"/>
              <w:rPr>
                <w:sz w:val="20"/>
                <w:szCs w:val="20"/>
                <w:color w:val="auto"/>
              </w:rPr>
            </w:pPr>
            <w:r>
              <w:rPr>
                <w:rFonts w:ascii="Arial" w:cs="Arial" w:eastAsia="Arial" w:hAnsi="Arial"/>
                <w:sz w:val="18"/>
                <w:szCs w:val="18"/>
                <w:color w:val="auto"/>
              </w:rPr>
              <w:t>101.CAL</w:t>
            </w:r>
          </w:p>
        </w:tc>
        <w:tc>
          <w:tcPr>
            <w:tcW w:w="856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300" w:type="dxa"/>
            <w:vAlign w:val="bottom"/>
          </w:tcPr>
          <w:p>
            <w:pPr>
              <w:ind w:left="580"/>
              <w:spacing w:after="0"/>
              <w:rPr>
                <w:sz w:val="20"/>
                <w:szCs w:val="20"/>
                <w:color w:val="auto"/>
              </w:rPr>
            </w:pPr>
            <w:r>
              <w:rPr>
                <w:rFonts w:ascii="Arial" w:cs="Arial" w:eastAsia="Arial" w:hAnsi="Arial"/>
                <w:sz w:val="18"/>
                <w:szCs w:val="18"/>
                <w:color w:val="auto"/>
                <w:w w:val="98"/>
              </w:rPr>
              <w:t>Attached</w:t>
            </w:r>
          </w:p>
        </w:tc>
      </w:tr>
      <w:tr>
        <w:trPr>
          <w:trHeight w:val="229"/>
        </w:trPr>
        <w:tc>
          <w:tcPr>
            <w:tcW w:w="1380" w:type="dxa"/>
            <w:vAlign w:val="bottom"/>
          </w:tcPr>
          <w:p>
            <w:pPr>
              <w:ind w:left="20"/>
              <w:spacing w:after="0"/>
              <w:rPr>
                <w:sz w:val="20"/>
                <w:szCs w:val="20"/>
                <w:color w:val="auto"/>
              </w:rPr>
            </w:pPr>
            <w:r>
              <w:rPr>
                <w:rFonts w:ascii="Arial" w:cs="Arial" w:eastAsia="Arial" w:hAnsi="Arial"/>
                <w:sz w:val="18"/>
                <w:szCs w:val="18"/>
                <w:color w:val="auto"/>
              </w:rPr>
              <w:t>101.DEF</w:t>
            </w:r>
          </w:p>
        </w:tc>
        <w:tc>
          <w:tcPr>
            <w:tcW w:w="856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300" w:type="dxa"/>
            <w:vAlign w:val="bottom"/>
          </w:tcPr>
          <w:p>
            <w:pPr>
              <w:ind w:left="580"/>
              <w:spacing w:after="0"/>
              <w:rPr>
                <w:sz w:val="20"/>
                <w:szCs w:val="20"/>
                <w:color w:val="auto"/>
              </w:rPr>
            </w:pPr>
            <w:r>
              <w:rPr>
                <w:rFonts w:ascii="Arial" w:cs="Arial" w:eastAsia="Arial" w:hAnsi="Arial"/>
                <w:sz w:val="18"/>
                <w:szCs w:val="18"/>
                <w:color w:val="auto"/>
                <w:w w:val="98"/>
              </w:rPr>
              <w:t>Attached</w:t>
            </w: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101.LAB</w:t>
            </w:r>
          </w:p>
        </w:tc>
        <w:tc>
          <w:tcPr>
            <w:tcW w:w="856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300" w:type="dxa"/>
            <w:vAlign w:val="bottom"/>
          </w:tcPr>
          <w:p>
            <w:pPr>
              <w:ind w:left="580"/>
              <w:spacing w:after="0"/>
              <w:rPr>
                <w:sz w:val="20"/>
                <w:szCs w:val="20"/>
                <w:color w:val="auto"/>
              </w:rPr>
            </w:pPr>
            <w:r>
              <w:rPr>
                <w:rFonts w:ascii="Arial" w:cs="Arial" w:eastAsia="Arial" w:hAnsi="Arial"/>
                <w:sz w:val="18"/>
                <w:szCs w:val="18"/>
                <w:color w:val="auto"/>
                <w:w w:val="98"/>
              </w:rPr>
              <w:t>Attached</w:t>
            </w:r>
          </w:p>
        </w:tc>
      </w:tr>
      <w:tr>
        <w:trPr>
          <w:trHeight w:val="229"/>
        </w:trPr>
        <w:tc>
          <w:tcPr>
            <w:tcW w:w="1380" w:type="dxa"/>
            <w:vAlign w:val="bottom"/>
          </w:tcPr>
          <w:p>
            <w:pPr>
              <w:ind w:left="20"/>
              <w:spacing w:after="0"/>
              <w:rPr>
                <w:sz w:val="20"/>
                <w:szCs w:val="20"/>
                <w:color w:val="auto"/>
              </w:rPr>
            </w:pPr>
            <w:r>
              <w:rPr>
                <w:rFonts w:ascii="Arial" w:cs="Arial" w:eastAsia="Arial" w:hAnsi="Arial"/>
                <w:sz w:val="18"/>
                <w:szCs w:val="18"/>
                <w:color w:val="auto"/>
              </w:rPr>
              <w:t>101.PRE</w:t>
            </w:r>
          </w:p>
        </w:tc>
        <w:tc>
          <w:tcPr>
            <w:tcW w:w="856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300" w:type="dxa"/>
            <w:vAlign w:val="bottom"/>
          </w:tcPr>
          <w:p>
            <w:pPr>
              <w:ind w:left="580"/>
              <w:spacing w:after="0"/>
              <w:rPr>
                <w:sz w:val="20"/>
                <w:szCs w:val="20"/>
                <w:color w:val="auto"/>
              </w:rPr>
            </w:pPr>
            <w:r>
              <w:rPr>
                <w:rFonts w:ascii="Arial" w:cs="Arial" w:eastAsia="Arial" w:hAnsi="Arial"/>
                <w:sz w:val="18"/>
                <w:szCs w:val="18"/>
                <w:color w:val="auto"/>
                <w:w w:val="98"/>
              </w:rPr>
              <w:t>Attached</w:t>
            </w:r>
          </w:p>
        </w:tc>
      </w:tr>
      <w:tr>
        <w:trPr>
          <w:trHeight w:val="181"/>
        </w:trPr>
        <w:tc>
          <w:tcPr>
            <w:tcW w:w="1380" w:type="dxa"/>
            <w:vAlign w:val="bottom"/>
          </w:tcPr>
          <w:p>
            <w:pPr>
              <w:ind w:left="20"/>
              <w:spacing w:after="0" w:line="181" w:lineRule="exact"/>
              <w:rPr>
                <w:sz w:val="20"/>
                <w:szCs w:val="20"/>
                <w:color w:val="auto"/>
              </w:rPr>
            </w:pPr>
            <w:r>
              <w:rPr>
                <w:rFonts w:ascii="Arial" w:cs="Arial" w:eastAsia="Arial" w:hAnsi="Arial"/>
                <w:sz w:val="18"/>
                <w:szCs w:val="18"/>
                <w:color w:val="auto"/>
              </w:rPr>
              <w:t>104</w:t>
            </w:r>
          </w:p>
        </w:tc>
        <w:tc>
          <w:tcPr>
            <w:tcW w:w="8560" w:type="dxa"/>
            <w:vAlign w:val="bottom"/>
            <w:gridSpan w:val="5"/>
          </w:tcPr>
          <w:p>
            <w:pPr>
              <w:spacing w:after="0" w:line="181" w:lineRule="exact"/>
              <w:rPr>
                <w:sz w:val="20"/>
                <w:szCs w:val="20"/>
                <w:color w:val="auto"/>
              </w:rPr>
            </w:pPr>
            <w:r>
              <w:rPr>
                <w:rFonts w:ascii="Arial" w:cs="Arial" w:eastAsia="Arial" w:hAnsi="Arial"/>
                <w:sz w:val="18"/>
                <w:szCs w:val="18"/>
                <w:color w:val="auto"/>
              </w:rPr>
              <w:t>Cover Page Interactive Data File (formatted as Inline XBRL and embedded within the Inline XBRL</w:t>
            </w:r>
          </w:p>
        </w:tc>
        <w:tc>
          <w:tcPr>
            <w:tcW w:w="1300" w:type="dxa"/>
            <w:vAlign w:val="bottom"/>
          </w:tcPr>
          <w:p>
            <w:pPr>
              <w:ind w:left="580"/>
              <w:spacing w:after="0" w:line="181" w:lineRule="exact"/>
              <w:rPr>
                <w:sz w:val="20"/>
                <w:szCs w:val="20"/>
                <w:color w:val="auto"/>
              </w:rPr>
            </w:pPr>
            <w:r>
              <w:rPr>
                <w:rFonts w:ascii="Arial" w:cs="Arial" w:eastAsia="Arial" w:hAnsi="Arial"/>
                <w:sz w:val="18"/>
                <w:szCs w:val="18"/>
                <w:color w:val="auto"/>
                <w:w w:val="98"/>
              </w:rPr>
              <w:t>Attached</w:t>
            </w:r>
          </w:p>
        </w:tc>
      </w:tr>
      <w:tr>
        <w:trPr>
          <w:trHeight w:val="241"/>
        </w:trPr>
        <w:tc>
          <w:tcPr>
            <w:tcW w:w="1380" w:type="dxa"/>
            <w:vAlign w:val="bottom"/>
            <w:tcBorders>
              <w:bottom w:val="single" w:sz="8" w:color="auto"/>
            </w:tcBorders>
          </w:tcPr>
          <w:p>
            <w:pPr>
              <w:spacing w:after="0"/>
              <w:rPr>
                <w:sz w:val="20"/>
                <w:szCs w:val="20"/>
                <w:color w:val="auto"/>
              </w:rPr>
            </w:pPr>
          </w:p>
        </w:tc>
        <w:tc>
          <w:tcPr>
            <w:tcW w:w="85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document)</w:t>
            </w:r>
          </w:p>
        </w:tc>
        <w:tc>
          <w:tcPr>
            <w:tcW w:w="1300" w:type="dxa"/>
            <w:vAlign w:val="bottom"/>
            <w:tcBorders>
              <w:bottom w:val="single" w:sz="8" w:color="auto"/>
            </w:tcBorders>
          </w:tcPr>
          <w:p>
            <w:pPr>
              <w:spacing w:after="0"/>
              <w:rPr>
                <w:sz w:val="20"/>
                <w:szCs w:val="20"/>
                <w:color w:val="auto"/>
              </w:rPr>
            </w:pPr>
          </w:p>
        </w:tc>
      </w:tr>
      <w:tr>
        <w:trPr>
          <w:trHeight w:val="891"/>
        </w:trPr>
        <w:tc>
          <w:tcPr>
            <w:tcW w:w="1380" w:type="dxa"/>
            <w:vAlign w:val="bottom"/>
          </w:tcPr>
          <w:p>
            <w:pPr>
              <w:spacing w:after="0"/>
              <w:rPr>
                <w:sz w:val="24"/>
                <w:szCs w:val="24"/>
                <w:color w:val="auto"/>
              </w:rPr>
            </w:pPr>
          </w:p>
        </w:tc>
        <w:tc>
          <w:tcPr>
            <w:tcW w:w="8560" w:type="dxa"/>
            <w:vAlign w:val="bottom"/>
            <w:gridSpan w:val="5"/>
          </w:tcPr>
          <w:p>
            <w:pPr>
              <w:ind w:left="4140"/>
              <w:spacing w:after="0"/>
              <w:rPr>
                <w:sz w:val="20"/>
                <w:szCs w:val="20"/>
                <w:color w:val="auto"/>
              </w:rPr>
            </w:pPr>
            <w:r>
              <w:rPr>
                <w:rFonts w:ascii="Arial" w:cs="Arial" w:eastAsia="Arial" w:hAnsi="Arial"/>
                <w:sz w:val="18"/>
                <w:szCs w:val="18"/>
                <w:color w:val="auto"/>
              </w:rPr>
              <w:t>20</w:t>
            </w:r>
          </w:p>
        </w:tc>
        <w:tc>
          <w:tcPr>
            <w:tcW w:w="1300" w:type="dxa"/>
            <w:vAlign w:val="bottom"/>
          </w:tcPr>
          <w:p>
            <w:pPr>
              <w:spacing w:after="0"/>
              <w:rPr>
                <w:sz w:val="24"/>
                <w:szCs w:val="24"/>
                <w:color w:val="auto"/>
              </w:rPr>
            </w:pPr>
          </w:p>
        </w:tc>
      </w:tr>
      <w:tr>
        <w:trPr>
          <w:trHeight w:val="111"/>
        </w:trPr>
        <w:tc>
          <w:tcPr>
            <w:tcW w:w="1380" w:type="dxa"/>
            <w:vAlign w:val="bottom"/>
            <w:tcBorders>
              <w:bottom w:val="single" w:sz="8" w:color="9A9A9A"/>
            </w:tcBorders>
          </w:tcPr>
          <w:p>
            <w:pPr>
              <w:spacing w:after="0"/>
              <w:rPr>
                <w:sz w:val="9"/>
                <w:szCs w:val="9"/>
                <w:color w:val="auto"/>
              </w:rPr>
            </w:pPr>
          </w:p>
        </w:tc>
        <w:tc>
          <w:tcPr>
            <w:tcW w:w="40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2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240" w:type="dxa"/>
        <w:tblCellMar>
          <w:top w:w="0" w:type="dxa"/>
          <w:left w:w="0" w:type="dxa"/>
          <w:bottom w:w="0" w:type="dxa"/>
          <w:right w:w="0" w:type="dxa"/>
        </w:tblCellMar>
      </w:tblPr>
      <w:tr>
        <w:trPr>
          <w:trHeight w:val="239"/>
        </w:trPr>
        <w:tc>
          <w:tcPr>
            <w:tcW w:w="4740" w:type="dxa"/>
            <w:vAlign w:val="bottom"/>
          </w:tcPr>
          <w:p>
            <w:pPr>
              <w:ind w:left="20"/>
              <w:spacing w:after="0"/>
              <w:rPr>
                <w:sz w:val="20"/>
                <w:szCs w:val="20"/>
                <w:color w:val="auto"/>
              </w:rPr>
            </w:pPr>
            <w:r>
              <w:rPr>
                <w:rFonts w:ascii="Arial" w:cs="Arial" w:eastAsia="Arial" w:hAnsi="Arial"/>
                <w:sz w:val="18"/>
                <w:szCs w:val="18"/>
                <w:color w:val="auto"/>
              </w:rPr>
              <w:t>LEE ENTERPRISES, INCORPORATED</w:t>
            </w:r>
          </w:p>
        </w:tc>
        <w:tc>
          <w:tcPr>
            <w:tcW w:w="168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495"/>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R. Millage</w:t>
            </w:r>
          </w:p>
        </w:tc>
        <w:tc>
          <w:tcPr>
            <w:tcW w:w="1680" w:type="dxa"/>
            <w:vAlign w:val="bottom"/>
            <w:tcBorders>
              <w:bottom w:val="single" w:sz="8" w:color="auto"/>
            </w:tcBorders>
          </w:tcPr>
          <w:p>
            <w:pPr>
              <w:spacing w:after="0"/>
              <w:rPr>
                <w:sz w:val="24"/>
                <w:szCs w:val="24"/>
                <w:color w:val="auto"/>
              </w:rPr>
            </w:pPr>
          </w:p>
        </w:tc>
        <w:tc>
          <w:tcPr>
            <w:tcW w:w="4320" w:type="dxa"/>
            <w:vAlign w:val="bottom"/>
          </w:tcPr>
          <w:p>
            <w:pPr>
              <w:ind w:left="3160"/>
              <w:spacing w:after="0"/>
              <w:rPr>
                <w:sz w:val="20"/>
                <w:szCs w:val="20"/>
                <w:color w:val="auto"/>
              </w:rPr>
            </w:pPr>
            <w:r>
              <w:rPr>
                <w:rFonts w:ascii="Arial" w:cs="Arial" w:eastAsia="Arial" w:hAnsi="Arial"/>
                <w:sz w:val="18"/>
                <w:szCs w:val="18"/>
                <w:color w:val="auto"/>
                <w:w w:val="99"/>
              </w:rPr>
              <w:t>March 2, 2023</w:t>
            </w:r>
          </w:p>
        </w:tc>
      </w:tr>
      <w:tr>
        <w:trPr>
          <w:trHeight w:val="218"/>
        </w:trPr>
        <w:tc>
          <w:tcPr>
            <w:tcW w:w="4740" w:type="dxa"/>
            <w:vAlign w:val="bottom"/>
          </w:tcPr>
          <w:p>
            <w:pPr>
              <w:ind w:left="20"/>
              <w:spacing w:after="0"/>
              <w:rPr>
                <w:sz w:val="20"/>
                <w:szCs w:val="20"/>
                <w:color w:val="auto"/>
              </w:rPr>
            </w:pPr>
            <w:r>
              <w:rPr>
                <w:rFonts w:ascii="Arial" w:cs="Arial" w:eastAsia="Arial" w:hAnsi="Arial"/>
                <w:sz w:val="18"/>
                <w:szCs w:val="18"/>
                <w:color w:val="auto"/>
              </w:rPr>
              <w:t>Timothy R. Millage</w:t>
            </w:r>
          </w:p>
        </w:tc>
        <w:tc>
          <w:tcPr>
            <w:tcW w:w="168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Vice President, Chief Financial Officer and Treasurer</w:t>
            </w:r>
          </w:p>
        </w:tc>
        <w:tc>
          <w:tcPr>
            <w:tcW w:w="1680" w:type="dxa"/>
            <w:vAlign w:val="bottom"/>
          </w:tcPr>
          <w:p>
            <w:pPr>
              <w:spacing w:after="0"/>
              <w:rPr>
                <w:sz w:val="19"/>
                <w:szCs w:val="19"/>
                <w:color w:val="auto"/>
              </w:rPr>
            </w:pPr>
          </w:p>
        </w:tc>
        <w:tc>
          <w:tcPr>
            <w:tcW w:w="4320" w:type="dxa"/>
            <w:vAlign w:val="bottom"/>
          </w:tcPr>
          <w:p>
            <w:pPr>
              <w:spacing w:after="0"/>
              <w:rPr>
                <w:sz w:val="19"/>
                <w:szCs w:val="19"/>
                <w:color w:val="auto"/>
              </w:rPr>
            </w:pPr>
          </w:p>
        </w:tc>
      </w:tr>
      <w:tr>
        <w:trPr>
          <w:trHeight w:val="239"/>
        </w:trPr>
        <w:tc>
          <w:tcPr>
            <w:tcW w:w="474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68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904"/>
        </w:trPr>
        <w:tc>
          <w:tcPr>
            <w:tcW w:w="4740" w:type="dxa"/>
            <w:vAlign w:val="bottom"/>
          </w:tcPr>
          <w:p>
            <w:pPr>
              <w:spacing w:after="0"/>
              <w:rPr>
                <w:sz w:val="24"/>
                <w:szCs w:val="24"/>
                <w:color w:val="auto"/>
              </w:rPr>
            </w:pPr>
          </w:p>
        </w:tc>
        <w:tc>
          <w:tcPr>
            <w:tcW w:w="1680" w:type="dxa"/>
            <w:vAlign w:val="bottom"/>
          </w:tcPr>
          <w:p>
            <w:pPr>
              <w:jc w:val="right"/>
              <w:ind w:right="850"/>
              <w:spacing w:after="0"/>
              <w:rPr>
                <w:sz w:val="20"/>
                <w:szCs w:val="20"/>
                <w:color w:val="auto"/>
              </w:rPr>
            </w:pPr>
            <w:r>
              <w:rPr>
                <w:rFonts w:ascii="Arial" w:cs="Arial" w:eastAsia="Arial" w:hAnsi="Arial"/>
                <w:sz w:val="18"/>
                <w:szCs w:val="18"/>
                <w:color w:val="auto"/>
              </w:rPr>
              <w:t>21</w:t>
            </w:r>
          </w:p>
        </w:tc>
        <w:tc>
          <w:tcPr>
            <w:tcW w:w="43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Kevin D. Mowbray, certify that:</w:t>
      </w:r>
    </w:p>
    <w:p>
      <w:pPr>
        <w:spacing w:after="0" w:line="158" w:lineRule="exact"/>
        <w:rPr>
          <w:sz w:val="20"/>
          <w:szCs w:val="20"/>
          <w:color w:val="auto"/>
        </w:rPr>
      </w:pPr>
    </w:p>
    <w:p>
      <w:pPr>
        <w:ind w:left="480" w:hanging="472"/>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44" w:lineRule="exact"/>
        <w:rPr>
          <w:sz w:val="20"/>
          <w:szCs w:val="20"/>
          <w:color w:val="auto"/>
        </w:rPr>
      </w:pPr>
    </w:p>
    <w:p>
      <w:pPr>
        <w:ind w:left="500" w:right="120" w:hanging="492"/>
        <w:spacing w:after="0" w:line="268" w:lineRule="auto"/>
        <w:tabs>
          <w:tab w:leader="none" w:pos="4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03" w:lineRule="exact"/>
        <w:rPr>
          <w:sz w:val="20"/>
          <w:szCs w:val="20"/>
          <w:color w:val="auto"/>
        </w:rPr>
      </w:pPr>
    </w:p>
    <w:p>
      <w:pPr>
        <w:ind w:left="500" w:right="320" w:hanging="492"/>
        <w:spacing w:after="0" w:line="268" w:lineRule="auto"/>
        <w:tabs>
          <w:tab w:leader="none" w:pos="4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03" w:lineRule="exact"/>
        <w:rPr>
          <w:sz w:val="20"/>
          <w:szCs w:val="20"/>
          <w:color w:val="auto"/>
        </w:rPr>
      </w:pPr>
    </w:p>
    <w:p>
      <w:pPr>
        <w:ind w:left="500" w:right="240" w:hanging="492"/>
        <w:spacing w:after="0" w:line="268" w:lineRule="auto"/>
        <w:tabs>
          <w:tab w:leader="none" w:pos="49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1460" w:right="60" w:hanging="480"/>
        <w:spacing w:after="0" w:line="262" w:lineRule="auto"/>
        <w:tabs>
          <w:tab w:leader="none" w:pos="145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08" w:lineRule="exact"/>
        <w:rPr>
          <w:rFonts w:ascii="Arial" w:cs="Arial" w:eastAsia="Arial" w:hAnsi="Arial"/>
          <w:sz w:val="18"/>
          <w:szCs w:val="18"/>
          <w:color w:val="auto"/>
        </w:rPr>
      </w:pPr>
    </w:p>
    <w:p>
      <w:pPr>
        <w:ind w:left="1460" w:right="380" w:hanging="480"/>
        <w:spacing w:after="0" w:line="291" w:lineRule="auto"/>
        <w:tabs>
          <w:tab w:leader="none" w:pos="1458"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5" w:lineRule="exact"/>
        <w:rPr>
          <w:rFonts w:ascii="Arial" w:cs="Arial" w:eastAsia="Arial" w:hAnsi="Arial"/>
          <w:sz w:val="17"/>
          <w:szCs w:val="17"/>
          <w:color w:val="auto"/>
        </w:rPr>
      </w:pPr>
    </w:p>
    <w:p>
      <w:pPr>
        <w:jc w:val="both"/>
        <w:ind w:left="1460" w:right="180" w:hanging="480"/>
        <w:spacing w:after="0" w:line="268" w:lineRule="auto"/>
        <w:tabs>
          <w:tab w:leader="none" w:pos="1448"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89" w:lineRule="exact"/>
        <w:rPr>
          <w:rFonts w:ascii="Arial" w:cs="Arial" w:eastAsia="Arial" w:hAnsi="Arial"/>
          <w:sz w:val="18"/>
          <w:szCs w:val="18"/>
          <w:color w:val="auto"/>
        </w:rPr>
      </w:pPr>
    </w:p>
    <w:p>
      <w:pPr>
        <w:ind w:left="1460" w:right="60" w:hanging="480"/>
        <w:spacing w:after="0" w:line="262" w:lineRule="auto"/>
        <w:tabs>
          <w:tab w:leader="none" w:pos="145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sz w:val="20"/>
          <w:szCs w:val="20"/>
          <w:color w:val="auto"/>
        </w:rPr>
      </w:pPr>
    </w:p>
    <w:p>
      <w:pPr>
        <w:ind w:left="660" w:right="280" w:hanging="652"/>
        <w:spacing w:after="0" w:line="268" w:lineRule="auto"/>
        <w:tabs>
          <w:tab w:leader="none" w:pos="6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rFonts w:ascii="Arial" w:cs="Arial" w:eastAsia="Arial" w:hAnsi="Arial"/>
          <w:sz w:val="18"/>
          <w:szCs w:val="18"/>
          <w:color w:val="auto"/>
        </w:rPr>
      </w:pPr>
    </w:p>
    <w:p>
      <w:pPr>
        <w:jc w:val="both"/>
        <w:ind w:left="1460" w:right="260" w:hanging="480"/>
        <w:spacing w:after="0" w:line="268" w:lineRule="auto"/>
        <w:tabs>
          <w:tab w:leader="none" w:pos="145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460" w:right="640" w:hanging="480"/>
        <w:spacing w:after="0" w:line="287" w:lineRule="auto"/>
        <w:tabs>
          <w:tab w:leader="none" w:pos="145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2023</w:t>
      </w:r>
    </w:p>
    <w:p>
      <w:pPr>
        <w:spacing w:after="0" w:line="19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17780</wp:posOffset>
            </wp:positionV>
            <wp:extent cx="33172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Kevin D. Mowbray</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079"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Timothy R. Millage, certify that:</w:t>
      </w:r>
    </w:p>
    <w:p>
      <w:pPr>
        <w:spacing w:after="0" w:line="158" w:lineRule="exact"/>
        <w:rPr>
          <w:sz w:val="20"/>
          <w:szCs w:val="20"/>
          <w:color w:val="auto"/>
        </w:rPr>
      </w:pPr>
    </w:p>
    <w:p>
      <w:pPr>
        <w:ind w:left="480" w:hanging="472"/>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44" w:lineRule="exact"/>
        <w:rPr>
          <w:sz w:val="20"/>
          <w:szCs w:val="20"/>
          <w:color w:val="auto"/>
        </w:rPr>
      </w:pPr>
    </w:p>
    <w:p>
      <w:pPr>
        <w:ind w:left="500" w:right="120" w:hanging="492"/>
        <w:spacing w:after="0" w:line="268" w:lineRule="auto"/>
        <w:tabs>
          <w:tab w:leader="none" w:pos="492"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03" w:lineRule="exact"/>
        <w:rPr>
          <w:sz w:val="20"/>
          <w:szCs w:val="20"/>
          <w:color w:val="auto"/>
        </w:rPr>
      </w:pPr>
    </w:p>
    <w:p>
      <w:pPr>
        <w:ind w:left="500" w:right="320" w:hanging="492"/>
        <w:spacing w:after="0" w:line="268" w:lineRule="auto"/>
        <w:tabs>
          <w:tab w:leader="none" w:pos="492"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03" w:lineRule="exact"/>
        <w:rPr>
          <w:sz w:val="20"/>
          <w:szCs w:val="20"/>
          <w:color w:val="auto"/>
        </w:rPr>
      </w:pPr>
    </w:p>
    <w:p>
      <w:pPr>
        <w:ind w:left="500" w:right="240" w:hanging="492"/>
        <w:spacing w:after="0" w:line="268" w:lineRule="auto"/>
        <w:tabs>
          <w:tab w:leader="none" w:pos="49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1460" w:right="60" w:hanging="480"/>
        <w:spacing w:after="0" w:line="262" w:lineRule="auto"/>
        <w:tabs>
          <w:tab w:leader="none" w:pos="145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08" w:lineRule="exact"/>
        <w:rPr>
          <w:rFonts w:ascii="Arial" w:cs="Arial" w:eastAsia="Arial" w:hAnsi="Arial"/>
          <w:sz w:val="18"/>
          <w:szCs w:val="18"/>
          <w:color w:val="auto"/>
        </w:rPr>
      </w:pPr>
    </w:p>
    <w:p>
      <w:pPr>
        <w:ind w:left="1460" w:right="380" w:hanging="480"/>
        <w:spacing w:after="0" w:line="291" w:lineRule="auto"/>
        <w:tabs>
          <w:tab w:leader="none" w:pos="1458"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5" w:lineRule="exact"/>
        <w:rPr>
          <w:rFonts w:ascii="Arial" w:cs="Arial" w:eastAsia="Arial" w:hAnsi="Arial"/>
          <w:sz w:val="17"/>
          <w:szCs w:val="17"/>
          <w:color w:val="auto"/>
        </w:rPr>
      </w:pPr>
    </w:p>
    <w:p>
      <w:pPr>
        <w:jc w:val="both"/>
        <w:ind w:left="1460" w:right="180" w:hanging="480"/>
        <w:spacing w:after="0" w:line="268" w:lineRule="auto"/>
        <w:tabs>
          <w:tab w:leader="none" w:pos="1448"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89" w:lineRule="exact"/>
        <w:rPr>
          <w:rFonts w:ascii="Arial" w:cs="Arial" w:eastAsia="Arial" w:hAnsi="Arial"/>
          <w:sz w:val="18"/>
          <w:szCs w:val="18"/>
          <w:color w:val="auto"/>
        </w:rPr>
      </w:pPr>
    </w:p>
    <w:p>
      <w:pPr>
        <w:ind w:left="1460" w:right="60" w:hanging="480"/>
        <w:spacing w:after="0" w:line="262" w:lineRule="auto"/>
        <w:tabs>
          <w:tab w:leader="none" w:pos="145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sz w:val="20"/>
          <w:szCs w:val="20"/>
          <w:color w:val="auto"/>
        </w:rPr>
      </w:pPr>
    </w:p>
    <w:p>
      <w:pPr>
        <w:ind w:left="660" w:right="280" w:hanging="652"/>
        <w:spacing w:after="0" w:line="268" w:lineRule="auto"/>
        <w:tabs>
          <w:tab w:leader="none" w:pos="6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rFonts w:ascii="Arial" w:cs="Arial" w:eastAsia="Arial" w:hAnsi="Arial"/>
          <w:sz w:val="18"/>
          <w:szCs w:val="18"/>
          <w:color w:val="auto"/>
        </w:rPr>
      </w:pPr>
    </w:p>
    <w:p>
      <w:pPr>
        <w:jc w:val="both"/>
        <w:ind w:left="1460" w:right="260" w:hanging="480"/>
        <w:spacing w:after="0" w:line="268" w:lineRule="auto"/>
        <w:tabs>
          <w:tab w:leader="none" w:pos="145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460" w:right="640" w:hanging="480"/>
        <w:spacing w:after="0" w:line="287" w:lineRule="auto"/>
        <w:tabs>
          <w:tab w:leader="none" w:pos="145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2023</w:t>
      </w:r>
    </w:p>
    <w:p>
      <w:pPr>
        <w:spacing w:after="0" w:line="19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17780</wp:posOffset>
            </wp:positionV>
            <wp:extent cx="38144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Timothy R. Millage</w:t>
      </w:r>
    </w:p>
    <w:p>
      <w:pPr>
        <w:spacing w:after="0" w:line="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40"/>
          </w:cols>
          <w:pgMar w:left="320" w:top="1079" w:right="339" w:bottom="1440" w:gutter="0" w:footer="0" w:header="0"/>
        </w:sectPr>
      </w:pPr>
    </w:p>
    <w:bookmarkStart w:id="25" w:name="page26"/>
    <w:bookmarkEnd w:id="25"/>
    <w:p>
      <w:pPr>
        <w:ind w:left="10240"/>
        <w:spacing w:after="0"/>
        <w:rPr>
          <w:sz w:val="20"/>
          <w:szCs w:val="20"/>
          <w:color w:val="auto"/>
        </w:rPr>
      </w:pPr>
      <w:r>
        <w:rPr>
          <w:rFonts w:ascii="Arial" w:cs="Arial" w:eastAsia="Arial" w:hAnsi="Arial"/>
          <w:sz w:val="17"/>
          <w:szCs w:val="17"/>
          <w:b w:val="1"/>
          <w:bCs w:val="1"/>
          <w:color w:val="auto"/>
        </w:rPr>
        <w:t>Exhibit 32.1</w:t>
      </w:r>
    </w:p>
    <w:p>
      <w:pPr>
        <w:spacing w:after="0" w:line="210" w:lineRule="exact"/>
        <w:rPr>
          <w:sz w:val="20"/>
          <w:szCs w:val="20"/>
          <w:color w:val="auto"/>
        </w:rPr>
      </w:pPr>
    </w:p>
    <w:p>
      <w:pPr>
        <w:ind w:right="160"/>
        <w:spacing w:after="0" w:line="318"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 accordance with the requirements of Section 906 of the Sarbanes-Oxley Act of 2002 (18 U.S.C. 1350), the undersigned hereby certifies that to his knowledge:</w:t>
      </w:r>
    </w:p>
    <w:p>
      <w:pPr>
        <w:spacing w:after="0" w:line="112" w:lineRule="exact"/>
        <w:rPr>
          <w:sz w:val="20"/>
          <w:szCs w:val="20"/>
          <w:color w:val="auto"/>
        </w:rPr>
      </w:pPr>
    </w:p>
    <w:p>
      <w:pPr>
        <w:ind w:left="500" w:right="120" w:hanging="492"/>
        <w:spacing w:after="0" w:line="287" w:lineRule="auto"/>
        <w:tabs>
          <w:tab w:leader="none" w:pos="4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December 25, 2022 ("Quarterly Report"), fully complies with the requirements of section 13(a) or 15(d) of the Securities Exchange Act of 1934 (15 U.S.C. 78m or 78o(d)); and</w:t>
      </w:r>
    </w:p>
    <w:p>
      <w:pPr>
        <w:spacing w:after="0" w:line="125" w:lineRule="exact"/>
        <w:rPr>
          <w:rFonts w:ascii="Arial" w:cs="Arial" w:eastAsia="Arial" w:hAnsi="Arial"/>
          <w:sz w:val="18"/>
          <w:szCs w:val="18"/>
          <w:color w:val="auto"/>
        </w:rPr>
      </w:pPr>
    </w:p>
    <w:p>
      <w:pPr>
        <w:ind w:left="500" w:right="800" w:hanging="492"/>
        <w:spacing w:after="0" w:line="287" w:lineRule="auto"/>
        <w:tabs>
          <w:tab w:leader="none" w:pos="49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2023</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8144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D. Mowbray</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7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p>
      <w:pPr>
        <w:sectPr>
          <w:pgSz w:w="11900" w:h="16838" w:orient="portrait"/>
          <w:cols w:equalWidth="0" w:num="1">
            <w:col w:w="11240"/>
          </w:cols>
          <w:pgMar w:left="320" w:top="1106" w:right="339" w:bottom="1440" w:gutter="0" w:footer="0" w:header="0"/>
        </w:sectPr>
      </w:pPr>
    </w:p>
    <w:bookmarkStart w:id="26" w:name="page27"/>
    <w:bookmarkEnd w:id="26"/>
    <w:p>
      <w:pPr>
        <w:ind w:left="10240"/>
        <w:spacing w:after="0"/>
        <w:rPr>
          <w:sz w:val="20"/>
          <w:szCs w:val="20"/>
          <w:color w:val="auto"/>
        </w:rPr>
      </w:pPr>
      <w:r>
        <w:rPr>
          <w:rFonts w:ascii="Arial" w:cs="Arial" w:eastAsia="Arial" w:hAnsi="Arial"/>
          <w:sz w:val="17"/>
          <w:szCs w:val="17"/>
          <w:b w:val="1"/>
          <w:bCs w:val="1"/>
          <w:color w:val="auto"/>
        </w:rPr>
        <w:t>Exhibit 32.2</w:t>
      </w:r>
    </w:p>
    <w:p>
      <w:pPr>
        <w:spacing w:after="0" w:line="210" w:lineRule="exact"/>
        <w:rPr>
          <w:sz w:val="20"/>
          <w:szCs w:val="20"/>
          <w:color w:val="auto"/>
        </w:rPr>
      </w:pPr>
    </w:p>
    <w:p>
      <w:pPr>
        <w:ind w:right="160"/>
        <w:spacing w:after="0" w:line="318"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 accordance with the requirements of Section 906 of the Sarbanes-Oxley Act of 2002 (18 U.S.C. 1350), the undersigned hereby certifies that to his knowledge:</w:t>
      </w:r>
    </w:p>
    <w:p>
      <w:pPr>
        <w:spacing w:after="0" w:line="112" w:lineRule="exact"/>
        <w:rPr>
          <w:sz w:val="20"/>
          <w:szCs w:val="20"/>
          <w:color w:val="auto"/>
        </w:rPr>
      </w:pPr>
    </w:p>
    <w:p>
      <w:pPr>
        <w:ind w:left="500" w:right="120" w:hanging="492"/>
        <w:spacing w:after="0" w:line="287" w:lineRule="auto"/>
        <w:tabs>
          <w:tab w:leader="none" w:pos="49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December 25, 2022 ("Quarterly Report"), fully complies with the requirements of section 13(a) or 15(d) of the Securities Exchange Act of 1934 (15 U.S.C. 78m or 78o(d)); and</w:t>
      </w:r>
    </w:p>
    <w:p>
      <w:pPr>
        <w:spacing w:after="0" w:line="125" w:lineRule="exact"/>
        <w:rPr>
          <w:rFonts w:ascii="Arial" w:cs="Arial" w:eastAsia="Arial" w:hAnsi="Arial"/>
          <w:sz w:val="18"/>
          <w:szCs w:val="18"/>
          <w:color w:val="auto"/>
        </w:rPr>
      </w:pPr>
    </w:p>
    <w:p>
      <w:pPr>
        <w:ind w:left="500" w:right="800" w:hanging="492"/>
        <w:spacing w:after="0" w:line="287" w:lineRule="auto"/>
        <w:tabs>
          <w:tab w:leader="none" w:pos="49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2023</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8144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Timothy R. Millage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Chief Financial Officer and Treasurer</w:t>
      </w:r>
    </w:p>
    <w:p>
      <w:pPr>
        <w:spacing w:after="0" w:line="29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sectPr>
      <w:pgSz w:w="11900" w:h="16838" w:orient="portrait"/>
      <w:cols w:equalWidth="0" w:num="1">
        <w:col w:w="11240"/>
      </w:cols>
      <w:pgMar w:left="320" w:top="11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bullet"/>
      <w:start w:val="1"/>
    </w:lvl>
  </w:abstractNum>
  <w:abstractNum w:abstractNumId="2">
    <w:nsid w:val="7FDCC233"/>
    <w:multiLevelType w:val="hybridMultilevel"/>
    <w:lvl w:ilvl="0">
      <w:lvlJc w:val="left"/>
      <w:lvlText w:val="2"/>
      <w:numFmt w:val="bullet"/>
      <w:start w:val="1"/>
    </w:lvl>
  </w:abstractNum>
  <w:abstractNum w:abstractNumId="3">
    <w:nsid w:val="1BEFD79F"/>
    <w:multiLevelType w:val="hybridMultilevel"/>
    <w:lvl w:ilvl="0">
      <w:lvlJc w:val="left"/>
      <w:lvlText w:val="3"/>
      <w:numFmt w:val="bullet"/>
      <w:start w:val="1"/>
    </w:lvl>
  </w:abstractNum>
  <w:abstractNum w:abstractNumId="4">
    <w:nsid w:val="41A7C4C9"/>
    <w:multiLevelType w:val="hybridMultilevel"/>
    <w:lvl w:ilvl="0">
      <w:lvlJc w:val="left"/>
      <w:lvlText w:val="5"/>
      <w:numFmt w:val="bullet"/>
      <w:start w:val="1"/>
    </w:lvl>
  </w:abstractNum>
  <w:abstractNum w:abstractNumId="5">
    <w:nsid w:val="6B68079A"/>
    <w:multiLevelType w:val="hybridMultilevel"/>
    <w:lvl w:ilvl="0">
      <w:lvlJc w:val="left"/>
      <w:lvlText w:val="6"/>
      <w:numFmt w:val="bullet"/>
      <w:start w:val="1"/>
    </w:lvl>
  </w:abstractNum>
  <w:abstractNum w:abstractNumId="6">
    <w:nsid w:val="4E6AFB66"/>
    <w:multiLevelType w:val="hybridMultilevel"/>
    <w:lvl w:ilvl="0">
      <w:lvlJc w:val="left"/>
      <w:lvlText w:val="7"/>
      <w:numFmt w:val="bullet"/>
      <w:start w:val="1"/>
    </w:lvl>
  </w:abstractNum>
  <w:abstractNum w:abstractNumId="7">
    <w:nsid w:val="25E45D32"/>
    <w:multiLevelType w:val="hybridMultilevel"/>
    <w:lvl w:ilvl="0">
      <w:lvlJc w:val="left"/>
      <w:lvlText w:val="8"/>
      <w:numFmt w:val="bullet"/>
      <w:start w:val="1"/>
    </w:lvl>
  </w:abstractNum>
  <w:abstractNum w:abstractNumId="8">
    <w:nsid w:val="519B500D"/>
    <w:multiLevelType w:val="hybridMultilevel"/>
    <w:lvl w:ilvl="0">
      <w:lvlJc w:val="left"/>
      <w:lvlText w:val="9"/>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bullet"/>
      <w:start w:val="1"/>
    </w:lvl>
  </w:abstractNum>
  <w:abstractNum w:abstractNumId="15">
    <w:nsid w:val="628C895D"/>
    <w:multiLevelType w:val="hybridMultilevel"/>
    <w:lvl w:ilvl="0">
      <w:lvlJc w:val="left"/>
      <w:lvlText w:val="2"/>
      <w:numFmt w:val="bullet"/>
      <w:start w:val="1"/>
    </w:lvl>
  </w:abstractNum>
  <w:abstractNum w:abstractNumId="16">
    <w:nsid w:val="333AB105"/>
    <w:multiLevelType w:val="hybridMultilevel"/>
    <w:lvl w:ilvl="0">
      <w:lvlJc w:val="left"/>
      <w:lvlText w:val="3"/>
      <w:numFmt w:val="bullet"/>
      <w:start w:val="1"/>
    </w:lvl>
  </w:abstractNum>
  <w:abstractNum w:abstractNumId="17">
    <w:nsid w:val="721DA317"/>
    <w:multiLevelType w:val="hybridMultilevel"/>
    <w:lvl w:ilvl="0">
      <w:lvlJc w:val="left"/>
      <w:lvlText w:val="4"/>
      <w:numFmt w:val="bullet"/>
      <w:start w:val="1"/>
    </w:lvl>
    <w:lvl w:ilvl="1">
      <w:lvlJc w:val="left"/>
      <w:lvlText w:val="%2)"/>
      <w:numFmt w:val="lowerLetter"/>
      <w:start w:val="1"/>
    </w:lvl>
  </w:abstractNum>
  <w:abstractNum w:abstractNumId="18">
    <w:nsid w:val="2443A858"/>
    <w:multiLevelType w:val="hybridMultilevel"/>
    <w:lvl w:ilvl="0">
      <w:lvlJc w:val="left"/>
      <w:lvlText w:val="5"/>
      <w:numFmt w:val="bullet"/>
      <w:start w:val="1"/>
    </w:lvl>
    <w:lvl w:ilvl="1">
      <w:lvlJc w:val="left"/>
      <w:lvlText w:val="%2)"/>
      <w:numFmt w:val="lowerLetter"/>
      <w:start w:val="1"/>
    </w:lvl>
  </w:abstractNum>
  <w:abstractNum w:abstractNumId="19">
    <w:nsid w:val="2D1D5AE9"/>
    <w:multiLevelType w:val="hybridMultilevel"/>
    <w:lvl w:ilvl="0">
      <w:lvlJc w:val="left"/>
      <w:lvlText w:val="1"/>
      <w:numFmt w:val="bullet"/>
      <w:start w:val="1"/>
    </w:lvl>
  </w:abstractNum>
  <w:abstractNum w:abstractNumId="20">
    <w:nsid w:val="6763845E"/>
    <w:multiLevelType w:val="hybridMultilevel"/>
    <w:lvl w:ilvl="0">
      <w:lvlJc w:val="left"/>
      <w:lvlText w:val="2"/>
      <w:numFmt w:val="bullet"/>
      <w:start w:val="1"/>
    </w:lvl>
  </w:abstractNum>
  <w:abstractNum w:abstractNumId="21">
    <w:nsid w:val="75A2A8D4"/>
    <w:multiLevelType w:val="hybridMultilevel"/>
    <w:lvl w:ilvl="0">
      <w:lvlJc w:val="left"/>
      <w:lvlText w:val="3"/>
      <w:numFmt w:val="bullet"/>
      <w:start w:val="1"/>
    </w:lvl>
  </w:abstractNum>
  <w:abstractNum w:abstractNumId="22">
    <w:nsid w:val="8EDBDAB"/>
    <w:multiLevelType w:val="hybridMultilevel"/>
    <w:lvl w:ilvl="0">
      <w:lvlJc w:val="left"/>
      <w:lvlText w:val="4"/>
      <w:numFmt w:val="bullet"/>
      <w:start w:val="1"/>
    </w:lvl>
    <w:lvl w:ilvl="1">
      <w:lvlJc w:val="left"/>
      <w:lvlText w:val="%2)"/>
      <w:numFmt w:val="lowerLetter"/>
      <w:start w:val="1"/>
    </w:lvl>
  </w:abstractNum>
  <w:abstractNum w:abstractNumId="23">
    <w:nsid w:val="79838CB2"/>
    <w:multiLevelType w:val="hybridMultilevel"/>
    <w:lvl w:ilvl="0">
      <w:lvlJc w:val="left"/>
      <w:lvlText w:val="5"/>
      <w:numFmt w:val="bullet"/>
      <w:start w:val="1"/>
    </w:lvl>
    <w:lvl w:ilvl="1">
      <w:lvlJc w:val="left"/>
      <w:lvlText w:val="%2)"/>
      <w:numFmt w:val="lowerLetter"/>
      <w:start w:val="1"/>
    </w:lvl>
  </w:abstractNum>
  <w:abstractNum w:abstractNumId="24">
    <w:nsid w:val="4353D0CD"/>
    <w:multiLevelType w:val="hybridMultilevel"/>
    <w:lvl w:ilvl="0">
      <w:lvlJc w:val="left"/>
      <w:lvlText w:val="(%1)"/>
      <w:numFmt w:val="lowerRoman"/>
      <w:start w:val="1"/>
    </w:lvl>
  </w:abstractNum>
  <w:abstractNum w:abstractNumId="25">
    <w:nsid w:val="B03E0C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2023-03-02T17:36:33Z</dcterms:created>
  <dcterms:modified xsi:type="dcterms:W3CDTF">2023-03-02T17:36:33Z</dcterms:modified>
</cp:coreProperties>
</file>