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pPr>
      <w:r>
        <w:rPr/>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spacing w:lineRule="auto" w:line="288" w:before="0" w:after="0"/>
        <w:rPr/>
      </w:pPr>
      <w:hyperlink w:anchor="if2be3f6b64cd442893998ecc8d87de53_7">
        <w:r>
          <w:rPr>
            <w:rStyle w:val="InternetLink"/>
            <w:rFonts w:ascii="Times New Roman;sans-serif" w:hAnsi="Times New Roman;sans-serif"/>
            <w:b w:val="false"/>
            <w:color w:val="0000FF"/>
            <w:sz w:val="20"/>
            <w:u w:val="single"/>
          </w:rPr>
          <w:t>Table of Contents</w:t>
        </w:r>
      </w:hyperlink>
    </w:p>
    <w:p>
      <w:pPr>
        <w:pStyle w:val="TextBody"/>
        <w:spacing w:lineRule="auto" w:line="288" w:before="120" w:after="283"/>
        <w:jc w:val="center"/>
        <w:rPr>
          <w:rFonts w:ascii="Arial;sans-serif" w:hAnsi="Arial;sans-serif"/>
          <w:b w:val="false"/>
          <w:color w:val="000000"/>
          <w:sz w:val="20"/>
        </w:rPr>
      </w:pPr>
      <w:r>
        <w:rPr>
          <w:rFonts w:ascii="Arial;sans-serif" w:hAnsi="Arial;sans-serif"/>
          <w:b w:val="false"/>
          <w:color w:val="000000"/>
          <w:sz w:val="20"/>
        </w:rPr>
        <w:t>UNITED STATES SECURITIES AND EXCHANGE COMMISSION</w:t>
      </w:r>
    </w:p>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Washington, D.C. 20549</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FORM 10-Q</w:t>
      </w:r>
    </w:p>
    <w:p>
      <w:pPr>
        <w:pStyle w:val="TextBody"/>
        <w:spacing w:lineRule="auto" w:line="288" w:before="120" w:after="283"/>
        <w:jc w:val="center"/>
        <w:rPr/>
      </w:pPr>
      <w:r>
        <w:rPr>
          <w:rFonts w:ascii="Wingdings;sans-serif" w:hAnsi="Wingdings;sans-serif"/>
          <w:b w:val="false"/>
          <w:color w:val="000000"/>
          <w:sz w:val="20"/>
        </w:rPr>
        <w:t>x</w:t>
      </w:r>
      <w:r>
        <w:rPr>
          <w:color w:val="000000"/>
        </w:rPr>
        <w:t xml:space="preserve"> </w:t>
      </w:r>
      <w:r>
        <w:rPr>
          <w:rFonts w:ascii="Arial;sans-serif" w:hAnsi="Arial;sans-serif"/>
          <w:b w:val="false"/>
          <w:color w:val="000000"/>
          <w:sz w:val="20"/>
        </w:rPr>
        <w:t>QUARTERLY REPORT PURSUANT TO SECTION 13 OR 15(d) OF THE</w:t>
      </w:r>
    </w:p>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SECURITIES EXCHANGE ACT OF 1934</w:t>
      </w:r>
    </w:p>
    <w:p>
      <w:pPr>
        <w:pStyle w:val="TextBody"/>
        <w:spacing w:lineRule="auto" w:line="288" w:before="120" w:after="283"/>
        <w:jc w:val="center"/>
        <w:rPr>
          <w:rFonts w:ascii="Arial;sans-serif" w:hAnsi="Arial;sans-serif"/>
          <w:b/>
          <w:color w:val="000000"/>
          <w:sz w:val="20"/>
        </w:rPr>
      </w:pPr>
      <w:r>
        <w:rPr>
          <w:rFonts w:ascii="Arial;sans-serif" w:hAnsi="Arial;sans-serif"/>
          <w:b/>
          <w:color w:val="000000"/>
          <w:sz w:val="20"/>
        </w:rPr>
        <w:t>For The Quarterly Period Ended March 26, 2023</w:t>
      </w:r>
    </w:p>
    <w:p>
      <w:pPr>
        <w:pStyle w:val="TextBody"/>
        <w:spacing w:lineRule="auto" w:line="288" w:before="120" w:after="283"/>
        <w:jc w:val="center"/>
        <w:rPr>
          <w:rFonts w:ascii="Arial;sans-serif" w:hAnsi="Arial;sans-serif"/>
          <w:b w:val="false"/>
          <w:color w:val="000000"/>
          <w:sz w:val="20"/>
        </w:rPr>
      </w:pPr>
      <w:r>
        <w:rPr>
          <w:rFonts w:ascii="Arial;sans-serif" w:hAnsi="Arial;sans-serif"/>
          <w:b w:val="false"/>
          <w:color w:val="000000"/>
          <w:sz w:val="20"/>
        </w:rPr>
        <w:t>OR</w:t>
      </w:r>
    </w:p>
    <w:p>
      <w:pPr>
        <w:pStyle w:val="TextBody"/>
        <w:spacing w:lineRule="auto" w:line="288" w:before="120" w:after="283"/>
        <w:jc w:val="center"/>
        <w:rPr/>
      </w:pPr>
      <w:r>
        <w:rPr>
          <w:rFonts w:ascii="Wingdings;sans-serif" w:hAnsi="Wingdings;sans-serif"/>
          <w:b w:val="false"/>
          <w:color w:val="000000"/>
          <w:sz w:val="20"/>
        </w:rPr>
        <w:t>o</w:t>
      </w:r>
      <w:r>
        <w:rPr>
          <w:color w:val="000000"/>
        </w:rPr>
        <w:t xml:space="preserve"> </w:t>
      </w:r>
      <w:r>
        <w:rPr>
          <w:rFonts w:ascii="Arial;sans-serif" w:hAnsi="Arial;sans-serif"/>
          <w:b w:val="false"/>
          <w:color w:val="000000"/>
          <w:sz w:val="20"/>
        </w:rPr>
        <w:t>TRANSITION REPORT PURSUANT TO SECTION 13 OR 15(d) OF THE</w:t>
      </w:r>
    </w:p>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SECURITIES EXCHANGE ACT OF 1934</w:t>
      </w:r>
    </w:p>
    <w:p>
      <w:pPr>
        <w:pStyle w:val="TextBody"/>
        <w:spacing w:lineRule="auto" w:line="288" w:before="120" w:after="283"/>
        <w:jc w:val="center"/>
        <w:rPr>
          <w:rFonts w:ascii="Arial;sans-serif" w:hAnsi="Arial;sans-serif"/>
          <w:b w:val="false"/>
          <w:color w:val="000000"/>
          <w:sz w:val="20"/>
        </w:rPr>
      </w:pPr>
      <w:r>
        <w:rPr>
          <w:rFonts w:ascii="Arial;sans-serif" w:hAnsi="Arial;sans-serif"/>
          <w:b w:val="false"/>
          <w:color w:val="000000"/>
          <w:sz w:val="20"/>
        </w:rPr>
        <w:t>Commission File Number 1-6227</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LEE ENTERPRISES, INCORPORATED</w:t>
      </w:r>
    </w:p>
    <w:p>
      <w:pPr>
        <w:pStyle w:val="TextBody"/>
        <w:spacing w:lineRule="auto" w:line="288" w:before="120" w:after="283"/>
        <w:jc w:val="center"/>
        <w:rPr>
          <w:rFonts w:ascii="Arial;sans-serif" w:hAnsi="Arial;sans-serif"/>
          <w:b/>
          <w:color w:val="000000"/>
          <w:sz w:val="20"/>
        </w:rPr>
      </w:pPr>
      <w:r>
        <w:rPr>
          <w:rFonts w:ascii="Arial;sans-serif" w:hAnsi="Arial;sans-serif"/>
          <w:b/>
          <w:color w:val="000000"/>
          <w:sz w:val="20"/>
        </w:rPr>
        <w:t xml:space="preserve">(Exact name of Registrant as specified in its Charter) </w:t>
      </w:r>
    </w:p>
    <w:tbl>
      <w:tblPr>
        <w:tblW w:w="8054" w:type="dxa"/>
        <w:jc w:val="left"/>
        <w:tblInd w:w="0" w:type="dxa"/>
        <w:tblCellMar>
          <w:top w:w="28" w:type="dxa"/>
          <w:left w:w="28" w:type="dxa"/>
          <w:bottom w:w="28" w:type="dxa"/>
          <w:right w:w="28" w:type="dxa"/>
        </w:tblCellMar>
      </w:tblPr>
      <w:tblGrid>
        <w:gridCol w:w="1760"/>
        <w:gridCol w:w="1544"/>
        <w:gridCol w:w="1556"/>
        <w:gridCol w:w="932"/>
        <w:gridCol w:w="932"/>
        <w:gridCol w:w="1330"/>
      </w:tblGrid>
      <w:tr>
        <w:trPr/>
        <w:tc>
          <w:tcPr>
            <w:tcW w:w="1760" w:type="dxa"/>
            <w:tcBorders/>
            <w:shd w:fill="auto" w:val="clear"/>
            <w:vAlign w:val="center"/>
          </w:tcPr>
          <w:p>
            <w:pPr>
              <w:pStyle w:val="TableContents"/>
              <w:spacing w:before="0" w:after="283"/>
              <w:rPr>
                <w:sz w:val="4"/>
                <w:szCs w:val="4"/>
              </w:rPr>
            </w:pPr>
            <w:r>
              <w:rPr>
                <w:sz w:val="4"/>
                <w:szCs w:val="4"/>
              </w:rPr>
            </w:r>
          </w:p>
        </w:tc>
        <w:tc>
          <w:tcPr>
            <w:tcW w:w="1544" w:type="dxa"/>
            <w:tcBorders/>
            <w:shd w:fill="auto" w:val="clear"/>
            <w:vAlign w:val="center"/>
          </w:tcPr>
          <w:p>
            <w:pPr>
              <w:pStyle w:val="TableContents"/>
              <w:spacing w:before="0" w:after="283"/>
              <w:rPr>
                <w:sz w:val="4"/>
                <w:szCs w:val="4"/>
              </w:rPr>
            </w:pPr>
            <w:r>
              <w:rPr>
                <w:sz w:val="4"/>
                <w:szCs w:val="4"/>
              </w:rPr>
            </w:r>
          </w:p>
        </w:tc>
        <w:tc>
          <w:tcPr>
            <w:tcW w:w="1556" w:type="dxa"/>
            <w:tcBorders/>
            <w:shd w:fill="auto" w:val="clear"/>
            <w:vAlign w:val="center"/>
          </w:tcPr>
          <w:p>
            <w:pPr>
              <w:pStyle w:val="TableContents"/>
              <w:spacing w:before="0" w:after="283"/>
              <w:rPr>
                <w:sz w:val="4"/>
                <w:szCs w:val="4"/>
              </w:rPr>
            </w:pPr>
            <w:r>
              <w:rPr>
                <w:sz w:val="4"/>
                <w:szCs w:val="4"/>
              </w:rPr>
            </w:r>
          </w:p>
        </w:tc>
        <w:tc>
          <w:tcPr>
            <w:tcW w:w="932" w:type="dxa"/>
            <w:tcBorders/>
            <w:shd w:fill="auto" w:val="clear"/>
            <w:vAlign w:val="center"/>
          </w:tcPr>
          <w:p>
            <w:pPr>
              <w:pStyle w:val="TableContents"/>
              <w:spacing w:before="0" w:after="283"/>
              <w:rPr>
                <w:sz w:val="4"/>
                <w:szCs w:val="4"/>
              </w:rPr>
            </w:pPr>
            <w:r>
              <w:rPr>
                <w:sz w:val="4"/>
                <w:szCs w:val="4"/>
              </w:rPr>
            </w:r>
          </w:p>
        </w:tc>
        <w:tc>
          <w:tcPr>
            <w:tcW w:w="932" w:type="dxa"/>
            <w:tcBorders/>
            <w:shd w:fill="auto" w:val="clear"/>
            <w:vAlign w:val="center"/>
          </w:tcPr>
          <w:p>
            <w:pPr>
              <w:pStyle w:val="TableContents"/>
              <w:spacing w:before="0" w:after="283"/>
              <w:rPr>
                <w:sz w:val="4"/>
                <w:szCs w:val="4"/>
              </w:rPr>
            </w:pPr>
            <w:r>
              <w:rPr>
                <w:sz w:val="4"/>
                <w:szCs w:val="4"/>
              </w:rPr>
            </w:r>
          </w:p>
        </w:tc>
        <w:tc>
          <w:tcPr>
            <w:tcW w:w="1330" w:type="dxa"/>
            <w:tcBorders/>
            <w:shd w:fill="auto" w:val="clear"/>
            <w:vAlign w:val="center"/>
          </w:tcPr>
          <w:p>
            <w:pPr>
              <w:pStyle w:val="TableContents"/>
              <w:spacing w:before="0" w:after="283"/>
              <w:rPr>
                <w:sz w:val="4"/>
                <w:szCs w:val="4"/>
              </w:rPr>
            </w:pPr>
            <w:r>
              <w:rPr>
                <w:sz w:val="4"/>
                <w:szCs w:val="4"/>
              </w:rPr>
            </w:r>
          </w:p>
        </w:tc>
      </w:tr>
      <w:tr>
        <w:trPr/>
        <w:tc>
          <w:tcPr>
            <w:tcW w:w="486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Delaware</w:t>
            </w:r>
          </w:p>
        </w:tc>
        <w:tc>
          <w:tcPr>
            <w:tcW w:w="319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42-0823980</w:t>
            </w:r>
          </w:p>
        </w:tc>
      </w:tr>
      <w:tr>
        <w:trPr/>
        <w:tc>
          <w:tcPr>
            <w:tcW w:w="486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(State or other jurisdiction of Company or organization)</w:t>
            </w:r>
          </w:p>
        </w:tc>
        <w:tc>
          <w:tcPr>
            <w:tcW w:w="319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(I.R.S. Employer Identification No.)</w:t>
            </w:r>
          </w:p>
        </w:tc>
      </w:tr>
    </w:tbl>
    <w:p>
      <w:pPr>
        <w:pStyle w:val="TextBody"/>
        <w:spacing w:lineRule="auto" w:line="288" w:before="120" w:after="283"/>
        <w:jc w:val="center"/>
        <w:rPr>
          <w:rFonts w:ascii="Arial;sans-serif" w:hAnsi="Arial;sans-serif"/>
          <w:b w:val="false"/>
          <w:color w:val="000000"/>
          <w:sz w:val="20"/>
        </w:rPr>
      </w:pPr>
      <w:r>
        <w:rPr>
          <w:rFonts w:ascii="Arial;sans-serif" w:hAnsi="Arial;sans-serif"/>
          <w:b w:val="false"/>
          <w:color w:val="000000"/>
          <w:sz w:val="20"/>
        </w:rPr>
        <w:t>4600 E. 53rd Street, Davenport, Iowa 52807</w:t>
      </w:r>
    </w:p>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(Address of principal executive offices)</w:t>
      </w:r>
    </w:p>
    <w:p>
      <w:pPr>
        <w:pStyle w:val="TextBody"/>
        <w:spacing w:lineRule="auto" w:line="288" w:before="120" w:after="283"/>
        <w:jc w:val="center"/>
        <w:rPr>
          <w:rFonts w:ascii="Arial;sans-serif" w:hAnsi="Arial;sans-serif"/>
          <w:b w:val="false"/>
          <w:color w:val="000000"/>
          <w:sz w:val="20"/>
        </w:rPr>
      </w:pPr>
      <w:r>
        <w:rPr>
          <w:rFonts w:ascii="Arial;sans-serif" w:hAnsi="Arial;sans-serif"/>
          <w:b w:val="false"/>
          <w:color w:val="000000"/>
          <w:sz w:val="20"/>
        </w:rPr>
        <w:t>(563) 383-2100</w:t>
      </w:r>
    </w:p>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(Registrant's telephone number, including area code)</w:t>
      </w:r>
    </w:p>
    <w:p>
      <w:pPr>
        <w:pStyle w:val="TextBody"/>
        <w:spacing w:lineRule="auto" w:line="288" w:before="120" w:after="283"/>
        <w:rPr>
          <w:rFonts w:ascii="Arial;sans-serif" w:hAnsi="Arial;sans-serif"/>
          <w:b/>
          <w:color w:val="000000"/>
          <w:sz w:val="20"/>
        </w:rPr>
      </w:pPr>
      <w:r>
        <w:rPr>
          <w:rFonts w:ascii="Arial;sans-serif" w:hAnsi="Arial;sans-serif"/>
          <w:b/>
          <w:color w:val="000000"/>
          <w:sz w:val="20"/>
        </w:rPr>
        <w:t>Securities registered pursuant to Section 12(b) of the Act:</w:t>
      </w:r>
    </w:p>
    <w:tbl>
      <w:tblPr>
        <w:tblW w:w="9777" w:type="dxa"/>
        <w:jc w:val="left"/>
        <w:tblInd w:w="0" w:type="dxa"/>
        <w:tblCellMar>
          <w:top w:w="28" w:type="dxa"/>
          <w:left w:w="28" w:type="dxa"/>
          <w:bottom w:w="28" w:type="dxa"/>
          <w:right w:w="28" w:type="dxa"/>
        </w:tblCellMar>
      </w:tblPr>
      <w:tblGrid>
        <w:gridCol w:w="1332"/>
        <w:gridCol w:w="1172"/>
        <w:gridCol w:w="1185"/>
        <w:gridCol w:w="609"/>
        <w:gridCol w:w="609"/>
        <w:gridCol w:w="611"/>
        <w:gridCol w:w="1245"/>
        <w:gridCol w:w="1245"/>
        <w:gridCol w:w="1769"/>
      </w:tblGrid>
      <w:tr>
        <w:trPr/>
        <w:tc>
          <w:tcPr>
            <w:tcW w:w="1332" w:type="dxa"/>
            <w:tcBorders/>
            <w:shd w:fill="auto" w:val="clear"/>
            <w:vAlign w:val="center"/>
          </w:tcPr>
          <w:p>
            <w:pPr>
              <w:pStyle w:val="TableContents"/>
              <w:spacing w:before="0" w:after="283"/>
              <w:rPr>
                <w:sz w:val="4"/>
                <w:szCs w:val="4"/>
              </w:rPr>
            </w:pPr>
            <w:r>
              <w:rPr>
                <w:sz w:val="4"/>
                <w:szCs w:val="4"/>
              </w:rPr>
            </w:r>
          </w:p>
        </w:tc>
        <w:tc>
          <w:tcPr>
            <w:tcW w:w="1172" w:type="dxa"/>
            <w:tcBorders/>
            <w:shd w:fill="auto" w:val="clear"/>
            <w:vAlign w:val="center"/>
          </w:tcPr>
          <w:p>
            <w:pPr>
              <w:pStyle w:val="TableContents"/>
              <w:spacing w:before="0" w:after="283"/>
              <w:rPr>
                <w:sz w:val="4"/>
                <w:szCs w:val="4"/>
              </w:rPr>
            </w:pPr>
            <w:r>
              <w:rPr>
                <w:sz w:val="4"/>
                <w:szCs w:val="4"/>
              </w:rPr>
            </w:r>
          </w:p>
        </w:tc>
        <w:tc>
          <w:tcPr>
            <w:tcW w:w="1185" w:type="dxa"/>
            <w:tcBorders/>
            <w:shd w:fill="auto" w:val="clear"/>
            <w:vAlign w:val="center"/>
          </w:tcPr>
          <w:p>
            <w:pPr>
              <w:pStyle w:val="TableContents"/>
              <w:spacing w:before="0" w:after="283"/>
              <w:rPr>
                <w:sz w:val="4"/>
                <w:szCs w:val="4"/>
              </w:rPr>
            </w:pPr>
            <w:r>
              <w:rPr>
                <w:sz w:val="4"/>
                <w:szCs w:val="4"/>
              </w:rPr>
            </w:r>
          </w:p>
        </w:tc>
        <w:tc>
          <w:tcPr>
            <w:tcW w:w="609" w:type="dxa"/>
            <w:tcBorders/>
            <w:shd w:fill="auto" w:val="clear"/>
            <w:vAlign w:val="center"/>
          </w:tcPr>
          <w:p>
            <w:pPr>
              <w:pStyle w:val="TableContents"/>
              <w:spacing w:before="0" w:after="283"/>
              <w:rPr>
                <w:sz w:val="4"/>
                <w:szCs w:val="4"/>
              </w:rPr>
            </w:pPr>
            <w:r>
              <w:rPr>
                <w:sz w:val="4"/>
                <w:szCs w:val="4"/>
              </w:rPr>
            </w:r>
          </w:p>
        </w:tc>
        <w:tc>
          <w:tcPr>
            <w:tcW w:w="609" w:type="dxa"/>
            <w:tcBorders/>
            <w:shd w:fill="auto" w:val="clear"/>
            <w:vAlign w:val="center"/>
          </w:tcPr>
          <w:p>
            <w:pPr>
              <w:pStyle w:val="TableContents"/>
              <w:spacing w:before="0" w:after="283"/>
              <w:rPr>
                <w:sz w:val="4"/>
                <w:szCs w:val="4"/>
              </w:rPr>
            </w:pPr>
            <w:r>
              <w:rPr>
                <w:sz w:val="4"/>
                <w:szCs w:val="4"/>
              </w:rPr>
            </w:r>
          </w:p>
        </w:tc>
        <w:tc>
          <w:tcPr>
            <w:tcW w:w="611" w:type="dxa"/>
            <w:tcBorders/>
            <w:shd w:fill="auto" w:val="clear"/>
            <w:vAlign w:val="center"/>
          </w:tcPr>
          <w:p>
            <w:pPr>
              <w:pStyle w:val="TableContents"/>
              <w:spacing w:before="0" w:after="283"/>
              <w:rPr>
                <w:sz w:val="4"/>
                <w:szCs w:val="4"/>
              </w:rPr>
            </w:pPr>
            <w:r>
              <w:rPr>
                <w:sz w:val="4"/>
                <w:szCs w:val="4"/>
              </w:rPr>
            </w:r>
          </w:p>
        </w:tc>
        <w:tc>
          <w:tcPr>
            <w:tcW w:w="1245" w:type="dxa"/>
            <w:tcBorders/>
            <w:shd w:fill="auto" w:val="clear"/>
            <w:vAlign w:val="center"/>
          </w:tcPr>
          <w:p>
            <w:pPr>
              <w:pStyle w:val="TableContents"/>
              <w:spacing w:before="0" w:after="283"/>
              <w:rPr>
                <w:sz w:val="4"/>
                <w:szCs w:val="4"/>
              </w:rPr>
            </w:pPr>
            <w:r>
              <w:rPr>
                <w:sz w:val="4"/>
                <w:szCs w:val="4"/>
              </w:rPr>
            </w:r>
          </w:p>
        </w:tc>
        <w:tc>
          <w:tcPr>
            <w:tcW w:w="1245" w:type="dxa"/>
            <w:tcBorders/>
            <w:shd w:fill="auto" w:val="clear"/>
            <w:vAlign w:val="center"/>
          </w:tcPr>
          <w:p>
            <w:pPr>
              <w:pStyle w:val="TableContents"/>
              <w:spacing w:before="0" w:after="283"/>
              <w:rPr>
                <w:sz w:val="4"/>
                <w:szCs w:val="4"/>
              </w:rPr>
            </w:pPr>
            <w:r>
              <w:rPr>
                <w:sz w:val="4"/>
                <w:szCs w:val="4"/>
              </w:rPr>
            </w:r>
          </w:p>
        </w:tc>
        <w:tc>
          <w:tcPr>
            <w:tcW w:w="1769" w:type="dxa"/>
            <w:tcBorders/>
            <w:shd w:fill="auto" w:val="clear"/>
            <w:vAlign w:val="center"/>
          </w:tcPr>
          <w:p>
            <w:pPr>
              <w:pStyle w:val="TableContents"/>
              <w:spacing w:before="0" w:after="283"/>
              <w:rPr>
                <w:sz w:val="4"/>
                <w:szCs w:val="4"/>
              </w:rPr>
            </w:pPr>
            <w:r>
              <w:rPr>
                <w:sz w:val="4"/>
                <w:szCs w:val="4"/>
              </w:rPr>
            </w:r>
          </w:p>
        </w:tc>
      </w:tr>
      <w:tr>
        <w:trPr/>
        <w:tc>
          <w:tcPr>
            <w:tcW w:w="368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Title of each class</w:t>
            </w:r>
          </w:p>
        </w:tc>
        <w:tc>
          <w:tcPr>
            <w:tcW w:w="182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Trading Symbol(s)</w:t>
            </w:r>
          </w:p>
        </w:tc>
        <w:tc>
          <w:tcPr>
            <w:tcW w:w="425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Name of each exchange on which registered</w:t>
            </w:r>
          </w:p>
        </w:tc>
      </w:tr>
      <w:tr>
        <w:trPr/>
        <w:tc>
          <w:tcPr>
            <w:tcW w:w="368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Common Stock, par value $.01 per share</w:t>
            </w:r>
          </w:p>
        </w:tc>
        <w:tc>
          <w:tcPr>
            <w:tcW w:w="182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rFonts w:ascii="Arial;sans-serif" w:hAnsi="Arial;sans-serif"/>
                <w:b w:val="false"/>
                <w:color w:val="000000"/>
                <w:sz w:val="20"/>
              </w:rPr>
            </w:pPr>
            <w:r>
              <w:rPr>
                <w:rFonts w:ascii="Arial;sans-serif" w:hAnsi="Arial;sans-serif"/>
                <w:b w:val="false"/>
                <w:color w:val="000000"/>
                <w:sz w:val="20"/>
              </w:rPr>
              <w:t>LEE</w:t>
            </w:r>
          </w:p>
        </w:tc>
        <w:tc>
          <w:tcPr>
            <w:tcW w:w="425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rFonts w:ascii="Arial;sans-serif" w:hAnsi="Arial;sans-serif"/>
                <w:b w:val="false"/>
                <w:color w:val="000000"/>
                <w:sz w:val="20"/>
              </w:rPr>
            </w:pPr>
            <w:r>
              <w:rPr>
                <w:rFonts w:ascii="Arial;sans-serif" w:hAnsi="Arial;sans-serif"/>
                <w:b w:val="false"/>
                <w:color w:val="000000"/>
                <w:sz w:val="20"/>
              </w:rPr>
              <w:t>The Nasdaq Global Select Market</w:t>
            </w:r>
          </w:p>
        </w:tc>
      </w:tr>
    </w:tbl>
    <w:p>
      <w:pPr>
        <w:pStyle w:val="TextBody"/>
        <w:spacing w:lineRule="auto" w:line="288" w:before="120" w:after="283"/>
        <w:jc w:val="both"/>
        <w:rPr/>
      </w:pPr>
      <w:r>
        <w:rPr>
          <w:rFonts w:ascii="Arial;sans-serif" w:hAnsi="Arial;sans-serif"/>
          <w:b w:val="false"/>
          <w:color w:val="000000"/>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20"/>
        </w:rPr>
        <w:t xml:space="preserve">x </w:t>
      </w:r>
      <w:r>
        <w:rPr>
          <w:rFonts w:ascii="Arial;sans-serif" w:hAnsi="Arial;sans-serif"/>
          <w:b w:val="false"/>
          <w:color w:val="000000"/>
          <w:sz w:val="20"/>
        </w:rPr>
        <w:t xml:space="preserve">No </w:t>
      </w:r>
      <w:r>
        <w:rPr>
          <w:rFonts w:ascii="Wingdings;sans-serif" w:hAnsi="Wingdings;sans-serif"/>
          <w:b w:val="false"/>
          <w:color w:val="000000"/>
          <w:sz w:val="20"/>
        </w:rPr>
        <w:t>o</w:t>
      </w:r>
    </w:p>
    <w:p>
      <w:pPr>
        <w:pStyle w:val="TextBody"/>
        <w:spacing w:lineRule="auto" w:line="288" w:before="120" w:after="283"/>
        <w:jc w:val="both"/>
        <w:rPr/>
      </w:pPr>
      <w:r>
        <w:rPr>
          <w:rFonts w:ascii="Arial;sans-serif" w:hAnsi="Arial;sans-serif"/>
          <w:b w:val="false"/>
          <w:color w:val="000000"/>
          <w:sz w:val="20"/>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sans-serif" w:hAnsi="Wingdings;sans-serif"/>
          <w:b w:val="false"/>
          <w:color w:val="000000"/>
          <w:sz w:val="20"/>
        </w:rPr>
        <w:t xml:space="preserve">x </w:t>
      </w:r>
      <w:r>
        <w:rPr>
          <w:rFonts w:ascii="Arial;sans-serif" w:hAnsi="Arial;sans-serif"/>
          <w:b w:val="false"/>
          <w:color w:val="000000"/>
          <w:sz w:val="20"/>
        </w:rPr>
        <w:t xml:space="preserve">No </w:t>
      </w:r>
      <w:r>
        <w:rPr>
          <w:rFonts w:ascii="Wingdings;sans-serif" w:hAnsi="Wingdings;sans-serif"/>
          <w:b w:val="false"/>
          <w:color w:val="000000"/>
          <w:sz w:val="20"/>
        </w:rPr>
        <w:t>o</w:t>
      </w:r>
    </w:p>
    <w:p>
      <w:pPr>
        <w:pStyle w:val="TextBody"/>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168" w:type="dxa"/>
        <w:jc w:val="left"/>
        <w:tblInd w:w="0" w:type="dxa"/>
        <w:tblCellMar>
          <w:top w:w="28" w:type="dxa"/>
          <w:left w:w="28" w:type="dxa"/>
          <w:bottom w:w="28" w:type="dxa"/>
          <w:right w:w="28" w:type="dxa"/>
        </w:tblCellMar>
      </w:tblPr>
      <w:tblGrid>
        <w:gridCol w:w="739"/>
        <w:gridCol w:w="648"/>
        <w:gridCol w:w="652"/>
        <w:gridCol w:w="109"/>
        <w:gridCol w:w="109"/>
        <w:gridCol w:w="109"/>
        <w:gridCol w:w="809"/>
        <w:gridCol w:w="809"/>
        <w:gridCol w:w="812"/>
        <w:gridCol w:w="109"/>
        <w:gridCol w:w="109"/>
        <w:gridCol w:w="154"/>
      </w:tblGrid>
      <w:tr>
        <w:trPr/>
        <w:tc>
          <w:tcPr>
            <w:tcW w:w="739" w:type="dxa"/>
            <w:tcBorders/>
            <w:shd w:fill="auto" w:val="clear"/>
            <w:vAlign w:val="center"/>
          </w:tcPr>
          <w:p>
            <w:pPr>
              <w:pStyle w:val="TableContents"/>
              <w:spacing w:before="0" w:after="283"/>
              <w:rPr>
                <w:sz w:val="4"/>
                <w:szCs w:val="4"/>
              </w:rPr>
            </w:pPr>
            <w:r>
              <w:rPr>
                <w:sz w:val="4"/>
                <w:szCs w:val="4"/>
              </w:rPr>
            </w:r>
          </w:p>
        </w:tc>
        <w:tc>
          <w:tcPr>
            <w:tcW w:w="648" w:type="dxa"/>
            <w:tcBorders/>
            <w:shd w:fill="auto" w:val="clear"/>
            <w:vAlign w:val="center"/>
          </w:tcPr>
          <w:p>
            <w:pPr>
              <w:pStyle w:val="TableContents"/>
              <w:spacing w:before="0" w:after="283"/>
              <w:rPr>
                <w:sz w:val="4"/>
                <w:szCs w:val="4"/>
              </w:rPr>
            </w:pPr>
            <w:r>
              <w:rPr>
                <w:sz w:val="4"/>
                <w:szCs w:val="4"/>
              </w:rPr>
            </w:r>
          </w:p>
        </w:tc>
        <w:tc>
          <w:tcPr>
            <w:tcW w:w="65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09" w:type="dxa"/>
            <w:tcBorders/>
            <w:shd w:fill="auto" w:val="clear"/>
            <w:vAlign w:val="center"/>
          </w:tcPr>
          <w:p>
            <w:pPr>
              <w:pStyle w:val="TableContents"/>
              <w:spacing w:before="0" w:after="283"/>
              <w:rPr>
                <w:sz w:val="4"/>
                <w:szCs w:val="4"/>
              </w:rPr>
            </w:pPr>
            <w:r>
              <w:rPr>
                <w:sz w:val="4"/>
                <w:szCs w:val="4"/>
              </w:rPr>
            </w:r>
          </w:p>
        </w:tc>
        <w:tc>
          <w:tcPr>
            <w:tcW w:w="809" w:type="dxa"/>
            <w:tcBorders/>
            <w:shd w:fill="auto" w:val="clear"/>
            <w:vAlign w:val="center"/>
          </w:tcPr>
          <w:p>
            <w:pPr>
              <w:pStyle w:val="TableContents"/>
              <w:spacing w:before="0" w:after="283"/>
              <w:rPr>
                <w:sz w:val="4"/>
                <w:szCs w:val="4"/>
              </w:rPr>
            </w:pPr>
            <w:r>
              <w:rPr>
                <w:sz w:val="4"/>
                <w:szCs w:val="4"/>
              </w:rPr>
            </w:r>
          </w:p>
        </w:tc>
        <w:tc>
          <w:tcPr>
            <w:tcW w:w="81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0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Large accelerated filer</w:t>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200" w:after="283"/>
              <w:jc w:val="both"/>
              <w:rPr>
                <w:rFonts w:ascii="Wingdings;sans-serif" w:hAnsi="Wingdings;sans-serif"/>
                <w:b w:val="false"/>
                <w:color w:val="000000"/>
                <w:sz w:val="20"/>
              </w:rPr>
            </w:pPr>
            <w:r>
              <w:rPr>
                <w:rFonts w:ascii="Wingdings;sans-serif" w:hAnsi="Wingdings;sans-serif"/>
                <w:b w:val="false"/>
                <w:color w:val="000000"/>
                <w:sz w:val="20"/>
              </w:rPr>
              <w:t>o</w:t>
            </w:r>
          </w:p>
        </w:tc>
        <w:tc>
          <w:tcPr>
            <w:tcW w:w="243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Accelerated filer</w:t>
            </w:r>
          </w:p>
        </w:tc>
        <w:tc>
          <w:tcPr>
            <w:tcW w:w="372" w:type="dxa"/>
            <w:gridSpan w:val="3"/>
            <w:tcBorders/>
            <w:shd w:fill="auto" w:val="clear"/>
            <w:tcMar>
              <w:top w:w="0" w:type="dxa"/>
              <w:left w:w="0" w:type="dxa"/>
              <w:bottom w:w="0" w:type="dxa"/>
              <w:right w:w="0" w:type="dxa"/>
            </w:tcMar>
            <w:vAlign w:val="center"/>
          </w:tcPr>
          <w:p>
            <w:pPr>
              <w:pStyle w:val="TableContents"/>
              <w:spacing w:lineRule="auto" w:line="288" w:before="200" w:after="283"/>
              <w:jc w:val="left"/>
              <w:rPr>
                <w:rFonts w:ascii="Wingdings;sans-serif" w:hAnsi="Wingdings;sans-serif"/>
                <w:b w:val="false"/>
                <w:color w:val="000000"/>
                <w:sz w:val="20"/>
              </w:rPr>
            </w:pPr>
            <w:r>
              <w:rPr>
                <w:rFonts w:ascii="Wingdings;sans-serif" w:hAnsi="Wingdings;sans-serif"/>
                <w:b w:val="false"/>
                <w:color w:val="000000"/>
                <w:sz w:val="20"/>
              </w:rPr>
              <w:t>x</w:t>
            </w:r>
          </w:p>
        </w:tc>
      </w:tr>
      <w:tr>
        <w:trPr/>
        <w:tc>
          <w:tcPr>
            <w:tcW w:w="20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Non-accelerated filer</w:t>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200" w:after="283"/>
              <w:jc w:val="both"/>
              <w:rPr>
                <w:rFonts w:ascii="Wingdings;sans-serif" w:hAnsi="Wingdings;sans-serif"/>
                <w:b w:val="false"/>
                <w:color w:val="000000"/>
                <w:sz w:val="20"/>
              </w:rPr>
            </w:pPr>
            <w:r>
              <w:rPr>
                <w:rFonts w:ascii="Wingdings;sans-serif" w:hAnsi="Wingdings;sans-serif"/>
                <w:b w:val="false"/>
                <w:color w:val="000000"/>
                <w:sz w:val="20"/>
              </w:rPr>
              <w:t>o</w:t>
            </w:r>
          </w:p>
        </w:tc>
        <w:tc>
          <w:tcPr>
            <w:tcW w:w="243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Smaller reporting company</w:t>
            </w:r>
          </w:p>
        </w:tc>
        <w:tc>
          <w:tcPr>
            <w:tcW w:w="372" w:type="dxa"/>
            <w:gridSpan w:val="3"/>
            <w:tcBorders/>
            <w:shd w:fill="auto" w:val="clear"/>
            <w:tcMar>
              <w:top w:w="0" w:type="dxa"/>
              <w:left w:w="0" w:type="dxa"/>
              <w:bottom w:w="0" w:type="dxa"/>
              <w:right w:w="0" w:type="dxa"/>
            </w:tcMar>
            <w:vAlign w:val="center"/>
          </w:tcPr>
          <w:p>
            <w:pPr>
              <w:pStyle w:val="TableContents"/>
              <w:spacing w:lineRule="auto" w:line="288" w:before="200" w:after="283"/>
              <w:jc w:val="left"/>
              <w:rPr>
                <w:rFonts w:ascii="Wingdings;sans-serif" w:hAnsi="Wingdings;sans-serif"/>
                <w:b w:val="false"/>
                <w:color w:val="000000"/>
                <w:sz w:val="20"/>
              </w:rPr>
            </w:pPr>
            <w:r>
              <w:rPr>
                <w:rFonts w:ascii="Wingdings;sans-serif" w:hAnsi="Wingdings;sans-serif"/>
                <w:b w:val="false"/>
                <w:color w:val="000000"/>
                <w:sz w:val="20"/>
              </w:rPr>
              <w:t>x</w:t>
            </w:r>
          </w:p>
        </w:tc>
      </w:tr>
      <w:tr>
        <w:trPr/>
        <w:tc>
          <w:tcPr>
            <w:tcW w:w="20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3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Emerging growth company</w:t>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Wingdings;sans-serif" w:hAnsi="Wingdings;sans-serif"/>
                <w:b w:val="false"/>
                <w:color w:val="000000"/>
                <w:sz w:val="20"/>
              </w:rPr>
            </w:pPr>
            <w:r>
              <w:rPr>
                <w:rFonts w:ascii="Wingdings;sans-serif" w:hAnsi="Wingdings;sans-serif"/>
                <w:b w:val="false"/>
                <w:color w:val="000000"/>
                <w:sz w:val="20"/>
              </w:rPr>
              <w:t>o</w:t>
            </w:r>
          </w:p>
        </w:tc>
      </w:tr>
    </w:tbl>
    <w:p>
      <w:pPr>
        <w:pStyle w:val="TextBody"/>
        <w:spacing w:lineRule="auto" w:line="288" w:before="120" w:after="283"/>
        <w:jc w:val="both"/>
        <w:rPr/>
      </w:pPr>
      <w:r>
        <w:rPr>
          <w:rFonts w:ascii="Arial;sans-serif" w:hAnsi="Arial;sans-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p>
    <w:p>
      <w:pPr>
        <w:pStyle w:val="TextBody"/>
        <w:spacing w:lineRule="auto" w:line="288" w:before="120" w:after="283"/>
        <w:jc w:val="both"/>
        <w:rPr/>
      </w:pPr>
      <w:r>
        <w:rPr>
          <w:rFonts w:ascii="Arial;sans-serif" w:hAnsi="Arial;sans-serif"/>
          <w:b w:val="false"/>
          <w:color w:val="000000"/>
          <w:sz w:val="20"/>
        </w:rPr>
        <w:t xml:space="preserve">Indicate by check mark whether the Registrant is a shell company (as defined in Rule 12b-2 of the Exchange Act).    Yes </w:t>
      </w:r>
      <w:r>
        <w:rPr>
          <w:rFonts w:ascii="Wingdings;sans-serif" w:hAnsi="Wingdings;sans-serif"/>
          <w:b w:val="false"/>
          <w:color w:val="000000"/>
          <w:sz w:val="20"/>
        </w:rPr>
        <w:t>o</w:t>
      </w:r>
      <w:r>
        <w:rPr>
          <w:color w:val="000000"/>
        </w:rPr>
        <w:t>  </w:t>
      </w:r>
      <w:r>
        <w:rPr>
          <w:rFonts w:ascii="Arial;sans-serif" w:hAnsi="Arial;sans-serif"/>
          <w:b w:val="false"/>
          <w:color w:val="000000"/>
          <w:sz w:val="20"/>
        </w:rPr>
        <w:t xml:space="preserve">No </w:t>
      </w:r>
      <w:r>
        <w:rPr>
          <w:rFonts w:ascii="Wingdings;sans-serif" w:hAnsi="Wingdings;sans-serif"/>
          <w:b w:val="false"/>
          <w:color w:val="000000"/>
          <w:sz w:val="20"/>
        </w:rPr>
        <w:t>x</w:t>
      </w:r>
    </w:p>
    <w:p>
      <w:pPr>
        <w:pStyle w:val="TextBody"/>
        <w:spacing w:lineRule="auto" w:line="288" w:before="120" w:after="283"/>
        <w:jc w:val="both"/>
        <w:rPr/>
      </w:pPr>
      <w:r>
        <w:rPr>
          <w:rFonts w:ascii="Arial;sans-serif" w:hAnsi="Arial;sans-serif"/>
          <w:b w:val="false"/>
          <w:color w:val="000000"/>
          <w:sz w:val="20"/>
        </w:rPr>
        <w:t>As of April 30, 2023,</w:t>
      </w:r>
      <w:r>
        <w:rPr>
          <w:color w:val="000000"/>
          <w:highlight w:val="white"/>
        </w:rPr>
        <w:t xml:space="preserve"> </w:t>
      </w:r>
      <w:r>
        <w:rPr>
          <w:rFonts w:ascii="Arial;sans-serif" w:hAnsi="Arial;sans-serif"/>
          <w:b w:val="false"/>
          <w:color w:val="000000"/>
          <w:sz w:val="20"/>
        </w:rPr>
        <w:t>6,039,856 shares of Common Stock of the Registrant were outstanding.</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88" w:before="0" w:after="0"/>
        <w:rPr/>
      </w:pPr>
      <w:hyperlink w:anchor="if2be3f6b64cd442893998ecc8d87de53_7">
        <w:r>
          <w:rPr>
            <w:rStyle w:val="InternetLink"/>
            <w:rFonts w:ascii="Times New Roman;sans-serif" w:hAnsi="Times New Roman;sans-serif"/>
            <w:b w:val="false"/>
            <w:color w:val="0000FF"/>
            <w:sz w:val="20"/>
            <w:u w:val="single"/>
          </w:rPr>
          <w:t>Table of Contents</w:t>
        </w:r>
      </w:hyperlink>
    </w:p>
    <w:tbl>
      <w:tblPr>
        <w:tblW w:w="10205" w:type="dxa"/>
        <w:jc w:val="left"/>
        <w:tblInd w:w="0" w:type="dxa"/>
        <w:tblCellMar>
          <w:top w:w="28" w:type="dxa"/>
          <w:left w:w="28" w:type="dxa"/>
          <w:bottom w:w="28" w:type="dxa"/>
          <w:right w:w="28" w:type="dxa"/>
        </w:tblCellMar>
      </w:tblPr>
      <w:tblGrid>
        <w:gridCol w:w="276"/>
        <w:gridCol w:w="236"/>
        <w:gridCol w:w="238"/>
        <w:gridCol w:w="344"/>
        <w:gridCol w:w="344"/>
        <w:gridCol w:w="344"/>
        <w:gridCol w:w="2693"/>
        <w:gridCol w:w="2539"/>
        <w:gridCol w:w="2480"/>
        <w:gridCol w:w="206"/>
        <w:gridCol w:w="206"/>
        <w:gridCol w:w="299"/>
      </w:tblGrid>
      <w:tr>
        <w:trPr/>
        <w:tc>
          <w:tcPr>
            <w:tcW w:w="276" w:type="dxa"/>
            <w:tcBorders/>
            <w:shd w:fill="auto" w:val="clear"/>
            <w:vAlign w:val="center"/>
          </w:tcPr>
          <w:p>
            <w:pPr>
              <w:pStyle w:val="TableContents"/>
              <w:spacing w:before="0" w:after="283"/>
              <w:rPr>
                <w:sz w:val="4"/>
                <w:szCs w:val="4"/>
              </w:rPr>
            </w:pPr>
            <w:r>
              <w:rPr>
                <w:sz w:val="4"/>
                <w:szCs w:val="4"/>
              </w:rPr>
            </w:r>
          </w:p>
        </w:tc>
        <w:tc>
          <w:tcPr>
            <w:tcW w:w="236" w:type="dxa"/>
            <w:tcBorders/>
            <w:shd w:fill="auto" w:val="clear"/>
            <w:vAlign w:val="center"/>
          </w:tcPr>
          <w:p>
            <w:pPr>
              <w:pStyle w:val="TableContents"/>
              <w:spacing w:before="0" w:after="283"/>
              <w:rPr>
                <w:sz w:val="4"/>
                <w:szCs w:val="4"/>
              </w:rPr>
            </w:pPr>
            <w:r>
              <w:rPr>
                <w:sz w:val="4"/>
                <w:szCs w:val="4"/>
              </w:rPr>
            </w:r>
          </w:p>
        </w:tc>
        <w:tc>
          <w:tcPr>
            <w:tcW w:w="238" w:type="dxa"/>
            <w:tcBorders/>
            <w:shd w:fill="auto" w:val="clear"/>
            <w:vAlign w:val="center"/>
          </w:tcPr>
          <w:p>
            <w:pPr>
              <w:pStyle w:val="TableContents"/>
              <w:spacing w:before="0" w:after="283"/>
              <w:rPr>
                <w:sz w:val="4"/>
                <w:szCs w:val="4"/>
              </w:rPr>
            </w:pPr>
            <w:r>
              <w:rPr>
                <w:sz w:val="4"/>
                <w:szCs w:val="4"/>
              </w:rPr>
            </w:r>
          </w:p>
        </w:tc>
        <w:tc>
          <w:tcPr>
            <w:tcW w:w="344" w:type="dxa"/>
            <w:tcBorders/>
            <w:shd w:fill="auto" w:val="clear"/>
            <w:vAlign w:val="center"/>
          </w:tcPr>
          <w:p>
            <w:pPr>
              <w:pStyle w:val="TableContents"/>
              <w:spacing w:before="0" w:after="283"/>
              <w:rPr>
                <w:sz w:val="4"/>
                <w:szCs w:val="4"/>
              </w:rPr>
            </w:pPr>
            <w:r>
              <w:rPr>
                <w:sz w:val="4"/>
                <w:szCs w:val="4"/>
              </w:rPr>
            </w:r>
          </w:p>
        </w:tc>
        <w:tc>
          <w:tcPr>
            <w:tcW w:w="344" w:type="dxa"/>
            <w:tcBorders/>
            <w:shd w:fill="auto" w:val="clear"/>
            <w:vAlign w:val="center"/>
          </w:tcPr>
          <w:p>
            <w:pPr>
              <w:pStyle w:val="TableContents"/>
              <w:spacing w:before="0" w:after="283"/>
              <w:rPr>
                <w:sz w:val="4"/>
                <w:szCs w:val="4"/>
              </w:rPr>
            </w:pPr>
            <w:r>
              <w:rPr>
                <w:sz w:val="4"/>
                <w:szCs w:val="4"/>
              </w:rPr>
            </w:r>
          </w:p>
        </w:tc>
        <w:tc>
          <w:tcPr>
            <w:tcW w:w="344" w:type="dxa"/>
            <w:tcBorders/>
            <w:shd w:fill="auto" w:val="clear"/>
            <w:vAlign w:val="center"/>
          </w:tcPr>
          <w:p>
            <w:pPr>
              <w:pStyle w:val="TableContents"/>
              <w:spacing w:before="0" w:after="283"/>
              <w:rPr>
                <w:sz w:val="4"/>
                <w:szCs w:val="4"/>
              </w:rPr>
            </w:pPr>
            <w:r>
              <w:rPr>
                <w:sz w:val="4"/>
                <w:szCs w:val="4"/>
              </w:rPr>
            </w:r>
          </w:p>
        </w:tc>
        <w:tc>
          <w:tcPr>
            <w:tcW w:w="2693" w:type="dxa"/>
            <w:tcBorders/>
            <w:shd w:fill="auto" w:val="clear"/>
            <w:vAlign w:val="center"/>
          </w:tcPr>
          <w:p>
            <w:pPr>
              <w:pStyle w:val="TableContents"/>
              <w:spacing w:before="0" w:after="283"/>
              <w:rPr>
                <w:sz w:val="4"/>
                <w:szCs w:val="4"/>
              </w:rPr>
            </w:pPr>
            <w:r>
              <w:rPr>
                <w:sz w:val="4"/>
                <w:szCs w:val="4"/>
              </w:rPr>
            </w:r>
          </w:p>
        </w:tc>
        <w:tc>
          <w:tcPr>
            <w:tcW w:w="2539" w:type="dxa"/>
            <w:tcBorders/>
            <w:shd w:fill="auto" w:val="clear"/>
            <w:vAlign w:val="center"/>
          </w:tcPr>
          <w:p>
            <w:pPr>
              <w:pStyle w:val="TableContents"/>
              <w:spacing w:before="0" w:after="283"/>
              <w:rPr>
                <w:sz w:val="4"/>
                <w:szCs w:val="4"/>
              </w:rPr>
            </w:pPr>
            <w:r>
              <w:rPr>
                <w:sz w:val="4"/>
                <w:szCs w:val="4"/>
              </w:rPr>
            </w:r>
          </w:p>
        </w:tc>
        <w:tc>
          <w:tcPr>
            <w:tcW w:w="2480"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299" w:type="dxa"/>
            <w:tcBorders/>
            <w:shd w:fill="auto" w:val="clear"/>
            <w:vAlign w:val="center"/>
          </w:tcPr>
          <w:p>
            <w:pPr>
              <w:pStyle w:val="TableContents"/>
              <w:spacing w:before="0" w:after="283"/>
              <w:rPr>
                <w:sz w:val="4"/>
                <w:szCs w:val="4"/>
              </w:rPr>
            </w:pPr>
            <w:r>
              <w:rPr>
                <w:sz w:val="4"/>
                <w:szCs w:val="4"/>
              </w:rPr>
            </w:r>
          </w:p>
        </w:tc>
      </w:tr>
      <w:tr>
        <w:trPr/>
        <w:tc>
          <w:tcPr>
            <w:tcW w:w="9494" w:type="dxa"/>
            <w:gridSpan w:val="9"/>
            <w:tcBorders/>
            <w:shd w:fill="auto" w:val="clear"/>
            <w:tcMar>
              <w:top w:w="0" w:type="dxa"/>
              <w:left w:w="0" w:type="dxa"/>
              <w:bottom w:w="0" w:type="dxa"/>
              <w:right w:w="0" w:type="dxa"/>
            </w:tcMar>
            <w:vAlign w:val="center"/>
          </w:tcPr>
          <w:p>
            <w:pPr>
              <w:pStyle w:val="TableContents"/>
              <w:spacing w:lineRule="auto" w:line="240" w:before="0" w:after="0"/>
              <w:jc w:val="left"/>
              <w:rPr/>
            </w:pPr>
            <w:hyperlink w:anchor="if2be3f6b64cd442893998ecc8d87de53_7">
              <w:r>
                <w:rPr>
                  <w:rStyle w:val="InternetLink"/>
                  <w:rFonts w:ascii="Arial;sans-serif" w:hAnsi="Arial;sans-serif"/>
                  <w:b w:val="false"/>
                  <w:strike w:val="false"/>
                  <w:dstrike w:val="false"/>
                  <w:color w:val="000000"/>
                  <w:sz w:val="20"/>
                  <w:u w:val="none"/>
                  <w:effect w:val="none"/>
                </w:rPr>
                <w:t>Table Of Contents</w:t>
              </w:r>
            </w:hyperlink>
          </w:p>
        </w:tc>
        <w:tc>
          <w:tcPr>
            <w:tcW w:w="71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PAGE</w:t>
            </w:r>
          </w:p>
        </w:tc>
      </w:tr>
      <w:tr>
        <w:trPr/>
        <w:tc>
          <w:tcPr>
            <w:tcW w:w="75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3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71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1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5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f2be3f6b64cd442893998ecc8d87de53_13">
              <w:r>
                <w:rPr>
                  <w:rStyle w:val="InternetLink"/>
                  <w:rFonts w:ascii="Arial;sans-serif" w:hAnsi="Arial;sans-serif"/>
                  <w:b w:val="false"/>
                  <w:strike w:val="false"/>
                  <w:dstrike w:val="false"/>
                  <w:color w:val="000000"/>
                  <w:sz w:val="20"/>
                  <w:u w:val="none"/>
                  <w:effect w:val="none"/>
                </w:rPr>
                <w:t>PART I</w:t>
              </w:r>
            </w:hyperlink>
          </w:p>
        </w:tc>
        <w:tc>
          <w:tcPr>
            <w:tcW w:w="8744" w:type="dxa"/>
            <w:gridSpan w:val="6"/>
            <w:tcBorders/>
            <w:shd w:fill="auto" w:val="clear"/>
            <w:tcMar>
              <w:top w:w="0" w:type="dxa"/>
              <w:left w:w="0" w:type="dxa"/>
              <w:bottom w:w="0" w:type="dxa"/>
              <w:right w:w="0" w:type="dxa"/>
            </w:tcMar>
            <w:vAlign w:val="center"/>
          </w:tcPr>
          <w:p>
            <w:pPr>
              <w:pStyle w:val="TableContents"/>
              <w:spacing w:lineRule="auto" w:line="240" w:before="0" w:after="0"/>
              <w:jc w:val="left"/>
              <w:rPr/>
            </w:pPr>
            <w:hyperlink w:anchor="if2be3f6b64cd442893998ecc8d87de53_13">
              <w:r>
                <w:rPr>
                  <w:rStyle w:val="InternetLink"/>
                  <w:rFonts w:ascii="Arial;sans-serif" w:hAnsi="Arial;sans-serif"/>
                  <w:b w:val="false"/>
                  <w:color w:val="0000FF"/>
                  <w:sz w:val="20"/>
                  <w:u w:val="single"/>
                </w:rPr>
                <w:t>FINANCIAL INFORMATION</w:t>
              </w:r>
            </w:hyperlink>
          </w:p>
        </w:tc>
        <w:tc>
          <w:tcPr>
            <w:tcW w:w="71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f2be3f6b64cd442893998ecc8d87de53_13">
              <w:r>
                <w:rPr>
                  <w:rStyle w:val="InternetLink"/>
                  <w:rFonts w:ascii="Arial;sans-serif" w:hAnsi="Arial;sans-serif"/>
                  <w:b w:val="false"/>
                  <w:color w:val="0000FF"/>
                  <w:sz w:val="20"/>
                  <w:u w:val="single"/>
                </w:rPr>
                <w:t>1</w:t>
              </w:r>
            </w:hyperlink>
          </w:p>
        </w:tc>
      </w:tr>
      <w:tr>
        <w:trPr/>
        <w:tc>
          <w:tcPr>
            <w:tcW w:w="7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1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f2be3f6b64cd442893998ecc8d87de53_16">
              <w:r>
                <w:rPr>
                  <w:rStyle w:val="InternetLink"/>
                  <w:rFonts w:ascii="Arial;sans-serif" w:hAnsi="Arial;sans-serif"/>
                  <w:b w:val="false"/>
                  <w:strike w:val="false"/>
                  <w:dstrike w:val="false"/>
                  <w:color w:val="000000"/>
                  <w:sz w:val="20"/>
                  <w:u w:val="none"/>
                  <w:effect w:val="none"/>
                </w:rPr>
                <w:t>Item 1.</w:t>
              </w:r>
            </w:hyperlink>
          </w:p>
        </w:tc>
        <w:tc>
          <w:tcPr>
            <w:tcW w:w="771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f2be3f6b64cd442893998ecc8d87de53_16">
              <w:r>
                <w:rPr>
                  <w:rStyle w:val="InternetLink"/>
                  <w:rFonts w:ascii="Arial;sans-serif" w:hAnsi="Arial;sans-serif"/>
                  <w:b w:val="false"/>
                  <w:color w:val="0000FF"/>
                  <w:sz w:val="20"/>
                  <w:u w:val="single"/>
                </w:rPr>
                <w:t>Financial Statements (Unaudited)</w:t>
              </w:r>
            </w:hyperlink>
          </w:p>
        </w:tc>
        <w:tc>
          <w:tcPr>
            <w:tcW w:w="71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f2be3f6b64cd442893998ecc8d87de53_16">
              <w:r>
                <w:rPr>
                  <w:rStyle w:val="InternetLink"/>
                  <w:rFonts w:ascii="Arial;sans-serif" w:hAnsi="Arial;sans-serif"/>
                  <w:b w:val="false"/>
                  <w:color w:val="0000FF"/>
                  <w:sz w:val="20"/>
                  <w:u w:val="single"/>
                </w:rPr>
                <w:t>1</w:t>
              </w:r>
            </w:hyperlink>
          </w:p>
        </w:tc>
      </w:tr>
      <w:tr>
        <w:trPr/>
        <w:tc>
          <w:tcPr>
            <w:tcW w:w="7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1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1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f2be3f6b64cd442893998ecc8d87de53_19">
              <w:r>
                <w:rPr>
                  <w:rStyle w:val="InternetLink"/>
                </w:rPr>
                <w:t xml:space="preserve">Consolidated Balance Sheets - </w:t>
              </w:r>
            </w:hyperlink>
            <w:hyperlink w:anchor="if2be3f6b64cd442893998ecc8d87de53_19">
              <w:r>
                <w:rPr>
                  <w:rStyle w:val="InternetLink"/>
                </w:rPr>
                <w:t>Mar</w:t>
              </w:r>
            </w:hyperlink>
            <w:hyperlink w:anchor="if2be3f6b64cd442893998ecc8d87de53_19">
              <w:r>
                <w:rPr>
                  <w:rStyle w:val="InternetLink"/>
                </w:rPr>
                <w:t>ch 26</w:t>
              </w:r>
            </w:hyperlink>
            <w:hyperlink w:anchor="if2be3f6b64cd442893998ecc8d87de53_19">
              <w:r>
                <w:rPr>
                  <w:rStyle w:val="InternetLink"/>
                </w:rPr>
                <w:t>, 202</w:t>
              </w:r>
            </w:hyperlink>
            <w:hyperlink w:anchor="if2be3f6b64cd442893998ecc8d87de53_19">
              <w:r>
                <w:rPr>
                  <w:rStyle w:val="InternetLink"/>
                </w:rPr>
                <w:t>3</w:t>
              </w:r>
            </w:hyperlink>
            <w:hyperlink w:anchor="if2be3f6b64cd442893998ecc8d87de53_19">
              <w:r>
                <w:rPr>
                  <w:rStyle w:val="InternetLink"/>
                </w:rPr>
                <w:t>, and September 25, 2022</w:t>
              </w:r>
            </w:hyperlink>
          </w:p>
        </w:tc>
        <w:tc>
          <w:tcPr>
            <w:tcW w:w="71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f2be3f6b64cd442893998ecc8d87de53_19">
              <w:r>
                <w:rPr>
                  <w:rStyle w:val="InternetLink"/>
                  <w:rFonts w:ascii="Arial;sans-serif" w:hAnsi="Arial;sans-serif"/>
                  <w:b w:val="false"/>
                  <w:color w:val="0000FF"/>
                  <w:sz w:val="20"/>
                  <w:u w:val="single"/>
                </w:rPr>
                <w:t>1</w:t>
              </w:r>
            </w:hyperlink>
          </w:p>
        </w:tc>
      </w:tr>
      <w:tr>
        <w:trPr/>
        <w:tc>
          <w:tcPr>
            <w:tcW w:w="7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1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1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f2be3f6b64cd442893998ecc8d87de53_22">
              <w:r>
                <w:rPr>
                  <w:rStyle w:val="InternetLink"/>
                </w:rPr>
                <w:t xml:space="preserve">Consolidated Statements of Income (Loss) and Comprehensive Income (Loss) -Three </w:t>
              </w:r>
            </w:hyperlink>
            <w:hyperlink w:anchor="if2be3f6b64cd442893998ecc8d87de53_22">
              <w:r>
                <w:rPr>
                  <w:rStyle w:val="InternetLink"/>
                </w:rPr>
                <w:t>and six months</w:t>
              </w:r>
            </w:hyperlink>
            <w:hyperlink w:anchor="if2be3f6b64cd442893998ecc8d87de53_22">
              <w:r>
                <w:rPr>
                  <w:rStyle w:val="InternetLink"/>
                </w:rPr>
                <w:t xml:space="preserve"> e</w:t>
              </w:r>
            </w:hyperlink>
            <w:hyperlink w:anchor="if2be3f6b64cd442893998ecc8d87de53_22">
              <w:r>
                <w:rPr>
                  <w:rStyle w:val="InternetLink"/>
                </w:rPr>
                <w:t>nded</w:t>
              </w:r>
            </w:hyperlink>
            <w:hyperlink w:anchor="if2be3f6b64cd442893998ecc8d87de53_22">
              <w:r>
                <w:rPr>
                  <w:rStyle w:val="InternetLink"/>
                </w:rPr>
                <w:t xml:space="preserve"> </w:t>
              </w:r>
            </w:hyperlink>
            <w:hyperlink w:anchor="if2be3f6b64cd442893998ecc8d87de53_22">
              <w:r>
                <w:rPr>
                  <w:rStyle w:val="InternetLink"/>
                </w:rPr>
                <w:t>March 26</w:t>
              </w:r>
            </w:hyperlink>
            <w:hyperlink w:anchor="if2be3f6b64cd442893998ecc8d87de53_22">
              <w:r>
                <w:rPr>
                  <w:rStyle w:val="InternetLink"/>
                </w:rPr>
                <w:t>, 202</w:t>
              </w:r>
            </w:hyperlink>
            <w:hyperlink w:anchor="if2be3f6b64cd442893998ecc8d87de53_22">
              <w:r>
                <w:rPr>
                  <w:rStyle w:val="InternetLink"/>
                </w:rPr>
                <w:t>3</w:t>
              </w:r>
            </w:hyperlink>
            <w:hyperlink w:anchor="if2be3f6b64cd442893998ecc8d87de53_22">
              <w:r>
                <w:rPr>
                  <w:rStyle w:val="InternetLink"/>
                </w:rPr>
                <w:t xml:space="preserve"> and </w:t>
              </w:r>
            </w:hyperlink>
            <w:hyperlink w:anchor="if2be3f6b64cd442893998ecc8d87de53_22">
              <w:r>
                <w:rPr>
                  <w:rStyle w:val="InternetLink"/>
                </w:rPr>
                <w:t>March 27, 2022</w:t>
              </w:r>
            </w:hyperlink>
          </w:p>
        </w:tc>
        <w:tc>
          <w:tcPr>
            <w:tcW w:w="71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f2be3f6b64cd442893998ecc8d87de53_22">
              <w:r>
                <w:rPr>
                  <w:rStyle w:val="InternetLink"/>
                  <w:rFonts w:ascii="Arial;sans-serif" w:hAnsi="Arial;sans-serif"/>
                  <w:b w:val="false"/>
                  <w:color w:val="0000FF"/>
                  <w:sz w:val="20"/>
                  <w:u w:val="single"/>
                </w:rPr>
                <w:t>3</w:t>
              </w:r>
            </w:hyperlink>
          </w:p>
        </w:tc>
      </w:tr>
      <w:tr>
        <w:trPr/>
        <w:tc>
          <w:tcPr>
            <w:tcW w:w="7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1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1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f2be3f6b64cd442893998ecc8d87de53_25">
              <w:r>
                <w:rPr>
                  <w:rStyle w:val="InternetLink"/>
                </w:rPr>
                <w:t xml:space="preserve">Consolidated Statements of Stockholder's Equity - Three </w:t>
              </w:r>
            </w:hyperlink>
            <w:hyperlink w:anchor="if2be3f6b64cd442893998ecc8d87de53_25">
              <w:r>
                <w:rPr>
                  <w:rStyle w:val="InternetLink"/>
                </w:rPr>
                <w:t xml:space="preserve">and six </w:t>
              </w:r>
            </w:hyperlink>
            <w:hyperlink w:anchor="if2be3f6b64cd442893998ecc8d87de53_25">
              <w:r>
                <w:rPr>
                  <w:rStyle w:val="InternetLink"/>
                </w:rPr>
                <w:t xml:space="preserve">months ended </w:t>
              </w:r>
            </w:hyperlink>
            <w:hyperlink w:anchor="if2be3f6b64cd442893998ecc8d87de53_25">
              <w:r>
                <w:rPr>
                  <w:rStyle w:val="InternetLink"/>
                </w:rPr>
                <w:t>March 26, 2023</w:t>
              </w:r>
            </w:hyperlink>
            <w:hyperlink w:anchor="if2be3f6b64cd442893998ecc8d87de53_25">
              <w:r>
                <w:rPr>
                  <w:rStyle w:val="InternetLink"/>
                </w:rPr>
                <w:t>, and</w:t>
              </w:r>
            </w:hyperlink>
            <w:hyperlink w:anchor="if2be3f6b64cd442893998ecc8d87de53_25">
              <w:r>
                <w:rPr>
                  <w:rStyle w:val="InternetLink"/>
                </w:rPr>
                <w:t xml:space="preserve"> March 27, 2022</w:t>
              </w:r>
            </w:hyperlink>
          </w:p>
        </w:tc>
        <w:tc>
          <w:tcPr>
            <w:tcW w:w="71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f2be3f6b64cd442893998ecc8d87de53_25">
              <w:r>
                <w:rPr>
                  <w:rStyle w:val="InternetLink"/>
                  <w:rFonts w:ascii="Arial;sans-serif" w:hAnsi="Arial;sans-serif"/>
                  <w:b w:val="false"/>
                  <w:color w:val="0000FF"/>
                  <w:sz w:val="20"/>
                  <w:u w:val="single"/>
                </w:rPr>
                <w:t>4</w:t>
              </w:r>
            </w:hyperlink>
          </w:p>
        </w:tc>
      </w:tr>
      <w:tr>
        <w:trPr/>
        <w:tc>
          <w:tcPr>
            <w:tcW w:w="7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1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1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f2be3f6b64cd442893998ecc8d87de53_28">
              <w:r>
                <w:rPr>
                  <w:rStyle w:val="InternetLink"/>
                </w:rPr>
                <w:t xml:space="preserve">Consolidated Statements of Cash Flows - </w:t>
              </w:r>
            </w:hyperlink>
            <w:hyperlink w:anchor="if2be3f6b64cd442893998ecc8d87de53_28">
              <w:r>
                <w:rPr>
                  <w:rStyle w:val="InternetLink"/>
                </w:rPr>
                <w:t xml:space="preserve">Six </w:t>
              </w:r>
            </w:hyperlink>
            <w:hyperlink w:anchor="if2be3f6b64cd442893998ecc8d87de53_28">
              <w:r>
                <w:rPr>
                  <w:rStyle w:val="InternetLink"/>
                </w:rPr>
                <w:t xml:space="preserve">months ended </w:t>
              </w:r>
            </w:hyperlink>
            <w:hyperlink w:anchor="if2be3f6b64cd442893998ecc8d87de53_28">
              <w:r>
                <w:rPr>
                  <w:rStyle w:val="InternetLink"/>
                </w:rPr>
                <w:t>March 26, 2</w:t>
              </w:r>
            </w:hyperlink>
            <w:hyperlink w:anchor="if2be3f6b64cd442893998ecc8d87de53_28">
              <w:r>
                <w:rPr>
                  <w:rStyle w:val="InternetLink"/>
                </w:rPr>
                <w:t>023</w:t>
              </w:r>
            </w:hyperlink>
            <w:hyperlink w:anchor="if2be3f6b64cd442893998ecc8d87de53_28">
              <w:r>
                <w:rPr>
                  <w:rStyle w:val="InternetLink"/>
                </w:rPr>
                <w:t>, and</w:t>
              </w:r>
            </w:hyperlink>
            <w:hyperlink w:anchor="if2be3f6b64cd442893998ecc8d87de53_28">
              <w:r>
                <w:rPr>
                  <w:rStyle w:val="InternetLink"/>
                </w:rPr>
                <w:t xml:space="preserve"> March 27, 202</w:t>
              </w:r>
            </w:hyperlink>
            <w:hyperlink w:anchor="if2be3f6b64cd442893998ecc8d87de53_28">
              <w:r>
                <w:rPr>
                  <w:rStyle w:val="InternetLink"/>
                </w:rPr>
                <w:t>2</w:t>
              </w:r>
            </w:hyperlink>
          </w:p>
        </w:tc>
        <w:tc>
          <w:tcPr>
            <w:tcW w:w="71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f2be3f6b64cd442893998ecc8d87de53_28">
              <w:r>
                <w:rPr>
                  <w:rStyle w:val="InternetLink"/>
                  <w:rFonts w:ascii="Arial;sans-serif" w:hAnsi="Arial;sans-serif"/>
                  <w:b w:val="false"/>
                  <w:color w:val="0000FF"/>
                  <w:sz w:val="20"/>
                  <w:u w:val="single"/>
                </w:rPr>
                <w:t>6</w:t>
              </w:r>
            </w:hyperlink>
          </w:p>
        </w:tc>
      </w:tr>
      <w:tr>
        <w:trPr/>
        <w:tc>
          <w:tcPr>
            <w:tcW w:w="7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1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1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f2be3f6b64cd442893998ecc8d87de53_31">
              <w:r>
                <w:rPr>
                  <w:rStyle w:val="InternetLink"/>
                  <w:rFonts w:ascii="Arial;sans-serif" w:hAnsi="Arial;sans-serif"/>
                  <w:b w:val="false"/>
                  <w:color w:val="0000FF"/>
                  <w:sz w:val="20"/>
                  <w:u w:val="single"/>
                </w:rPr>
                <w:t>Notes to Consolidated Financial Statements</w:t>
              </w:r>
            </w:hyperlink>
          </w:p>
        </w:tc>
        <w:tc>
          <w:tcPr>
            <w:tcW w:w="71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f2be3f6b64cd442893998ecc8d87de53_31">
              <w:r>
                <w:rPr>
                  <w:rStyle w:val="InternetLink"/>
                  <w:rFonts w:ascii="Arial;sans-serif" w:hAnsi="Arial;sans-serif"/>
                  <w:b w:val="false"/>
                  <w:color w:val="0000FF"/>
                  <w:sz w:val="20"/>
                  <w:u w:val="single"/>
                </w:rPr>
                <w:t>7</w:t>
              </w:r>
            </w:hyperlink>
          </w:p>
        </w:tc>
      </w:tr>
      <w:tr>
        <w:trPr/>
        <w:tc>
          <w:tcPr>
            <w:tcW w:w="7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1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f2be3f6b64cd442893998ecc8d87de53_61">
              <w:r>
                <w:rPr>
                  <w:rStyle w:val="InternetLink"/>
                  <w:rFonts w:ascii="Arial;sans-serif" w:hAnsi="Arial;sans-serif"/>
                  <w:b w:val="false"/>
                  <w:strike w:val="false"/>
                  <w:dstrike w:val="false"/>
                  <w:color w:val="000000"/>
                  <w:sz w:val="20"/>
                  <w:u w:val="none"/>
                  <w:effect w:val="none"/>
                </w:rPr>
                <w:t>Item 2.</w:t>
              </w:r>
            </w:hyperlink>
          </w:p>
        </w:tc>
        <w:tc>
          <w:tcPr>
            <w:tcW w:w="771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f2be3f6b64cd442893998ecc8d87de53_61">
              <w:r>
                <w:rPr>
                  <w:rStyle w:val="InternetLink"/>
                  <w:rFonts w:ascii="Arial;sans-serif" w:hAnsi="Arial;sans-serif"/>
                  <w:b w:val="false"/>
                  <w:color w:val="0000FF"/>
                  <w:sz w:val="20"/>
                  <w:u w:val="single"/>
                </w:rPr>
                <w:t>Management's Discussion and Analysis of Financial Condition and Results of Operations</w:t>
              </w:r>
            </w:hyperlink>
          </w:p>
        </w:tc>
        <w:tc>
          <w:tcPr>
            <w:tcW w:w="71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f2be3f6b64cd442893998ecc8d87de53_61">
              <w:r>
                <w:rPr>
                  <w:rStyle w:val="InternetLink"/>
                  <w:rFonts w:ascii="Arial;sans-serif" w:hAnsi="Arial;sans-serif"/>
                  <w:b w:val="false"/>
                  <w:color w:val="0000FF"/>
                  <w:sz w:val="20"/>
                  <w:u w:val="single"/>
                </w:rPr>
                <w:t>12</w:t>
              </w:r>
            </w:hyperlink>
          </w:p>
        </w:tc>
      </w:tr>
      <w:tr>
        <w:trPr/>
        <w:tc>
          <w:tcPr>
            <w:tcW w:w="7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1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494" w:type="dxa"/>
            <w:gridSpan w:val="9"/>
            <w:tcBorders/>
            <w:shd w:fill="auto" w:val="clear"/>
            <w:tcMar>
              <w:top w:w="0" w:type="dxa"/>
              <w:left w:w="0" w:type="dxa"/>
              <w:bottom w:w="0" w:type="dxa"/>
              <w:right w:w="0" w:type="dxa"/>
            </w:tcMar>
            <w:vAlign w:val="center"/>
          </w:tcPr>
          <w:p>
            <w:pPr>
              <w:pStyle w:val="TableContents"/>
              <w:spacing w:lineRule="auto" w:line="240" w:before="0" w:after="0"/>
              <w:jc w:val="left"/>
              <w:rPr/>
            </w:pPr>
            <w:hyperlink w:anchor="if2be3f6b64cd442893998ecc8d87de53_10">
              <w:r>
                <w:rPr>
                  <w:rStyle w:val="InternetLink"/>
                  <w:rFonts w:ascii="Arial;sans-serif" w:hAnsi="Arial;sans-serif"/>
                  <w:b w:val="false"/>
                  <w:color w:val="0000FF"/>
                  <w:sz w:val="20"/>
                  <w:u w:val="single"/>
                </w:rPr>
                <w:t>FORWARD LOOKING STATEMENTS</w:t>
              </w:r>
            </w:hyperlink>
          </w:p>
        </w:tc>
        <w:tc>
          <w:tcPr>
            <w:tcW w:w="71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f2be3f6b64cd442893998ecc8d87de53_10">
              <w:r>
                <w:rPr>
                  <w:rStyle w:val="InternetLink"/>
                  <w:rFonts w:ascii="Arial;sans-serif" w:hAnsi="Arial;sans-serif"/>
                  <w:b w:val="false"/>
                  <w:color w:val="0000FF"/>
                  <w:sz w:val="20"/>
                  <w:u w:val="single"/>
                </w:rPr>
                <w:t>21</w:t>
              </w:r>
            </w:hyperlink>
          </w:p>
        </w:tc>
      </w:tr>
      <w:tr>
        <w:trPr/>
        <w:tc>
          <w:tcPr>
            <w:tcW w:w="7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1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f2be3f6b64cd442893998ecc8d87de53_88">
              <w:r>
                <w:rPr>
                  <w:rStyle w:val="InternetLink"/>
                  <w:rFonts w:ascii="Arial;sans-serif" w:hAnsi="Arial;sans-serif"/>
                  <w:b w:val="false"/>
                  <w:strike w:val="false"/>
                  <w:dstrike w:val="false"/>
                  <w:color w:val="000000"/>
                  <w:sz w:val="20"/>
                  <w:u w:val="none"/>
                  <w:effect w:val="none"/>
                </w:rPr>
                <w:t>Item 3.</w:t>
              </w:r>
            </w:hyperlink>
          </w:p>
        </w:tc>
        <w:tc>
          <w:tcPr>
            <w:tcW w:w="771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f2be3f6b64cd442893998ecc8d87de53_88">
              <w:r>
                <w:rPr>
                  <w:rStyle w:val="InternetLink"/>
                  <w:rFonts w:ascii="Arial;sans-serif" w:hAnsi="Arial;sans-serif"/>
                  <w:b w:val="false"/>
                  <w:color w:val="0000FF"/>
                  <w:sz w:val="20"/>
                  <w:u w:val="single"/>
                </w:rPr>
                <w:t>Quantitative and Qualitative Disclosures About Market Risk</w:t>
              </w:r>
            </w:hyperlink>
          </w:p>
        </w:tc>
        <w:tc>
          <w:tcPr>
            <w:tcW w:w="71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f2be3f6b64cd442893998ecc8d87de53_88">
              <w:r>
                <w:rPr>
                  <w:rStyle w:val="InternetLink"/>
                  <w:rFonts w:ascii="Arial;sans-serif" w:hAnsi="Arial;sans-serif"/>
                  <w:b w:val="false"/>
                  <w:color w:val="0000FF"/>
                  <w:sz w:val="20"/>
                  <w:u w:val="single"/>
                </w:rPr>
                <w:t>21</w:t>
              </w:r>
            </w:hyperlink>
          </w:p>
        </w:tc>
      </w:tr>
      <w:tr>
        <w:trPr/>
        <w:tc>
          <w:tcPr>
            <w:tcW w:w="7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1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f2be3f6b64cd442893998ecc8d87de53_91">
              <w:r>
                <w:rPr>
                  <w:rStyle w:val="InternetLink"/>
                  <w:rFonts w:ascii="Arial;sans-serif" w:hAnsi="Arial;sans-serif"/>
                  <w:b w:val="false"/>
                  <w:strike w:val="false"/>
                  <w:dstrike w:val="false"/>
                  <w:color w:val="000000"/>
                  <w:sz w:val="20"/>
                  <w:u w:val="none"/>
                  <w:effect w:val="none"/>
                </w:rPr>
                <w:t>Item 4.</w:t>
              </w:r>
            </w:hyperlink>
          </w:p>
        </w:tc>
        <w:tc>
          <w:tcPr>
            <w:tcW w:w="771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f2be3f6b64cd442893998ecc8d87de53_91">
              <w:r>
                <w:rPr>
                  <w:rStyle w:val="InternetLink"/>
                  <w:rFonts w:ascii="Arial;sans-serif" w:hAnsi="Arial;sans-serif"/>
                  <w:b w:val="false"/>
                  <w:color w:val="0000FF"/>
                  <w:sz w:val="20"/>
                  <w:u w:val="single"/>
                </w:rPr>
                <w:t>Controls and Procedures</w:t>
              </w:r>
            </w:hyperlink>
          </w:p>
        </w:tc>
        <w:tc>
          <w:tcPr>
            <w:tcW w:w="71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f2be3f6b64cd442893998ecc8d87de53_91">
              <w:r>
                <w:rPr>
                  <w:rStyle w:val="InternetLink"/>
                  <w:rFonts w:ascii="Arial;sans-serif" w:hAnsi="Arial;sans-serif"/>
                  <w:b w:val="false"/>
                  <w:color w:val="0000FF"/>
                  <w:sz w:val="20"/>
                  <w:u w:val="single"/>
                </w:rPr>
                <w:t>22</w:t>
              </w:r>
            </w:hyperlink>
          </w:p>
        </w:tc>
      </w:tr>
      <w:tr>
        <w:trPr/>
        <w:tc>
          <w:tcPr>
            <w:tcW w:w="7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1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f2be3f6b64cd442893998ecc8d87de53_94">
              <w:r>
                <w:rPr>
                  <w:rStyle w:val="InternetLink"/>
                  <w:rFonts w:ascii="Arial;sans-serif" w:hAnsi="Arial;sans-serif"/>
                  <w:b w:val="false"/>
                  <w:strike w:val="false"/>
                  <w:dstrike w:val="false"/>
                  <w:color w:val="000000"/>
                  <w:sz w:val="20"/>
                  <w:u w:val="none"/>
                  <w:effect w:val="none"/>
                </w:rPr>
                <w:t>PART II</w:t>
              </w:r>
            </w:hyperlink>
          </w:p>
        </w:tc>
        <w:tc>
          <w:tcPr>
            <w:tcW w:w="8744" w:type="dxa"/>
            <w:gridSpan w:val="6"/>
            <w:tcBorders/>
            <w:shd w:fill="auto" w:val="clear"/>
            <w:tcMar>
              <w:top w:w="0" w:type="dxa"/>
              <w:left w:w="0" w:type="dxa"/>
              <w:bottom w:w="0" w:type="dxa"/>
              <w:right w:w="0" w:type="dxa"/>
            </w:tcMar>
            <w:vAlign w:val="center"/>
          </w:tcPr>
          <w:p>
            <w:pPr>
              <w:pStyle w:val="TableContents"/>
              <w:spacing w:lineRule="auto" w:line="240" w:before="0" w:after="0"/>
              <w:jc w:val="left"/>
              <w:rPr/>
            </w:pPr>
            <w:hyperlink w:anchor="if2be3f6b64cd442893998ecc8d87de53_94">
              <w:r>
                <w:rPr>
                  <w:rStyle w:val="InternetLink"/>
                  <w:rFonts w:ascii="Arial;sans-serif" w:hAnsi="Arial;sans-serif"/>
                  <w:b w:val="false"/>
                  <w:color w:val="0000FF"/>
                  <w:sz w:val="20"/>
                  <w:u w:val="single"/>
                </w:rPr>
                <w:t>OTHER INFORMATION</w:t>
              </w:r>
            </w:hyperlink>
          </w:p>
        </w:tc>
        <w:tc>
          <w:tcPr>
            <w:tcW w:w="71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f2be3f6b64cd442893998ecc8d87de53_94">
              <w:r>
                <w:rPr>
                  <w:rStyle w:val="InternetLink"/>
                  <w:rFonts w:ascii="Arial;sans-serif" w:hAnsi="Arial;sans-serif"/>
                  <w:b w:val="false"/>
                  <w:color w:val="0000FF"/>
                  <w:sz w:val="20"/>
                  <w:u w:val="single"/>
                </w:rPr>
                <w:t>23</w:t>
              </w:r>
            </w:hyperlink>
          </w:p>
        </w:tc>
      </w:tr>
      <w:tr>
        <w:trPr/>
        <w:tc>
          <w:tcPr>
            <w:tcW w:w="7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1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f2be3f6b64cd442893998ecc8d87de53_97">
              <w:r>
                <w:rPr>
                  <w:rStyle w:val="InternetLink"/>
                  <w:rFonts w:ascii="Arial;sans-serif" w:hAnsi="Arial;sans-serif"/>
                  <w:b w:val="false"/>
                  <w:strike w:val="false"/>
                  <w:dstrike w:val="false"/>
                  <w:color w:val="000000"/>
                  <w:sz w:val="20"/>
                  <w:u w:val="none"/>
                  <w:effect w:val="none"/>
                </w:rPr>
                <w:t>Item 1.</w:t>
              </w:r>
            </w:hyperlink>
          </w:p>
        </w:tc>
        <w:tc>
          <w:tcPr>
            <w:tcW w:w="771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f2be3f6b64cd442893998ecc8d87de53_97">
              <w:r>
                <w:rPr>
                  <w:rStyle w:val="InternetLink"/>
                  <w:rFonts w:ascii="Arial;sans-serif" w:hAnsi="Arial;sans-serif"/>
                  <w:b w:val="false"/>
                  <w:color w:val="0000FF"/>
                  <w:sz w:val="20"/>
                  <w:u w:val="single"/>
                </w:rPr>
                <w:t>Legal Proceedings</w:t>
              </w:r>
            </w:hyperlink>
          </w:p>
        </w:tc>
        <w:tc>
          <w:tcPr>
            <w:tcW w:w="71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f2be3f6b64cd442893998ecc8d87de53_97">
              <w:r>
                <w:rPr>
                  <w:rStyle w:val="InternetLink"/>
                  <w:rFonts w:ascii="Arial;sans-serif" w:hAnsi="Arial;sans-serif"/>
                  <w:b w:val="false"/>
                  <w:color w:val="0000FF"/>
                  <w:sz w:val="20"/>
                  <w:u w:val="single"/>
                </w:rPr>
                <w:t>23</w:t>
              </w:r>
            </w:hyperlink>
          </w:p>
        </w:tc>
      </w:tr>
      <w:tr>
        <w:trPr/>
        <w:tc>
          <w:tcPr>
            <w:tcW w:w="7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1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f2be3f6b64cd442893998ecc8d87de53_100">
              <w:r>
                <w:rPr>
                  <w:rStyle w:val="InternetLink"/>
                  <w:rFonts w:ascii="Arial;sans-serif" w:hAnsi="Arial;sans-serif"/>
                  <w:b w:val="false"/>
                  <w:strike w:val="false"/>
                  <w:dstrike w:val="false"/>
                  <w:color w:val="000000"/>
                  <w:sz w:val="20"/>
                  <w:u w:val="none"/>
                  <w:effect w:val="none"/>
                </w:rPr>
                <w:t>Item 1.A.</w:t>
              </w:r>
            </w:hyperlink>
          </w:p>
        </w:tc>
        <w:tc>
          <w:tcPr>
            <w:tcW w:w="771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f2be3f6b64cd442893998ecc8d87de53_100">
              <w:r>
                <w:rPr>
                  <w:rStyle w:val="InternetLink"/>
                  <w:rFonts w:ascii="Arial;sans-serif" w:hAnsi="Arial;sans-serif"/>
                  <w:b w:val="false"/>
                  <w:color w:val="0000FF"/>
                  <w:sz w:val="20"/>
                  <w:u w:val="single"/>
                </w:rPr>
                <w:t>Risk Factors</w:t>
              </w:r>
            </w:hyperlink>
          </w:p>
        </w:tc>
        <w:tc>
          <w:tcPr>
            <w:tcW w:w="71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f2be3f6b64cd442893998ecc8d87de53_100">
              <w:r>
                <w:rPr>
                  <w:rStyle w:val="InternetLink"/>
                  <w:rFonts w:ascii="Arial;sans-serif" w:hAnsi="Arial;sans-serif"/>
                  <w:b w:val="false"/>
                  <w:color w:val="0000FF"/>
                  <w:sz w:val="20"/>
                  <w:u w:val="single"/>
                </w:rPr>
                <w:t>23</w:t>
              </w:r>
            </w:hyperlink>
          </w:p>
        </w:tc>
      </w:tr>
      <w:tr>
        <w:trPr/>
        <w:tc>
          <w:tcPr>
            <w:tcW w:w="7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1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f2be3f6b64cd442893998ecc8d87de53_103">
              <w:r>
                <w:rPr>
                  <w:rStyle w:val="InternetLink"/>
                  <w:rFonts w:ascii="Arial;sans-serif" w:hAnsi="Arial;sans-serif"/>
                  <w:b w:val="false"/>
                  <w:strike w:val="false"/>
                  <w:dstrike w:val="false"/>
                  <w:color w:val="000000"/>
                  <w:sz w:val="20"/>
                  <w:u w:val="none"/>
                  <w:effect w:val="none"/>
                </w:rPr>
                <w:t>Item 6.</w:t>
              </w:r>
            </w:hyperlink>
          </w:p>
        </w:tc>
        <w:tc>
          <w:tcPr>
            <w:tcW w:w="771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f2be3f6b64cd442893998ecc8d87de53_103">
              <w:r>
                <w:rPr>
                  <w:rStyle w:val="InternetLink"/>
                  <w:rFonts w:ascii="Arial;sans-serif" w:hAnsi="Arial;sans-serif"/>
                  <w:b w:val="false"/>
                  <w:color w:val="0000FF"/>
                  <w:sz w:val="20"/>
                  <w:u w:val="single"/>
                </w:rPr>
                <w:t>Exhibits</w:t>
              </w:r>
            </w:hyperlink>
          </w:p>
        </w:tc>
        <w:tc>
          <w:tcPr>
            <w:tcW w:w="71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f2be3f6b64cd442893998ecc8d87de53_103">
              <w:r>
                <w:rPr>
                  <w:rStyle w:val="InternetLink"/>
                  <w:rFonts w:ascii="Arial;sans-serif" w:hAnsi="Arial;sans-serif"/>
                  <w:b w:val="false"/>
                  <w:color w:val="0000FF"/>
                  <w:sz w:val="20"/>
                  <w:u w:val="single"/>
                </w:rPr>
                <w:t>23</w:t>
              </w:r>
            </w:hyperlink>
          </w:p>
        </w:tc>
      </w:tr>
      <w:tr>
        <w:trPr/>
        <w:tc>
          <w:tcPr>
            <w:tcW w:w="7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1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82" w:type="dxa"/>
            <w:gridSpan w:val="6"/>
            <w:tcBorders/>
            <w:shd w:fill="auto" w:val="clear"/>
            <w:tcMar>
              <w:top w:w="0" w:type="dxa"/>
              <w:left w:w="0" w:type="dxa"/>
              <w:bottom w:w="0" w:type="dxa"/>
              <w:right w:w="0" w:type="dxa"/>
            </w:tcMar>
            <w:vAlign w:val="center"/>
          </w:tcPr>
          <w:p>
            <w:pPr>
              <w:pStyle w:val="TableContents"/>
              <w:spacing w:lineRule="auto" w:line="240" w:before="0" w:after="0"/>
              <w:jc w:val="left"/>
              <w:rPr/>
            </w:pPr>
            <w:hyperlink w:anchor="if2be3f6b64cd442893998ecc8d87de53_106">
              <w:r>
                <w:rPr>
                  <w:rStyle w:val="InternetLink"/>
                  <w:rFonts w:ascii="Arial;sans-serif" w:hAnsi="Arial;sans-serif"/>
                  <w:b w:val="false"/>
                  <w:color w:val="0000FF"/>
                  <w:sz w:val="20"/>
                  <w:u w:val="single"/>
                </w:rPr>
                <w:t>SIGNATURES</w:t>
              </w:r>
            </w:hyperlink>
          </w:p>
        </w:tc>
        <w:tc>
          <w:tcPr>
            <w:tcW w:w="771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f2be3f6b64cd442893998ecc8d87de53_106">
              <w:r>
                <w:rPr>
                  <w:rStyle w:val="InternetLink"/>
                  <w:rFonts w:ascii="Arial;sans-serif" w:hAnsi="Arial;sans-serif"/>
                  <w:b w:val="false"/>
                  <w:color w:val="0000FF"/>
                  <w:sz w:val="20"/>
                  <w:u w:val="single"/>
                </w:rPr>
                <w:t>24</w:t>
              </w:r>
            </w:hyperlink>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before="0" w:after="0"/>
        <w:rPr/>
      </w:pPr>
      <w:r>
        <w:rPr/>
      </w:r>
    </w:p>
    <w:p>
      <w:pPr>
        <w:pStyle w:val="TextBody"/>
        <w:spacing w:lineRule="auto" w:line="288" w:before="200" w:after="283"/>
        <w:jc w:val="center"/>
        <w:rPr>
          <w:rFonts w:ascii="Arial;sans-serif" w:hAnsi="Arial;sans-serif"/>
          <w:b/>
          <w:color w:val="000000"/>
          <w:sz w:val="20"/>
        </w:rPr>
      </w:pPr>
      <w:r>
        <w:rPr>
          <w:rFonts w:ascii="Arial;sans-serif" w:hAnsi="Arial;sans-serif"/>
          <w:b/>
          <w:color w:val="000000"/>
          <w:sz w:val="20"/>
        </w:rPr>
        <w:t>PART I</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FINANCIAL INFORMATION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83"/>
        <w:ind w:left="0" w:right="0" w:hanging="720"/>
        <w:rPr>
          <w:rFonts w:ascii="Arial;sans-serif" w:hAnsi="Arial;sans-serif"/>
          <w:b/>
          <w:color w:val="000000"/>
          <w:sz w:val="20"/>
        </w:rPr>
      </w:pPr>
      <w:r>
        <w:rPr>
          <w:rFonts w:ascii="Arial;sans-serif" w:hAnsi="Arial;sans-serif"/>
          <w:b/>
          <w:color w:val="000000"/>
          <w:sz w:val="20"/>
        </w:rPr>
        <w:t>Item 1.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83"/>
        <w:jc w:val="center"/>
        <w:rPr>
          <w:rFonts w:ascii="Arial;sans-serif" w:hAnsi="Arial;sans-serif"/>
          <w:b/>
          <w:color w:val="000000"/>
          <w:sz w:val="20"/>
        </w:rPr>
      </w:pPr>
      <w:r>
        <w:rPr>
          <w:rFonts w:ascii="Arial;sans-serif" w:hAnsi="Arial;sans-serif"/>
          <w:b/>
          <w:color w:val="000000"/>
          <w:sz w:val="20"/>
        </w:rPr>
        <w:t>LEE ENTERPRISES, INCORPORATED</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CONSOLIDATED BALANCE SHEETS</w:t>
      </w:r>
    </w:p>
    <w:tbl>
      <w:tblPr>
        <w:tblW w:w="6768" w:type="dxa"/>
        <w:jc w:val="left"/>
        <w:tblInd w:w="0" w:type="dxa"/>
        <w:tblCellMar>
          <w:top w:w="28" w:type="dxa"/>
          <w:left w:w="28" w:type="dxa"/>
          <w:bottom w:w="28" w:type="dxa"/>
          <w:right w:w="28" w:type="dxa"/>
        </w:tblCellMar>
      </w:tblPr>
      <w:tblGrid>
        <w:gridCol w:w="1471"/>
        <w:gridCol w:w="1292"/>
        <w:gridCol w:w="1301"/>
        <w:gridCol w:w="427"/>
        <w:gridCol w:w="429"/>
        <w:gridCol w:w="366"/>
        <w:gridCol w:w="475"/>
        <w:gridCol w:w="417"/>
        <w:gridCol w:w="590"/>
      </w:tblGrid>
      <w:tr>
        <w:trPr/>
        <w:tc>
          <w:tcPr>
            <w:tcW w:w="1471" w:type="dxa"/>
            <w:tcBorders/>
            <w:shd w:fill="auto" w:val="clear"/>
            <w:vAlign w:val="center"/>
          </w:tcPr>
          <w:p>
            <w:pPr>
              <w:pStyle w:val="TableContents"/>
              <w:spacing w:before="0" w:after="283"/>
              <w:rPr>
                <w:sz w:val="4"/>
                <w:szCs w:val="4"/>
              </w:rPr>
            </w:pPr>
            <w:r>
              <w:rPr>
                <w:sz w:val="4"/>
                <w:szCs w:val="4"/>
              </w:rPr>
            </w:r>
          </w:p>
        </w:tc>
        <w:tc>
          <w:tcPr>
            <w:tcW w:w="1292" w:type="dxa"/>
            <w:tcBorders/>
            <w:shd w:fill="auto" w:val="clear"/>
            <w:vAlign w:val="center"/>
          </w:tcPr>
          <w:p>
            <w:pPr>
              <w:pStyle w:val="TableContents"/>
              <w:spacing w:before="0" w:after="283"/>
              <w:rPr>
                <w:sz w:val="4"/>
                <w:szCs w:val="4"/>
              </w:rPr>
            </w:pPr>
            <w:r>
              <w:rPr>
                <w:sz w:val="4"/>
                <w:szCs w:val="4"/>
              </w:rPr>
            </w:r>
          </w:p>
        </w:tc>
        <w:tc>
          <w:tcPr>
            <w:tcW w:w="1301" w:type="dxa"/>
            <w:tcBorders/>
            <w:shd w:fill="auto" w:val="clear"/>
            <w:vAlign w:val="center"/>
          </w:tcPr>
          <w:p>
            <w:pPr>
              <w:pStyle w:val="TableContents"/>
              <w:spacing w:before="0" w:after="283"/>
              <w:rPr>
                <w:sz w:val="4"/>
                <w:szCs w:val="4"/>
              </w:rPr>
            </w:pPr>
            <w:r>
              <w:rPr>
                <w:sz w:val="4"/>
                <w:szCs w:val="4"/>
              </w:rPr>
            </w:r>
          </w:p>
        </w:tc>
        <w:tc>
          <w:tcPr>
            <w:tcW w:w="427" w:type="dxa"/>
            <w:tcBorders/>
            <w:shd w:fill="auto" w:val="clear"/>
            <w:vAlign w:val="center"/>
          </w:tcPr>
          <w:p>
            <w:pPr>
              <w:pStyle w:val="TableContents"/>
              <w:spacing w:before="0" w:after="283"/>
              <w:rPr>
                <w:sz w:val="4"/>
                <w:szCs w:val="4"/>
              </w:rPr>
            </w:pPr>
            <w:r>
              <w:rPr>
                <w:sz w:val="4"/>
                <w:szCs w:val="4"/>
              </w:rPr>
            </w:r>
          </w:p>
        </w:tc>
        <w:tc>
          <w:tcPr>
            <w:tcW w:w="429" w:type="dxa"/>
            <w:tcBorders/>
            <w:shd w:fill="auto" w:val="clear"/>
            <w:vAlign w:val="center"/>
          </w:tcPr>
          <w:p>
            <w:pPr>
              <w:pStyle w:val="TableContents"/>
              <w:spacing w:before="0" w:after="283"/>
              <w:rPr>
                <w:sz w:val="4"/>
                <w:szCs w:val="4"/>
              </w:rPr>
            </w:pPr>
            <w:r>
              <w:rPr>
                <w:sz w:val="4"/>
                <w:szCs w:val="4"/>
              </w:rPr>
            </w:r>
          </w:p>
        </w:tc>
        <w:tc>
          <w:tcPr>
            <w:tcW w:w="366" w:type="dxa"/>
            <w:tcBorders/>
            <w:shd w:fill="auto" w:val="clear"/>
            <w:vAlign w:val="center"/>
          </w:tcPr>
          <w:p>
            <w:pPr>
              <w:pStyle w:val="TableContents"/>
              <w:spacing w:before="0" w:after="283"/>
              <w:rPr>
                <w:sz w:val="4"/>
                <w:szCs w:val="4"/>
              </w:rPr>
            </w:pPr>
            <w:r>
              <w:rPr>
                <w:sz w:val="4"/>
                <w:szCs w:val="4"/>
              </w:rPr>
            </w:r>
          </w:p>
        </w:tc>
        <w:tc>
          <w:tcPr>
            <w:tcW w:w="475" w:type="dxa"/>
            <w:tcBorders/>
            <w:shd w:fill="auto" w:val="clear"/>
            <w:vAlign w:val="center"/>
          </w:tcPr>
          <w:p>
            <w:pPr>
              <w:pStyle w:val="TableContents"/>
              <w:spacing w:before="0" w:after="283"/>
              <w:rPr>
                <w:sz w:val="4"/>
                <w:szCs w:val="4"/>
              </w:rPr>
            </w:pPr>
            <w:r>
              <w:rPr>
                <w:sz w:val="4"/>
                <w:szCs w:val="4"/>
              </w:rPr>
            </w:r>
          </w:p>
        </w:tc>
        <w:tc>
          <w:tcPr>
            <w:tcW w:w="417" w:type="dxa"/>
            <w:tcBorders/>
            <w:shd w:fill="auto" w:val="clear"/>
            <w:vAlign w:val="center"/>
          </w:tcPr>
          <w:p>
            <w:pPr>
              <w:pStyle w:val="TableContents"/>
              <w:spacing w:before="0" w:after="283"/>
              <w:rPr>
                <w:sz w:val="4"/>
                <w:szCs w:val="4"/>
              </w:rPr>
            </w:pPr>
            <w:r>
              <w:rPr>
                <w:sz w:val="4"/>
                <w:szCs w:val="4"/>
              </w:rPr>
            </w:r>
          </w:p>
        </w:tc>
        <w:tc>
          <w:tcPr>
            <w:tcW w:w="590" w:type="dxa"/>
            <w:tcBorders/>
            <w:shd w:fill="auto" w:val="clear"/>
            <w:vAlign w:val="center"/>
          </w:tcPr>
          <w:p>
            <w:pPr>
              <w:pStyle w:val="TableContents"/>
              <w:spacing w:before="0" w:after="283"/>
              <w:rPr>
                <w:sz w:val="4"/>
                <w:szCs w:val="4"/>
              </w:rPr>
            </w:pPr>
            <w:r>
              <w:rPr>
                <w:sz w:val="4"/>
                <w:szCs w:val="4"/>
              </w:rPr>
            </w:r>
          </w:p>
        </w:tc>
      </w:tr>
      <w:tr>
        <w:trPr/>
        <w:tc>
          <w:tcPr>
            <w:tcW w:w="406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2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(Unaudited)</w:t>
            </w:r>
          </w:p>
        </w:tc>
        <w:tc>
          <w:tcPr>
            <w:tcW w:w="148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06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(Thousands of Dollars)</w:t>
            </w:r>
          </w:p>
        </w:tc>
        <w:tc>
          <w:tcPr>
            <w:tcW w:w="122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March 26,</w:t>
              <w:br/>
              <w:t>2023</w:t>
            </w:r>
          </w:p>
        </w:tc>
        <w:tc>
          <w:tcPr>
            <w:tcW w:w="148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September 25,</w:t>
              <w:br/>
              <w:t>2022</w:t>
            </w:r>
          </w:p>
        </w:tc>
      </w:tr>
      <w:tr>
        <w:trPr/>
        <w:tc>
          <w:tcPr>
            <w:tcW w:w="406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2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8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ASSETS</w:t>
            </w:r>
          </w:p>
        </w:tc>
        <w:tc>
          <w:tcPr>
            <w:tcW w:w="122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Current assets:</w:t>
            </w:r>
          </w:p>
        </w:tc>
        <w:tc>
          <w:tcPr>
            <w:tcW w:w="122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and cash equivalents</w:t>
            </w:r>
          </w:p>
        </w:tc>
        <w:tc>
          <w:tcPr>
            <w:tcW w:w="8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19,030 </w:t>
            </w:r>
          </w:p>
        </w:tc>
        <w:tc>
          <w:tcPr>
            <w:tcW w:w="3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16,185 </w:t>
            </w:r>
          </w:p>
        </w:tc>
        <w:tc>
          <w:tcPr>
            <w:tcW w:w="59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Accounts receivable and contract assets, net</w:t>
            </w:r>
          </w:p>
        </w:tc>
        <w:tc>
          <w:tcPr>
            <w:tcW w:w="8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67,587 </w:t>
            </w:r>
          </w:p>
        </w:tc>
        <w:tc>
          <w:tcPr>
            <w:tcW w:w="3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69,522 </w:t>
            </w:r>
          </w:p>
        </w:tc>
        <w:tc>
          <w:tcPr>
            <w:tcW w:w="59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Inventories</w:t>
            </w:r>
          </w:p>
        </w:tc>
        <w:tc>
          <w:tcPr>
            <w:tcW w:w="8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10,347 </w:t>
            </w:r>
          </w:p>
        </w:tc>
        <w:tc>
          <w:tcPr>
            <w:tcW w:w="3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8,265 </w:t>
            </w:r>
          </w:p>
        </w:tc>
        <w:tc>
          <w:tcPr>
            <w:tcW w:w="59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Prepaid and other current assets</w:t>
            </w:r>
          </w:p>
        </w:tc>
        <w:tc>
          <w:tcPr>
            <w:tcW w:w="8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13,811 </w:t>
            </w:r>
          </w:p>
        </w:tc>
        <w:tc>
          <w:tcPr>
            <w:tcW w:w="3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15,151 </w:t>
            </w:r>
          </w:p>
        </w:tc>
        <w:tc>
          <w:tcPr>
            <w:tcW w:w="59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64"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current assets</w:t>
            </w:r>
          </w:p>
        </w:tc>
        <w:tc>
          <w:tcPr>
            <w:tcW w:w="85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110,775 </w:t>
            </w:r>
          </w:p>
        </w:tc>
        <w:tc>
          <w:tcPr>
            <w:tcW w:w="36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89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109,123 </w:t>
            </w:r>
          </w:p>
        </w:tc>
        <w:tc>
          <w:tcPr>
            <w:tcW w:w="59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6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Investments:</w:t>
            </w:r>
          </w:p>
        </w:tc>
        <w:tc>
          <w:tcPr>
            <w:tcW w:w="122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48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Associated companies</w:t>
            </w:r>
          </w:p>
        </w:tc>
        <w:tc>
          <w:tcPr>
            <w:tcW w:w="8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28,610 </w:t>
            </w:r>
          </w:p>
        </w:tc>
        <w:tc>
          <w:tcPr>
            <w:tcW w:w="3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27,378 </w:t>
            </w:r>
          </w:p>
        </w:tc>
        <w:tc>
          <w:tcPr>
            <w:tcW w:w="59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w:t>
            </w:r>
          </w:p>
        </w:tc>
        <w:tc>
          <w:tcPr>
            <w:tcW w:w="8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5,813 </w:t>
            </w:r>
          </w:p>
        </w:tc>
        <w:tc>
          <w:tcPr>
            <w:tcW w:w="3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5,971 </w:t>
            </w:r>
          </w:p>
        </w:tc>
        <w:tc>
          <w:tcPr>
            <w:tcW w:w="59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64"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investments</w:t>
            </w:r>
          </w:p>
        </w:tc>
        <w:tc>
          <w:tcPr>
            <w:tcW w:w="85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34,423 </w:t>
            </w:r>
          </w:p>
        </w:tc>
        <w:tc>
          <w:tcPr>
            <w:tcW w:w="36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89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33,349 </w:t>
            </w:r>
          </w:p>
        </w:tc>
        <w:tc>
          <w:tcPr>
            <w:tcW w:w="59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6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Property and equipment:</w:t>
            </w:r>
          </w:p>
        </w:tc>
        <w:tc>
          <w:tcPr>
            <w:tcW w:w="122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48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Land and improvements</w:t>
            </w:r>
          </w:p>
        </w:tc>
        <w:tc>
          <w:tcPr>
            <w:tcW w:w="8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13,945 </w:t>
            </w:r>
          </w:p>
        </w:tc>
        <w:tc>
          <w:tcPr>
            <w:tcW w:w="3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14,505 </w:t>
            </w:r>
          </w:p>
        </w:tc>
        <w:tc>
          <w:tcPr>
            <w:tcW w:w="59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Buildings and improvements</w:t>
            </w:r>
          </w:p>
        </w:tc>
        <w:tc>
          <w:tcPr>
            <w:tcW w:w="8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92,304 </w:t>
            </w:r>
          </w:p>
        </w:tc>
        <w:tc>
          <w:tcPr>
            <w:tcW w:w="3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95,111 </w:t>
            </w:r>
          </w:p>
        </w:tc>
        <w:tc>
          <w:tcPr>
            <w:tcW w:w="59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Equipment</w:t>
            </w:r>
          </w:p>
        </w:tc>
        <w:tc>
          <w:tcPr>
            <w:tcW w:w="8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216,003 </w:t>
            </w:r>
          </w:p>
        </w:tc>
        <w:tc>
          <w:tcPr>
            <w:tcW w:w="3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215,731 </w:t>
            </w:r>
          </w:p>
        </w:tc>
        <w:tc>
          <w:tcPr>
            <w:tcW w:w="59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Construction in process</w:t>
            </w:r>
          </w:p>
        </w:tc>
        <w:tc>
          <w:tcPr>
            <w:tcW w:w="8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2,696 </w:t>
            </w:r>
          </w:p>
        </w:tc>
        <w:tc>
          <w:tcPr>
            <w:tcW w:w="3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1,449 </w:t>
            </w:r>
          </w:p>
        </w:tc>
        <w:tc>
          <w:tcPr>
            <w:tcW w:w="59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64"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324,948 </w:t>
            </w:r>
          </w:p>
        </w:tc>
        <w:tc>
          <w:tcPr>
            <w:tcW w:w="36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89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326,796 </w:t>
            </w:r>
          </w:p>
        </w:tc>
        <w:tc>
          <w:tcPr>
            <w:tcW w:w="59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Less accumulated depreciation</w:t>
            </w:r>
          </w:p>
        </w:tc>
        <w:tc>
          <w:tcPr>
            <w:tcW w:w="8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256,571 </w:t>
            </w:r>
          </w:p>
        </w:tc>
        <w:tc>
          <w:tcPr>
            <w:tcW w:w="3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253,083 </w:t>
            </w:r>
          </w:p>
        </w:tc>
        <w:tc>
          <w:tcPr>
            <w:tcW w:w="59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64"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Property and equipment, net</w:t>
            </w:r>
          </w:p>
        </w:tc>
        <w:tc>
          <w:tcPr>
            <w:tcW w:w="85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68,377 </w:t>
            </w:r>
          </w:p>
        </w:tc>
        <w:tc>
          <w:tcPr>
            <w:tcW w:w="36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89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73,713 </w:t>
            </w:r>
          </w:p>
        </w:tc>
        <w:tc>
          <w:tcPr>
            <w:tcW w:w="59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6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lease right-of-use assets</w:t>
            </w:r>
          </w:p>
        </w:tc>
        <w:tc>
          <w:tcPr>
            <w:tcW w:w="85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46,529 </w:t>
            </w:r>
          </w:p>
        </w:tc>
        <w:tc>
          <w:tcPr>
            <w:tcW w:w="36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89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47,490 </w:t>
            </w:r>
          </w:p>
        </w:tc>
        <w:tc>
          <w:tcPr>
            <w:tcW w:w="59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Goodwill</w:t>
            </w:r>
          </w:p>
        </w:tc>
        <w:tc>
          <w:tcPr>
            <w:tcW w:w="8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329,504 </w:t>
            </w:r>
          </w:p>
        </w:tc>
        <w:tc>
          <w:tcPr>
            <w:tcW w:w="3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329,504 </w:t>
            </w:r>
          </w:p>
        </w:tc>
        <w:tc>
          <w:tcPr>
            <w:tcW w:w="59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intangible assets, net</w:t>
            </w:r>
          </w:p>
        </w:tc>
        <w:tc>
          <w:tcPr>
            <w:tcW w:w="8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111,743 </w:t>
            </w:r>
          </w:p>
        </w:tc>
        <w:tc>
          <w:tcPr>
            <w:tcW w:w="3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121,373 </w:t>
            </w:r>
          </w:p>
        </w:tc>
        <w:tc>
          <w:tcPr>
            <w:tcW w:w="59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Pension plan assets, net</w:t>
            </w:r>
          </w:p>
        </w:tc>
        <w:tc>
          <w:tcPr>
            <w:tcW w:w="8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154 </w:t>
            </w:r>
          </w:p>
        </w:tc>
        <w:tc>
          <w:tcPr>
            <w:tcW w:w="3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528 </w:t>
            </w:r>
          </w:p>
        </w:tc>
        <w:tc>
          <w:tcPr>
            <w:tcW w:w="59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Medical plan assets, net</w:t>
            </w:r>
          </w:p>
        </w:tc>
        <w:tc>
          <w:tcPr>
            <w:tcW w:w="8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19,430 </w:t>
            </w:r>
          </w:p>
        </w:tc>
        <w:tc>
          <w:tcPr>
            <w:tcW w:w="3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19,066 </w:t>
            </w:r>
          </w:p>
        </w:tc>
        <w:tc>
          <w:tcPr>
            <w:tcW w:w="59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w:t>
            </w:r>
          </w:p>
        </w:tc>
        <w:tc>
          <w:tcPr>
            <w:tcW w:w="8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12,158 </w:t>
            </w:r>
          </w:p>
        </w:tc>
        <w:tc>
          <w:tcPr>
            <w:tcW w:w="3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9,896 </w:t>
            </w:r>
          </w:p>
        </w:tc>
        <w:tc>
          <w:tcPr>
            <w:tcW w:w="59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64"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assets</w:t>
            </w:r>
          </w:p>
        </w:tc>
        <w:tc>
          <w:tcPr>
            <w:tcW w:w="85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733,093 </w:t>
            </w:r>
          </w:p>
        </w:tc>
        <w:tc>
          <w:tcPr>
            <w:tcW w:w="3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89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744,042 </w:t>
            </w:r>
          </w:p>
        </w:tc>
        <w:tc>
          <w:tcPr>
            <w:tcW w:w="5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00" w:after="283"/>
        <w:rPr>
          <w:rFonts w:ascii="Arial;sans-serif" w:hAnsi="Arial;sans-serif"/>
          <w:b w:val="false"/>
          <w:color w:val="000000"/>
          <w:sz w:val="20"/>
        </w:rPr>
      </w:pPr>
      <w:r>
        <w:rPr>
          <w:rFonts w:ascii="Arial;sans-serif" w:hAnsi="Arial;sans-serif"/>
          <w:b w:val="false"/>
          <w:color w:val="000000"/>
          <w:sz w:val="20"/>
        </w:rPr>
        <w:t>The accompanying Notes are an integral part of the Consolidated Financial Statements.</w:t>
      </w:r>
    </w:p>
    <w:p>
      <w:pPr>
        <w:pStyle w:val="HorizontalLine"/>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050"/>
                <wp:effectExtent l="0" t="0" r="0" b="0"/>
                <wp:wrapNone/>
                <wp:docPr id="3" name="Frame3"/>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76" w:before="0" w:after="0"/>
                              <w:jc w:val="center"/>
                              <w:rPr>
                                <w:rFonts w:ascii="Arial;sans-serif" w:hAnsi="Arial;sans-serif"/>
                                <w:b w:val="false"/>
                                <w:color w:val="000000"/>
                                <w:sz w:val="20"/>
                              </w:rPr>
                            </w:pPr>
                            <w:r>
                              <w:rPr>
                                <w:rFonts w:ascii="Arial;sans-serif" w:hAnsi="Arial;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Arial;sans-serif" w:hAnsi="Arial;sans-serif"/>
                          <w:b w:val="false"/>
                          <w:color w:val="000000"/>
                          <w:sz w:val="20"/>
                        </w:rPr>
                      </w:pPr>
                      <w:r>
                        <w:rPr>
                          <w:rFonts w:ascii="Arial;sans-serif" w:hAnsi="Arial;sans-serif"/>
                          <w:b w:val="false"/>
                          <w:color w:val="000000"/>
                          <w:sz w:val="20"/>
                        </w:rPr>
                        <w:t>1</w:t>
                      </w:r>
                    </w:p>
                  </w:txbxContent>
                </v:textbox>
              </v:rect>
            </w:pict>
          </mc:Fallback>
        </mc:AlternateContent>
      </w:r>
    </w:p>
    <w:p>
      <w:pPr>
        <w:pStyle w:val="TextBody"/>
        <w:spacing w:before="0" w:after="0"/>
        <w:rPr/>
      </w:pPr>
      <w:r>
        <w:rPr/>
      </w:r>
    </w:p>
    <w:tbl>
      <w:tblPr>
        <w:tblW w:w="10205" w:type="dxa"/>
        <w:jc w:val="left"/>
        <w:tblInd w:w="0" w:type="dxa"/>
        <w:tblCellMar>
          <w:top w:w="28" w:type="dxa"/>
          <w:left w:w="28" w:type="dxa"/>
          <w:bottom w:w="28" w:type="dxa"/>
          <w:right w:w="28" w:type="dxa"/>
        </w:tblCellMar>
      </w:tblPr>
      <w:tblGrid>
        <w:gridCol w:w="2686"/>
        <w:gridCol w:w="2360"/>
        <w:gridCol w:w="2372"/>
        <w:gridCol w:w="455"/>
        <w:gridCol w:w="458"/>
        <w:gridCol w:w="365"/>
        <w:gridCol w:w="486"/>
        <w:gridCol w:w="427"/>
        <w:gridCol w:w="596"/>
      </w:tblGrid>
      <w:tr>
        <w:trPr/>
        <w:tc>
          <w:tcPr>
            <w:tcW w:w="2686" w:type="dxa"/>
            <w:tcBorders/>
            <w:shd w:fill="auto" w:val="clear"/>
            <w:vAlign w:val="center"/>
          </w:tcPr>
          <w:p>
            <w:pPr>
              <w:pStyle w:val="TableContents"/>
              <w:spacing w:before="0" w:after="283"/>
              <w:rPr>
                <w:sz w:val="4"/>
                <w:szCs w:val="4"/>
              </w:rPr>
            </w:pPr>
            <w:r>
              <w:rPr>
                <w:sz w:val="4"/>
                <w:szCs w:val="4"/>
              </w:rPr>
            </w:r>
          </w:p>
        </w:tc>
        <w:tc>
          <w:tcPr>
            <w:tcW w:w="2360" w:type="dxa"/>
            <w:tcBorders/>
            <w:shd w:fill="auto" w:val="clear"/>
            <w:vAlign w:val="center"/>
          </w:tcPr>
          <w:p>
            <w:pPr>
              <w:pStyle w:val="TableContents"/>
              <w:spacing w:before="0" w:after="283"/>
              <w:rPr>
                <w:sz w:val="4"/>
                <w:szCs w:val="4"/>
              </w:rPr>
            </w:pPr>
            <w:r>
              <w:rPr>
                <w:sz w:val="4"/>
                <w:szCs w:val="4"/>
              </w:rPr>
            </w:r>
          </w:p>
        </w:tc>
        <w:tc>
          <w:tcPr>
            <w:tcW w:w="2372" w:type="dxa"/>
            <w:tcBorders/>
            <w:shd w:fill="auto" w:val="clear"/>
            <w:vAlign w:val="center"/>
          </w:tcPr>
          <w:p>
            <w:pPr>
              <w:pStyle w:val="TableContents"/>
              <w:spacing w:before="0" w:after="283"/>
              <w:rPr>
                <w:sz w:val="4"/>
                <w:szCs w:val="4"/>
              </w:rPr>
            </w:pPr>
            <w:r>
              <w:rPr>
                <w:sz w:val="4"/>
                <w:szCs w:val="4"/>
              </w:rPr>
            </w:r>
          </w:p>
        </w:tc>
        <w:tc>
          <w:tcPr>
            <w:tcW w:w="455" w:type="dxa"/>
            <w:tcBorders/>
            <w:shd w:fill="auto" w:val="clear"/>
            <w:vAlign w:val="center"/>
          </w:tcPr>
          <w:p>
            <w:pPr>
              <w:pStyle w:val="TableContents"/>
              <w:spacing w:before="0" w:after="283"/>
              <w:rPr>
                <w:sz w:val="4"/>
                <w:szCs w:val="4"/>
              </w:rPr>
            </w:pPr>
            <w:r>
              <w:rPr>
                <w:sz w:val="4"/>
                <w:szCs w:val="4"/>
              </w:rPr>
            </w:r>
          </w:p>
        </w:tc>
        <w:tc>
          <w:tcPr>
            <w:tcW w:w="458" w:type="dxa"/>
            <w:tcBorders/>
            <w:shd w:fill="auto" w:val="clear"/>
            <w:vAlign w:val="center"/>
          </w:tcPr>
          <w:p>
            <w:pPr>
              <w:pStyle w:val="TableContents"/>
              <w:spacing w:before="0" w:after="283"/>
              <w:rPr>
                <w:sz w:val="4"/>
                <w:szCs w:val="4"/>
              </w:rPr>
            </w:pPr>
            <w:r>
              <w:rPr>
                <w:sz w:val="4"/>
                <w:szCs w:val="4"/>
              </w:rPr>
            </w:r>
          </w:p>
        </w:tc>
        <w:tc>
          <w:tcPr>
            <w:tcW w:w="365" w:type="dxa"/>
            <w:tcBorders/>
            <w:shd w:fill="auto" w:val="clear"/>
            <w:vAlign w:val="center"/>
          </w:tcPr>
          <w:p>
            <w:pPr>
              <w:pStyle w:val="TableContents"/>
              <w:spacing w:before="0" w:after="283"/>
              <w:rPr>
                <w:sz w:val="4"/>
                <w:szCs w:val="4"/>
              </w:rPr>
            </w:pPr>
            <w:r>
              <w:rPr>
                <w:sz w:val="4"/>
                <w:szCs w:val="4"/>
              </w:rPr>
            </w:r>
          </w:p>
        </w:tc>
        <w:tc>
          <w:tcPr>
            <w:tcW w:w="486" w:type="dxa"/>
            <w:tcBorders/>
            <w:shd w:fill="auto" w:val="clear"/>
            <w:vAlign w:val="center"/>
          </w:tcPr>
          <w:p>
            <w:pPr>
              <w:pStyle w:val="TableContents"/>
              <w:spacing w:before="0" w:after="283"/>
              <w:rPr>
                <w:sz w:val="4"/>
                <w:szCs w:val="4"/>
              </w:rPr>
            </w:pPr>
            <w:r>
              <w:rPr>
                <w:sz w:val="4"/>
                <w:szCs w:val="4"/>
              </w:rPr>
            </w:r>
          </w:p>
        </w:tc>
        <w:tc>
          <w:tcPr>
            <w:tcW w:w="427" w:type="dxa"/>
            <w:tcBorders/>
            <w:shd w:fill="auto" w:val="clear"/>
            <w:vAlign w:val="center"/>
          </w:tcPr>
          <w:p>
            <w:pPr>
              <w:pStyle w:val="TableContents"/>
              <w:spacing w:before="0" w:after="283"/>
              <w:rPr>
                <w:sz w:val="4"/>
                <w:szCs w:val="4"/>
              </w:rPr>
            </w:pPr>
            <w:r>
              <w:rPr>
                <w:sz w:val="4"/>
                <w:szCs w:val="4"/>
              </w:rPr>
            </w:r>
          </w:p>
        </w:tc>
        <w:tc>
          <w:tcPr>
            <w:tcW w:w="596" w:type="dxa"/>
            <w:tcBorders/>
            <w:shd w:fill="auto" w:val="clear"/>
            <w:vAlign w:val="center"/>
          </w:tcPr>
          <w:p>
            <w:pPr>
              <w:pStyle w:val="TableContents"/>
              <w:spacing w:before="0" w:after="283"/>
              <w:rPr>
                <w:sz w:val="4"/>
                <w:szCs w:val="4"/>
              </w:rPr>
            </w:pPr>
            <w:r>
              <w:rPr>
                <w:sz w:val="4"/>
                <w:szCs w:val="4"/>
              </w:rPr>
            </w:r>
          </w:p>
        </w:tc>
      </w:tr>
      <w:tr>
        <w:trPr/>
        <w:tc>
          <w:tcPr>
            <w:tcW w:w="741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7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(Unaudited)</w:t>
            </w:r>
          </w:p>
        </w:tc>
        <w:tc>
          <w:tcPr>
            <w:tcW w:w="150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41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(Thousands of Dollars and Shares, Except Per Share Data)</w:t>
            </w:r>
          </w:p>
        </w:tc>
        <w:tc>
          <w:tcPr>
            <w:tcW w:w="127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March 26,</w:t>
              <w:br/>
              <w:t>2023</w:t>
            </w:r>
          </w:p>
        </w:tc>
        <w:tc>
          <w:tcPr>
            <w:tcW w:w="150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September 25,</w:t>
              <w:br/>
              <w:t>2022</w:t>
            </w:r>
          </w:p>
        </w:tc>
      </w:tr>
      <w:tr>
        <w:trPr/>
        <w:tc>
          <w:tcPr>
            <w:tcW w:w="741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7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0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41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LIABILITIES AND EQUITY</w:t>
            </w:r>
          </w:p>
        </w:tc>
        <w:tc>
          <w:tcPr>
            <w:tcW w:w="127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1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1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Current liabilities:</w:t>
            </w:r>
          </w:p>
        </w:tc>
        <w:tc>
          <w:tcPr>
            <w:tcW w:w="127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1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Current portion of lease liabilities</w:t>
            </w:r>
          </w:p>
        </w:tc>
        <w:tc>
          <w:tcPr>
            <w:tcW w:w="91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8,173 </w:t>
            </w:r>
          </w:p>
        </w:tc>
        <w:tc>
          <w:tcPr>
            <w:tcW w:w="36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7,859 </w:t>
            </w:r>
          </w:p>
        </w:tc>
        <w:tc>
          <w:tcPr>
            <w:tcW w:w="5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1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Accounts payable</w:t>
            </w:r>
          </w:p>
        </w:tc>
        <w:tc>
          <w:tcPr>
            <w:tcW w:w="91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40,251 </w:t>
            </w:r>
          </w:p>
        </w:tc>
        <w:tc>
          <w:tcPr>
            <w:tcW w:w="36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28,608 </w:t>
            </w:r>
          </w:p>
        </w:tc>
        <w:tc>
          <w:tcPr>
            <w:tcW w:w="5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1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Compensation and other accrued liabilities</w:t>
            </w:r>
          </w:p>
        </w:tc>
        <w:tc>
          <w:tcPr>
            <w:tcW w:w="91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35,322 </w:t>
            </w:r>
          </w:p>
        </w:tc>
        <w:tc>
          <w:tcPr>
            <w:tcW w:w="36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44,740 </w:t>
            </w:r>
          </w:p>
        </w:tc>
        <w:tc>
          <w:tcPr>
            <w:tcW w:w="5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1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Unearned revenue</w:t>
            </w:r>
          </w:p>
        </w:tc>
        <w:tc>
          <w:tcPr>
            <w:tcW w:w="91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47,538 </w:t>
            </w:r>
          </w:p>
        </w:tc>
        <w:tc>
          <w:tcPr>
            <w:tcW w:w="36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49,929 </w:t>
            </w:r>
          </w:p>
        </w:tc>
        <w:tc>
          <w:tcPr>
            <w:tcW w:w="5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18"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current liabilities</w:t>
            </w:r>
          </w:p>
        </w:tc>
        <w:tc>
          <w:tcPr>
            <w:tcW w:w="913"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131,284 </w:t>
            </w:r>
          </w:p>
        </w:tc>
        <w:tc>
          <w:tcPr>
            <w:tcW w:w="36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913"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131,136 </w:t>
            </w:r>
          </w:p>
        </w:tc>
        <w:tc>
          <w:tcPr>
            <w:tcW w:w="59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18"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Long-term debt, net of current maturities</w:t>
            </w:r>
          </w:p>
        </w:tc>
        <w:tc>
          <w:tcPr>
            <w:tcW w:w="913"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459,994 </w:t>
            </w:r>
          </w:p>
        </w:tc>
        <w:tc>
          <w:tcPr>
            <w:tcW w:w="36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913"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462,554 </w:t>
            </w:r>
          </w:p>
        </w:tc>
        <w:tc>
          <w:tcPr>
            <w:tcW w:w="59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1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lease liabilities</w:t>
            </w:r>
          </w:p>
        </w:tc>
        <w:tc>
          <w:tcPr>
            <w:tcW w:w="91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42,852 </w:t>
            </w:r>
          </w:p>
        </w:tc>
        <w:tc>
          <w:tcPr>
            <w:tcW w:w="36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46,003 </w:t>
            </w:r>
          </w:p>
        </w:tc>
        <w:tc>
          <w:tcPr>
            <w:tcW w:w="5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1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Pension obligations</w:t>
            </w:r>
          </w:p>
        </w:tc>
        <w:tc>
          <w:tcPr>
            <w:tcW w:w="91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706 </w:t>
            </w:r>
          </w:p>
        </w:tc>
        <w:tc>
          <w:tcPr>
            <w:tcW w:w="36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966 </w:t>
            </w:r>
          </w:p>
        </w:tc>
        <w:tc>
          <w:tcPr>
            <w:tcW w:w="5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1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Postretirement and postemployment benefit obligations</w:t>
            </w:r>
          </w:p>
        </w:tc>
        <w:tc>
          <w:tcPr>
            <w:tcW w:w="91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9,365 </w:t>
            </w:r>
          </w:p>
        </w:tc>
        <w:tc>
          <w:tcPr>
            <w:tcW w:w="36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9,221 </w:t>
            </w:r>
          </w:p>
        </w:tc>
        <w:tc>
          <w:tcPr>
            <w:tcW w:w="5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1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Deferred income taxes</w:t>
            </w:r>
          </w:p>
        </w:tc>
        <w:tc>
          <w:tcPr>
            <w:tcW w:w="91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42,351 </w:t>
            </w:r>
          </w:p>
        </w:tc>
        <w:tc>
          <w:tcPr>
            <w:tcW w:w="36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42,719 </w:t>
            </w:r>
          </w:p>
        </w:tc>
        <w:tc>
          <w:tcPr>
            <w:tcW w:w="5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1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taxes payable</w:t>
            </w:r>
          </w:p>
        </w:tc>
        <w:tc>
          <w:tcPr>
            <w:tcW w:w="91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8,531 </w:t>
            </w:r>
          </w:p>
        </w:tc>
        <w:tc>
          <w:tcPr>
            <w:tcW w:w="36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8,292 </w:t>
            </w:r>
          </w:p>
        </w:tc>
        <w:tc>
          <w:tcPr>
            <w:tcW w:w="5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1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Withdrawal liabilities and other</w:t>
            </w:r>
          </w:p>
        </w:tc>
        <w:tc>
          <w:tcPr>
            <w:tcW w:w="91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25,057 </w:t>
            </w:r>
          </w:p>
        </w:tc>
        <w:tc>
          <w:tcPr>
            <w:tcW w:w="36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25,914 </w:t>
            </w:r>
          </w:p>
        </w:tc>
        <w:tc>
          <w:tcPr>
            <w:tcW w:w="5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18"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liabilities</w:t>
            </w:r>
          </w:p>
        </w:tc>
        <w:tc>
          <w:tcPr>
            <w:tcW w:w="913"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720,140 </w:t>
            </w:r>
          </w:p>
        </w:tc>
        <w:tc>
          <w:tcPr>
            <w:tcW w:w="36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913"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726,805 </w:t>
            </w:r>
          </w:p>
        </w:tc>
        <w:tc>
          <w:tcPr>
            <w:tcW w:w="59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18"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Equity:</w:t>
            </w:r>
          </w:p>
        </w:tc>
        <w:tc>
          <w:tcPr>
            <w:tcW w:w="127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50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41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Stockholders' equity:</w:t>
            </w:r>
          </w:p>
        </w:tc>
        <w:tc>
          <w:tcPr>
            <w:tcW w:w="127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18"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20"/>
              </w:rPr>
            </w:pPr>
            <w:r>
              <w:rPr>
                <w:rFonts w:ascii="Arial;sans-serif" w:hAnsi="Arial;sans-serif"/>
                <w:b w:val="false"/>
                <w:color w:val="000000"/>
                <w:sz w:val="20"/>
              </w:rPr>
              <w:t>Serial convertible preferred stock, no par value; authorized 500 shares; none issued</w:t>
            </w:r>
          </w:p>
        </w:tc>
        <w:tc>
          <w:tcPr>
            <w:tcW w:w="91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6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5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18"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20"/>
              </w:rPr>
            </w:pPr>
            <w:r>
              <w:rPr>
                <w:rFonts w:ascii="Arial;sans-serif" w:hAnsi="Arial;sans-serif"/>
                <w:b w:val="false"/>
                <w:color w:val="000000"/>
                <w:sz w:val="20"/>
              </w:rPr>
              <w:t>Common Stock, $0.01 par value; authorized 12,000 shares; issued and outstanding:</w:t>
            </w:r>
          </w:p>
        </w:tc>
        <w:tc>
          <w:tcPr>
            <w:tcW w:w="91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60 </w:t>
            </w:r>
          </w:p>
        </w:tc>
        <w:tc>
          <w:tcPr>
            <w:tcW w:w="36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60 </w:t>
            </w:r>
          </w:p>
        </w:tc>
        <w:tc>
          <w:tcPr>
            <w:tcW w:w="5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18"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20"/>
              </w:rPr>
            </w:pPr>
            <w:r>
              <w:rPr>
                <w:rFonts w:ascii="Arial;sans-serif" w:hAnsi="Arial;sans-serif"/>
                <w:b w:val="false"/>
                <w:color w:val="000000"/>
                <w:sz w:val="20"/>
              </w:rPr>
              <w:t>March 26, 2023; 6,040 shares; $0.01 par value</w:t>
            </w:r>
          </w:p>
        </w:tc>
        <w:tc>
          <w:tcPr>
            <w:tcW w:w="127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18"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20"/>
              </w:rPr>
            </w:pPr>
            <w:r>
              <w:rPr>
                <w:rFonts w:ascii="Arial;sans-serif" w:hAnsi="Arial;sans-serif"/>
                <w:b w:val="false"/>
                <w:color w:val="000000"/>
                <w:sz w:val="20"/>
              </w:rPr>
              <w:t>September 25, 2022; 5,979 shares; $0.01 par value</w:t>
            </w:r>
          </w:p>
        </w:tc>
        <w:tc>
          <w:tcPr>
            <w:tcW w:w="127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18"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20"/>
              </w:rPr>
            </w:pPr>
            <w:r>
              <w:rPr>
                <w:rFonts w:ascii="Arial;sans-serif" w:hAnsi="Arial;sans-serif"/>
                <w:b w:val="false"/>
                <w:color w:val="000000"/>
                <w:sz w:val="20"/>
              </w:rPr>
              <w:t>Class B Common Stock, $2 par value; authorized 3,000 shares; none issued</w:t>
            </w:r>
          </w:p>
        </w:tc>
        <w:tc>
          <w:tcPr>
            <w:tcW w:w="91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6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5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1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Additional paid-in capital</w:t>
            </w:r>
          </w:p>
        </w:tc>
        <w:tc>
          <w:tcPr>
            <w:tcW w:w="91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259,964 </w:t>
            </w:r>
          </w:p>
        </w:tc>
        <w:tc>
          <w:tcPr>
            <w:tcW w:w="36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259,521 </w:t>
            </w:r>
          </w:p>
        </w:tc>
        <w:tc>
          <w:tcPr>
            <w:tcW w:w="5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1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Accumulated deficit</w:t>
            </w:r>
          </w:p>
        </w:tc>
        <w:tc>
          <w:tcPr>
            <w:tcW w:w="91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(266,015)</w:t>
            </w:r>
          </w:p>
        </w:tc>
        <w:tc>
          <w:tcPr>
            <w:tcW w:w="36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(261,229)</w:t>
            </w:r>
          </w:p>
        </w:tc>
        <w:tc>
          <w:tcPr>
            <w:tcW w:w="5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1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Accumulated other comprehensive income</w:t>
            </w:r>
          </w:p>
        </w:tc>
        <w:tc>
          <w:tcPr>
            <w:tcW w:w="91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16,373 </w:t>
            </w:r>
          </w:p>
        </w:tc>
        <w:tc>
          <w:tcPr>
            <w:tcW w:w="36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16,653 </w:t>
            </w:r>
          </w:p>
        </w:tc>
        <w:tc>
          <w:tcPr>
            <w:tcW w:w="5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18"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stockholders' equity</w:t>
            </w:r>
          </w:p>
        </w:tc>
        <w:tc>
          <w:tcPr>
            <w:tcW w:w="913"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10,382 </w:t>
            </w:r>
          </w:p>
        </w:tc>
        <w:tc>
          <w:tcPr>
            <w:tcW w:w="36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913"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15,005 </w:t>
            </w:r>
          </w:p>
        </w:tc>
        <w:tc>
          <w:tcPr>
            <w:tcW w:w="59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18"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Non-controlling interests</w:t>
            </w:r>
          </w:p>
        </w:tc>
        <w:tc>
          <w:tcPr>
            <w:tcW w:w="913"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2,571 </w:t>
            </w:r>
          </w:p>
        </w:tc>
        <w:tc>
          <w:tcPr>
            <w:tcW w:w="36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913"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2,232 </w:t>
            </w:r>
          </w:p>
        </w:tc>
        <w:tc>
          <w:tcPr>
            <w:tcW w:w="59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18"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equity</w:t>
            </w:r>
          </w:p>
        </w:tc>
        <w:tc>
          <w:tcPr>
            <w:tcW w:w="913"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12,953 </w:t>
            </w:r>
          </w:p>
        </w:tc>
        <w:tc>
          <w:tcPr>
            <w:tcW w:w="36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913"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17,237 </w:t>
            </w:r>
          </w:p>
        </w:tc>
        <w:tc>
          <w:tcPr>
            <w:tcW w:w="59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18"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liabilities and equity</w:t>
            </w:r>
          </w:p>
        </w:tc>
        <w:tc>
          <w:tcPr>
            <w:tcW w:w="913"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733,093 </w:t>
            </w:r>
          </w:p>
        </w:tc>
        <w:tc>
          <w:tcPr>
            <w:tcW w:w="3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913"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744,042 </w:t>
            </w:r>
          </w:p>
        </w:tc>
        <w:tc>
          <w:tcPr>
            <w:tcW w:w="5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00" w:after="283"/>
        <w:rPr>
          <w:rFonts w:ascii="Arial;sans-serif" w:hAnsi="Arial;sans-serif"/>
          <w:b w:val="false"/>
          <w:color w:val="000000"/>
          <w:sz w:val="20"/>
        </w:rPr>
      </w:pPr>
      <w:r>
        <w:rPr>
          <w:rFonts w:ascii="Arial;sans-serif" w:hAnsi="Arial;sans-serif"/>
          <w:b w:val="false"/>
          <w:color w:val="000000"/>
          <w:sz w:val="20"/>
        </w:rPr>
        <w:t>The accompanying Notes are an integral part of the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050"/>
                <wp:effectExtent l="0" t="0" r="0" b="0"/>
                <wp:wrapNone/>
                <wp:docPr id="4" name="Frame4"/>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76" w:before="0" w:after="0"/>
                              <w:jc w:val="center"/>
                              <w:rPr>
                                <w:rFonts w:ascii="Arial;sans-serif" w:hAnsi="Arial;sans-serif"/>
                                <w:b w:val="false"/>
                                <w:color w:val="000000"/>
                                <w:sz w:val="20"/>
                              </w:rPr>
                            </w:pPr>
                            <w:r>
                              <w:rPr>
                                <w:rFonts w:ascii="Arial;sans-serif" w:hAnsi="Arial;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Arial;sans-serif" w:hAnsi="Arial;sans-serif"/>
                          <w:b w:val="false"/>
                          <w:color w:val="000000"/>
                          <w:sz w:val="20"/>
                        </w:rPr>
                      </w:pPr>
                      <w:r>
                        <w:rPr>
                          <w:rFonts w:ascii="Arial;sans-serif" w:hAnsi="Arial;sans-serif"/>
                          <w:b w:val="false"/>
                          <w:color w:val="000000"/>
                          <w:sz w:val="20"/>
                        </w:rPr>
                        <w:t>2</w:t>
                      </w:r>
                    </w:p>
                  </w:txbxContent>
                </v:textbox>
              </v:rect>
            </w:pict>
          </mc:Fallback>
        </mc:AlternateContent>
      </w:r>
    </w:p>
    <w:p>
      <w:pPr>
        <w:pStyle w:val="TextBody"/>
        <w:spacing w:before="0" w:after="0"/>
        <w:rPr/>
      </w:pPr>
      <w:r>
        <w:rPr/>
      </w:r>
    </w:p>
    <w:p>
      <w:pPr>
        <w:pStyle w:val="TextBody"/>
        <w:spacing w:lineRule="auto" w:line="288" w:before="200" w:after="283"/>
        <w:jc w:val="center"/>
        <w:rPr>
          <w:rFonts w:ascii="Arial;sans-serif" w:hAnsi="Arial;sans-serif"/>
          <w:b/>
          <w:color w:val="000000"/>
          <w:sz w:val="20"/>
        </w:rPr>
      </w:pPr>
      <w:r>
        <w:rPr>
          <w:rFonts w:ascii="Arial;sans-serif" w:hAnsi="Arial;sans-serif"/>
          <w:b/>
          <w:color w:val="000000"/>
          <w:sz w:val="20"/>
        </w:rPr>
        <w:t>LEE ENTERPRISES, INCORPORATED</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CONSOLIDATED STATEMENTS OF INCOME (LOSS) AND COMPREHENSIVE INCOME (LOSS)</w:t>
      </w:r>
    </w:p>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(Unaudited)</w:t>
      </w:r>
    </w:p>
    <w:tbl>
      <w:tblPr>
        <w:tblW w:w="10205" w:type="dxa"/>
        <w:jc w:val="left"/>
        <w:tblInd w:w="0" w:type="dxa"/>
        <w:tblCellMar>
          <w:top w:w="28" w:type="dxa"/>
          <w:left w:w="28" w:type="dxa"/>
          <w:bottom w:w="28" w:type="dxa"/>
          <w:right w:w="28" w:type="dxa"/>
        </w:tblCellMar>
      </w:tblPr>
      <w:tblGrid>
        <w:gridCol w:w="1985"/>
        <w:gridCol w:w="1723"/>
        <w:gridCol w:w="1733"/>
        <w:gridCol w:w="515"/>
        <w:gridCol w:w="341"/>
        <w:gridCol w:w="310"/>
        <w:gridCol w:w="516"/>
        <w:gridCol w:w="340"/>
        <w:gridCol w:w="312"/>
        <w:gridCol w:w="439"/>
        <w:gridCol w:w="417"/>
        <w:gridCol w:w="310"/>
        <w:gridCol w:w="445"/>
        <w:gridCol w:w="411"/>
        <w:gridCol w:w="408"/>
      </w:tblGrid>
      <w:tr>
        <w:trPr/>
        <w:tc>
          <w:tcPr>
            <w:tcW w:w="1985" w:type="dxa"/>
            <w:tcBorders/>
            <w:shd w:fill="auto" w:val="clear"/>
            <w:vAlign w:val="center"/>
          </w:tcPr>
          <w:p>
            <w:pPr>
              <w:pStyle w:val="TableContents"/>
              <w:spacing w:before="0" w:after="283"/>
              <w:rPr>
                <w:sz w:val="4"/>
                <w:szCs w:val="4"/>
              </w:rPr>
            </w:pPr>
            <w:r>
              <w:rPr>
                <w:sz w:val="4"/>
                <w:szCs w:val="4"/>
              </w:rPr>
            </w:r>
          </w:p>
        </w:tc>
        <w:tc>
          <w:tcPr>
            <w:tcW w:w="1723" w:type="dxa"/>
            <w:tcBorders/>
            <w:shd w:fill="auto" w:val="clear"/>
            <w:vAlign w:val="center"/>
          </w:tcPr>
          <w:p>
            <w:pPr>
              <w:pStyle w:val="TableContents"/>
              <w:spacing w:before="0" w:after="283"/>
              <w:rPr>
                <w:sz w:val="4"/>
                <w:szCs w:val="4"/>
              </w:rPr>
            </w:pPr>
            <w:r>
              <w:rPr>
                <w:sz w:val="4"/>
                <w:szCs w:val="4"/>
              </w:rPr>
            </w:r>
          </w:p>
        </w:tc>
        <w:tc>
          <w:tcPr>
            <w:tcW w:w="1733" w:type="dxa"/>
            <w:tcBorders/>
            <w:shd w:fill="auto" w:val="clear"/>
            <w:vAlign w:val="center"/>
          </w:tcPr>
          <w:p>
            <w:pPr>
              <w:pStyle w:val="TableContents"/>
              <w:spacing w:before="0" w:after="283"/>
              <w:rPr>
                <w:sz w:val="4"/>
                <w:szCs w:val="4"/>
              </w:rPr>
            </w:pPr>
            <w:r>
              <w:rPr>
                <w:sz w:val="4"/>
                <w:szCs w:val="4"/>
              </w:rPr>
            </w:r>
          </w:p>
        </w:tc>
        <w:tc>
          <w:tcPr>
            <w:tcW w:w="515" w:type="dxa"/>
            <w:tcBorders/>
            <w:shd w:fill="auto" w:val="clear"/>
            <w:vAlign w:val="center"/>
          </w:tcPr>
          <w:p>
            <w:pPr>
              <w:pStyle w:val="TableContents"/>
              <w:spacing w:before="0" w:after="283"/>
              <w:rPr>
                <w:sz w:val="4"/>
                <w:szCs w:val="4"/>
              </w:rPr>
            </w:pPr>
            <w:r>
              <w:rPr>
                <w:sz w:val="4"/>
                <w:szCs w:val="4"/>
              </w:rPr>
            </w:r>
          </w:p>
        </w:tc>
        <w:tc>
          <w:tcPr>
            <w:tcW w:w="341" w:type="dxa"/>
            <w:tcBorders/>
            <w:shd w:fill="auto" w:val="clear"/>
            <w:vAlign w:val="center"/>
          </w:tcPr>
          <w:p>
            <w:pPr>
              <w:pStyle w:val="TableContents"/>
              <w:spacing w:before="0" w:after="283"/>
              <w:rPr>
                <w:sz w:val="4"/>
                <w:szCs w:val="4"/>
              </w:rPr>
            </w:pPr>
            <w:r>
              <w:rPr>
                <w:sz w:val="4"/>
                <w:szCs w:val="4"/>
              </w:rPr>
            </w:r>
          </w:p>
        </w:tc>
        <w:tc>
          <w:tcPr>
            <w:tcW w:w="310" w:type="dxa"/>
            <w:tcBorders/>
            <w:shd w:fill="auto" w:val="clear"/>
            <w:vAlign w:val="center"/>
          </w:tcPr>
          <w:p>
            <w:pPr>
              <w:pStyle w:val="TableContents"/>
              <w:spacing w:before="0" w:after="283"/>
              <w:rPr>
                <w:sz w:val="4"/>
                <w:szCs w:val="4"/>
              </w:rPr>
            </w:pPr>
            <w:r>
              <w:rPr>
                <w:sz w:val="4"/>
                <w:szCs w:val="4"/>
              </w:rPr>
            </w:r>
          </w:p>
        </w:tc>
        <w:tc>
          <w:tcPr>
            <w:tcW w:w="516" w:type="dxa"/>
            <w:tcBorders/>
            <w:shd w:fill="auto" w:val="clear"/>
            <w:vAlign w:val="center"/>
          </w:tcPr>
          <w:p>
            <w:pPr>
              <w:pStyle w:val="TableContents"/>
              <w:spacing w:before="0" w:after="283"/>
              <w:rPr>
                <w:sz w:val="4"/>
                <w:szCs w:val="4"/>
              </w:rPr>
            </w:pPr>
            <w:r>
              <w:rPr>
                <w:sz w:val="4"/>
                <w:szCs w:val="4"/>
              </w:rPr>
            </w:r>
          </w:p>
        </w:tc>
        <w:tc>
          <w:tcPr>
            <w:tcW w:w="340" w:type="dxa"/>
            <w:tcBorders/>
            <w:shd w:fill="auto" w:val="clear"/>
            <w:vAlign w:val="center"/>
          </w:tcPr>
          <w:p>
            <w:pPr>
              <w:pStyle w:val="TableContents"/>
              <w:spacing w:before="0" w:after="283"/>
              <w:rPr>
                <w:sz w:val="4"/>
                <w:szCs w:val="4"/>
              </w:rPr>
            </w:pPr>
            <w:r>
              <w:rPr>
                <w:sz w:val="4"/>
                <w:szCs w:val="4"/>
              </w:rPr>
            </w:r>
          </w:p>
        </w:tc>
        <w:tc>
          <w:tcPr>
            <w:tcW w:w="312" w:type="dxa"/>
            <w:tcBorders/>
            <w:shd w:fill="auto" w:val="clear"/>
            <w:vAlign w:val="center"/>
          </w:tcPr>
          <w:p>
            <w:pPr>
              <w:pStyle w:val="TableContents"/>
              <w:spacing w:before="0" w:after="283"/>
              <w:rPr>
                <w:sz w:val="4"/>
                <w:szCs w:val="4"/>
              </w:rPr>
            </w:pPr>
            <w:r>
              <w:rPr>
                <w:sz w:val="4"/>
                <w:szCs w:val="4"/>
              </w:rPr>
            </w:r>
          </w:p>
        </w:tc>
        <w:tc>
          <w:tcPr>
            <w:tcW w:w="439" w:type="dxa"/>
            <w:tcBorders/>
            <w:shd w:fill="auto" w:val="clear"/>
            <w:vAlign w:val="center"/>
          </w:tcPr>
          <w:p>
            <w:pPr>
              <w:pStyle w:val="TableContents"/>
              <w:spacing w:before="0" w:after="283"/>
              <w:rPr>
                <w:sz w:val="4"/>
                <w:szCs w:val="4"/>
              </w:rPr>
            </w:pPr>
            <w:r>
              <w:rPr>
                <w:sz w:val="4"/>
                <w:szCs w:val="4"/>
              </w:rPr>
            </w:r>
          </w:p>
        </w:tc>
        <w:tc>
          <w:tcPr>
            <w:tcW w:w="417" w:type="dxa"/>
            <w:tcBorders/>
            <w:shd w:fill="auto" w:val="clear"/>
            <w:vAlign w:val="center"/>
          </w:tcPr>
          <w:p>
            <w:pPr>
              <w:pStyle w:val="TableContents"/>
              <w:spacing w:before="0" w:after="283"/>
              <w:rPr>
                <w:sz w:val="4"/>
                <w:szCs w:val="4"/>
              </w:rPr>
            </w:pPr>
            <w:r>
              <w:rPr>
                <w:sz w:val="4"/>
                <w:szCs w:val="4"/>
              </w:rPr>
            </w:r>
          </w:p>
        </w:tc>
        <w:tc>
          <w:tcPr>
            <w:tcW w:w="310" w:type="dxa"/>
            <w:tcBorders/>
            <w:shd w:fill="auto" w:val="clear"/>
            <w:vAlign w:val="center"/>
          </w:tcPr>
          <w:p>
            <w:pPr>
              <w:pStyle w:val="TableContents"/>
              <w:spacing w:before="0" w:after="283"/>
              <w:rPr>
                <w:sz w:val="4"/>
                <w:szCs w:val="4"/>
              </w:rPr>
            </w:pPr>
            <w:r>
              <w:rPr>
                <w:sz w:val="4"/>
                <w:szCs w:val="4"/>
              </w:rPr>
            </w:r>
          </w:p>
        </w:tc>
        <w:tc>
          <w:tcPr>
            <w:tcW w:w="445" w:type="dxa"/>
            <w:tcBorders/>
            <w:shd w:fill="auto" w:val="clear"/>
            <w:vAlign w:val="center"/>
          </w:tcPr>
          <w:p>
            <w:pPr>
              <w:pStyle w:val="TableContents"/>
              <w:spacing w:before="0" w:after="283"/>
              <w:rPr>
                <w:sz w:val="4"/>
                <w:szCs w:val="4"/>
              </w:rPr>
            </w:pPr>
            <w:r>
              <w:rPr>
                <w:sz w:val="4"/>
                <w:szCs w:val="4"/>
              </w:rPr>
            </w:r>
          </w:p>
        </w:tc>
        <w:tc>
          <w:tcPr>
            <w:tcW w:w="411" w:type="dxa"/>
            <w:tcBorders/>
            <w:shd w:fill="auto" w:val="clear"/>
            <w:vAlign w:val="center"/>
          </w:tcPr>
          <w:p>
            <w:pPr>
              <w:pStyle w:val="TableContents"/>
              <w:spacing w:before="0" w:after="283"/>
              <w:rPr>
                <w:sz w:val="4"/>
                <w:szCs w:val="4"/>
              </w:rPr>
            </w:pPr>
            <w:r>
              <w:rPr>
                <w:sz w:val="4"/>
                <w:szCs w:val="4"/>
              </w:rPr>
            </w:r>
          </w:p>
        </w:tc>
        <w:tc>
          <w:tcPr>
            <w:tcW w:w="408" w:type="dxa"/>
            <w:tcBorders/>
            <w:shd w:fill="auto" w:val="clear"/>
            <w:vAlign w:val="center"/>
          </w:tcPr>
          <w:p>
            <w:pPr>
              <w:pStyle w:val="TableContents"/>
              <w:spacing w:before="0" w:after="283"/>
              <w:rPr>
                <w:sz w:val="4"/>
                <w:szCs w:val="4"/>
              </w:rPr>
            </w:pPr>
            <w:r>
              <w:rPr>
                <w:sz w:val="4"/>
                <w:szCs w:val="4"/>
              </w:rPr>
            </w:r>
          </w:p>
        </w:tc>
      </w:tr>
      <w:tr>
        <w:trPr/>
        <w:tc>
          <w:tcPr>
            <w:tcW w:w="544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334" w:type="dxa"/>
            <w:gridSpan w:val="6"/>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Three months ended</w:t>
            </w:r>
          </w:p>
        </w:tc>
        <w:tc>
          <w:tcPr>
            <w:tcW w:w="2430" w:type="dxa"/>
            <w:gridSpan w:val="6"/>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Six months ended</w:t>
            </w:r>
          </w:p>
        </w:tc>
      </w:tr>
      <w:tr>
        <w:trPr/>
        <w:tc>
          <w:tcPr>
            <w:tcW w:w="54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(Thousands of Dollars, Except Per Common Share Data)</w:t>
            </w:r>
          </w:p>
        </w:tc>
        <w:tc>
          <w:tcPr>
            <w:tcW w:w="116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March 26,</w:t>
              <w:br/>
              <w:t>2023</w:t>
            </w:r>
          </w:p>
        </w:tc>
        <w:tc>
          <w:tcPr>
            <w:tcW w:w="116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March 27,</w:t>
              <w:br/>
              <w:t>2022</w:t>
            </w:r>
          </w:p>
        </w:tc>
        <w:tc>
          <w:tcPr>
            <w:tcW w:w="116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March 26,</w:t>
              <w:br/>
              <w:t>2023</w:t>
            </w:r>
          </w:p>
        </w:tc>
        <w:tc>
          <w:tcPr>
            <w:tcW w:w="126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March 27,</w:t>
              <w:br/>
              <w:t>2022</w:t>
            </w:r>
          </w:p>
        </w:tc>
      </w:tr>
      <w:tr>
        <w:trPr/>
        <w:tc>
          <w:tcPr>
            <w:tcW w:w="544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6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6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6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6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44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revenue:</w:t>
            </w:r>
          </w:p>
        </w:tc>
        <w:tc>
          <w:tcPr>
            <w:tcW w:w="11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4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Advertising and marketing services</w:t>
            </w:r>
          </w:p>
        </w:tc>
        <w:tc>
          <w:tcPr>
            <w:tcW w:w="8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77,700 </w:t>
            </w:r>
          </w:p>
        </w:tc>
        <w:tc>
          <w:tcPr>
            <w:tcW w:w="3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87,633 </w:t>
            </w:r>
          </w:p>
        </w:tc>
        <w:tc>
          <w:tcPr>
            <w:tcW w:w="3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167,285 </w:t>
            </w:r>
          </w:p>
        </w:tc>
        <w:tc>
          <w:tcPr>
            <w:tcW w:w="3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186,387 </w:t>
            </w:r>
          </w:p>
        </w:tc>
        <w:tc>
          <w:tcPr>
            <w:tcW w:w="40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4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Subscription</w:t>
            </w:r>
          </w:p>
        </w:tc>
        <w:tc>
          <w:tcPr>
            <w:tcW w:w="8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78,582 </w:t>
            </w:r>
          </w:p>
        </w:tc>
        <w:tc>
          <w:tcPr>
            <w:tcW w:w="3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87,348 </w:t>
            </w:r>
          </w:p>
        </w:tc>
        <w:tc>
          <w:tcPr>
            <w:tcW w:w="3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158,281 </w:t>
            </w:r>
          </w:p>
        </w:tc>
        <w:tc>
          <w:tcPr>
            <w:tcW w:w="3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174,867 </w:t>
            </w:r>
          </w:p>
        </w:tc>
        <w:tc>
          <w:tcPr>
            <w:tcW w:w="40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4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w:t>
            </w:r>
          </w:p>
        </w:tc>
        <w:tc>
          <w:tcPr>
            <w:tcW w:w="8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14,405 </w:t>
            </w:r>
          </w:p>
        </w:tc>
        <w:tc>
          <w:tcPr>
            <w:tcW w:w="3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15,033 </w:t>
            </w:r>
          </w:p>
        </w:tc>
        <w:tc>
          <w:tcPr>
            <w:tcW w:w="3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30,252 </w:t>
            </w:r>
          </w:p>
        </w:tc>
        <w:tc>
          <w:tcPr>
            <w:tcW w:w="3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31,042 </w:t>
            </w:r>
          </w:p>
        </w:tc>
        <w:tc>
          <w:tcPr>
            <w:tcW w:w="40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4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operating revenue</w:t>
            </w:r>
          </w:p>
        </w:tc>
        <w:tc>
          <w:tcPr>
            <w:tcW w:w="85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170,687 </w:t>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190,014 </w:t>
            </w:r>
          </w:p>
        </w:tc>
        <w:tc>
          <w:tcPr>
            <w:tcW w:w="31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355,818 </w:t>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392,296 </w:t>
            </w:r>
          </w:p>
        </w:tc>
        <w:tc>
          <w:tcPr>
            <w:tcW w:w="40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41"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expenses:</w:t>
            </w:r>
          </w:p>
        </w:tc>
        <w:tc>
          <w:tcPr>
            <w:tcW w:w="116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68"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6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264"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44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Compensation</w:t>
            </w:r>
          </w:p>
        </w:tc>
        <w:tc>
          <w:tcPr>
            <w:tcW w:w="8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68,831 </w:t>
            </w:r>
          </w:p>
        </w:tc>
        <w:tc>
          <w:tcPr>
            <w:tcW w:w="3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83,513 </w:t>
            </w:r>
          </w:p>
        </w:tc>
        <w:tc>
          <w:tcPr>
            <w:tcW w:w="3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144,277 </w:t>
            </w:r>
          </w:p>
        </w:tc>
        <w:tc>
          <w:tcPr>
            <w:tcW w:w="3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168,207 </w:t>
            </w:r>
          </w:p>
        </w:tc>
        <w:tc>
          <w:tcPr>
            <w:tcW w:w="40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4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Newsprint and ink</w:t>
            </w:r>
          </w:p>
        </w:tc>
        <w:tc>
          <w:tcPr>
            <w:tcW w:w="8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6,466 </w:t>
            </w:r>
          </w:p>
        </w:tc>
        <w:tc>
          <w:tcPr>
            <w:tcW w:w="3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7,068 </w:t>
            </w:r>
          </w:p>
        </w:tc>
        <w:tc>
          <w:tcPr>
            <w:tcW w:w="3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13,898 </w:t>
            </w:r>
          </w:p>
        </w:tc>
        <w:tc>
          <w:tcPr>
            <w:tcW w:w="3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14,712 </w:t>
            </w:r>
          </w:p>
        </w:tc>
        <w:tc>
          <w:tcPr>
            <w:tcW w:w="40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4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operating expenses</w:t>
            </w:r>
          </w:p>
        </w:tc>
        <w:tc>
          <w:tcPr>
            <w:tcW w:w="8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82,569 </w:t>
            </w:r>
          </w:p>
        </w:tc>
        <w:tc>
          <w:tcPr>
            <w:tcW w:w="3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84,679 </w:t>
            </w:r>
          </w:p>
        </w:tc>
        <w:tc>
          <w:tcPr>
            <w:tcW w:w="3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169,343 </w:t>
            </w:r>
          </w:p>
        </w:tc>
        <w:tc>
          <w:tcPr>
            <w:tcW w:w="3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170,661 </w:t>
            </w:r>
          </w:p>
        </w:tc>
        <w:tc>
          <w:tcPr>
            <w:tcW w:w="40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4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Depreciation and amortization</w:t>
            </w:r>
          </w:p>
        </w:tc>
        <w:tc>
          <w:tcPr>
            <w:tcW w:w="8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7,733 </w:t>
            </w:r>
          </w:p>
        </w:tc>
        <w:tc>
          <w:tcPr>
            <w:tcW w:w="3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8,951 </w:t>
            </w:r>
          </w:p>
        </w:tc>
        <w:tc>
          <w:tcPr>
            <w:tcW w:w="3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15,619 </w:t>
            </w:r>
          </w:p>
        </w:tc>
        <w:tc>
          <w:tcPr>
            <w:tcW w:w="3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18,627 </w:t>
            </w:r>
          </w:p>
        </w:tc>
        <w:tc>
          <w:tcPr>
            <w:tcW w:w="40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4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Assets gain on sales, impairments and other, net</w:t>
            </w:r>
          </w:p>
        </w:tc>
        <w:tc>
          <w:tcPr>
            <w:tcW w:w="8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(792)</w:t>
            </w:r>
          </w:p>
        </w:tc>
        <w:tc>
          <w:tcPr>
            <w:tcW w:w="3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(152)</w:t>
            </w:r>
          </w:p>
        </w:tc>
        <w:tc>
          <w:tcPr>
            <w:tcW w:w="3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(3,355)</w:t>
            </w:r>
          </w:p>
        </w:tc>
        <w:tc>
          <w:tcPr>
            <w:tcW w:w="3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(12,426)</w:t>
            </w:r>
          </w:p>
        </w:tc>
        <w:tc>
          <w:tcPr>
            <w:tcW w:w="40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4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Restructuring costs and other</w:t>
            </w:r>
          </w:p>
        </w:tc>
        <w:tc>
          <w:tcPr>
            <w:tcW w:w="8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3,694 </w:t>
            </w:r>
          </w:p>
        </w:tc>
        <w:tc>
          <w:tcPr>
            <w:tcW w:w="3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10,590 </w:t>
            </w:r>
          </w:p>
        </w:tc>
        <w:tc>
          <w:tcPr>
            <w:tcW w:w="3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4,340 </w:t>
            </w:r>
          </w:p>
        </w:tc>
        <w:tc>
          <w:tcPr>
            <w:tcW w:w="3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13,790 </w:t>
            </w:r>
          </w:p>
        </w:tc>
        <w:tc>
          <w:tcPr>
            <w:tcW w:w="40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4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operating expenses</w:t>
            </w:r>
          </w:p>
        </w:tc>
        <w:tc>
          <w:tcPr>
            <w:tcW w:w="85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168,501 </w:t>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194,649 </w:t>
            </w:r>
          </w:p>
        </w:tc>
        <w:tc>
          <w:tcPr>
            <w:tcW w:w="31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344,122 </w:t>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373,571 </w:t>
            </w:r>
          </w:p>
        </w:tc>
        <w:tc>
          <w:tcPr>
            <w:tcW w:w="40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41"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Equity in earnings of associated companies</w:t>
            </w:r>
          </w:p>
        </w:tc>
        <w:tc>
          <w:tcPr>
            <w:tcW w:w="85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672 </w:t>
            </w:r>
          </w:p>
        </w:tc>
        <w:tc>
          <w:tcPr>
            <w:tcW w:w="31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1,407 </w:t>
            </w:r>
          </w:p>
        </w:tc>
        <w:tc>
          <w:tcPr>
            <w:tcW w:w="31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2,340 </w:t>
            </w:r>
          </w:p>
        </w:tc>
        <w:tc>
          <w:tcPr>
            <w:tcW w:w="31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3,161 </w:t>
            </w:r>
          </w:p>
        </w:tc>
        <w:tc>
          <w:tcPr>
            <w:tcW w:w="40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4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income (loss)</w:t>
            </w:r>
          </w:p>
        </w:tc>
        <w:tc>
          <w:tcPr>
            <w:tcW w:w="85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2,858 </w:t>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(3,228)</w:t>
            </w:r>
          </w:p>
        </w:tc>
        <w:tc>
          <w:tcPr>
            <w:tcW w:w="31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14,036 </w:t>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21,886 </w:t>
            </w:r>
          </w:p>
        </w:tc>
        <w:tc>
          <w:tcPr>
            <w:tcW w:w="40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41"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Non-operating (expense) income:</w:t>
            </w:r>
          </w:p>
        </w:tc>
        <w:tc>
          <w:tcPr>
            <w:tcW w:w="116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68"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6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264"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44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expense</w:t>
            </w:r>
          </w:p>
        </w:tc>
        <w:tc>
          <w:tcPr>
            <w:tcW w:w="8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(10,501)</w:t>
            </w:r>
          </w:p>
        </w:tc>
        <w:tc>
          <w:tcPr>
            <w:tcW w:w="3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(10,523)</w:t>
            </w:r>
          </w:p>
        </w:tc>
        <w:tc>
          <w:tcPr>
            <w:tcW w:w="3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(20,909)</w:t>
            </w:r>
          </w:p>
        </w:tc>
        <w:tc>
          <w:tcPr>
            <w:tcW w:w="3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(21,186)</w:t>
            </w:r>
          </w:p>
        </w:tc>
        <w:tc>
          <w:tcPr>
            <w:tcW w:w="40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4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Curtailment gain</w:t>
            </w:r>
          </w:p>
        </w:tc>
        <w:tc>
          <w:tcPr>
            <w:tcW w:w="8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1,027 </w:t>
            </w:r>
          </w:p>
        </w:tc>
        <w:tc>
          <w:tcPr>
            <w:tcW w:w="40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4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Pension withdrawal cost</w:t>
            </w:r>
          </w:p>
        </w:tc>
        <w:tc>
          <w:tcPr>
            <w:tcW w:w="8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(2,335)</w:t>
            </w:r>
          </w:p>
        </w:tc>
        <w:tc>
          <w:tcPr>
            <w:tcW w:w="3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(2,335)</w:t>
            </w:r>
          </w:p>
        </w:tc>
        <w:tc>
          <w:tcPr>
            <w:tcW w:w="40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4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Pension and OPEB related benefit (cost) and other, net</w:t>
            </w:r>
          </w:p>
        </w:tc>
        <w:tc>
          <w:tcPr>
            <w:tcW w:w="8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206 </w:t>
            </w:r>
          </w:p>
        </w:tc>
        <w:tc>
          <w:tcPr>
            <w:tcW w:w="3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6,248 </w:t>
            </w:r>
          </w:p>
        </w:tc>
        <w:tc>
          <w:tcPr>
            <w:tcW w:w="3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1,700 </w:t>
            </w:r>
          </w:p>
        </w:tc>
        <w:tc>
          <w:tcPr>
            <w:tcW w:w="3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9,320 </w:t>
            </w:r>
          </w:p>
        </w:tc>
        <w:tc>
          <w:tcPr>
            <w:tcW w:w="40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4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non-operating expense, net</w:t>
            </w:r>
          </w:p>
        </w:tc>
        <w:tc>
          <w:tcPr>
            <w:tcW w:w="85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(10,295)</w:t>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(6,610)</w:t>
            </w:r>
          </w:p>
        </w:tc>
        <w:tc>
          <w:tcPr>
            <w:tcW w:w="31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(19,209)</w:t>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(13,174)</w:t>
            </w:r>
          </w:p>
        </w:tc>
        <w:tc>
          <w:tcPr>
            <w:tcW w:w="40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41"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(Loss) income before income taxes</w:t>
            </w:r>
          </w:p>
        </w:tc>
        <w:tc>
          <w:tcPr>
            <w:tcW w:w="85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(7,437)</w:t>
            </w:r>
          </w:p>
        </w:tc>
        <w:tc>
          <w:tcPr>
            <w:tcW w:w="31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(9,838)</w:t>
            </w:r>
          </w:p>
        </w:tc>
        <w:tc>
          <w:tcPr>
            <w:tcW w:w="31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(5,173)</w:t>
            </w:r>
          </w:p>
        </w:tc>
        <w:tc>
          <w:tcPr>
            <w:tcW w:w="31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8,712 </w:t>
            </w:r>
          </w:p>
        </w:tc>
        <w:tc>
          <w:tcPr>
            <w:tcW w:w="40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4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tax (benefit) expense</w:t>
            </w:r>
          </w:p>
        </w:tc>
        <w:tc>
          <w:tcPr>
            <w:tcW w:w="8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(2,071)</w:t>
            </w:r>
          </w:p>
        </w:tc>
        <w:tc>
          <w:tcPr>
            <w:tcW w:w="3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(3,144)</w:t>
            </w:r>
          </w:p>
        </w:tc>
        <w:tc>
          <w:tcPr>
            <w:tcW w:w="3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(1,631)</w:t>
            </w:r>
          </w:p>
        </w:tc>
        <w:tc>
          <w:tcPr>
            <w:tcW w:w="3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2,207 </w:t>
            </w:r>
          </w:p>
        </w:tc>
        <w:tc>
          <w:tcPr>
            <w:tcW w:w="40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41"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(loss) income</w:t>
            </w:r>
          </w:p>
        </w:tc>
        <w:tc>
          <w:tcPr>
            <w:tcW w:w="85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(5,366)</w:t>
            </w:r>
          </w:p>
        </w:tc>
        <w:tc>
          <w:tcPr>
            <w:tcW w:w="31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(6,694)</w:t>
            </w:r>
          </w:p>
        </w:tc>
        <w:tc>
          <w:tcPr>
            <w:tcW w:w="31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(3,542)</w:t>
            </w:r>
          </w:p>
        </w:tc>
        <w:tc>
          <w:tcPr>
            <w:tcW w:w="31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6,505 </w:t>
            </w:r>
          </w:p>
        </w:tc>
        <w:tc>
          <w:tcPr>
            <w:tcW w:w="40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4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 attributable to non-controlling interests</w:t>
            </w:r>
          </w:p>
        </w:tc>
        <w:tc>
          <w:tcPr>
            <w:tcW w:w="8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(519)</w:t>
            </w:r>
          </w:p>
        </w:tc>
        <w:tc>
          <w:tcPr>
            <w:tcW w:w="3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(582)</w:t>
            </w:r>
          </w:p>
        </w:tc>
        <w:tc>
          <w:tcPr>
            <w:tcW w:w="3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(1,244)</w:t>
            </w:r>
          </w:p>
        </w:tc>
        <w:tc>
          <w:tcPr>
            <w:tcW w:w="3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(1,123)</w:t>
            </w:r>
          </w:p>
        </w:tc>
        <w:tc>
          <w:tcPr>
            <w:tcW w:w="40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41"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(Loss) income attributable to Lee Enterprises, Incorporated</w:t>
            </w:r>
          </w:p>
        </w:tc>
        <w:tc>
          <w:tcPr>
            <w:tcW w:w="85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(5,885)</w:t>
            </w:r>
          </w:p>
        </w:tc>
        <w:tc>
          <w:tcPr>
            <w:tcW w:w="31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(7,276)</w:t>
            </w:r>
          </w:p>
        </w:tc>
        <w:tc>
          <w:tcPr>
            <w:tcW w:w="31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(4,786)</w:t>
            </w:r>
          </w:p>
        </w:tc>
        <w:tc>
          <w:tcPr>
            <w:tcW w:w="31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5,382 </w:t>
            </w:r>
          </w:p>
        </w:tc>
        <w:tc>
          <w:tcPr>
            <w:tcW w:w="40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4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comprehensive loss, net of income taxes</w:t>
            </w:r>
          </w:p>
        </w:tc>
        <w:tc>
          <w:tcPr>
            <w:tcW w:w="8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(140)</w:t>
            </w:r>
          </w:p>
        </w:tc>
        <w:tc>
          <w:tcPr>
            <w:tcW w:w="3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(1,167)</w:t>
            </w:r>
          </w:p>
        </w:tc>
        <w:tc>
          <w:tcPr>
            <w:tcW w:w="3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(280)</w:t>
            </w:r>
          </w:p>
        </w:tc>
        <w:tc>
          <w:tcPr>
            <w:tcW w:w="3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(7,279)</w:t>
            </w:r>
          </w:p>
        </w:tc>
        <w:tc>
          <w:tcPr>
            <w:tcW w:w="40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41"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Comprehensive loss attributable to Lee Enterprises, Incorporated</w:t>
            </w:r>
          </w:p>
        </w:tc>
        <w:tc>
          <w:tcPr>
            <w:tcW w:w="85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(6,025)</w:t>
            </w:r>
          </w:p>
        </w:tc>
        <w:tc>
          <w:tcPr>
            <w:tcW w:w="31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(8,443)</w:t>
            </w:r>
          </w:p>
        </w:tc>
        <w:tc>
          <w:tcPr>
            <w:tcW w:w="31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(5,066)</w:t>
            </w:r>
          </w:p>
        </w:tc>
        <w:tc>
          <w:tcPr>
            <w:tcW w:w="31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(1,897)</w:t>
            </w:r>
          </w:p>
        </w:tc>
        <w:tc>
          <w:tcPr>
            <w:tcW w:w="40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41" w:type="dxa"/>
            <w:gridSpan w:val="3"/>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Earnings per common share:</w:t>
            </w:r>
          </w:p>
        </w:tc>
        <w:tc>
          <w:tcPr>
            <w:tcW w:w="116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168"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16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264"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44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Basic:</w:t>
            </w:r>
          </w:p>
        </w:tc>
        <w:tc>
          <w:tcPr>
            <w:tcW w:w="8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w:t>
            </w:r>
          </w:p>
        </w:tc>
        <w:tc>
          <w:tcPr>
            <w:tcW w:w="3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(1.26)</w:t>
            </w:r>
          </w:p>
        </w:tc>
        <w:tc>
          <w:tcPr>
            <w:tcW w:w="3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(0.82)</w:t>
            </w:r>
          </w:p>
        </w:tc>
        <w:tc>
          <w:tcPr>
            <w:tcW w:w="3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0.94</w:t>
            </w:r>
          </w:p>
        </w:tc>
      </w:tr>
      <w:tr>
        <w:trPr/>
        <w:tc>
          <w:tcPr>
            <w:tcW w:w="5441" w:type="dxa"/>
            <w:gridSpan w:val="3"/>
            <w:tcBorders>
              <w:bottom w:val="double" w:sz="8" w:space="0" w:color="000000"/>
            </w:tcBorders>
            <w:shd w:fill="CCEEFF" w:val="clear"/>
            <w:tcMar>
              <w:top w:w="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Diluted:</w:t>
            </w:r>
          </w:p>
        </w:tc>
        <w:tc>
          <w:tcPr>
            <w:tcW w:w="856" w:type="dxa"/>
            <w:gridSpan w:val="2"/>
            <w:tcBorders>
              <w:bottom w:val="double" w:sz="8" w:space="0" w:color="000000"/>
            </w:tcBorders>
            <w:shd w:fill="CCEEFF" w:val="clear"/>
            <w:tcMar>
              <w:top w:w="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w:t>
            </w:r>
          </w:p>
        </w:tc>
        <w:tc>
          <w:tcPr>
            <w:tcW w:w="310" w:type="dxa"/>
            <w:tcBorders>
              <w:bottom w:val="double" w:sz="8" w:space="0" w:color="000000"/>
            </w:tcBorders>
            <w:shd w:fill="CCEE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856" w:type="dxa"/>
            <w:gridSpan w:val="2"/>
            <w:tcBorders>
              <w:bottom w:val="double" w:sz="8" w:space="0" w:color="000000"/>
            </w:tcBorders>
            <w:shd w:fill="CCEEFF" w:val="clear"/>
            <w:tcMar>
              <w:top w:w="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(1.26)</w:t>
            </w:r>
          </w:p>
        </w:tc>
        <w:tc>
          <w:tcPr>
            <w:tcW w:w="312" w:type="dxa"/>
            <w:tcBorders>
              <w:bottom w:val="double" w:sz="8" w:space="0" w:color="000000"/>
            </w:tcBorders>
            <w:shd w:fill="CCEE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856" w:type="dxa"/>
            <w:gridSpan w:val="2"/>
            <w:tcBorders>
              <w:bottom w:val="double" w:sz="8" w:space="0" w:color="000000"/>
            </w:tcBorders>
            <w:shd w:fill="CCEEFF" w:val="clear"/>
            <w:tcMar>
              <w:top w:w="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(0.82)</w:t>
            </w:r>
          </w:p>
        </w:tc>
        <w:tc>
          <w:tcPr>
            <w:tcW w:w="310" w:type="dxa"/>
            <w:tcBorders>
              <w:bottom w:val="double" w:sz="8" w:space="0" w:color="000000"/>
            </w:tcBorders>
            <w:shd w:fill="CCEE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1264" w:type="dxa"/>
            <w:gridSpan w:val="3"/>
            <w:tcBorders>
              <w:bottom w:val="double" w:sz="8" w:space="0" w:color="000000"/>
            </w:tcBorders>
            <w:shd w:fill="CCEEFF" w:val="clear"/>
            <w:tcMar>
              <w:top w:w="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0.92</w:t>
            </w:r>
          </w:p>
        </w:tc>
      </w:tr>
    </w:tbl>
    <w:p>
      <w:pPr>
        <w:pStyle w:val="TextBody"/>
        <w:spacing w:lineRule="auto" w:line="288" w:before="200" w:after="283"/>
        <w:rPr>
          <w:rFonts w:ascii="Arial;sans-serif" w:hAnsi="Arial;sans-serif"/>
          <w:b w:val="false"/>
          <w:color w:val="000000"/>
          <w:sz w:val="20"/>
        </w:rPr>
      </w:pPr>
      <w:r>
        <w:rPr>
          <w:rFonts w:ascii="Arial;sans-serif" w:hAnsi="Arial;sans-serif"/>
          <w:b w:val="false"/>
          <w:color w:val="000000"/>
          <w:sz w:val="20"/>
        </w:rPr>
        <w:t>The accompanying Notes are an integral part of the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050"/>
                <wp:effectExtent l="0" t="0" r="0" b="0"/>
                <wp:wrapNone/>
                <wp:docPr id="5" name="Frame5"/>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76" w:before="0" w:after="0"/>
                              <w:jc w:val="center"/>
                              <w:rPr>
                                <w:rFonts w:ascii="Arial;sans-serif" w:hAnsi="Arial;sans-serif"/>
                                <w:b w:val="false"/>
                                <w:color w:val="000000"/>
                                <w:sz w:val="20"/>
                              </w:rPr>
                            </w:pPr>
                            <w:r>
                              <w:rPr>
                                <w:rFonts w:ascii="Arial;sans-serif" w:hAnsi="Arial;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Arial;sans-serif" w:hAnsi="Arial;sans-serif"/>
                          <w:b w:val="false"/>
                          <w:color w:val="000000"/>
                          <w:sz w:val="20"/>
                        </w:rPr>
                      </w:pPr>
                      <w:r>
                        <w:rPr>
                          <w:rFonts w:ascii="Arial;sans-serif" w:hAnsi="Arial;sans-serif"/>
                          <w:b w:val="false"/>
                          <w:color w:val="000000"/>
                          <w:sz w:val="20"/>
                        </w:rPr>
                        <w:t>3</w:t>
                      </w:r>
                    </w:p>
                  </w:txbxContent>
                </v:textbox>
              </v:rect>
            </w:pict>
          </mc:Fallback>
        </mc:AlternateContent>
      </w:r>
    </w:p>
    <w:p>
      <w:pPr>
        <w:pStyle w:val="TextBody"/>
        <w:spacing w:before="0" w:after="0"/>
        <w:rPr/>
      </w:pPr>
      <w:r>
        <w:rPr/>
      </w:r>
    </w:p>
    <w:p>
      <w:pPr>
        <w:pStyle w:val="TextBody"/>
        <w:spacing w:before="200" w:after="283"/>
        <w:jc w:val="center"/>
        <w:rPr/>
      </w:pPr>
      <w:r>
        <w:rPr/>
      </w:r>
    </w:p>
    <w:p>
      <w:pPr>
        <w:pStyle w:val="TextBody"/>
        <w:spacing w:lineRule="auto" w:line="288" w:before="200" w:after="283"/>
        <w:jc w:val="center"/>
        <w:rPr>
          <w:rFonts w:ascii="Arial;sans-serif" w:hAnsi="Arial;sans-serif"/>
          <w:b/>
          <w:color w:val="000000"/>
          <w:sz w:val="20"/>
        </w:rPr>
      </w:pPr>
      <w:r>
        <w:rPr>
          <w:rFonts w:ascii="Arial;sans-serif" w:hAnsi="Arial;sans-serif"/>
          <w:b/>
          <w:color w:val="000000"/>
          <w:sz w:val="20"/>
        </w:rPr>
        <w:t>CONSOLIDATED STATEMENTS OF STOCKHOLDERS' EQUITY (DEFICIT)</w:t>
      </w:r>
    </w:p>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(Unaudited)</w:t>
      </w:r>
    </w:p>
    <w:tbl>
      <w:tblPr>
        <w:tblW w:w="10205" w:type="dxa"/>
        <w:jc w:val="left"/>
        <w:tblInd w:w="0" w:type="dxa"/>
        <w:tblCellMar>
          <w:top w:w="28" w:type="dxa"/>
          <w:left w:w="28" w:type="dxa"/>
          <w:bottom w:w="28" w:type="dxa"/>
          <w:right w:w="28" w:type="dxa"/>
        </w:tblCellMar>
      </w:tblPr>
      <w:tblGrid>
        <w:gridCol w:w="1440"/>
        <w:gridCol w:w="1200"/>
        <w:gridCol w:w="1208"/>
        <w:gridCol w:w="450"/>
        <w:gridCol w:w="450"/>
        <w:gridCol w:w="416"/>
        <w:gridCol w:w="437"/>
        <w:gridCol w:w="437"/>
        <w:gridCol w:w="439"/>
        <w:gridCol w:w="434"/>
        <w:gridCol w:w="431"/>
        <w:gridCol w:w="407"/>
        <w:gridCol w:w="485"/>
        <w:gridCol w:w="485"/>
        <w:gridCol w:w="486"/>
        <w:gridCol w:w="375"/>
        <w:gridCol w:w="376"/>
        <w:gridCol w:w="249"/>
      </w:tblGrid>
      <w:tr>
        <w:trPr/>
        <w:tc>
          <w:tcPr>
            <w:tcW w:w="1440" w:type="dxa"/>
            <w:tcBorders/>
            <w:shd w:fill="auto" w:val="clear"/>
            <w:vAlign w:val="center"/>
          </w:tcPr>
          <w:p>
            <w:pPr>
              <w:pStyle w:val="TableContents"/>
              <w:spacing w:before="0" w:after="283"/>
              <w:rPr>
                <w:sz w:val="4"/>
                <w:szCs w:val="4"/>
              </w:rPr>
            </w:pPr>
            <w:r>
              <w:rPr>
                <w:sz w:val="4"/>
                <w:szCs w:val="4"/>
              </w:rPr>
            </w:r>
          </w:p>
        </w:tc>
        <w:tc>
          <w:tcPr>
            <w:tcW w:w="1200" w:type="dxa"/>
            <w:tcBorders/>
            <w:shd w:fill="auto" w:val="clear"/>
            <w:vAlign w:val="center"/>
          </w:tcPr>
          <w:p>
            <w:pPr>
              <w:pStyle w:val="TableContents"/>
              <w:spacing w:before="0" w:after="283"/>
              <w:rPr>
                <w:sz w:val="4"/>
                <w:szCs w:val="4"/>
              </w:rPr>
            </w:pPr>
            <w:r>
              <w:rPr>
                <w:sz w:val="4"/>
                <w:szCs w:val="4"/>
              </w:rPr>
            </w:r>
          </w:p>
        </w:tc>
        <w:tc>
          <w:tcPr>
            <w:tcW w:w="1208" w:type="dxa"/>
            <w:tcBorders/>
            <w:shd w:fill="auto" w:val="clear"/>
            <w:vAlign w:val="center"/>
          </w:tcPr>
          <w:p>
            <w:pPr>
              <w:pStyle w:val="TableContents"/>
              <w:spacing w:before="0" w:after="283"/>
              <w:rPr>
                <w:sz w:val="4"/>
                <w:szCs w:val="4"/>
              </w:rPr>
            </w:pPr>
            <w:r>
              <w:rPr>
                <w:sz w:val="4"/>
                <w:szCs w:val="4"/>
              </w:rPr>
            </w:r>
          </w:p>
        </w:tc>
        <w:tc>
          <w:tcPr>
            <w:tcW w:w="450" w:type="dxa"/>
            <w:tcBorders/>
            <w:shd w:fill="auto" w:val="clear"/>
            <w:vAlign w:val="center"/>
          </w:tcPr>
          <w:p>
            <w:pPr>
              <w:pStyle w:val="TableContents"/>
              <w:spacing w:before="0" w:after="283"/>
              <w:rPr>
                <w:sz w:val="4"/>
                <w:szCs w:val="4"/>
              </w:rPr>
            </w:pPr>
            <w:r>
              <w:rPr>
                <w:sz w:val="4"/>
                <w:szCs w:val="4"/>
              </w:rPr>
            </w:r>
          </w:p>
        </w:tc>
        <w:tc>
          <w:tcPr>
            <w:tcW w:w="450" w:type="dxa"/>
            <w:tcBorders/>
            <w:shd w:fill="auto" w:val="clear"/>
            <w:vAlign w:val="center"/>
          </w:tcPr>
          <w:p>
            <w:pPr>
              <w:pStyle w:val="TableContents"/>
              <w:spacing w:before="0" w:after="283"/>
              <w:rPr>
                <w:sz w:val="4"/>
                <w:szCs w:val="4"/>
              </w:rPr>
            </w:pPr>
            <w:r>
              <w:rPr>
                <w:sz w:val="4"/>
                <w:szCs w:val="4"/>
              </w:rPr>
            </w:r>
          </w:p>
        </w:tc>
        <w:tc>
          <w:tcPr>
            <w:tcW w:w="416" w:type="dxa"/>
            <w:tcBorders/>
            <w:shd w:fill="auto" w:val="clear"/>
            <w:vAlign w:val="center"/>
          </w:tcPr>
          <w:p>
            <w:pPr>
              <w:pStyle w:val="TableContents"/>
              <w:spacing w:before="0" w:after="283"/>
              <w:rPr>
                <w:sz w:val="4"/>
                <w:szCs w:val="4"/>
              </w:rPr>
            </w:pPr>
            <w:r>
              <w:rPr>
                <w:sz w:val="4"/>
                <w:szCs w:val="4"/>
              </w:rPr>
            </w:r>
          </w:p>
        </w:tc>
        <w:tc>
          <w:tcPr>
            <w:tcW w:w="437" w:type="dxa"/>
            <w:tcBorders/>
            <w:shd w:fill="auto" w:val="clear"/>
            <w:vAlign w:val="center"/>
          </w:tcPr>
          <w:p>
            <w:pPr>
              <w:pStyle w:val="TableContents"/>
              <w:spacing w:before="0" w:after="283"/>
              <w:rPr>
                <w:sz w:val="4"/>
                <w:szCs w:val="4"/>
              </w:rPr>
            </w:pPr>
            <w:r>
              <w:rPr>
                <w:sz w:val="4"/>
                <w:szCs w:val="4"/>
              </w:rPr>
            </w:r>
          </w:p>
        </w:tc>
        <w:tc>
          <w:tcPr>
            <w:tcW w:w="437" w:type="dxa"/>
            <w:tcBorders/>
            <w:shd w:fill="auto" w:val="clear"/>
            <w:vAlign w:val="center"/>
          </w:tcPr>
          <w:p>
            <w:pPr>
              <w:pStyle w:val="TableContents"/>
              <w:spacing w:before="0" w:after="283"/>
              <w:rPr>
                <w:sz w:val="4"/>
                <w:szCs w:val="4"/>
              </w:rPr>
            </w:pPr>
            <w:r>
              <w:rPr>
                <w:sz w:val="4"/>
                <w:szCs w:val="4"/>
              </w:rPr>
            </w:r>
          </w:p>
        </w:tc>
        <w:tc>
          <w:tcPr>
            <w:tcW w:w="439" w:type="dxa"/>
            <w:tcBorders/>
            <w:shd w:fill="auto" w:val="clear"/>
            <w:vAlign w:val="center"/>
          </w:tcPr>
          <w:p>
            <w:pPr>
              <w:pStyle w:val="TableContents"/>
              <w:spacing w:before="0" w:after="283"/>
              <w:rPr>
                <w:sz w:val="4"/>
                <w:szCs w:val="4"/>
              </w:rPr>
            </w:pPr>
            <w:r>
              <w:rPr>
                <w:sz w:val="4"/>
                <w:szCs w:val="4"/>
              </w:rPr>
            </w:r>
          </w:p>
        </w:tc>
        <w:tc>
          <w:tcPr>
            <w:tcW w:w="434" w:type="dxa"/>
            <w:tcBorders/>
            <w:shd w:fill="auto" w:val="clear"/>
            <w:vAlign w:val="center"/>
          </w:tcPr>
          <w:p>
            <w:pPr>
              <w:pStyle w:val="TableContents"/>
              <w:spacing w:before="0" w:after="283"/>
              <w:rPr>
                <w:sz w:val="4"/>
                <w:szCs w:val="4"/>
              </w:rPr>
            </w:pPr>
            <w:r>
              <w:rPr>
                <w:sz w:val="4"/>
                <w:szCs w:val="4"/>
              </w:rPr>
            </w:r>
          </w:p>
        </w:tc>
        <w:tc>
          <w:tcPr>
            <w:tcW w:w="431" w:type="dxa"/>
            <w:tcBorders/>
            <w:shd w:fill="auto" w:val="clear"/>
            <w:vAlign w:val="center"/>
          </w:tcPr>
          <w:p>
            <w:pPr>
              <w:pStyle w:val="TableContents"/>
              <w:spacing w:before="0" w:after="283"/>
              <w:rPr>
                <w:sz w:val="4"/>
                <w:szCs w:val="4"/>
              </w:rPr>
            </w:pPr>
            <w:r>
              <w:rPr>
                <w:sz w:val="4"/>
                <w:szCs w:val="4"/>
              </w:rPr>
            </w:r>
          </w:p>
        </w:tc>
        <w:tc>
          <w:tcPr>
            <w:tcW w:w="407" w:type="dxa"/>
            <w:tcBorders/>
            <w:shd w:fill="auto" w:val="clear"/>
            <w:vAlign w:val="center"/>
          </w:tcPr>
          <w:p>
            <w:pPr>
              <w:pStyle w:val="TableContents"/>
              <w:spacing w:before="0" w:after="283"/>
              <w:rPr>
                <w:sz w:val="4"/>
                <w:szCs w:val="4"/>
              </w:rPr>
            </w:pPr>
            <w:r>
              <w:rPr>
                <w:sz w:val="4"/>
                <w:szCs w:val="4"/>
              </w:rPr>
            </w:r>
          </w:p>
        </w:tc>
        <w:tc>
          <w:tcPr>
            <w:tcW w:w="485" w:type="dxa"/>
            <w:tcBorders/>
            <w:shd w:fill="auto" w:val="clear"/>
            <w:vAlign w:val="center"/>
          </w:tcPr>
          <w:p>
            <w:pPr>
              <w:pStyle w:val="TableContents"/>
              <w:spacing w:before="0" w:after="283"/>
              <w:rPr>
                <w:sz w:val="4"/>
                <w:szCs w:val="4"/>
              </w:rPr>
            </w:pPr>
            <w:r>
              <w:rPr>
                <w:sz w:val="4"/>
                <w:szCs w:val="4"/>
              </w:rPr>
            </w:r>
          </w:p>
        </w:tc>
        <w:tc>
          <w:tcPr>
            <w:tcW w:w="485" w:type="dxa"/>
            <w:tcBorders/>
            <w:shd w:fill="auto" w:val="clear"/>
            <w:vAlign w:val="center"/>
          </w:tcPr>
          <w:p>
            <w:pPr>
              <w:pStyle w:val="TableContents"/>
              <w:spacing w:before="0" w:after="283"/>
              <w:rPr>
                <w:sz w:val="4"/>
                <w:szCs w:val="4"/>
              </w:rPr>
            </w:pPr>
            <w:r>
              <w:rPr>
                <w:sz w:val="4"/>
                <w:szCs w:val="4"/>
              </w:rPr>
            </w:r>
          </w:p>
        </w:tc>
        <w:tc>
          <w:tcPr>
            <w:tcW w:w="486" w:type="dxa"/>
            <w:tcBorders/>
            <w:shd w:fill="auto" w:val="clear"/>
            <w:vAlign w:val="center"/>
          </w:tcPr>
          <w:p>
            <w:pPr>
              <w:pStyle w:val="TableContents"/>
              <w:spacing w:before="0" w:after="283"/>
              <w:rPr>
                <w:sz w:val="4"/>
                <w:szCs w:val="4"/>
              </w:rPr>
            </w:pPr>
            <w:r>
              <w:rPr>
                <w:sz w:val="4"/>
                <w:szCs w:val="4"/>
              </w:rPr>
            </w:r>
          </w:p>
        </w:tc>
        <w:tc>
          <w:tcPr>
            <w:tcW w:w="375" w:type="dxa"/>
            <w:tcBorders/>
            <w:shd w:fill="auto" w:val="clear"/>
            <w:vAlign w:val="center"/>
          </w:tcPr>
          <w:p>
            <w:pPr>
              <w:pStyle w:val="TableContents"/>
              <w:spacing w:before="0" w:after="283"/>
              <w:rPr>
                <w:sz w:val="4"/>
                <w:szCs w:val="4"/>
              </w:rPr>
            </w:pPr>
            <w:r>
              <w:rPr>
                <w:sz w:val="4"/>
                <w:szCs w:val="4"/>
              </w:rPr>
            </w:r>
          </w:p>
        </w:tc>
        <w:tc>
          <w:tcPr>
            <w:tcW w:w="376" w:type="dxa"/>
            <w:tcBorders/>
            <w:shd w:fill="auto" w:val="clear"/>
            <w:vAlign w:val="center"/>
          </w:tcPr>
          <w:p>
            <w:pPr>
              <w:pStyle w:val="TableContents"/>
              <w:spacing w:before="0" w:after="283"/>
              <w:rPr>
                <w:sz w:val="4"/>
                <w:szCs w:val="4"/>
              </w:rPr>
            </w:pPr>
            <w:r>
              <w:rPr>
                <w:sz w:val="4"/>
                <w:szCs w:val="4"/>
              </w:rPr>
            </w:r>
          </w:p>
        </w:tc>
        <w:tc>
          <w:tcPr>
            <w:tcW w:w="249" w:type="dxa"/>
            <w:tcBorders/>
            <w:shd w:fill="auto" w:val="clear"/>
            <w:vAlign w:val="center"/>
          </w:tcPr>
          <w:p>
            <w:pPr>
              <w:pStyle w:val="TableContents"/>
              <w:spacing w:before="0" w:after="283"/>
              <w:rPr>
                <w:sz w:val="4"/>
                <w:szCs w:val="4"/>
              </w:rPr>
            </w:pPr>
            <w:r>
              <w:rPr>
                <w:sz w:val="4"/>
                <w:szCs w:val="4"/>
              </w:rPr>
            </w:r>
          </w:p>
        </w:tc>
      </w:tr>
      <w:tr>
        <w:trPr/>
        <w:tc>
          <w:tcPr>
            <w:tcW w:w="384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(Thousands of Dollars)</w:t>
            </w:r>
          </w:p>
        </w:tc>
        <w:tc>
          <w:tcPr>
            <w:tcW w:w="131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Accumulated</w:t>
              <w:br/>
              <w:t>Deficit</w:t>
            </w:r>
          </w:p>
        </w:tc>
        <w:tc>
          <w:tcPr>
            <w:tcW w:w="131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Common Stock</w:t>
            </w:r>
          </w:p>
        </w:tc>
        <w:tc>
          <w:tcPr>
            <w:tcW w:w="127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Additional</w:t>
              <w:br/>
              <w:t>paid-in capital</w:t>
            </w:r>
          </w:p>
        </w:tc>
        <w:tc>
          <w:tcPr>
            <w:tcW w:w="145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Accumulated</w:t>
              <w:br/>
              <w:t>Other</w:t>
              <w:br/>
              <w:t>Comprehensive</w:t>
              <w:br/>
              <w:t>Loss</w:t>
            </w:r>
          </w:p>
        </w:tc>
        <w:tc>
          <w:tcPr>
            <w:tcW w:w="100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Total</w:t>
            </w:r>
          </w:p>
        </w:tc>
      </w:tr>
      <w:tr>
        <w:trPr/>
        <w:tc>
          <w:tcPr>
            <w:tcW w:w="384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1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1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7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5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0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84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September 26, 2022</w:t>
            </w:r>
          </w:p>
        </w:tc>
        <w:tc>
          <w:tcPr>
            <w:tcW w:w="90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(261,229)</w:t>
            </w:r>
          </w:p>
        </w:tc>
        <w:tc>
          <w:tcPr>
            <w:tcW w:w="4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60 </w:t>
            </w:r>
          </w:p>
        </w:tc>
        <w:tc>
          <w:tcPr>
            <w:tcW w:w="43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259,521 </w:t>
            </w:r>
          </w:p>
        </w:tc>
        <w:tc>
          <w:tcPr>
            <w:tcW w:w="40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16,653 </w:t>
            </w:r>
          </w:p>
        </w:tc>
        <w:tc>
          <w:tcPr>
            <w:tcW w:w="4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15,005 </w:t>
            </w:r>
          </w:p>
        </w:tc>
        <w:tc>
          <w:tcPr>
            <w:tcW w:w="24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4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Shares issued (redeemed)</w:t>
            </w:r>
          </w:p>
        </w:tc>
        <w:tc>
          <w:tcPr>
            <w:tcW w:w="90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3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(383)</w:t>
            </w:r>
          </w:p>
        </w:tc>
        <w:tc>
          <w:tcPr>
            <w:tcW w:w="40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(383)</w:t>
            </w:r>
          </w:p>
        </w:tc>
        <w:tc>
          <w:tcPr>
            <w:tcW w:w="24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4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attributable to Lee Enterprises, Incorporated</w:t>
            </w:r>
          </w:p>
        </w:tc>
        <w:tc>
          <w:tcPr>
            <w:tcW w:w="90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1,099 </w:t>
            </w:r>
          </w:p>
        </w:tc>
        <w:tc>
          <w:tcPr>
            <w:tcW w:w="4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3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0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1,099 </w:t>
            </w:r>
          </w:p>
        </w:tc>
        <w:tc>
          <w:tcPr>
            <w:tcW w:w="24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4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 compensation</w:t>
            </w:r>
          </w:p>
        </w:tc>
        <w:tc>
          <w:tcPr>
            <w:tcW w:w="90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3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349 </w:t>
            </w:r>
          </w:p>
        </w:tc>
        <w:tc>
          <w:tcPr>
            <w:tcW w:w="40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349 </w:t>
            </w:r>
          </w:p>
        </w:tc>
        <w:tc>
          <w:tcPr>
            <w:tcW w:w="24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4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comprehensive loss</w:t>
            </w:r>
          </w:p>
        </w:tc>
        <w:tc>
          <w:tcPr>
            <w:tcW w:w="90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3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0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(200)</w:t>
            </w:r>
          </w:p>
        </w:tc>
        <w:tc>
          <w:tcPr>
            <w:tcW w:w="4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(200)</w:t>
            </w:r>
          </w:p>
        </w:tc>
        <w:tc>
          <w:tcPr>
            <w:tcW w:w="24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4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Deferred income taxes, net</w:t>
            </w:r>
          </w:p>
        </w:tc>
        <w:tc>
          <w:tcPr>
            <w:tcW w:w="90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3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0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60 </w:t>
            </w:r>
          </w:p>
        </w:tc>
        <w:tc>
          <w:tcPr>
            <w:tcW w:w="4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60 </w:t>
            </w:r>
          </w:p>
        </w:tc>
        <w:tc>
          <w:tcPr>
            <w:tcW w:w="24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48"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December 25, 2022</w:t>
            </w:r>
          </w:p>
        </w:tc>
        <w:tc>
          <w:tcPr>
            <w:tcW w:w="90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(260,130)</w:t>
            </w:r>
          </w:p>
        </w:tc>
        <w:tc>
          <w:tcPr>
            <w:tcW w:w="4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874"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60 </w:t>
            </w:r>
          </w:p>
        </w:tc>
        <w:tc>
          <w:tcPr>
            <w:tcW w:w="4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865"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259,487 </w:t>
            </w:r>
          </w:p>
        </w:tc>
        <w:tc>
          <w:tcPr>
            <w:tcW w:w="4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97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16,513 </w:t>
            </w:r>
          </w:p>
        </w:tc>
        <w:tc>
          <w:tcPr>
            <w:tcW w:w="4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75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15,930 </w:t>
            </w:r>
          </w:p>
        </w:tc>
        <w:tc>
          <w:tcPr>
            <w:tcW w:w="2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tbl>
      <w:tblPr>
        <w:tblW w:w="8680" w:type="dxa"/>
        <w:jc w:val="left"/>
        <w:tblInd w:w="0" w:type="dxa"/>
        <w:tblCellMar>
          <w:top w:w="28" w:type="dxa"/>
          <w:left w:w="28" w:type="dxa"/>
          <w:bottom w:w="28" w:type="dxa"/>
          <w:right w:w="28" w:type="dxa"/>
        </w:tblCellMar>
      </w:tblPr>
      <w:tblGrid>
        <w:gridCol w:w="1597"/>
        <w:gridCol w:w="1404"/>
        <w:gridCol w:w="1409"/>
        <w:gridCol w:w="458"/>
        <w:gridCol w:w="458"/>
        <w:gridCol w:w="109"/>
        <w:gridCol w:w="203"/>
        <w:gridCol w:w="203"/>
        <w:gridCol w:w="109"/>
        <w:gridCol w:w="427"/>
        <w:gridCol w:w="429"/>
        <w:gridCol w:w="109"/>
        <w:gridCol w:w="374"/>
        <w:gridCol w:w="377"/>
        <w:gridCol w:w="109"/>
        <w:gridCol w:w="375"/>
        <w:gridCol w:w="376"/>
        <w:gridCol w:w="154"/>
      </w:tblGrid>
      <w:tr>
        <w:trPr/>
        <w:tc>
          <w:tcPr>
            <w:tcW w:w="1597" w:type="dxa"/>
            <w:tcBorders/>
            <w:shd w:fill="auto" w:val="clear"/>
            <w:vAlign w:val="center"/>
          </w:tcPr>
          <w:p>
            <w:pPr>
              <w:pStyle w:val="TableContents"/>
              <w:spacing w:before="0" w:after="283"/>
              <w:rPr>
                <w:sz w:val="4"/>
                <w:szCs w:val="4"/>
              </w:rPr>
            </w:pPr>
            <w:r>
              <w:rPr>
                <w:sz w:val="4"/>
                <w:szCs w:val="4"/>
              </w:rPr>
            </w:r>
          </w:p>
        </w:tc>
        <w:tc>
          <w:tcPr>
            <w:tcW w:w="1404" w:type="dxa"/>
            <w:tcBorders/>
            <w:shd w:fill="auto" w:val="clear"/>
            <w:vAlign w:val="center"/>
          </w:tcPr>
          <w:p>
            <w:pPr>
              <w:pStyle w:val="TableContents"/>
              <w:spacing w:before="0" w:after="283"/>
              <w:rPr>
                <w:sz w:val="4"/>
                <w:szCs w:val="4"/>
              </w:rPr>
            </w:pPr>
            <w:r>
              <w:rPr>
                <w:sz w:val="4"/>
                <w:szCs w:val="4"/>
              </w:rPr>
            </w:r>
          </w:p>
        </w:tc>
        <w:tc>
          <w:tcPr>
            <w:tcW w:w="1409" w:type="dxa"/>
            <w:tcBorders/>
            <w:shd w:fill="auto" w:val="clear"/>
            <w:vAlign w:val="center"/>
          </w:tcPr>
          <w:p>
            <w:pPr>
              <w:pStyle w:val="TableContents"/>
              <w:spacing w:before="0" w:after="283"/>
              <w:rPr>
                <w:sz w:val="4"/>
                <w:szCs w:val="4"/>
              </w:rPr>
            </w:pPr>
            <w:r>
              <w:rPr>
                <w:sz w:val="4"/>
                <w:szCs w:val="4"/>
              </w:rPr>
            </w:r>
          </w:p>
        </w:tc>
        <w:tc>
          <w:tcPr>
            <w:tcW w:w="458" w:type="dxa"/>
            <w:tcBorders/>
            <w:shd w:fill="auto" w:val="clear"/>
            <w:vAlign w:val="center"/>
          </w:tcPr>
          <w:p>
            <w:pPr>
              <w:pStyle w:val="TableContents"/>
              <w:spacing w:before="0" w:after="283"/>
              <w:rPr>
                <w:sz w:val="4"/>
                <w:szCs w:val="4"/>
              </w:rPr>
            </w:pPr>
            <w:r>
              <w:rPr>
                <w:sz w:val="4"/>
                <w:szCs w:val="4"/>
              </w:rPr>
            </w:r>
          </w:p>
        </w:tc>
        <w:tc>
          <w:tcPr>
            <w:tcW w:w="45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27" w:type="dxa"/>
            <w:tcBorders/>
            <w:shd w:fill="auto" w:val="clear"/>
            <w:vAlign w:val="center"/>
          </w:tcPr>
          <w:p>
            <w:pPr>
              <w:pStyle w:val="TableContents"/>
              <w:spacing w:before="0" w:after="283"/>
              <w:rPr>
                <w:sz w:val="4"/>
                <w:szCs w:val="4"/>
              </w:rPr>
            </w:pPr>
            <w:r>
              <w:rPr>
                <w:sz w:val="4"/>
                <w:szCs w:val="4"/>
              </w:rPr>
            </w:r>
          </w:p>
        </w:tc>
        <w:tc>
          <w:tcPr>
            <w:tcW w:w="42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4" w:type="dxa"/>
            <w:tcBorders/>
            <w:shd w:fill="auto" w:val="clear"/>
            <w:vAlign w:val="center"/>
          </w:tcPr>
          <w:p>
            <w:pPr>
              <w:pStyle w:val="TableContents"/>
              <w:spacing w:before="0" w:after="283"/>
              <w:rPr>
                <w:sz w:val="4"/>
                <w:szCs w:val="4"/>
              </w:rPr>
            </w:pPr>
            <w:r>
              <w:rPr>
                <w:sz w:val="4"/>
                <w:szCs w:val="4"/>
              </w:rPr>
            </w:r>
          </w:p>
        </w:tc>
        <w:tc>
          <w:tcPr>
            <w:tcW w:w="37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5" w:type="dxa"/>
            <w:tcBorders/>
            <w:shd w:fill="auto" w:val="clear"/>
            <w:vAlign w:val="center"/>
          </w:tcPr>
          <w:p>
            <w:pPr>
              <w:pStyle w:val="TableContents"/>
              <w:spacing w:before="0" w:after="283"/>
              <w:rPr>
                <w:sz w:val="4"/>
                <w:szCs w:val="4"/>
              </w:rPr>
            </w:pPr>
            <w:r>
              <w:rPr>
                <w:sz w:val="4"/>
                <w:szCs w:val="4"/>
              </w:rPr>
            </w:r>
          </w:p>
        </w:tc>
        <w:tc>
          <w:tcPr>
            <w:tcW w:w="37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4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Shares issued (redeemed)</w:t>
            </w:r>
          </w:p>
        </w:tc>
        <w:tc>
          <w:tcPr>
            <w:tcW w:w="9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(97)</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Loss attributable to Lee Enterprises, Incorporated</w:t>
            </w:r>
          </w:p>
        </w:tc>
        <w:tc>
          <w:tcPr>
            <w:tcW w:w="9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(5,885)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(5,885)</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 compensation</w:t>
            </w:r>
          </w:p>
        </w:tc>
        <w:tc>
          <w:tcPr>
            <w:tcW w:w="9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comprehensive loss</w:t>
            </w:r>
          </w:p>
        </w:tc>
        <w:tc>
          <w:tcPr>
            <w:tcW w:w="9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(200)</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Deferred income taxes, net</w:t>
            </w:r>
          </w:p>
        </w:tc>
        <w:tc>
          <w:tcPr>
            <w:tcW w:w="9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10"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March 26, 2023</w:t>
            </w:r>
          </w:p>
        </w:tc>
        <w:tc>
          <w:tcPr>
            <w:tcW w:w="9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(266,015)</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40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85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259,964 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75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16,373 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75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10,382 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200" w:after="283"/>
        <w:rPr/>
      </w:pPr>
      <w:r>
        <w:rPr/>
      </w:r>
    </w:p>
    <w:p>
      <w:pPr>
        <w:pStyle w:val="HorizontalLine"/>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050"/>
                <wp:effectExtent l="0" t="0" r="0" b="0"/>
                <wp:wrapNone/>
                <wp:docPr id="6" name="Frame6"/>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76" w:before="0" w:after="0"/>
                              <w:jc w:val="center"/>
                              <w:rPr>
                                <w:rFonts w:ascii="Arial;sans-serif" w:hAnsi="Arial;sans-serif"/>
                                <w:b w:val="false"/>
                                <w:color w:val="000000"/>
                                <w:sz w:val="20"/>
                              </w:rPr>
                            </w:pPr>
                            <w:r>
                              <w:rPr>
                                <w:rFonts w:ascii="Arial;sans-serif" w:hAnsi="Arial;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Arial;sans-serif" w:hAnsi="Arial;sans-serif"/>
                          <w:b w:val="false"/>
                          <w:color w:val="000000"/>
                          <w:sz w:val="20"/>
                        </w:rPr>
                      </w:pPr>
                      <w:r>
                        <w:rPr>
                          <w:rFonts w:ascii="Arial;sans-serif" w:hAnsi="Arial;sans-serif"/>
                          <w:b w:val="false"/>
                          <w:color w:val="000000"/>
                          <w:sz w:val="20"/>
                        </w:rPr>
                        <w:t>4</w:t>
                      </w:r>
                    </w:p>
                  </w:txbxContent>
                </v:textbox>
              </v:rect>
            </w:pict>
          </mc:Fallback>
        </mc:AlternateContent>
      </w:r>
    </w:p>
    <w:p>
      <w:pPr>
        <w:pStyle w:val="TextBody"/>
        <w:spacing w:before="0" w:after="0"/>
        <w:rPr/>
      </w:pPr>
      <w:r>
        <w:rPr/>
      </w:r>
    </w:p>
    <w:tbl>
      <w:tblPr>
        <w:tblW w:w="10205" w:type="dxa"/>
        <w:jc w:val="left"/>
        <w:tblInd w:w="0" w:type="dxa"/>
        <w:tblCellMar>
          <w:top w:w="28" w:type="dxa"/>
          <w:left w:w="28" w:type="dxa"/>
          <w:bottom w:w="28" w:type="dxa"/>
          <w:right w:w="28" w:type="dxa"/>
        </w:tblCellMar>
      </w:tblPr>
      <w:tblGrid>
        <w:gridCol w:w="1440"/>
        <w:gridCol w:w="1200"/>
        <w:gridCol w:w="1208"/>
        <w:gridCol w:w="450"/>
        <w:gridCol w:w="450"/>
        <w:gridCol w:w="416"/>
        <w:gridCol w:w="437"/>
        <w:gridCol w:w="437"/>
        <w:gridCol w:w="439"/>
        <w:gridCol w:w="434"/>
        <w:gridCol w:w="431"/>
        <w:gridCol w:w="407"/>
        <w:gridCol w:w="485"/>
        <w:gridCol w:w="485"/>
        <w:gridCol w:w="486"/>
        <w:gridCol w:w="375"/>
        <w:gridCol w:w="376"/>
        <w:gridCol w:w="249"/>
      </w:tblGrid>
      <w:tr>
        <w:trPr/>
        <w:tc>
          <w:tcPr>
            <w:tcW w:w="1440" w:type="dxa"/>
            <w:tcBorders/>
            <w:shd w:fill="auto" w:val="clear"/>
            <w:vAlign w:val="center"/>
          </w:tcPr>
          <w:p>
            <w:pPr>
              <w:pStyle w:val="TableContents"/>
              <w:spacing w:before="0" w:after="283"/>
              <w:rPr>
                <w:sz w:val="4"/>
                <w:szCs w:val="4"/>
              </w:rPr>
            </w:pPr>
            <w:r>
              <w:rPr>
                <w:sz w:val="4"/>
                <w:szCs w:val="4"/>
              </w:rPr>
            </w:r>
          </w:p>
        </w:tc>
        <w:tc>
          <w:tcPr>
            <w:tcW w:w="1200" w:type="dxa"/>
            <w:tcBorders/>
            <w:shd w:fill="auto" w:val="clear"/>
            <w:vAlign w:val="center"/>
          </w:tcPr>
          <w:p>
            <w:pPr>
              <w:pStyle w:val="TableContents"/>
              <w:spacing w:before="0" w:after="283"/>
              <w:rPr>
                <w:sz w:val="4"/>
                <w:szCs w:val="4"/>
              </w:rPr>
            </w:pPr>
            <w:r>
              <w:rPr>
                <w:sz w:val="4"/>
                <w:szCs w:val="4"/>
              </w:rPr>
            </w:r>
          </w:p>
        </w:tc>
        <w:tc>
          <w:tcPr>
            <w:tcW w:w="1208" w:type="dxa"/>
            <w:tcBorders/>
            <w:shd w:fill="auto" w:val="clear"/>
            <w:vAlign w:val="center"/>
          </w:tcPr>
          <w:p>
            <w:pPr>
              <w:pStyle w:val="TableContents"/>
              <w:spacing w:before="0" w:after="283"/>
              <w:rPr>
                <w:sz w:val="4"/>
                <w:szCs w:val="4"/>
              </w:rPr>
            </w:pPr>
            <w:r>
              <w:rPr>
                <w:sz w:val="4"/>
                <w:szCs w:val="4"/>
              </w:rPr>
            </w:r>
          </w:p>
        </w:tc>
        <w:tc>
          <w:tcPr>
            <w:tcW w:w="450" w:type="dxa"/>
            <w:tcBorders/>
            <w:shd w:fill="auto" w:val="clear"/>
            <w:vAlign w:val="center"/>
          </w:tcPr>
          <w:p>
            <w:pPr>
              <w:pStyle w:val="TableContents"/>
              <w:spacing w:before="0" w:after="283"/>
              <w:rPr>
                <w:sz w:val="4"/>
                <w:szCs w:val="4"/>
              </w:rPr>
            </w:pPr>
            <w:r>
              <w:rPr>
                <w:sz w:val="4"/>
                <w:szCs w:val="4"/>
              </w:rPr>
            </w:r>
          </w:p>
        </w:tc>
        <w:tc>
          <w:tcPr>
            <w:tcW w:w="450" w:type="dxa"/>
            <w:tcBorders/>
            <w:shd w:fill="auto" w:val="clear"/>
            <w:vAlign w:val="center"/>
          </w:tcPr>
          <w:p>
            <w:pPr>
              <w:pStyle w:val="TableContents"/>
              <w:spacing w:before="0" w:after="283"/>
              <w:rPr>
                <w:sz w:val="4"/>
                <w:szCs w:val="4"/>
              </w:rPr>
            </w:pPr>
            <w:r>
              <w:rPr>
                <w:sz w:val="4"/>
                <w:szCs w:val="4"/>
              </w:rPr>
            </w:r>
          </w:p>
        </w:tc>
        <w:tc>
          <w:tcPr>
            <w:tcW w:w="416" w:type="dxa"/>
            <w:tcBorders/>
            <w:shd w:fill="auto" w:val="clear"/>
            <w:vAlign w:val="center"/>
          </w:tcPr>
          <w:p>
            <w:pPr>
              <w:pStyle w:val="TableContents"/>
              <w:spacing w:before="0" w:after="283"/>
              <w:rPr>
                <w:sz w:val="4"/>
                <w:szCs w:val="4"/>
              </w:rPr>
            </w:pPr>
            <w:r>
              <w:rPr>
                <w:sz w:val="4"/>
                <w:szCs w:val="4"/>
              </w:rPr>
            </w:r>
          </w:p>
        </w:tc>
        <w:tc>
          <w:tcPr>
            <w:tcW w:w="437" w:type="dxa"/>
            <w:tcBorders/>
            <w:shd w:fill="auto" w:val="clear"/>
            <w:vAlign w:val="center"/>
          </w:tcPr>
          <w:p>
            <w:pPr>
              <w:pStyle w:val="TableContents"/>
              <w:spacing w:before="0" w:after="283"/>
              <w:rPr>
                <w:sz w:val="4"/>
                <w:szCs w:val="4"/>
              </w:rPr>
            </w:pPr>
            <w:r>
              <w:rPr>
                <w:sz w:val="4"/>
                <w:szCs w:val="4"/>
              </w:rPr>
            </w:r>
          </w:p>
        </w:tc>
        <w:tc>
          <w:tcPr>
            <w:tcW w:w="437" w:type="dxa"/>
            <w:tcBorders/>
            <w:shd w:fill="auto" w:val="clear"/>
            <w:vAlign w:val="center"/>
          </w:tcPr>
          <w:p>
            <w:pPr>
              <w:pStyle w:val="TableContents"/>
              <w:spacing w:before="0" w:after="283"/>
              <w:rPr>
                <w:sz w:val="4"/>
                <w:szCs w:val="4"/>
              </w:rPr>
            </w:pPr>
            <w:r>
              <w:rPr>
                <w:sz w:val="4"/>
                <w:szCs w:val="4"/>
              </w:rPr>
            </w:r>
          </w:p>
        </w:tc>
        <w:tc>
          <w:tcPr>
            <w:tcW w:w="439" w:type="dxa"/>
            <w:tcBorders/>
            <w:shd w:fill="auto" w:val="clear"/>
            <w:vAlign w:val="center"/>
          </w:tcPr>
          <w:p>
            <w:pPr>
              <w:pStyle w:val="TableContents"/>
              <w:spacing w:before="0" w:after="283"/>
              <w:rPr>
                <w:sz w:val="4"/>
                <w:szCs w:val="4"/>
              </w:rPr>
            </w:pPr>
            <w:r>
              <w:rPr>
                <w:sz w:val="4"/>
                <w:szCs w:val="4"/>
              </w:rPr>
            </w:r>
          </w:p>
        </w:tc>
        <w:tc>
          <w:tcPr>
            <w:tcW w:w="434" w:type="dxa"/>
            <w:tcBorders/>
            <w:shd w:fill="auto" w:val="clear"/>
            <w:vAlign w:val="center"/>
          </w:tcPr>
          <w:p>
            <w:pPr>
              <w:pStyle w:val="TableContents"/>
              <w:spacing w:before="0" w:after="283"/>
              <w:rPr>
                <w:sz w:val="4"/>
                <w:szCs w:val="4"/>
              </w:rPr>
            </w:pPr>
            <w:r>
              <w:rPr>
                <w:sz w:val="4"/>
                <w:szCs w:val="4"/>
              </w:rPr>
            </w:r>
          </w:p>
        </w:tc>
        <w:tc>
          <w:tcPr>
            <w:tcW w:w="431" w:type="dxa"/>
            <w:tcBorders/>
            <w:shd w:fill="auto" w:val="clear"/>
            <w:vAlign w:val="center"/>
          </w:tcPr>
          <w:p>
            <w:pPr>
              <w:pStyle w:val="TableContents"/>
              <w:spacing w:before="0" w:after="283"/>
              <w:rPr>
                <w:sz w:val="4"/>
                <w:szCs w:val="4"/>
              </w:rPr>
            </w:pPr>
            <w:r>
              <w:rPr>
                <w:sz w:val="4"/>
                <w:szCs w:val="4"/>
              </w:rPr>
            </w:r>
          </w:p>
        </w:tc>
        <w:tc>
          <w:tcPr>
            <w:tcW w:w="407" w:type="dxa"/>
            <w:tcBorders/>
            <w:shd w:fill="auto" w:val="clear"/>
            <w:vAlign w:val="center"/>
          </w:tcPr>
          <w:p>
            <w:pPr>
              <w:pStyle w:val="TableContents"/>
              <w:spacing w:before="0" w:after="283"/>
              <w:rPr>
                <w:sz w:val="4"/>
                <w:szCs w:val="4"/>
              </w:rPr>
            </w:pPr>
            <w:r>
              <w:rPr>
                <w:sz w:val="4"/>
                <w:szCs w:val="4"/>
              </w:rPr>
            </w:r>
          </w:p>
        </w:tc>
        <w:tc>
          <w:tcPr>
            <w:tcW w:w="485" w:type="dxa"/>
            <w:tcBorders/>
            <w:shd w:fill="auto" w:val="clear"/>
            <w:vAlign w:val="center"/>
          </w:tcPr>
          <w:p>
            <w:pPr>
              <w:pStyle w:val="TableContents"/>
              <w:spacing w:before="0" w:after="283"/>
              <w:rPr>
                <w:sz w:val="4"/>
                <w:szCs w:val="4"/>
              </w:rPr>
            </w:pPr>
            <w:r>
              <w:rPr>
                <w:sz w:val="4"/>
                <w:szCs w:val="4"/>
              </w:rPr>
            </w:r>
          </w:p>
        </w:tc>
        <w:tc>
          <w:tcPr>
            <w:tcW w:w="485" w:type="dxa"/>
            <w:tcBorders/>
            <w:shd w:fill="auto" w:val="clear"/>
            <w:vAlign w:val="center"/>
          </w:tcPr>
          <w:p>
            <w:pPr>
              <w:pStyle w:val="TableContents"/>
              <w:spacing w:before="0" w:after="283"/>
              <w:rPr>
                <w:sz w:val="4"/>
                <w:szCs w:val="4"/>
              </w:rPr>
            </w:pPr>
            <w:r>
              <w:rPr>
                <w:sz w:val="4"/>
                <w:szCs w:val="4"/>
              </w:rPr>
            </w:r>
          </w:p>
        </w:tc>
        <w:tc>
          <w:tcPr>
            <w:tcW w:w="486" w:type="dxa"/>
            <w:tcBorders/>
            <w:shd w:fill="auto" w:val="clear"/>
            <w:vAlign w:val="center"/>
          </w:tcPr>
          <w:p>
            <w:pPr>
              <w:pStyle w:val="TableContents"/>
              <w:spacing w:before="0" w:after="283"/>
              <w:rPr>
                <w:sz w:val="4"/>
                <w:szCs w:val="4"/>
              </w:rPr>
            </w:pPr>
            <w:r>
              <w:rPr>
                <w:sz w:val="4"/>
                <w:szCs w:val="4"/>
              </w:rPr>
            </w:r>
          </w:p>
        </w:tc>
        <w:tc>
          <w:tcPr>
            <w:tcW w:w="375" w:type="dxa"/>
            <w:tcBorders/>
            <w:shd w:fill="auto" w:val="clear"/>
            <w:vAlign w:val="center"/>
          </w:tcPr>
          <w:p>
            <w:pPr>
              <w:pStyle w:val="TableContents"/>
              <w:spacing w:before="0" w:after="283"/>
              <w:rPr>
                <w:sz w:val="4"/>
                <w:szCs w:val="4"/>
              </w:rPr>
            </w:pPr>
            <w:r>
              <w:rPr>
                <w:sz w:val="4"/>
                <w:szCs w:val="4"/>
              </w:rPr>
            </w:r>
          </w:p>
        </w:tc>
        <w:tc>
          <w:tcPr>
            <w:tcW w:w="376" w:type="dxa"/>
            <w:tcBorders/>
            <w:shd w:fill="auto" w:val="clear"/>
            <w:vAlign w:val="center"/>
          </w:tcPr>
          <w:p>
            <w:pPr>
              <w:pStyle w:val="TableContents"/>
              <w:spacing w:before="0" w:after="283"/>
              <w:rPr>
                <w:sz w:val="4"/>
                <w:szCs w:val="4"/>
              </w:rPr>
            </w:pPr>
            <w:r>
              <w:rPr>
                <w:sz w:val="4"/>
                <w:szCs w:val="4"/>
              </w:rPr>
            </w:r>
          </w:p>
        </w:tc>
        <w:tc>
          <w:tcPr>
            <w:tcW w:w="249" w:type="dxa"/>
            <w:tcBorders/>
            <w:shd w:fill="auto" w:val="clear"/>
            <w:vAlign w:val="center"/>
          </w:tcPr>
          <w:p>
            <w:pPr>
              <w:pStyle w:val="TableContents"/>
              <w:spacing w:before="0" w:after="283"/>
              <w:rPr>
                <w:sz w:val="4"/>
                <w:szCs w:val="4"/>
              </w:rPr>
            </w:pPr>
            <w:r>
              <w:rPr>
                <w:sz w:val="4"/>
                <w:szCs w:val="4"/>
              </w:rPr>
            </w:r>
          </w:p>
        </w:tc>
      </w:tr>
      <w:tr>
        <w:trPr/>
        <w:tc>
          <w:tcPr>
            <w:tcW w:w="384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(Thousands of Dollars)</w:t>
            </w:r>
          </w:p>
        </w:tc>
        <w:tc>
          <w:tcPr>
            <w:tcW w:w="131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Accumulated</w:t>
              <w:br/>
              <w:t>Deficit</w:t>
            </w:r>
          </w:p>
        </w:tc>
        <w:tc>
          <w:tcPr>
            <w:tcW w:w="131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Common Stock</w:t>
            </w:r>
          </w:p>
        </w:tc>
        <w:tc>
          <w:tcPr>
            <w:tcW w:w="127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Additional</w:t>
              <w:br/>
              <w:t>paid-in capital</w:t>
            </w:r>
          </w:p>
        </w:tc>
        <w:tc>
          <w:tcPr>
            <w:tcW w:w="145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Accumulated</w:t>
              <w:br/>
              <w:t>Other</w:t>
              <w:br/>
              <w:t>Comprehensive</w:t>
              <w:br/>
              <w:t>Loss</w:t>
            </w:r>
          </w:p>
        </w:tc>
        <w:tc>
          <w:tcPr>
            <w:tcW w:w="100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Total</w:t>
            </w:r>
          </w:p>
        </w:tc>
      </w:tr>
      <w:tr>
        <w:trPr/>
        <w:tc>
          <w:tcPr>
            <w:tcW w:w="384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1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1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7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5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0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84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September 27, 2021</w:t>
            </w:r>
          </w:p>
        </w:tc>
        <w:tc>
          <w:tcPr>
            <w:tcW w:w="90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(259,212)</w:t>
            </w:r>
          </w:p>
        </w:tc>
        <w:tc>
          <w:tcPr>
            <w:tcW w:w="4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59 </w:t>
            </w:r>
          </w:p>
        </w:tc>
        <w:tc>
          <w:tcPr>
            <w:tcW w:w="43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258,063 </w:t>
            </w:r>
          </w:p>
        </w:tc>
        <w:tc>
          <w:tcPr>
            <w:tcW w:w="40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42,187 </w:t>
            </w:r>
          </w:p>
        </w:tc>
        <w:tc>
          <w:tcPr>
            <w:tcW w:w="4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41,097 </w:t>
            </w:r>
          </w:p>
        </w:tc>
        <w:tc>
          <w:tcPr>
            <w:tcW w:w="24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4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Shares issued (redeemed)</w:t>
            </w:r>
          </w:p>
        </w:tc>
        <w:tc>
          <w:tcPr>
            <w:tcW w:w="90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43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(386)</w:t>
            </w:r>
          </w:p>
        </w:tc>
        <w:tc>
          <w:tcPr>
            <w:tcW w:w="40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(385)</w:t>
            </w:r>
          </w:p>
        </w:tc>
        <w:tc>
          <w:tcPr>
            <w:tcW w:w="24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4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attributable to Lee Enterprises, Incorporated</w:t>
            </w:r>
          </w:p>
        </w:tc>
        <w:tc>
          <w:tcPr>
            <w:tcW w:w="90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12,658 </w:t>
            </w:r>
          </w:p>
        </w:tc>
        <w:tc>
          <w:tcPr>
            <w:tcW w:w="4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3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0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12,658 </w:t>
            </w:r>
          </w:p>
        </w:tc>
        <w:tc>
          <w:tcPr>
            <w:tcW w:w="24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4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 compensation</w:t>
            </w:r>
          </w:p>
        </w:tc>
        <w:tc>
          <w:tcPr>
            <w:tcW w:w="90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3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186 </w:t>
            </w:r>
          </w:p>
        </w:tc>
        <w:tc>
          <w:tcPr>
            <w:tcW w:w="40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186 </w:t>
            </w:r>
          </w:p>
        </w:tc>
        <w:tc>
          <w:tcPr>
            <w:tcW w:w="24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4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comprehensive loss</w:t>
            </w:r>
          </w:p>
        </w:tc>
        <w:tc>
          <w:tcPr>
            <w:tcW w:w="90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3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0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(8,174)</w:t>
            </w:r>
          </w:p>
        </w:tc>
        <w:tc>
          <w:tcPr>
            <w:tcW w:w="4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(8,174)</w:t>
            </w:r>
          </w:p>
        </w:tc>
        <w:tc>
          <w:tcPr>
            <w:tcW w:w="24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4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Deferred income taxes, net</w:t>
            </w:r>
          </w:p>
        </w:tc>
        <w:tc>
          <w:tcPr>
            <w:tcW w:w="90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3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0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2,062 </w:t>
            </w:r>
          </w:p>
        </w:tc>
        <w:tc>
          <w:tcPr>
            <w:tcW w:w="4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2,062 </w:t>
            </w:r>
          </w:p>
        </w:tc>
        <w:tc>
          <w:tcPr>
            <w:tcW w:w="24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48"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December 26, 2021</w:t>
            </w:r>
          </w:p>
        </w:tc>
        <w:tc>
          <w:tcPr>
            <w:tcW w:w="90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(246,554)</w:t>
            </w:r>
          </w:p>
        </w:tc>
        <w:tc>
          <w:tcPr>
            <w:tcW w:w="4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874"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60 </w:t>
            </w:r>
          </w:p>
        </w:tc>
        <w:tc>
          <w:tcPr>
            <w:tcW w:w="4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865"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257,863 </w:t>
            </w:r>
          </w:p>
        </w:tc>
        <w:tc>
          <w:tcPr>
            <w:tcW w:w="4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97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36,075 </w:t>
            </w:r>
          </w:p>
        </w:tc>
        <w:tc>
          <w:tcPr>
            <w:tcW w:w="4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75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47,444 </w:t>
            </w:r>
          </w:p>
        </w:tc>
        <w:tc>
          <w:tcPr>
            <w:tcW w:w="2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tbl>
      <w:tblPr>
        <w:tblW w:w="8680" w:type="dxa"/>
        <w:jc w:val="left"/>
        <w:tblInd w:w="0" w:type="dxa"/>
        <w:tblCellMar>
          <w:top w:w="28" w:type="dxa"/>
          <w:left w:w="28" w:type="dxa"/>
          <w:bottom w:w="28" w:type="dxa"/>
          <w:right w:w="28" w:type="dxa"/>
        </w:tblCellMar>
      </w:tblPr>
      <w:tblGrid>
        <w:gridCol w:w="1597"/>
        <w:gridCol w:w="1404"/>
        <w:gridCol w:w="1409"/>
        <w:gridCol w:w="458"/>
        <w:gridCol w:w="458"/>
        <w:gridCol w:w="109"/>
        <w:gridCol w:w="203"/>
        <w:gridCol w:w="203"/>
        <w:gridCol w:w="109"/>
        <w:gridCol w:w="425"/>
        <w:gridCol w:w="431"/>
        <w:gridCol w:w="109"/>
        <w:gridCol w:w="375"/>
        <w:gridCol w:w="376"/>
        <w:gridCol w:w="109"/>
        <w:gridCol w:w="373"/>
        <w:gridCol w:w="378"/>
        <w:gridCol w:w="154"/>
      </w:tblGrid>
      <w:tr>
        <w:trPr/>
        <w:tc>
          <w:tcPr>
            <w:tcW w:w="1597" w:type="dxa"/>
            <w:tcBorders/>
            <w:shd w:fill="auto" w:val="clear"/>
            <w:vAlign w:val="center"/>
          </w:tcPr>
          <w:p>
            <w:pPr>
              <w:pStyle w:val="TableContents"/>
              <w:spacing w:before="0" w:after="283"/>
              <w:rPr>
                <w:sz w:val="4"/>
                <w:szCs w:val="4"/>
              </w:rPr>
            </w:pPr>
            <w:r>
              <w:rPr>
                <w:sz w:val="4"/>
                <w:szCs w:val="4"/>
              </w:rPr>
            </w:r>
          </w:p>
        </w:tc>
        <w:tc>
          <w:tcPr>
            <w:tcW w:w="1404" w:type="dxa"/>
            <w:tcBorders/>
            <w:shd w:fill="auto" w:val="clear"/>
            <w:vAlign w:val="center"/>
          </w:tcPr>
          <w:p>
            <w:pPr>
              <w:pStyle w:val="TableContents"/>
              <w:spacing w:before="0" w:after="283"/>
              <w:rPr>
                <w:sz w:val="4"/>
                <w:szCs w:val="4"/>
              </w:rPr>
            </w:pPr>
            <w:r>
              <w:rPr>
                <w:sz w:val="4"/>
                <w:szCs w:val="4"/>
              </w:rPr>
            </w:r>
          </w:p>
        </w:tc>
        <w:tc>
          <w:tcPr>
            <w:tcW w:w="1409" w:type="dxa"/>
            <w:tcBorders/>
            <w:shd w:fill="auto" w:val="clear"/>
            <w:vAlign w:val="center"/>
          </w:tcPr>
          <w:p>
            <w:pPr>
              <w:pStyle w:val="TableContents"/>
              <w:spacing w:before="0" w:after="283"/>
              <w:rPr>
                <w:sz w:val="4"/>
                <w:szCs w:val="4"/>
              </w:rPr>
            </w:pPr>
            <w:r>
              <w:rPr>
                <w:sz w:val="4"/>
                <w:szCs w:val="4"/>
              </w:rPr>
            </w:r>
          </w:p>
        </w:tc>
        <w:tc>
          <w:tcPr>
            <w:tcW w:w="458" w:type="dxa"/>
            <w:tcBorders/>
            <w:shd w:fill="auto" w:val="clear"/>
            <w:vAlign w:val="center"/>
          </w:tcPr>
          <w:p>
            <w:pPr>
              <w:pStyle w:val="TableContents"/>
              <w:spacing w:before="0" w:after="283"/>
              <w:rPr>
                <w:sz w:val="4"/>
                <w:szCs w:val="4"/>
              </w:rPr>
            </w:pPr>
            <w:r>
              <w:rPr>
                <w:sz w:val="4"/>
                <w:szCs w:val="4"/>
              </w:rPr>
            </w:r>
          </w:p>
        </w:tc>
        <w:tc>
          <w:tcPr>
            <w:tcW w:w="45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25" w:type="dxa"/>
            <w:tcBorders/>
            <w:shd w:fill="auto" w:val="clear"/>
            <w:vAlign w:val="center"/>
          </w:tcPr>
          <w:p>
            <w:pPr>
              <w:pStyle w:val="TableContents"/>
              <w:spacing w:before="0" w:after="283"/>
              <w:rPr>
                <w:sz w:val="4"/>
                <w:szCs w:val="4"/>
              </w:rPr>
            </w:pPr>
            <w:r>
              <w:rPr>
                <w:sz w:val="4"/>
                <w:szCs w:val="4"/>
              </w:rPr>
            </w:r>
          </w:p>
        </w:tc>
        <w:tc>
          <w:tcPr>
            <w:tcW w:w="4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5" w:type="dxa"/>
            <w:tcBorders/>
            <w:shd w:fill="auto" w:val="clear"/>
            <w:vAlign w:val="center"/>
          </w:tcPr>
          <w:p>
            <w:pPr>
              <w:pStyle w:val="TableContents"/>
              <w:spacing w:before="0" w:after="283"/>
              <w:rPr>
                <w:sz w:val="4"/>
                <w:szCs w:val="4"/>
              </w:rPr>
            </w:pPr>
            <w:r>
              <w:rPr>
                <w:sz w:val="4"/>
                <w:szCs w:val="4"/>
              </w:rPr>
            </w:r>
          </w:p>
        </w:tc>
        <w:tc>
          <w:tcPr>
            <w:tcW w:w="3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3" w:type="dxa"/>
            <w:tcBorders/>
            <w:shd w:fill="auto" w:val="clear"/>
            <w:vAlign w:val="center"/>
          </w:tcPr>
          <w:p>
            <w:pPr>
              <w:pStyle w:val="TableContents"/>
              <w:spacing w:before="0" w:after="283"/>
              <w:rPr>
                <w:sz w:val="4"/>
                <w:szCs w:val="4"/>
              </w:rPr>
            </w:pPr>
            <w:r>
              <w:rPr>
                <w:sz w:val="4"/>
                <w:szCs w:val="4"/>
              </w:rPr>
            </w:r>
          </w:p>
        </w:tc>
        <w:tc>
          <w:tcPr>
            <w:tcW w:w="378"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4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Shares issued (redeemed)</w:t>
            </w:r>
          </w:p>
        </w:tc>
        <w:tc>
          <w:tcPr>
            <w:tcW w:w="9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Loss attributable to Lee Enterprises, Incorporated</w:t>
            </w:r>
          </w:p>
        </w:tc>
        <w:tc>
          <w:tcPr>
            <w:tcW w:w="9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(7,276)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(7,276)</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 compensation</w:t>
            </w:r>
          </w:p>
        </w:tc>
        <w:tc>
          <w:tcPr>
            <w:tcW w:w="9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comprehensive loss</w:t>
            </w:r>
          </w:p>
        </w:tc>
        <w:tc>
          <w:tcPr>
            <w:tcW w:w="9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(1,667)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(1,667)</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Deferred income taxes, net</w:t>
            </w:r>
          </w:p>
        </w:tc>
        <w:tc>
          <w:tcPr>
            <w:tcW w:w="9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10"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March 27, 2022</w:t>
            </w:r>
          </w:p>
        </w:tc>
        <w:tc>
          <w:tcPr>
            <w:tcW w:w="9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(253,830)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40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85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258,523 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75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34,908 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75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39,661 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00" w:after="283"/>
        <w:rPr>
          <w:rFonts w:ascii="Arial;sans-serif" w:hAnsi="Arial;sans-serif"/>
          <w:b w:val="false"/>
          <w:color w:val="000000"/>
          <w:sz w:val="20"/>
        </w:rPr>
      </w:pPr>
      <w:r>
        <w:rPr>
          <w:rFonts w:ascii="Arial;sans-serif" w:hAnsi="Arial;sans-serif"/>
          <w:b w:val="false"/>
          <w:color w:val="000000"/>
          <w:sz w:val="20"/>
        </w:rPr>
        <w:t>The accompanying Notes are an integral part of the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050"/>
                <wp:effectExtent l="0" t="0" r="0" b="0"/>
                <wp:wrapNone/>
                <wp:docPr id="7" name="Frame7"/>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76" w:before="0" w:after="0"/>
                              <w:jc w:val="center"/>
                              <w:rPr>
                                <w:rFonts w:ascii="Arial;sans-serif" w:hAnsi="Arial;sans-serif"/>
                                <w:b w:val="false"/>
                                <w:color w:val="000000"/>
                                <w:sz w:val="20"/>
                              </w:rPr>
                            </w:pPr>
                            <w:r>
                              <w:rPr>
                                <w:rFonts w:ascii="Arial;sans-serif" w:hAnsi="Arial;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Arial;sans-serif" w:hAnsi="Arial;sans-serif"/>
                          <w:b w:val="false"/>
                          <w:color w:val="000000"/>
                          <w:sz w:val="20"/>
                        </w:rPr>
                      </w:pPr>
                      <w:r>
                        <w:rPr>
                          <w:rFonts w:ascii="Arial;sans-serif" w:hAnsi="Arial;sans-serif"/>
                          <w:b w:val="false"/>
                          <w:color w:val="000000"/>
                          <w:sz w:val="20"/>
                        </w:rPr>
                        <w:t>5</w:t>
                      </w:r>
                    </w:p>
                  </w:txbxContent>
                </v:textbox>
              </v:rect>
            </w:pict>
          </mc:Fallback>
        </mc:AlternateContent>
      </w:r>
    </w:p>
    <w:p>
      <w:pPr>
        <w:pStyle w:val="TextBody"/>
        <w:spacing w:before="0" w:after="0"/>
        <w:rPr/>
      </w:pPr>
      <w:r>
        <w:rPr/>
      </w:r>
    </w:p>
    <w:p>
      <w:pPr>
        <w:pStyle w:val="TextBody"/>
        <w:spacing w:lineRule="auto" w:line="288" w:before="200" w:after="283"/>
        <w:jc w:val="center"/>
        <w:rPr>
          <w:rFonts w:ascii="Arial;sans-serif" w:hAnsi="Arial;sans-serif"/>
          <w:b/>
          <w:color w:val="000000"/>
          <w:sz w:val="20"/>
        </w:rPr>
      </w:pPr>
      <w:r>
        <w:rPr>
          <w:rFonts w:ascii="Arial;sans-serif" w:hAnsi="Arial;sans-serif"/>
          <w:b/>
          <w:color w:val="000000"/>
          <w:sz w:val="20"/>
        </w:rPr>
        <w:t>LEE ENTERPRISES, INCORPORATED</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CONSOLIDATED STATEMENTS OF CASH FLOWS</w:t>
      </w:r>
    </w:p>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(Unaudited)</w:t>
      </w:r>
    </w:p>
    <w:tbl>
      <w:tblPr>
        <w:tblW w:w="9885" w:type="dxa"/>
        <w:jc w:val="left"/>
        <w:tblInd w:w="0" w:type="dxa"/>
        <w:tblCellMar>
          <w:top w:w="28" w:type="dxa"/>
          <w:left w:w="28" w:type="dxa"/>
          <w:bottom w:w="28" w:type="dxa"/>
          <w:right w:w="28" w:type="dxa"/>
        </w:tblCellMar>
      </w:tblPr>
      <w:tblGrid>
        <w:gridCol w:w="2745"/>
        <w:gridCol w:w="2412"/>
        <w:gridCol w:w="2418"/>
        <w:gridCol w:w="377"/>
        <w:gridCol w:w="374"/>
        <w:gridCol w:w="325"/>
        <w:gridCol w:w="421"/>
        <w:gridCol w:w="389"/>
        <w:gridCol w:w="424"/>
      </w:tblGrid>
      <w:tr>
        <w:trPr/>
        <w:tc>
          <w:tcPr>
            <w:tcW w:w="2745" w:type="dxa"/>
            <w:tcBorders/>
            <w:shd w:fill="auto" w:val="clear"/>
            <w:vAlign w:val="center"/>
          </w:tcPr>
          <w:p>
            <w:pPr>
              <w:pStyle w:val="TableContents"/>
              <w:spacing w:before="0" w:after="283"/>
              <w:rPr>
                <w:sz w:val="4"/>
                <w:szCs w:val="4"/>
              </w:rPr>
            </w:pPr>
            <w:r>
              <w:rPr>
                <w:sz w:val="4"/>
                <w:szCs w:val="4"/>
              </w:rPr>
            </w:r>
          </w:p>
        </w:tc>
        <w:tc>
          <w:tcPr>
            <w:tcW w:w="2412" w:type="dxa"/>
            <w:tcBorders/>
            <w:shd w:fill="auto" w:val="clear"/>
            <w:vAlign w:val="center"/>
          </w:tcPr>
          <w:p>
            <w:pPr>
              <w:pStyle w:val="TableContents"/>
              <w:spacing w:before="0" w:after="283"/>
              <w:rPr>
                <w:sz w:val="4"/>
                <w:szCs w:val="4"/>
              </w:rPr>
            </w:pPr>
            <w:r>
              <w:rPr>
                <w:sz w:val="4"/>
                <w:szCs w:val="4"/>
              </w:rPr>
            </w:r>
          </w:p>
        </w:tc>
        <w:tc>
          <w:tcPr>
            <w:tcW w:w="2418" w:type="dxa"/>
            <w:tcBorders/>
            <w:shd w:fill="auto" w:val="clear"/>
            <w:vAlign w:val="center"/>
          </w:tcPr>
          <w:p>
            <w:pPr>
              <w:pStyle w:val="TableContents"/>
              <w:spacing w:before="0" w:after="283"/>
              <w:rPr>
                <w:sz w:val="4"/>
                <w:szCs w:val="4"/>
              </w:rPr>
            </w:pPr>
            <w:r>
              <w:rPr>
                <w:sz w:val="4"/>
                <w:szCs w:val="4"/>
              </w:rPr>
            </w:r>
          </w:p>
        </w:tc>
        <w:tc>
          <w:tcPr>
            <w:tcW w:w="377" w:type="dxa"/>
            <w:tcBorders/>
            <w:shd w:fill="auto" w:val="clear"/>
            <w:vAlign w:val="center"/>
          </w:tcPr>
          <w:p>
            <w:pPr>
              <w:pStyle w:val="TableContents"/>
              <w:spacing w:before="0" w:after="283"/>
              <w:rPr>
                <w:sz w:val="4"/>
                <w:szCs w:val="4"/>
              </w:rPr>
            </w:pPr>
            <w:r>
              <w:rPr>
                <w:sz w:val="4"/>
                <w:szCs w:val="4"/>
              </w:rPr>
            </w:r>
          </w:p>
        </w:tc>
        <w:tc>
          <w:tcPr>
            <w:tcW w:w="374" w:type="dxa"/>
            <w:tcBorders/>
            <w:shd w:fill="auto" w:val="clear"/>
            <w:vAlign w:val="center"/>
          </w:tcPr>
          <w:p>
            <w:pPr>
              <w:pStyle w:val="TableContents"/>
              <w:spacing w:before="0" w:after="283"/>
              <w:rPr>
                <w:sz w:val="4"/>
                <w:szCs w:val="4"/>
              </w:rPr>
            </w:pPr>
            <w:r>
              <w:rPr>
                <w:sz w:val="4"/>
                <w:szCs w:val="4"/>
              </w:rPr>
            </w:r>
          </w:p>
        </w:tc>
        <w:tc>
          <w:tcPr>
            <w:tcW w:w="325"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389" w:type="dxa"/>
            <w:tcBorders/>
            <w:shd w:fill="auto" w:val="clear"/>
            <w:vAlign w:val="center"/>
          </w:tcPr>
          <w:p>
            <w:pPr>
              <w:pStyle w:val="TableContents"/>
              <w:spacing w:before="0" w:after="283"/>
              <w:rPr>
                <w:sz w:val="4"/>
                <w:szCs w:val="4"/>
              </w:rPr>
            </w:pPr>
            <w:r>
              <w:rPr>
                <w:sz w:val="4"/>
                <w:szCs w:val="4"/>
              </w:rPr>
            </w:r>
          </w:p>
        </w:tc>
        <w:tc>
          <w:tcPr>
            <w:tcW w:w="424" w:type="dxa"/>
            <w:tcBorders/>
            <w:shd w:fill="auto" w:val="clear"/>
            <w:vAlign w:val="center"/>
          </w:tcPr>
          <w:p>
            <w:pPr>
              <w:pStyle w:val="TableContents"/>
              <w:spacing w:before="0" w:after="283"/>
              <w:rPr>
                <w:sz w:val="4"/>
                <w:szCs w:val="4"/>
              </w:rPr>
            </w:pPr>
            <w:r>
              <w:rPr>
                <w:sz w:val="4"/>
                <w:szCs w:val="4"/>
              </w:rPr>
            </w:r>
          </w:p>
        </w:tc>
      </w:tr>
      <w:tr>
        <w:trPr/>
        <w:tc>
          <w:tcPr>
            <w:tcW w:w="757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310" w:type="dxa"/>
            <w:gridSpan w:val="6"/>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Six months ended</w:t>
            </w:r>
          </w:p>
        </w:tc>
      </w:tr>
      <w:tr>
        <w:trPr/>
        <w:tc>
          <w:tcPr>
            <w:tcW w:w="757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(Thousands of Dollars)</w:t>
            </w:r>
          </w:p>
        </w:tc>
        <w:tc>
          <w:tcPr>
            <w:tcW w:w="107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March 26,</w:t>
              <w:br/>
              <w:t>2023</w:t>
            </w:r>
          </w:p>
        </w:tc>
        <w:tc>
          <w:tcPr>
            <w:tcW w:w="123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March 27,</w:t>
              <w:br/>
              <w:t>2022</w:t>
            </w:r>
          </w:p>
        </w:tc>
      </w:tr>
      <w:tr>
        <w:trPr/>
        <w:tc>
          <w:tcPr>
            <w:tcW w:w="757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7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3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5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provided by (required for) operating activities:</w:t>
            </w:r>
          </w:p>
        </w:tc>
        <w:tc>
          <w:tcPr>
            <w:tcW w:w="10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(loss) income</w:t>
            </w:r>
          </w:p>
        </w:tc>
        <w:tc>
          <w:tcPr>
            <w:tcW w:w="7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(3,542)</w:t>
            </w:r>
          </w:p>
        </w:tc>
        <w:tc>
          <w:tcPr>
            <w:tcW w:w="3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6,505 </w:t>
            </w:r>
          </w:p>
        </w:tc>
        <w:tc>
          <w:tcPr>
            <w:tcW w:w="4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Adjustments to reconcile net income to net cash provided by operating activities:</w:t>
            </w:r>
          </w:p>
        </w:tc>
        <w:tc>
          <w:tcPr>
            <w:tcW w:w="10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Depreciation and amortization</w:t>
            </w:r>
          </w:p>
        </w:tc>
        <w:tc>
          <w:tcPr>
            <w:tcW w:w="7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15,619 </w:t>
            </w:r>
          </w:p>
        </w:tc>
        <w:tc>
          <w:tcPr>
            <w:tcW w:w="3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18,627 </w:t>
            </w:r>
          </w:p>
        </w:tc>
        <w:tc>
          <w:tcPr>
            <w:tcW w:w="4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Curtailment gain</w:t>
            </w:r>
          </w:p>
        </w:tc>
        <w:tc>
          <w:tcPr>
            <w:tcW w:w="7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(1,027)</w:t>
            </w:r>
          </w:p>
        </w:tc>
        <w:tc>
          <w:tcPr>
            <w:tcW w:w="4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Pension withdrawal cost</w:t>
            </w:r>
          </w:p>
        </w:tc>
        <w:tc>
          <w:tcPr>
            <w:tcW w:w="7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2,335 </w:t>
            </w:r>
          </w:p>
        </w:tc>
        <w:tc>
          <w:tcPr>
            <w:tcW w:w="4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 compensation expense</w:t>
            </w:r>
          </w:p>
        </w:tc>
        <w:tc>
          <w:tcPr>
            <w:tcW w:w="7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922 </w:t>
            </w:r>
          </w:p>
        </w:tc>
        <w:tc>
          <w:tcPr>
            <w:tcW w:w="3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699 </w:t>
            </w:r>
          </w:p>
        </w:tc>
        <w:tc>
          <w:tcPr>
            <w:tcW w:w="4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Assets (gain) loss on sales, impairments and other, net</w:t>
            </w:r>
          </w:p>
        </w:tc>
        <w:tc>
          <w:tcPr>
            <w:tcW w:w="7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(3,355)</w:t>
            </w:r>
          </w:p>
        </w:tc>
        <w:tc>
          <w:tcPr>
            <w:tcW w:w="3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(12,426)</w:t>
            </w:r>
          </w:p>
        </w:tc>
        <w:tc>
          <w:tcPr>
            <w:tcW w:w="4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Gain on sale of investment</w:t>
            </w:r>
          </w:p>
        </w:tc>
        <w:tc>
          <w:tcPr>
            <w:tcW w:w="7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(1,408)</w:t>
            </w:r>
          </w:p>
        </w:tc>
        <w:tc>
          <w:tcPr>
            <w:tcW w:w="3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Deferred income taxes</w:t>
            </w:r>
          </w:p>
        </w:tc>
        <w:tc>
          <w:tcPr>
            <w:tcW w:w="7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(368)</w:t>
            </w:r>
          </w:p>
        </w:tc>
        <w:tc>
          <w:tcPr>
            <w:tcW w:w="3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664 </w:t>
            </w:r>
          </w:p>
        </w:tc>
        <w:tc>
          <w:tcPr>
            <w:tcW w:w="4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Return of letters of credit collateral</w:t>
            </w:r>
          </w:p>
        </w:tc>
        <w:tc>
          <w:tcPr>
            <w:tcW w:w="7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778 </w:t>
            </w:r>
          </w:p>
        </w:tc>
        <w:tc>
          <w:tcPr>
            <w:tcW w:w="3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151 </w:t>
            </w:r>
          </w:p>
        </w:tc>
        <w:tc>
          <w:tcPr>
            <w:tcW w:w="4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net</w:t>
            </w:r>
          </w:p>
        </w:tc>
        <w:tc>
          <w:tcPr>
            <w:tcW w:w="7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(895)</w:t>
            </w:r>
          </w:p>
        </w:tc>
        <w:tc>
          <w:tcPr>
            <w:tcW w:w="3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(1,011)</w:t>
            </w:r>
          </w:p>
        </w:tc>
        <w:tc>
          <w:tcPr>
            <w:tcW w:w="4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Changes in operating assets and liabilities:</w:t>
            </w:r>
          </w:p>
        </w:tc>
        <w:tc>
          <w:tcPr>
            <w:tcW w:w="10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Decrease (increase) in receivables and contract assets</w:t>
            </w:r>
          </w:p>
        </w:tc>
        <w:tc>
          <w:tcPr>
            <w:tcW w:w="7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1,720 </w:t>
            </w:r>
          </w:p>
        </w:tc>
        <w:tc>
          <w:tcPr>
            <w:tcW w:w="3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(3,060)</w:t>
            </w:r>
          </w:p>
        </w:tc>
        <w:tc>
          <w:tcPr>
            <w:tcW w:w="4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Decrease in inventories and other</w:t>
            </w:r>
          </w:p>
        </w:tc>
        <w:tc>
          <w:tcPr>
            <w:tcW w:w="7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(1,921)</w:t>
            </w:r>
          </w:p>
        </w:tc>
        <w:tc>
          <w:tcPr>
            <w:tcW w:w="3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(1,033)</w:t>
            </w:r>
          </w:p>
        </w:tc>
        <w:tc>
          <w:tcPr>
            <w:tcW w:w="4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(Decrease) increase in accounts payable and other accrued liabilities</w:t>
            </w:r>
          </w:p>
        </w:tc>
        <w:tc>
          <w:tcPr>
            <w:tcW w:w="7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(4,977)</w:t>
            </w:r>
          </w:p>
        </w:tc>
        <w:tc>
          <w:tcPr>
            <w:tcW w:w="3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5,694 </w:t>
            </w:r>
          </w:p>
        </w:tc>
        <w:tc>
          <w:tcPr>
            <w:tcW w:w="4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Decrease in pension and other postretirement and postemployment benefit obligations</w:t>
            </w:r>
          </w:p>
        </w:tc>
        <w:tc>
          <w:tcPr>
            <w:tcW w:w="7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w:t>
            </w:r>
          </w:p>
        </w:tc>
        <w:tc>
          <w:tcPr>
            <w:tcW w:w="3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(9,388)</w:t>
            </w:r>
          </w:p>
        </w:tc>
        <w:tc>
          <w:tcPr>
            <w:tcW w:w="4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Change in income taxes payable</w:t>
            </w:r>
          </w:p>
        </w:tc>
        <w:tc>
          <w:tcPr>
            <w:tcW w:w="7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239 </w:t>
            </w:r>
          </w:p>
        </w:tc>
        <w:tc>
          <w:tcPr>
            <w:tcW w:w="3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(3,686)</w:t>
            </w:r>
          </w:p>
        </w:tc>
        <w:tc>
          <w:tcPr>
            <w:tcW w:w="4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w:t>
            </w:r>
          </w:p>
        </w:tc>
        <w:tc>
          <w:tcPr>
            <w:tcW w:w="7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(2,128)</w:t>
            </w:r>
          </w:p>
        </w:tc>
        <w:tc>
          <w:tcPr>
            <w:tcW w:w="3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(3,650)</w:t>
            </w:r>
          </w:p>
        </w:tc>
        <w:tc>
          <w:tcPr>
            <w:tcW w:w="4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75"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cash provided by (required for) operating activities</w:t>
            </w:r>
          </w:p>
        </w:tc>
        <w:tc>
          <w:tcPr>
            <w:tcW w:w="75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647 </w:t>
            </w:r>
          </w:p>
        </w:tc>
        <w:tc>
          <w:tcPr>
            <w:tcW w:w="32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81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(606)</w:t>
            </w:r>
          </w:p>
        </w:tc>
        <w:tc>
          <w:tcPr>
            <w:tcW w:w="42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7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provided by investing activities:</w:t>
            </w:r>
          </w:p>
        </w:tc>
        <w:tc>
          <w:tcPr>
            <w:tcW w:w="107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23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5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Purchases of property and equipment</w:t>
            </w:r>
          </w:p>
        </w:tc>
        <w:tc>
          <w:tcPr>
            <w:tcW w:w="7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(2,279)</w:t>
            </w:r>
          </w:p>
        </w:tc>
        <w:tc>
          <w:tcPr>
            <w:tcW w:w="3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(4,570)</w:t>
            </w:r>
          </w:p>
        </w:tc>
        <w:tc>
          <w:tcPr>
            <w:tcW w:w="4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Proceeds from sales of assets</w:t>
            </w:r>
          </w:p>
        </w:tc>
        <w:tc>
          <w:tcPr>
            <w:tcW w:w="7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5,309 </w:t>
            </w:r>
          </w:p>
        </w:tc>
        <w:tc>
          <w:tcPr>
            <w:tcW w:w="3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14,744 </w:t>
            </w:r>
          </w:p>
        </w:tc>
        <w:tc>
          <w:tcPr>
            <w:tcW w:w="4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Distributions less than earnings of TNI and MNI</w:t>
            </w:r>
          </w:p>
        </w:tc>
        <w:tc>
          <w:tcPr>
            <w:tcW w:w="7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374 </w:t>
            </w:r>
          </w:p>
        </w:tc>
        <w:tc>
          <w:tcPr>
            <w:tcW w:w="3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(102)</w:t>
            </w:r>
          </w:p>
        </w:tc>
        <w:tc>
          <w:tcPr>
            <w:tcW w:w="4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net</w:t>
            </w:r>
          </w:p>
        </w:tc>
        <w:tc>
          <w:tcPr>
            <w:tcW w:w="7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1,619 </w:t>
            </w:r>
          </w:p>
        </w:tc>
        <w:tc>
          <w:tcPr>
            <w:tcW w:w="3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(192)</w:t>
            </w:r>
          </w:p>
        </w:tc>
        <w:tc>
          <w:tcPr>
            <w:tcW w:w="4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75"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cash provided by investing activities</w:t>
            </w:r>
          </w:p>
        </w:tc>
        <w:tc>
          <w:tcPr>
            <w:tcW w:w="75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5,023 </w:t>
            </w:r>
          </w:p>
        </w:tc>
        <w:tc>
          <w:tcPr>
            <w:tcW w:w="32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81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9,880 </w:t>
            </w:r>
          </w:p>
        </w:tc>
        <w:tc>
          <w:tcPr>
            <w:tcW w:w="42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7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required for financing activities:</w:t>
            </w:r>
          </w:p>
        </w:tc>
        <w:tc>
          <w:tcPr>
            <w:tcW w:w="107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23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5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Payments on long-term debt</w:t>
            </w:r>
          </w:p>
        </w:tc>
        <w:tc>
          <w:tcPr>
            <w:tcW w:w="7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(2,560)</w:t>
            </w:r>
          </w:p>
        </w:tc>
        <w:tc>
          <w:tcPr>
            <w:tcW w:w="3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(20,062)</w:t>
            </w:r>
          </w:p>
        </w:tc>
        <w:tc>
          <w:tcPr>
            <w:tcW w:w="4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Common stock transactions, net</w:t>
            </w:r>
          </w:p>
        </w:tc>
        <w:tc>
          <w:tcPr>
            <w:tcW w:w="7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(265)</w:t>
            </w:r>
          </w:p>
        </w:tc>
        <w:tc>
          <w:tcPr>
            <w:tcW w:w="3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11 </w:t>
            </w:r>
          </w:p>
        </w:tc>
        <w:tc>
          <w:tcPr>
            <w:tcW w:w="4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75"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cash required for financing activities</w:t>
            </w:r>
          </w:p>
        </w:tc>
        <w:tc>
          <w:tcPr>
            <w:tcW w:w="75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(2,825)</w:t>
            </w:r>
          </w:p>
        </w:tc>
        <w:tc>
          <w:tcPr>
            <w:tcW w:w="32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81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(20,051)</w:t>
            </w:r>
          </w:p>
        </w:tc>
        <w:tc>
          <w:tcPr>
            <w:tcW w:w="42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7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increase (decrease) in cash and cash equivalents</w:t>
            </w:r>
          </w:p>
        </w:tc>
        <w:tc>
          <w:tcPr>
            <w:tcW w:w="75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2,845 </w:t>
            </w:r>
          </w:p>
        </w:tc>
        <w:tc>
          <w:tcPr>
            <w:tcW w:w="32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81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(10,777)</w:t>
            </w:r>
          </w:p>
        </w:tc>
        <w:tc>
          <w:tcPr>
            <w:tcW w:w="42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and cash equivalents:</w:t>
            </w:r>
          </w:p>
        </w:tc>
        <w:tc>
          <w:tcPr>
            <w:tcW w:w="10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Beginning of period</w:t>
            </w:r>
          </w:p>
        </w:tc>
        <w:tc>
          <w:tcPr>
            <w:tcW w:w="7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16,185 </w:t>
            </w:r>
          </w:p>
        </w:tc>
        <w:tc>
          <w:tcPr>
            <w:tcW w:w="3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26,112 </w:t>
            </w:r>
          </w:p>
        </w:tc>
        <w:tc>
          <w:tcPr>
            <w:tcW w:w="4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75" w:type="dxa"/>
            <w:gridSpan w:val="3"/>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End of period</w:t>
            </w:r>
          </w:p>
        </w:tc>
        <w:tc>
          <w:tcPr>
            <w:tcW w:w="751" w:type="dxa"/>
            <w:gridSpan w:val="2"/>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19,030 </w:t>
            </w:r>
          </w:p>
        </w:tc>
        <w:tc>
          <w:tcPr>
            <w:tcW w:w="325"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810" w:type="dxa"/>
            <w:gridSpan w:val="2"/>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15,335 </w:t>
            </w:r>
          </w:p>
        </w:tc>
        <w:tc>
          <w:tcPr>
            <w:tcW w:w="424"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00" w:after="283"/>
        <w:rPr>
          <w:rFonts w:ascii="Arial;sans-serif" w:hAnsi="Arial;sans-serif"/>
          <w:b w:val="false"/>
          <w:color w:val="000000"/>
          <w:sz w:val="20"/>
        </w:rPr>
      </w:pPr>
      <w:r>
        <w:rPr>
          <w:rFonts w:ascii="Arial;sans-serif" w:hAnsi="Arial;sans-serif"/>
          <w:b w:val="false"/>
          <w:color w:val="000000"/>
          <w:sz w:val="20"/>
        </w:rPr>
        <w:t>The accompanying Notes are an integral part of the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050"/>
                <wp:effectExtent l="0" t="0" r="0" b="0"/>
                <wp:wrapNone/>
                <wp:docPr id="8" name="Frame8"/>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76" w:before="0" w:after="0"/>
                              <w:jc w:val="center"/>
                              <w:rPr>
                                <w:rFonts w:ascii="Arial;sans-serif" w:hAnsi="Arial;sans-serif"/>
                                <w:b w:val="false"/>
                                <w:color w:val="000000"/>
                                <w:sz w:val="20"/>
                              </w:rPr>
                            </w:pPr>
                            <w:r>
                              <w:rPr>
                                <w:rFonts w:ascii="Arial;sans-serif" w:hAnsi="Arial;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Arial;sans-serif" w:hAnsi="Arial;sans-serif"/>
                          <w:b w:val="false"/>
                          <w:color w:val="000000"/>
                          <w:sz w:val="20"/>
                        </w:rPr>
                      </w:pPr>
                      <w:r>
                        <w:rPr>
                          <w:rFonts w:ascii="Arial;sans-serif" w:hAnsi="Arial;sans-serif"/>
                          <w:b w:val="false"/>
                          <w:color w:val="000000"/>
                          <w:sz w:val="20"/>
                        </w:rPr>
                        <w:t>6</w:t>
                      </w:r>
                    </w:p>
                  </w:txbxContent>
                </v:textbox>
              </v:rect>
            </w:pict>
          </mc:Fallback>
        </mc:AlternateContent>
      </w:r>
    </w:p>
    <w:p>
      <w:pPr>
        <w:pStyle w:val="TextBody"/>
        <w:spacing w:before="0" w:after="0"/>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83"/>
        <w:jc w:val="center"/>
        <w:rPr>
          <w:rFonts w:ascii="Arial;sans-serif" w:hAnsi="Arial;sans-serif"/>
          <w:b/>
          <w:color w:val="000000"/>
          <w:sz w:val="20"/>
        </w:rPr>
      </w:pPr>
      <w:r>
        <w:rPr>
          <w:rFonts w:ascii="Arial;sans-serif" w:hAnsi="Arial;sans-serif"/>
          <w:b/>
          <w:color w:val="000000"/>
          <w:sz w:val="20"/>
        </w:rPr>
        <w:t>LEE ENTERPRISES, INCORPORATED</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NOTES TO CONSOLIDATED FINANCIAL STATEMENTS</w:t>
      </w:r>
    </w:p>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(Unaudited)</w:t>
      </w:r>
    </w:p>
    <w:p>
      <w:pPr>
        <w:pStyle w:val="TextBody"/>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References to “we”, “our”, “us” and the like throughout this document refer to Lee Enterprises, Incorporated (the “Company”). References to “2023”, “2022" and the like refer to the fiscal years ended the last Sunday in September.</w:t>
      </w:r>
    </w:p>
    <w:p>
      <w:pPr>
        <w:pStyle w:val="TextBody"/>
        <w:spacing w:lineRule="auto" w:line="288" w:before="200" w:after="283"/>
        <w:ind w:left="0" w:right="0" w:hanging="720"/>
        <w:jc w:val="both"/>
        <w:rPr>
          <w:rFonts w:ascii="Arial;sans-serif" w:hAnsi="Arial;sans-serif"/>
          <w:b/>
          <w:color w:val="000000"/>
          <w:sz w:val="20"/>
        </w:rPr>
      </w:pPr>
      <w:r>
        <w:rPr>
          <w:rFonts w:ascii="Arial;sans-serif" w:hAnsi="Arial;sans-serif"/>
          <w:b/>
          <w:color w:val="000000"/>
          <w:sz w:val="20"/>
        </w:rPr>
        <w:t>1    BASIS OF PRESENTATION AND SUMMARY OF SIGNIFICANT ACCOUNTING POLICIES</w:t>
      </w:r>
    </w:p>
    <w:p>
      <w:pPr>
        <w:pStyle w:val="TextBody"/>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The accompanying unaudited, interim, Consolidated Financial Statements included herein have been prepared pursuant to the rules and regulations of the Securities and Exchange Commission for quarterly reports. In the opinion of management, these financial statements contain all adjustments (consisting of only normal recurring items) necessary to present fairly the financial position of Lee Enterprises, Incorporated and its subsidiaries (the “Company”) as of March 26, 2023, and our results of operations and cash flows for the periods presented. The Consolidated Financial Statements should be read in conjunction with the Consolidated Financial Statements and Notes thereto included in the Company's 2022 Annual Report on Form 10-K.</w:t>
      </w:r>
    </w:p>
    <w:p>
      <w:pPr>
        <w:pStyle w:val="TextBody"/>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The Company's fiscal year ends on the last Sunday in September. Fiscal year 2023 ends on September 24, 2023, and fiscal year 2022 ended September 25, 2022. Fiscal year 2023 and 2022 are 52-week years with 13 weeks in each quarter. Because of seasonal and other factors, the results of operations for the three and six months ended March 26, 2023, are not necessarily indicative of the results to be expected for the full year.</w:t>
      </w:r>
    </w:p>
    <w:p>
      <w:pPr>
        <w:pStyle w:val="TextBody"/>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The Consolidated Financial Statements include our accounts and those of our wholly owned subsidiaries, as well as our 82.5% interest in INN Partners, L.C. (“BLOX Digital" , formerly "TownNews”).</w:t>
      </w:r>
    </w:p>
    <w:p>
      <w:pPr>
        <w:pStyle w:val="TextBody"/>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Our 50% interest in TNI Partners ("TNI") and our 50% interest in Madison Newspapers, Inc. ("MNI") are accounted for using the equity method and are reported at cost, plus our share of undistributed earnings since acquisition less, for TNI, amortization of intangible assets.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83"/>
        <w:ind w:left="0" w:right="0" w:hanging="720"/>
        <w:jc w:val="both"/>
        <w:rPr>
          <w:rFonts w:ascii="Arial;sans-serif" w:hAnsi="Arial;sans-serif"/>
          <w:b/>
          <w:color w:val="000000"/>
          <w:sz w:val="20"/>
        </w:rPr>
      </w:pPr>
      <w:r>
        <w:rPr>
          <w:rFonts w:ascii="Arial;sans-serif" w:hAnsi="Arial;sans-serif"/>
          <w:b/>
          <w:color w:val="000000"/>
          <w:sz w:val="20"/>
        </w:rPr>
        <w:t>2    REVENUE</w:t>
      </w:r>
    </w:p>
    <w:p>
      <w:pPr>
        <w:pStyle w:val="TextBody"/>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The following table presents our revenue disaggregated by source:</w:t>
      </w:r>
    </w:p>
    <w:tbl>
      <w:tblPr>
        <w:tblW w:w="8755" w:type="dxa"/>
        <w:jc w:val="left"/>
        <w:tblInd w:w="0" w:type="dxa"/>
        <w:tblCellMar>
          <w:top w:w="28" w:type="dxa"/>
          <w:left w:w="28" w:type="dxa"/>
          <w:bottom w:w="28" w:type="dxa"/>
          <w:right w:w="28" w:type="dxa"/>
        </w:tblCellMar>
      </w:tblPr>
      <w:tblGrid>
        <w:gridCol w:w="1423"/>
        <w:gridCol w:w="1250"/>
        <w:gridCol w:w="1257"/>
        <w:gridCol w:w="515"/>
        <w:gridCol w:w="341"/>
        <w:gridCol w:w="325"/>
        <w:gridCol w:w="516"/>
        <w:gridCol w:w="340"/>
        <w:gridCol w:w="327"/>
        <w:gridCol w:w="438"/>
        <w:gridCol w:w="418"/>
        <w:gridCol w:w="325"/>
        <w:gridCol w:w="445"/>
        <w:gridCol w:w="411"/>
        <w:gridCol w:w="424"/>
      </w:tblGrid>
      <w:tr>
        <w:trPr/>
        <w:tc>
          <w:tcPr>
            <w:tcW w:w="1423" w:type="dxa"/>
            <w:tcBorders/>
            <w:shd w:fill="auto" w:val="clear"/>
            <w:vAlign w:val="center"/>
          </w:tcPr>
          <w:p>
            <w:pPr>
              <w:pStyle w:val="TableContents"/>
              <w:spacing w:before="0" w:after="283"/>
              <w:rPr>
                <w:sz w:val="4"/>
                <w:szCs w:val="4"/>
              </w:rPr>
            </w:pPr>
            <w:r>
              <w:rPr>
                <w:sz w:val="4"/>
                <w:szCs w:val="4"/>
              </w:rPr>
            </w:r>
          </w:p>
        </w:tc>
        <w:tc>
          <w:tcPr>
            <w:tcW w:w="1250" w:type="dxa"/>
            <w:tcBorders/>
            <w:shd w:fill="auto" w:val="clear"/>
            <w:vAlign w:val="center"/>
          </w:tcPr>
          <w:p>
            <w:pPr>
              <w:pStyle w:val="TableContents"/>
              <w:spacing w:before="0" w:after="283"/>
              <w:rPr>
                <w:sz w:val="4"/>
                <w:szCs w:val="4"/>
              </w:rPr>
            </w:pPr>
            <w:r>
              <w:rPr>
                <w:sz w:val="4"/>
                <w:szCs w:val="4"/>
              </w:rPr>
            </w:r>
          </w:p>
        </w:tc>
        <w:tc>
          <w:tcPr>
            <w:tcW w:w="1257" w:type="dxa"/>
            <w:tcBorders/>
            <w:shd w:fill="auto" w:val="clear"/>
            <w:vAlign w:val="center"/>
          </w:tcPr>
          <w:p>
            <w:pPr>
              <w:pStyle w:val="TableContents"/>
              <w:spacing w:before="0" w:after="283"/>
              <w:rPr>
                <w:sz w:val="4"/>
                <w:szCs w:val="4"/>
              </w:rPr>
            </w:pPr>
            <w:r>
              <w:rPr>
                <w:sz w:val="4"/>
                <w:szCs w:val="4"/>
              </w:rPr>
            </w:r>
          </w:p>
        </w:tc>
        <w:tc>
          <w:tcPr>
            <w:tcW w:w="515" w:type="dxa"/>
            <w:tcBorders/>
            <w:shd w:fill="auto" w:val="clear"/>
            <w:vAlign w:val="center"/>
          </w:tcPr>
          <w:p>
            <w:pPr>
              <w:pStyle w:val="TableContents"/>
              <w:spacing w:before="0" w:after="283"/>
              <w:rPr>
                <w:sz w:val="4"/>
                <w:szCs w:val="4"/>
              </w:rPr>
            </w:pPr>
            <w:r>
              <w:rPr>
                <w:sz w:val="4"/>
                <w:szCs w:val="4"/>
              </w:rPr>
            </w:r>
          </w:p>
        </w:tc>
        <w:tc>
          <w:tcPr>
            <w:tcW w:w="341" w:type="dxa"/>
            <w:tcBorders/>
            <w:shd w:fill="auto" w:val="clear"/>
            <w:vAlign w:val="center"/>
          </w:tcPr>
          <w:p>
            <w:pPr>
              <w:pStyle w:val="TableContents"/>
              <w:spacing w:before="0" w:after="283"/>
              <w:rPr>
                <w:sz w:val="4"/>
                <w:szCs w:val="4"/>
              </w:rPr>
            </w:pPr>
            <w:r>
              <w:rPr>
                <w:sz w:val="4"/>
                <w:szCs w:val="4"/>
              </w:rPr>
            </w:r>
          </w:p>
        </w:tc>
        <w:tc>
          <w:tcPr>
            <w:tcW w:w="325" w:type="dxa"/>
            <w:tcBorders/>
            <w:shd w:fill="auto" w:val="clear"/>
            <w:vAlign w:val="center"/>
          </w:tcPr>
          <w:p>
            <w:pPr>
              <w:pStyle w:val="TableContents"/>
              <w:spacing w:before="0" w:after="283"/>
              <w:rPr>
                <w:sz w:val="4"/>
                <w:szCs w:val="4"/>
              </w:rPr>
            </w:pPr>
            <w:r>
              <w:rPr>
                <w:sz w:val="4"/>
                <w:szCs w:val="4"/>
              </w:rPr>
            </w:r>
          </w:p>
        </w:tc>
        <w:tc>
          <w:tcPr>
            <w:tcW w:w="516" w:type="dxa"/>
            <w:tcBorders/>
            <w:shd w:fill="auto" w:val="clear"/>
            <w:vAlign w:val="center"/>
          </w:tcPr>
          <w:p>
            <w:pPr>
              <w:pStyle w:val="TableContents"/>
              <w:spacing w:before="0" w:after="283"/>
              <w:rPr>
                <w:sz w:val="4"/>
                <w:szCs w:val="4"/>
              </w:rPr>
            </w:pPr>
            <w:r>
              <w:rPr>
                <w:sz w:val="4"/>
                <w:szCs w:val="4"/>
              </w:rPr>
            </w:r>
          </w:p>
        </w:tc>
        <w:tc>
          <w:tcPr>
            <w:tcW w:w="340" w:type="dxa"/>
            <w:tcBorders/>
            <w:shd w:fill="auto" w:val="clear"/>
            <w:vAlign w:val="center"/>
          </w:tcPr>
          <w:p>
            <w:pPr>
              <w:pStyle w:val="TableContents"/>
              <w:spacing w:before="0" w:after="283"/>
              <w:rPr>
                <w:sz w:val="4"/>
                <w:szCs w:val="4"/>
              </w:rPr>
            </w:pPr>
            <w:r>
              <w:rPr>
                <w:sz w:val="4"/>
                <w:szCs w:val="4"/>
              </w:rPr>
            </w:r>
          </w:p>
        </w:tc>
        <w:tc>
          <w:tcPr>
            <w:tcW w:w="327" w:type="dxa"/>
            <w:tcBorders/>
            <w:shd w:fill="auto" w:val="clear"/>
            <w:vAlign w:val="center"/>
          </w:tcPr>
          <w:p>
            <w:pPr>
              <w:pStyle w:val="TableContents"/>
              <w:spacing w:before="0" w:after="283"/>
              <w:rPr>
                <w:sz w:val="4"/>
                <w:szCs w:val="4"/>
              </w:rPr>
            </w:pPr>
            <w:r>
              <w:rPr>
                <w:sz w:val="4"/>
                <w:szCs w:val="4"/>
              </w:rPr>
            </w:r>
          </w:p>
        </w:tc>
        <w:tc>
          <w:tcPr>
            <w:tcW w:w="438" w:type="dxa"/>
            <w:tcBorders/>
            <w:shd w:fill="auto" w:val="clear"/>
            <w:vAlign w:val="center"/>
          </w:tcPr>
          <w:p>
            <w:pPr>
              <w:pStyle w:val="TableContents"/>
              <w:spacing w:before="0" w:after="283"/>
              <w:rPr>
                <w:sz w:val="4"/>
                <w:szCs w:val="4"/>
              </w:rPr>
            </w:pPr>
            <w:r>
              <w:rPr>
                <w:sz w:val="4"/>
                <w:szCs w:val="4"/>
              </w:rPr>
            </w:r>
          </w:p>
        </w:tc>
        <w:tc>
          <w:tcPr>
            <w:tcW w:w="418" w:type="dxa"/>
            <w:tcBorders/>
            <w:shd w:fill="auto" w:val="clear"/>
            <w:vAlign w:val="center"/>
          </w:tcPr>
          <w:p>
            <w:pPr>
              <w:pStyle w:val="TableContents"/>
              <w:spacing w:before="0" w:after="283"/>
              <w:rPr>
                <w:sz w:val="4"/>
                <w:szCs w:val="4"/>
              </w:rPr>
            </w:pPr>
            <w:r>
              <w:rPr>
                <w:sz w:val="4"/>
                <w:szCs w:val="4"/>
              </w:rPr>
            </w:r>
          </w:p>
        </w:tc>
        <w:tc>
          <w:tcPr>
            <w:tcW w:w="325" w:type="dxa"/>
            <w:tcBorders/>
            <w:shd w:fill="auto" w:val="clear"/>
            <w:vAlign w:val="center"/>
          </w:tcPr>
          <w:p>
            <w:pPr>
              <w:pStyle w:val="TableContents"/>
              <w:spacing w:before="0" w:after="283"/>
              <w:rPr>
                <w:sz w:val="4"/>
                <w:szCs w:val="4"/>
              </w:rPr>
            </w:pPr>
            <w:r>
              <w:rPr>
                <w:sz w:val="4"/>
                <w:szCs w:val="4"/>
              </w:rPr>
            </w:r>
          </w:p>
        </w:tc>
        <w:tc>
          <w:tcPr>
            <w:tcW w:w="445" w:type="dxa"/>
            <w:tcBorders/>
            <w:shd w:fill="auto" w:val="clear"/>
            <w:vAlign w:val="center"/>
          </w:tcPr>
          <w:p>
            <w:pPr>
              <w:pStyle w:val="TableContents"/>
              <w:spacing w:before="0" w:after="283"/>
              <w:rPr>
                <w:sz w:val="4"/>
                <w:szCs w:val="4"/>
              </w:rPr>
            </w:pPr>
            <w:r>
              <w:rPr>
                <w:sz w:val="4"/>
                <w:szCs w:val="4"/>
              </w:rPr>
            </w:r>
          </w:p>
        </w:tc>
        <w:tc>
          <w:tcPr>
            <w:tcW w:w="411" w:type="dxa"/>
            <w:tcBorders/>
            <w:shd w:fill="auto" w:val="clear"/>
            <w:vAlign w:val="center"/>
          </w:tcPr>
          <w:p>
            <w:pPr>
              <w:pStyle w:val="TableContents"/>
              <w:spacing w:before="0" w:after="283"/>
              <w:rPr>
                <w:sz w:val="4"/>
                <w:szCs w:val="4"/>
              </w:rPr>
            </w:pPr>
            <w:r>
              <w:rPr>
                <w:sz w:val="4"/>
                <w:szCs w:val="4"/>
              </w:rPr>
            </w:r>
          </w:p>
        </w:tc>
        <w:tc>
          <w:tcPr>
            <w:tcW w:w="424" w:type="dxa"/>
            <w:tcBorders/>
            <w:shd w:fill="auto" w:val="clear"/>
            <w:vAlign w:val="center"/>
          </w:tcPr>
          <w:p>
            <w:pPr>
              <w:pStyle w:val="TableContents"/>
              <w:spacing w:before="0" w:after="283"/>
              <w:rPr>
                <w:sz w:val="4"/>
                <w:szCs w:val="4"/>
              </w:rPr>
            </w:pPr>
            <w:r>
              <w:rPr>
                <w:sz w:val="4"/>
                <w:szCs w:val="4"/>
              </w:rPr>
            </w:r>
          </w:p>
        </w:tc>
      </w:tr>
      <w:tr>
        <w:trPr/>
        <w:tc>
          <w:tcPr>
            <w:tcW w:w="393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364" w:type="dxa"/>
            <w:gridSpan w:val="6"/>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Three months ended</w:t>
            </w:r>
          </w:p>
        </w:tc>
        <w:tc>
          <w:tcPr>
            <w:tcW w:w="2461" w:type="dxa"/>
            <w:gridSpan w:val="6"/>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Six months ended</w:t>
            </w:r>
          </w:p>
        </w:tc>
      </w:tr>
      <w:tr>
        <w:trPr/>
        <w:tc>
          <w:tcPr>
            <w:tcW w:w="393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(Thousands of Dollars)</w:t>
            </w:r>
          </w:p>
        </w:tc>
        <w:tc>
          <w:tcPr>
            <w:tcW w:w="118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March 26,</w:t>
              <w:br/>
              <w:t>2023</w:t>
            </w:r>
          </w:p>
        </w:tc>
        <w:tc>
          <w:tcPr>
            <w:tcW w:w="118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March 27,</w:t>
              <w:br/>
              <w:t>2022</w:t>
            </w:r>
          </w:p>
        </w:tc>
        <w:tc>
          <w:tcPr>
            <w:tcW w:w="118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March 26,</w:t>
              <w:br/>
              <w:t>2023</w:t>
            </w:r>
          </w:p>
        </w:tc>
        <w:tc>
          <w:tcPr>
            <w:tcW w:w="128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March 27,</w:t>
              <w:br/>
              <w:t>2022</w:t>
            </w:r>
          </w:p>
        </w:tc>
      </w:tr>
      <w:tr>
        <w:trPr/>
        <w:tc>
          <w:tcPr>
            <w:tcW w:w="393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8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8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8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8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revenue:</w:t>
            </w:r>
          </w:p>
        </w:tc>
        <w:tc>
          <w:tcPr>
            <w:tcW w:w="11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Print advertising revenue</w:t>
            </w:r>
          </w:p>
        </w:tc>
        <w:tc>
          <w:tcPr>
            <w:tcW w:w="8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31,450 </w:t>
            </w:r>
          </w:p>
        </w:tc>
        <w:tc>
          <w:tcPr>
            <w:tcW w:w="3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44,248 </w:t>
            </w:r>
          </w:p>
        </w:tc>
        <w:tc>
          <w:tcPr>
            <w:tcW w:w="3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73,286 </w:t>
            </w:r>
          </w:p>
        </w:tc>
        <w:tc>
          <w:tcPr>
            <w:tcW w:w="3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100,218 </w:t>
            </w:r>
          </w:p>
        </w:tc>
        <w:tc>
          <w:tcPr>
            <w:tcW w:w="4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Digital advertising revenue</w:t>
            </w:r>
          </w:p>
        </w:tc>
        <w:tc>
          <w:tcPr>
            <w:tcW w:w="8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46,250 </w:t>
            </w:r>
          </w:p>
        </w:tc>
        <w:tc>
          <w:tcPr>
            <w:tcW w:w="3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43,385 </w:t>
            </w:r>
          </w:p>
        </w:tc>
        <w:tc>
          <w:tcPr>
            <w:tcW w:w="3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93,999 </w:t>
            </w:r>
          </w:p>
        </w:tc>
        <w:tc>
          <w:tcPr>
            <w:tcW w:w="3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86,169 </w:t>
            </w:r>
          </w:p>
        </w:tc>
        <w:tc>
          <w:tcPr>
            <w:tcW w:w="4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30"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Advertising and marketing services revenue</w:t>
            </w:r>
          </w:p>
        </w:tc>
        <w:tc>
          <w:tcPr>
            <w:tcW w:w="85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77,700 </w:t>
            </w:r>
          </w:p>
        </w:tc>
        <w:tc>
          <w:tcPr>
            <w:tcW w:w="32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87,633 </w:t>
            </w:r>
          </w:p>
        </w:tc>
        <w:tc>
          <w:tcPr>
            <w:tcW w:w="32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167,285 </w:t>
            </w:r>
          </w:p>
        </w:tc>
        <w:tc>
          <w:tcPr>
            <w:tcW w:w="32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186,387 </w:t>
            </w:r>
          </w:p>
        </w:tc>
        <w:tc>
          <w:tcPr>
            <w:tcW w:w="42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3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Print subscription revenue</w:t>
            </w:r>
          </w:p>
        </w:tc>
        <w:tc>
          <w:tcPr>
            <w:tcW w:w="85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64,586 </w:t>
            </w:r>
          </w:p>
        </w:tc>
        <w:tc>
          <w:tcPr>
            <w:tcW w:w="32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77,255 </w:t>
            </w:r>
          </w:p>
        </w:tc>
        <w:tc>
          <w:tcPr>
            <w:tcW w:w="32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131,956 </w:t>
            </w:r>
          </w:p>
        </w:tc>
        <w:tc>
          <w:tcPr>
            <w:tcW w:w="32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156,883 </w:t>
            </w:r>
          </w:p>
        </w:tc>
        <w:tc>
          <w:tcPr>
            <w:tcW w:w="42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Digital subscription revenue</w:t>
            </w:r>
          </w:p>
        </w:tc>
        <w:tc>
          <w:tcPr>
            <w:tcW w:w="8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13,996 </w:t>
            </w:r>
          </w:p>
        </w:tc>
        <w:tc>
          <w:tcPr>
            <w:tcW w:w="3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10,093 </w:t>
            </w:r>
          </w:p>
        </w:tc>
        <w:tc>
          <w:tcPr>
            <w:tcW w:w="3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26,325 </w:t>
            </w:r>
          </w:p>
        </w:tc>
        <w:tc>
          <w:tcPr>
            <w:tcW w:w="3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17,984 </w:t>
            </w:r>
          </w:p>
        </w:tc>
        <w:tc>
          <w:tcPr>
            <w:tcW w:w="4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3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Subscription revenue</w:t>
            </w:r>
          </w:p>
        </w:tc>
        <w:tc>
          <w:tcPr>
            <w:tcW w:w="85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78,582 </w:t>
            </w:r>
          </w:p>
        </w:tc>
        <w:tc>
          <w:tcPr>
            <w:tcW w:w="32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87,348 </w:t>
            </w:r>
          </w:p>
        </w:tc>
        <w:tc>
          <w:tcPr>
            <w:tcW w:w="32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158,281 </w:t>
            </w:r>
          </w:p>
        </w:tc>
        <w:tc>
          <w:tcPr>
            <w:tcW w:w="32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174,867 </w:t>
            </w:r>
          </w:p>
        </w:tc>
        <w:tc>
          <w:tcPr>
            <w:tcW w:w="42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30"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Print other revenue</w:t>
            </w:r>
          </w:p>
        </w:tc>
        <w:tc>
          <w:tcPr>
            <w:tcW w:w="85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9,649 </w:t>
            </w:r>
          </w:p>
        </w:tc>
        <w:tc>
          <w:tcPr>
            <w:tcW w:w="32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10,374 </w:t>
            </w:r>
          </w:p>
        </w:tc>
        <w:tc>
          <w:tcPr>
            <w:tcW w:w="32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20,769 </w:t>
            </w:r>
          </w:p>
        </w:tc>
        <w:tc>
          <w:tcPr>
            <w:tcW w:w="32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21,759 </w:t>
            </w:r>
          </w:p>
        </w:tc>
        <w:tc>
          <w:tcPr>
            <w:tcW w:w="42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Digital other revenue</w:t>
            </w:r>
          </w:p>
        </w:tc>
        <w:tc>
          <w:tcPr>
            <w:tcW w:w="8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4,756 </w:t>
            </w:r>
          </w:p>
        </w:tc>
        <w:tc>
          <w:tcPr>
            <w:tcW w:w="3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4,659 </w:t>
            </w:r>
          </w:p>
        </w:tc>
        <w:tc>
          <w:tcPr>
            <w:tcW w:w="3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9,483 </w:t>
            </w:r>
          </w:p>
        </w:tc>
        <w:tc>
          <w:tcPr>
            <w:tcW w:w="3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9,283 </w:t>
            </w:r>
          </w:p>
        </w:tc>
        <w:tc>
          <w:tcPr>
            <w:tcW w:w="4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30"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revenue</w:t>
            </w:r>
          </w:p>
        </w:tc>
        <w:tc>
          <w:tcPr>
            <w:tcW w:w="85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14,405 </w:t>
            </w:r>
          </w:p>
        </w:tc>
        <w:tc>
          <w:tcPr>
            <w:tcW w:w="32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15,033 </w:t>
            </w:r>
          </w:p>
        </w:tc>
        <w:tc>
          <w:tcPr>
            <w:tcW w:w="32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30,252 </w:t>
            </w:r>
          </w:p>
        </w:tc>
        <w:tc>
          <w:tcPr>
            <w:tcW w:w="32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31,042 </w:t>
            </w:r>
          </w:p>
        </w:tc>
        <w:tc>
          <w:tcPr>
            <w:tcW w:w="42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30"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operating revenue</w:t>
            </w:r>
          </w:p>
        </w:tc>
        <w:tc>
          <w:tcPr>
            <w:tcW w:w="85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170,687 </w:t>
            </w:r>
          </w:p>
        </w:tc>
        <w:tc>
          <w:tcPr>
            <w:tcW w:w="3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85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190,014 </w:t>
            </w:r>
          </w:p>
        </w:tc>
        <w:tc>
          <w:tcPr>
            <w:tcW w:w="3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85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355,818 </w:t>
            </w:r>
          </w:p>
        </w:tc>
        <w:tc>
          <w:tcPr>
            <w:tcW w:w="3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85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392,296 </w:t>
            </w:r>
          </w:p>
        </w:tc>
        <w:tc>
          <w:tcPr>
            <w:tcW w:w="4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050"/>
                <wp:effectExtent l="0" t="0" r="0" b="0"/>
                <wp:wrapNone/>
                <wp:docPr id="9" name="Frame9"/>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76" w:before="0" w:after="0"/>
                              <w:jc w:val="center"/>
                              <w:rPr>
                                <w:rFonts w:ascii="Arial;sans-serif" w:hAnsi="Arial;sans-serif"/>
                                <w:b w:val="false"/>
                                <w:color w:val="000000"/>
                                <w:sz w:val="20"/>
                              </w:rPr>
                            </w:pPr>
                            <w:r>
                              <w:rPr>
                                <w:rFonts w:ascii="Arial;sans-serif" w:hAnsi="Arial;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Arial;sans-serif" w:hAnsi="Arial;sans-serif"/>
                          <w:b w:val="false"/>
                          <w:color w:val="000000"/>
                          <w:sz w:val="20"/>
                        </w:rPr>
                      </w:pPr>
                      <w:r>
                        <w:rPr>
                          <w:rFonts w:ascii="Arial;sans-serif" w:hAnsi="Arial;sans-serif"/>
                          <w:b w:val="false"/>
                          <w:color w:val="000000"/>
                          <w:sz w:val="20"/>
                        </w:rPr>
                        <w:t>7</w:t>
                      </w:r>
                    </w:p>
                  </w:txbxContent>
                </v:textbox>
              </v:rect>
            </w:pict>
          </mc:Fallback>
        </mc:AlternateContent>
      </w:r>
    </w:p>
    <w:p>
      <w:pPr>
        <w:pStyle w:val="TextBody"/>
        <w:spacing w:before="0" w:after="0"/>
        <w:rPr/>
      </w:pPr>
      <w:r>
        <w:rPr/>
      </w:r>
    </w:p>
    <w:p>
      <w:pPr>
        <w:pStyle w:val="TextBody"/>
        <w:spacing w:lineRule="auto" w:line="288" w:before="200" w:after="283"/>
        <w:jc w:val="both"/>
        <w:rPr/>
      </w:pPr>
      <w:r>
        <w:rPr>
          <w:rFonts w:ascii="Arial;sans-serif" w:hAnsi="Arial;sans-serif"/>
          <w:b w:val="false"/>
          <w:i/>
          <w:color w:val="000000"/>
          <w:sz w:val="20"/>
        </w:rPr>
        <w:t>Recognition principles:</w:t>
      </w:r>
      <w:r>
        <w:rPr>
          <w:color w:val="000000"/>
        </w:rPr>
        <w:t xml:space="preserve"> </w:t>
      </w:r>
      <w:r>
        <w:rPr>
          <w:rFonts w:ascii="Arial;sans-serif" w:hAnsi="Arial;sans-serif"/>
          <w:b w:val="false"/>
          <w:color w:val="000000"/>
          <w:sz w:val="20"/>
        </w:rPr>
        <w:t>Revenue is recognized when a performance obligation is satisfied by the transfer of control of the contracted goods or services to our customers, in an amount that reflects the consideration we expect to receive in exchange for those goods or services.</w:t>
      </w:r>
    </w:p>
    <w:p>
      <w:pPr>
        <w:pStyle w:val="TextBody"/>
        <w:spacing w:lineRule="auto" w:line="288" w:before="200" w:after="283"/>
        <w:jc w:val="both"/>
        <w:rPr/>
      </w:pPr>
      <w:r>
        <w:rPr>
          <w:rFonts w:ascii="Arial;sans-serif" w:hAnsi="Arial;sans-serif"/>
          <w:b w:val="false"/>
          <w:i/>
          <w:color w:val="000000"/>
          <w:sz w:val="20"/>
        </w:rPr>
        <w:t>Arrangements with multiple performance obligations:</w:t>
      </w:r>
      <w:r>
        <w:rPr>
          <w:color w:val="000000"/>
        </w:rPr>
        <w:t xml:space="preserve"> </w:t>
      </w:r>
      <w:r>
        <w:rPr>
          <w:rFonts w:ascii="Arial;sans-serif" w:hAnsi="Arial;sans-serif"/>
          <w:b w:val="false"/>
          <w:color w:val="000000"/>
          <w:sz w:val="20"/>
        </w:rPr>
        <w:t>We have various advertising and subscription agreements which include both print and digital performance obligations. Revenue from sales agreements that contain multiple performance obligations are allocated to each obligation based on the relative standalone selling price. We determine standalone selling prices based on observable prices charged to customers.</w:t>
      </w:r>
    </w:p>
    <w:p>
      <w:pPr>
        <w:pStyle w:val="TextBody"/>
        <w:spacing w:lineRule="auto" w:line="288" w:before="200" w:after="283"/>
        <w:jc w:val="both"/>
        <w:rPr/>
      </w:pPr>
      <w:r>
        <w:rPr>
          <w:rFonts w:ascii="Arial;sans-serif" w:hAnsi="Arial;sans-serif"/>
          <w:b w:val="false"/>
          <w:i/>
          <w:color w:val="000000"/>
          <w:sz w:val="20"/>
        </w:rPr>
        <w:t>Contract Assets and Liabilities:</w:t>
      </w:r>
      <w:r>
        <w:rPr>
          <w:color w:val="000000"/>
        </w:rPr>
        <w:t xml:space="preserve"> </w:t>
      </w:r>
      <w:r>
        <w:rPr>
          <w:rFonts w:ascii="Arial;sans-serif" w:hAnsi="Arial;sans-serif"/>
          <w:b w:val="false"/>
          <w:color w:val="000000"/>
          <w:sz w:val="20"/>
        </w:rPr>
        <w:t>The Company’s primary source of contract liabilities is unearned revenue from subscriptions paid in advance of the service provided. The Company expects to recognize the revenue related to unsatisfied performance obligations over the next twelve months in accordance with the terms of the subscriptions and other contracts with customers. Revenue recognized in the six months ended March 26, 2023, that was included in the contract liability as of September 25, 2022, was $41.2 million.</w:t>
      </w:r>
    </w:p>
    <w:p>
      <w:pPr>
        <w:pStyle w:val="TextBody"/>
        <w:spacing w:lineRule="auto" w:line="288" w:before="200" w:after="283"/>
        <w:jc w:val="both"/>
        <w:rPr/>
      </w:pPr>
      <w:r>
        <w:rPr>
          <w:rFonts w:ascii="Arial;sans-serif" w:hAnsi="Arial;sans-serif"/>
          <w:b w:val="false"/>
          <w:color w:val="000000"/>
          <w:sz w:val="20"/>
        </w:rPr>
        <w:t>Accounts receivable, excluding allowance for credit losses were $72.7 million and $74.8 million as of</w:t>
      </w:r>
      <w:r>
        <w:rPr>
          <w:color w:val="000000"/>
        </w:rPr>
        <w:t xml:space="preserve"> </w:t>
      </w:r>
      <w:r>
        <w:rPr>
          <w:rFonts w:ascii="Arial;sans-serif" w:hAnsi="Arial;sans-serif"/>
          <w:b w:val="false"/>
          <w:color w:val="000000"/>
          <w:sz w:val="20"/>
        </w:rPr>
        <w:t>March 26, 2023, and</w:t>
      </w:r>
      <w:r>
        <w:rPr>
          <w:color w:val="000000"/>
        </w:rPr>
        <w:t xml:space="preserve"> </w:t>
      </w:r>
      <w:r>
        <w:rPr>
          <w:rFonts w:ascii="Arial;sans-serif" w:hAnsi="Arial;sans-serif"/>
          <w:b w:val="false"/>
          <w:color w:val="000000"/>
          <w:sz w:val="20"/>
        </w:rPr>
        <w:t>September 25, 2022</w:t>
      </w:r>
      <w:r>
        <w:rPr>
          <w:rFonts w:ascii="Arial;sans-serif" w:hAnsi="Arial;sans-serif"/>
          <w:b w:val="false"/>
          <w:i/>
          <w:color w:val="000000"/>
          <w:sz w:val="20"/>
        </w:rPr>
        <w:t xml:space="preserve">, </w:t>
      </w:r>
      <w:r>
        <w:rPr>
          <w:rFonts w:ascii="Arial;sans-serif" w:hAnsi="Arial;sans-serif"/>
          <w:b w:val="false"/>
          <w:color w:val="000000"/>
          <w:sz w:val="20"/>
        </w:rPr>
        <w:t>respectively. Allowance for credit losses was $5.1 million and $5.2 million as of</w:t>
      </w:r>
      <w:r>
        <w:rPr>
          <w:color w:val="000000"/>
        </w:rPr>
        <w:t xml:space="preserve"> </w:t>
      </w:r>
      <w:r>
        <w:rPr>
          <w:rFonts w:ascii="Arial;sans-serif" w:hAnsi="Arial;sans-serif"/>
          <w:b w:val="false"/>
          <w:color w:val="000000"/>
          <w:sz w:val="20"/>
        </w:rPr>
        <w:t>March 26, 2023, and September 25, 2022</w:t>
      </w:r>
      <w:r>
        <w:rPr>
          <w:rFonts w:ascii="Arial;sans-serif" w:hAnsi="Arial;sans-serif"/>
          <w:b w:val="false"/>
          <w:i/>
          <w:color w:val="000000"/>
          <w:sz w:val="20"/>
        </w:rPr>
        <w:t xml:space="preserve">, </w:t>
      </w:r>
      <w:r>
        <w:rPr>
          <w:rFonts w:ascii="Arial;sans-serif" w:hAnsi="Arial;sans-serif"/>
          <w:b w:val="false"/>
          <w:color w:val="000000"/>
          <w:sz w:val="20"/>
        </w:rPr>
        <w:t>respectively.</w:t>
      </w:r>
    </w:p>
    <w:p>
      <w:pPr>
        <w:pStyle w:val="TextBody"/>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Sales commissions are expensed as incurred as the associated contractual periods are one year or less. These costs are recorded within compensation. Most of our contracts have original expected lengths of one year or less and revenue is earned at a rate and amount that corresponds directly with the value to the customer.</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83"/>
        <w:ind w:left="0" w:right="0" w:hanging="720"/>
        <w:jc w:val="both"/>
        <w:rPr>
          <w:rFonts w:ascii="Arial;sans-serif" w:hAnsi="Arial;sans-serif"/>
          <w:b/>
          <w:color w:val="000000"/>
          <w:sz w:val="20"/>
        </w:rPr>
      </w:pPr>
      <w:r>
        <w:rPr>
          <w:rFonts w:ascii="Arial;sans-serif" w:hAnsi="Arial;sans-serif"/>
          <w:b/>
          <w:color w:val="000000"/>
          <w:sz w:val="20"/>
        </w:rPr>
        <w:t>3    INVESTMENTS IN ASSOCIATED COMPANIES</w:t>
      </w:r>
    </w:p>
    <w:p>
      <w:pPr>
        <w:pStyle w:val="TextBody"/>
        <w:spacing w:lineRule="auto" w:line="288" w:before="200" w:after="283"/>
        <w:jc w:val="both"/>
        <w:rPr>
          <w:rFonts w:ascii="Arial;sans-serif" w:hAnsi="Arial;sans-serif"/>
          <w:b/>
          <w:color w:val="000000"/>
          <w:sz w:val="20"/>
        </w:rPr>
      </w:pPr>
      <w:r>
        <w:rPr>
          <w:rFonts w:ascii="Arial;sans-serif" w:hAnsi="Arial;sans-serif"/>
          <w:b/>
          <w:color w:val="000000"/>
          <w:sz w:val="20"/>
        </w:rPr>
        <w:t>TNI Partners</w:t>
      </w:r>
    </w:p>
    <w:p>
      <w:pPr>
        <w:pStyle w:val="TextBody"/>
        <w:spacing w:lineRule="auto" w:line="288" w:before="200" w:after="283"/>
        <w:jc w:val="both"/>
        <w:rPr/>
      </w:pPr>
      <w:r>
        <w:rPr>
          <w:rFonts w:ascii="Arial;sans-serif" w:hAnsi="Arial;sans-serif"/>
          <w:b w:val="false"/>
          <w:color w:val="000000"/>
          <w:sz w:val="20"/>
        </w:rPr>
        <w:t xml:space="preserve">In Tucson, Arizona, TNI, acting as agent for our subsidiary, Star Publishing Company (“Star Publishing”), and Gannets Co. Inc.'s subsidiary Citizen Publishing Company (“Citizen”), is responsible for printing, delivery, advertising, and subscription activities of the </w:t>
      </w:r>
      <w:r>
        <w:rPr>
          <w:rFonts w:ascii="Arial;sans-serif" w:hAnsi="Arial;sans-serif"/>
          <w:b w:val="false"/>
          <w:i/>
          <w:color w:val="000000"/>
          <w:sz w:val="20"/>
        </w:rPr>
        <w:t xml:space="preserve">Arizona Daily Star </w:t>
      </w:r>
      <w:r>
        <w:rPr>
          <w:rFonts w:ascii="Arial;sans-serif" w:hAnsi="Arial;sans-serif"/>
          <w:b w:val="false"/>
          <w:color w:val="000000"/>
          <w:sz w:val="20"/>
        </w:rPr>
        <w:t>as well as the related digital platforms and specialty publications. TNI collects all receipts and income and pays substantially all operating expenses incident to the partnership's operations and publication of the newspaper and other media.</w:t>
      </w:r>
    </w:p>
    <w:p>
      <w:pPr>
        <w:pStyle w:val="TextBody"/>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Income or loss of TNI (before income taxes) is allocated equally to Star Publishing and Citizen.</w:t>
      </w:r>
    </w:p>
    <w:p>
      <w:pPr>
        <w:pStyle w:val="TextBody"/>
        <w:spacing w:lineRule="auto" w:line="288" w:before="200" w:after="283"/>
        <w:rPr>
          <w:rFonts w:ascii="Arial;sans-serif" w:hAnsi="Arial;sans-serif"/>
          <w:b w:val="false"/>
          <w:color w:val="000000"/>
          <w:sz w:val="20"/>
        </w:rPr>
      </w:pPr>
      <w:r>
        <w:rPr>
          <w:rFonts w:ascii="Arial;sans-serif" w:hAnsi="Arial;sans-serif"/>
          <w:b w:val="false"/>
          <w:color w:val="000000"/>
          <w:sz w:val="20"/>
        </w:rPr>
        <w:t>Summarized results of TNI are as follows:</w:t>
      </w:r>
    </w:p>
    <w:tbl>
      <w:tblPr>
        <w:tblW w:w="6480" w:type="dxa"/>
        <w:jc w:val="left"/>
        <w:tblInd w:w="0" w:type="dxa"/>
        <w:tblCellMar>
          <w:top w:w="28" w:type="dxa"/>
          <w:left w:w="28" w:type="dxa"/>
          <w:bottom w:w="28" w:type="dxa"/>
          <w:right w:w="28" w:type="dxa"/>
        </w:tblCellMar>
      </w:tblPr>
      <w:tblGrid>
        <w:gridCol w:w="825"/>
        <w:gridCol w:w="725"/>
        <w:gridCol w:w="729"/>
        <w:gridCol w:w="325"/>
        <w:gridCol w:w="325"/>
        <w:gridCol w:w="325"/>
        <w:gridCol w:w="324"/>
        <w:gridCol w:w="324"/>
        <w:gridCol w:w="327"/>
        <w:gridCol w:w="385"/>
        <w:gridCol w:w="366"/>
        <w:gridCol w:w="325"/>
        <w:gridCol w:w="390"/>
        <w:gridCol w:w="361"/>
        <w:gridCol w:w="424"/>
      </w:tblGrid>
      <w:tr>
        <w:trPr/>
        <w:tc>
          <w:tcPr>
            <w:tcW w:w="825" w:type="dxa"/>
            <w:tcBorders/>
            <w:shd w:fill="auto" w:val="clear"/>
            <w:vAlign w:val="center"/>
          </w:tcPr>
          <w:p>
            <w:pPr>
              <w:pStyle w:val="TableContents"/>
              <w:spacing w:before="0" w:after="283"/>
              <w:rPr>
                <w:sz w:val="4"/>
                <w:szCs w:val="4"/>
              </w:rPr>
            </w:pPr>
            <w:r>
              <w:rPr>
                <w:sz w:val="4"/>
                <w:szCs w:val="4"/>
              </w:rPr>
            </w:r>
          </w:p>
        </w:tc>
        <w:tc>
          <w:tcPr>
            <w:tcW w:w="725" w:type="dxa"/>
            <w:tcBorders/>
            <w:shd w:fill="auto" w:val="clear"/>
            <w:vAlign w:val="center"/>
          </w:tcPr>
          <w:p>
            <w:pPr>
              <w:pStyle w:val="TableContents"/>
              <w:spacing w:before="0" w:after="283"/>
              <w:rPr>
                <w:sz w:val="4"/>
                <w:szCs w:val="4"/>
              </w:rPr>
            </w:pPr>
            <w:r>
              <w:rPr>
                <w:sz w:val="4"/>
                <w:szCs w:val="4"/>
              </w:rPr>
            </w:r>
          </w:p>
        </w:tc>
        <w:tc>
          <w:tcPr>
            <w:tcW w:w="729" w:type="dxa"/>
            <w:tcBorders/>
            <w:shd w:fill="auto" w:val="clear"/>
            <w:vAlign w:val="center"/>
          </w:tcPr>
          <w:p>
            <w:pPr>
              <w:pStyle w:val="TableContents"/>
              <w:spacing w:before="0" w:after="283"/>
              <w:rPr>
                <w:sz w:val="4"/>
                <w:szCs w:val="4"/>
              </w:rPr>
            </w:pPr>
            <w:r>
              <w:rPr>
                <w:sz w:val="4"/>
                <w:szCs w:val="4"/>
              </w:rPr>
            </w:r>
          </w:p>
        </w:tc>
        <w:tc>
          <w:tcPr>
            <w:tcW w:w="325" w:type="dxa"/>
            <w:tcBorders/>
            <w:shd w:fill="auto" w:val="clear"/>
            <w:vAlign w:val="center"/>
          </w:tcPr>
          <w:p>
            <w:pPr>
              <w:pStyle w:val="TableContents"/>
              <w:spacing w:before="0" w:after="283"/>
              <w:rPr>
                <w:sz w:val="4"/>
                <w:szCs w:val="4"/>
              </w:rPr>
            </w:pPr>
            <w:r>
              <w:rPr>
                <w:sz w:val="4"/>
                <w:szCs w:val="4"/>
              </w:rPr>
            </w:r>
          </w:p>
        </w:tc>
        <w:tc>
          <w:tcPr>
            <w:tcW w:w="325" w:type="dxa"/>
            <w:tcBorders/>
            <w:shd w:fill="auto" w:val="clear"/>
            <w:vAlign w:val="center"/>
          </w:tcPr>
          <w:p>
            <w:pPr>
              <w:pStyle w:val="TableContents"/>
              <w:spacing w:before="0" w:after="283"/>
              <w:rPr>
                <w:sz w:val="4"/>
                <w:szCs w:val="4"/>
              </w:rPr>
            </w:pPr>
            <w:r>
              <w:rPr>
                <w:sz w:val="4"/>
                <w:szCs w:val="4"/>
              </w:rPr>
            </w:r>
          </w:p>
        </w:tc>
        <w:tc>
          <w:tcPr>
            <w:tcW w:w="325" w:type="dxa"/>
            <w:tcBorders/>
            <w:shd w:fill="auto" w:val="clear"/>
            <w:vAlign w:val="center"/>
          </w:tcPr>
          <w:p>
            <w:pPr>
              <w:pStyle w:val="TableContents"/>
              <w:spacing w:before="0" w:after="283"/>
              <w:rPr>
                <w:sz w:val="4"/>
                <w:szCs w:val="4"/>
              </w:rPr>
            </w:pPr>
            <w:r>
              <w:rPr>
                <w:sz w:val="4"/>
                <w:szCs w:val="4"/>
              </w:rPr>
            </w:r>
          </w:p>
        </w:tc>
        <w:tc>
          <w:tcPr>
            <w:tcW w:w="324" w:type="dxa"/>
            <w:tcBorders/>
            <w:shd w:fill="auto" w:val="clear"/>
            <w:vAlign w:val="center"/>
          </w:tcPr>
          <w:p>
            <w:pPr>
              <w:pStyle w:val="TableContents"/>
              <w:spacing w:before="0" w:after="283"/>
              <w:rPr>
                <w:sz w:val="4"/>
                <w:szCs w:val="4"/>
              </w:rPr>
            </w:pPr>
            <w:r>
              <w:rPr>
                <w:sz w:val="4"/>
                <w:szCs w:val="4"/>
              </w:rPr>
            </w:r>
          </w:p>
        </w:tc>
        <w:tc>
          <w:tcPr>
            <w:tcW w:w="324" w:type="dxa"/>
            <w:tcBorders/>
            <w:shd w:fill="auto" w:val="clear"/>
            <w:vAlign w:val="center"/>
          </w:tcPr>
          <w:p>
            <w:pPr>
              <w:pStyle w:val="TableContents"/>
              <w:spacing w:before="0" w:after="283"/>
              <w:rPr>
                <w:sz w:val="4"/>
                <w:szCs w:val="4"/>
              </w:rPr>
            </w:pPr>
            <w:r>
              <w:rPr>
                <w:sz w:val="4"/>
                <w:szCs w:val="4"/>
              </w:rPr>
            </w:r>
          </w:p>
        </w:tc>
        <w:tc>
          <w:tcPr>
            <w:tcW w:w="327" w:type="dxa"/>
            <w:tcBorders/>
            <w:shd w:fill="auto" w:val="clear"/>
            <w:vAlign w:val="center"/>
          </w:tcPr>
          <w:p>
            <w:pPr>
              <w:pStyle w:val="TableContents"/>
              <w:spacing w:before="0" w:after="283"/>
              <w:rPr>
                <w:sz w:val="4"/>
                <w:szCs w:val="4"/>
              </w:rPr>
            </w:pPr>
            <w:r>
              <w:rPr>
                <w:sz w:val="4"/>
                <w:szCs w:val="4"/>
              </w:rPr>
            </w:r>
          </w:p>
        </w:tc>
        <w:tc>
          <w:tcPr>
            <w:tcW w:w="385" w:type="dxa"/>
            <w:tcBorders/>
            <w:shd w:fill="auto" w:val="clear"/>
            <w:vAlign w:val="center"/>
          </w:tcPr>
          <w:p>
            <w:pPr>
              <w:pStyle w:val="TableContents"/>
              <w:spacing w:before="0" w:after="283"/>
              <w:rPr>
                <w:sz w:val="4"/>
                <w:szCs w:val="4"/>
              </w:rPr>
            </w:pPr>
            <w:r>
              <w:rPr>
                <w:sz w:val="4"/>
                <w:szCs w:val="4"/>
              </w:rPr>
            </w:r>
          </w:p>
        </w:tc>
        <w:tc>
          <w:tcPr>
            <w:tcW w:w="366" w:type="dxa"/>
            <w:tcBorders/>
            <w:shd w:fill="auto" w:val="clear"/>
            <w:vAlign w:val="center"/>
          </w:tcPr>
          <w:p>
            <w:pPr>
              <w:pStyle w:val="TableContents"/>
              <w:spacing w:before="0" w:after="283"/>
              <w:rPr>
                <w:sz w:val="4"/>
                <w:szCs w:val="4"/>
              </w:rPr>
            </w:pPr>
            <w:r>
              <w:rPr>
                <w:sz w:val="4"/>
                <w:szCs w:val="4"/>
              </w:rPr>
            </w:r>
          </w:p>
        </w:tc>
        <w:tc>
          <w:tcPr>
            <w:tcW w:w="325" w:type="dxa"/>
            <w:tcBorders/>
            <w:shd w:fill="auto" w:val="clear"/>
            <w:vAlign w:val="center"/>
          </w:tcPr>
          <w:p>
            <w:pPr>
              <w:pStyle w:val="TableContents"/>
              <w:spacing w:before="0" w:after="283"/>
              <w:rPr>
                <w:sz w:val="4"/>
                <w:szCs w:val="4"/>
              </w:rPr>
            </w:pPr>
            <w:r>
              <w:rPr>
                <w:sz w:val="4"/>
                <w:szCs w:val="4"/>
              </w:rPr>
            </w:r>
          </w:p>
        </w:tc>
        <w:tc>
          <w:tcPr>
            <w:tcW w:w="390"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c>
          <w:tcPr>
            <w:tcW w:w="424" w:type="dxa"/>
            <w:tcBorders/>
            <w:shd w:fill="auto" w:val="clear"/>
            <w:vAlign w:val="center"/>
          </w:tcPr>
          <w:p>
            <w:pPr>
              <w:pStyle w:val="TableContents"/>
              <w:spacing w:before="0" w:after="283"/>
              <w:rPr>
                <w:sz w:val="4"/>
                <w:szCs w:val="4"/>
              </w:rPr>
            </w:pPr>
            <w:r>
              <w:rPr>
                <w:sz w:val="4"/>
                <w:szCs w:val="4"/>
              </w:rPr>
            </w:r>
          </w:p>
        </w:tc>
      </w:tr>
      <w:tr>
        <w:trPr/>
        <w:tc>
          <w:tcPr>
            <w:tcW w:w="227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950" w:type="dxa"/>
            <w:gridSpan w:val="6"/>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Three months ended</w:t>
            </w:r>
          </w:p>
        </w:tc>
        <w:tc>
          <w:tcPr>
            <w:tcW w:w="2251" w:type="dxa"/>
            <w:gridSpan w:val="6"/>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Six months ended</w:t>
            </w:r>
          </w:p>
        </w:tc>
      </w:tr>
      <w:tr>
        <w:trPr/>
        <w:tc>
          <w:tcPr>
            <w:tcW w:w="227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(Thousands of Dollars)</w:t>
            </w:r>
          </w:p>
        </w:tc>
        <w:tc>
          <w:tcPr>
            <w:tcW w:w="97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March 26,</w:t>
              <w:br/>
              <w:t>2023</w:t>
            </w:r>
          </w:p>
        </w:tc>
        <w:tc>
          <w:tcPr>
            <w:tcW w:w="97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March 27,</w:t>
              <w:br/>
              <w:t>2022</w:t>
            </w:r>
          </w:p>
        </w:tc>
        <w:tc>
          <w:tcPr>
            <w:tcW w:w="107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March 26,</w:t>
              <w:br/>
              <w:t>2023</w:t>
            </w:r>
          </w:p>
        </w:tc>
        <w:tc>
          <w:tcPr>
            <w:tcW w:w="117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March 27,</w:t>
              <w:br/>
              <w:t>2022</w:t>
            </w:r>
          </w:p>
        </w:tc>
      </w:tr>
      <w:tr>
        <w:trPr/>
        <w:tc>
          <w:tcPr>
            <w:tcW w:w="227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7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7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7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7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2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revenue</w:t>
            </w:r>
          </w:p>
        </w:tc>
        <w:tc>
          <w:tcPr>
            <w:tcW w:w="65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8,169 </w:t>
            </w:r>
          </w:p>
        </w:tc>
        <w:tc>
          <w:tcPr>
            <w:tcW w:w="3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8,594 </w:t>
            </w:r>
          </w:p>
        </w:tc>
        <w:tc>
          <w:tcPr>
            <w:tcW w:w="3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16,710 </w:t>
            </w:r>
          </w:p>
        </w:tc>
        <w:tc>
          <w:tcPr>
            <w:tcW w:w="3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17,575 </w:t>
            </w:r>
          </w:p>
        </w:tc>
        <w:tc>
          <w:tcPr>
            <w:tcW w:w="4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expenses</w:t>
            </w:r>
          </w:p>
        </w:tc>
        <w:tc>
          <w:tcPr>
            <w:tcW w:w="65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6,889 </w:t>
            </w:r>
          </w:p>
        </w:tc>
        <w:tc>
          <w:tcPr>
            <w:tcW w:w="3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6,409 </w:t>
            </w:r>
          </w:p>
        </w:tc>
        <w:tc>
          <w:tcPr>
            <w:tcW w:w="3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13,364 </w:t>
            </w:r>
          </w:p>
        </w:tc>
        <w:tc>
          <w:tcPr>
            <w:tcW w:w="3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12,873 </w:t>
            </w:r>
          </w:p>
        </w:tc>
        <w:tc>
          <w:tcPr>
            <w:tcW w:w="4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7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income</w:t>
            </w:r>
          </w:p>
        </w:tc>
        <w:tc>
          <w:tcPr>
            <w:tcW w:w="65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1,280 </w:t>
            </w:r>
          </w:p>
        </w:tc>
        <w:tc>
          <w:tcPr>
            <w:tcW w:w="32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64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2,185 </w:t>
            </w:r>
          </w:p>
        </w:tc>
        <w:tc>
          <w:tcPr>
            <w:tcW w:w="32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3,346 </w:t>
            </w:r>
          </w:p>
        </w:tc>
        <w:tc>
          <w:tcPr>
            <w:tcW w:w="32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4,702 </w:t>
            </w:r>
          </w:p>
        </w:tc>
        <w:tc>
          <w:tcPr>
            <w:tcW w:w="42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79" w:type="dxa"/>
            <w:gridSpan w:val="3"/>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w:t>
            </w:r>
          </w:p>
        </w:tc>
        <w:tc>
          <w:tcPr>
            <w:tcW w:w="650"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1,137 </w:t>
            </w:r>
          </w:p>
        </w:tc>
        <w:tc>
          <w:tcPr>
            <w:tcW w:w="325"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648"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1,093 </w:t>
            </w:r>
          </w:p>
        </w:tc>
        <w:tc>
          <w:tcPr>
            <w:tcW w:w="327"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3,666 </w:t>
            </w:r>
          </w:p>
        </w:tc>
        <w:tc>
          <w:tcPr>
            <w:tcW w:w="325"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2,351 </w:t>
            </w:r>
          </w:p>
        </w:tc>
        <w:tc>
          <w:tcPr>
            <w:tcW w:w="424"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79" w:type="dxa"/>
            <w:gridSpan w:val="3"/>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Equity in earnings of TNI</w:t>
            </w:r>
          </w:p>
        </w:tc>
        <w:tc>
          <w:tcPr>
            <w:tcW w:w="650"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569 </w:t>
            </w:r>
          </w:p>
        </w:tc>
        <w:tc>
          <w:tcPr>
            <w:tcW w:w="325"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648"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1,093 </w:t>
            </w:r>
          </w:p>
        </w:tc>
        <w:tc>
          <w:tcPr>
            <w:tcW w:w="327"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751"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1,833 </w:t>
            </w:r>
          </w:p>
        </w:tc>
        <w:tc>
          <w:tcPr>
            <w:tcW w:w="325"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751"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2,351 </w:t>
            </w:r>
          </w:p>
        </w:tc>
        <w:tc>
          <w:tcPr>
            <w:tcW w:w="42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TNI makes periodic distributions of its earnings and for the three months ended March 26, 2023, and March 27, 2022, we received $1.4 million in distributions in both periods. In the six months ended March 26, 2023 and March 27, 2022, we received $2.3 million in distributions in both periods.</w:t>
      </w:r>
    </w:p>
    <w:p>
      <w:pPr>
        <w:pStyle w:val="HorizontalLine"/>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050"/>
                <wp:effectExtent l="0" t="0" r="0" b="0"/>
                <wp:wrapNone/>
                <wp:docPr id="10" name="Frame10"/>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76" w:before="0" w:after="0"/>
                              <w:jc w:val="center"/>
                              <w:rPr>
                                <w:rFonts w:ascii="Arial;sans-serif" w:hAnsi="Arial;sans-serif"/>
                                <w:b w:val="false"/>
                                <w:color w:val="000000"/>
                                <w:sz w:val="20"/>
                              </w:rPr>
                            </w:pPr>
                            <w:r>
                              <w:rPr>
                                <w:rFonts w:ascii="Arial;sans-serif" w:hAnsi="Arial;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Arial;sans-serif" w:hAnsi="Arial;sans-serif"/>
                          <w:b w:val="false"/>
                          <w:color w:val="000000"/>
                          <w:sz w:val="20"/>
                        </w:rPr>
                      </w:pPr>
                      <w:r>
                        <w:rPr>
                          <w:rFonts w:ascii="Arial;sans-serif" w:hAnsi="Arial;sans-serif"/>
                          <w:b w:val="false"/>
                          <w:color w:val="000000"/>
                          <w:sz w:val="20"/>
                        </w:rPr>
                        <w:t>8</w:t>
                      </w:r>
                    </w:p>
                  </w:txbxContent>
                </v:textbox>
              </v:rect>
            </w:pict>
          </mc:Fallback>
        </mc:AlternateContent>
      </w:r>
    </w:p>
    <w:p>
      <w:pPr>
        <w:pStyle w:val="TextBody"/>
        <w:spacing w:before="0" w:after="0"/>
        <w:rPr/>
      </w:pPr>
      <w:r>
        <w:rPr/>
      </w:r>
    </w:p>
    <w:p>
      <w:pPr>
        <w:pStyle w:val="TextBody"/>
        <w:spacing w:lineRule="auto" w:line="288" w:before="200" w:after="283"/>
        <w:jc w:val="both"/>
        <w:rPr>
          <w:rFonts w:ascii="Arial;sans-serif" w:hAnsi="Arial;sans-serif"/>
          <w:b/>
          <w:color w:val="000000"/>
          <w:sz w:val="20"/>
        </w:rPr>
      </w:pPr>
      <w:r>
        <w:rPr>
          <w:rFonts w:ascii="Arial;sans-serif" w:hAnsi="Arial;sans-serif"/>
          <w:b/>
          <w:color w:val="000000"/>
          <w:sz w:val="20"/>
        </w:rPr>
        <w:t>Madison Newspapers, Inc.</w:t>
      </w:r>
    </w:p>
    <w:p>
      <w:pPr>
        <w:pStyle w:val="TextBody"/>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We have a 50% ownership interest in MNI, which publishes daily and Sunday newspapers, and other publications in Madison, Wisconsin, and other Wisconsin locations, and operates related digital platforms. Net income or loss of MNI (after income taxes) is allocated equally to us and The Capital Times Company (“TCT”). MNI conducts its business under the trade name Capital Newspapers.</w:t>
      </w:r>
    </w:p>
    <w:p>
      <w:pPr>
        <w:pStyle w:val="TextBody"/>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Summarized results of MNI are as follows:</w:t>
      </w:r>
    </w:p>
    <w:tbl>
      <w:tblPr>
        <w:tblW w:w="10205" w:type="dxa"/>
        <w:jc w:val="left"/>
        <w:tblInd w:w="0" w:type="dxa"/>
        <w:tblCellMar>
          <w:top w:w="28" w:type="dxa"/>
          <w:left w:w="28" w:type="dxa"/>
          <w:bottom w:w="28" w:type="dxa"/>
          <w:right w:w="28" w:type="dxa"/>
        </w:tblCellMar>
      </w:tblPr>
      <w:tblGrid>
        <w:gridCol w:w="2175"/>
        <w:gridCol w:w="1882"/>
        <w:gridCol w:w="1894"/>
        <w:gridCol w:w="452"/>
        <w:gridCol w:w="319"/>
        <w:gridCol w:w="279"/>
        <w:gridCol w:w="453"/>
        <w:gridCol w:w="318"/>
        <w:gridCol w:w="281"/>
        <w:gridCol w:w="385"/>
        <w:gridCol w:w="366"/>
        <w:gridCol w:w="279"/>
        <w:gridCol w:w="390"/>
        <w:gridCol w:w="361"/>
        <w:gridCol w:w="371"/>
      </w:tblGrid>
      <w:tr>
        <w:trPr/>
        <w:tc>
          <w:tcPr>
            <w:tcW w:w="2175" w:type="dxa"/>
            <w:tcBorders/>
            <w:shd w:fill="auto" w:val="clear"/>
            <w:vAlign w:val="center"/>
          </w:tcPr>
          <w:p>
            <w:pPr>
              <w:pStyle w:val="TableContents"/>
              <w:spacing w:before="0" w:after="283"/>
              <w:rPr>
                <w:sz w:val="4"/>
                <w:szCs w:val="4"/>
              </w:rPr>
            </w:pPr>
            <w:r>
              <w:rPr>
                <w:sz w:val="4"/>
                <w:szCs w:val="4"/>
              </w:rPr>
            </w:r>
          </w:p>
        </w:tc>
        <w:tc>
          <w:tcPr>
            <w:tcW w:w="1882" w:type="dxa"/>
            <w:tcBorders/>
            <w:shd w:fill="auto" w:val="clear"/>
            <w:vAlign w:val="center"/>
          </w:tcPr>
          <w:p>
            <w:pPr>
              <w:pStyle w:val="TableContents"/>
              <w:spacing w:before="0" w:after="283"/>
              <w:rPr>
                <w:sz w:val="4"/>
                <w:szCs w:val="4"/>
              </w:rPr>
            </w:pPr>
            <w:r>
              <w:rPr>
                <w:sz w:val="4"/>
                <w:szCs w:val="4"/>
              </w:rPr>
            </w:r>
          </w:p>
        </w:tc>
        <w:tc>
          <w:tcPr>
            <w:tcW w:w="1894" w:type="dxa"/>
            <w:tcBorders/>
            <w:shd w:fill="auto" w:val="clear"/>
            <w:vAlign w:val="center"/>
          </w:tcPr>
          <w:p>
            <w:pPr>
              <w:pStyle w:val="TableContents"/>
              <w:spacing w:before="0" w:after="283"/>
              <w:rPr>
                <w:sz w:val="4"/>
                <w:szCs w:val="4"/>
              </w:rPr>
            </w:pPr>
            <w:r>
              <w:rPr>
                <w:sz w:val="4"/>
                <w:szCs w:val="4"/>
              </w:rPr>
            </w:r>
          </w:p>
        </w:tc>
        <w:tc>
          <w:tcPr>
            <w:tcW w:w="452" w:type="dxa"/>
            <w:tcBorders/>
            <w:shd w:fill="auto" w:val="clear"/>
            <w:vAlign w:val="center"/>
          </w:tcPr>
          <w:p>
            <w:pPr>
              <w:pStyle w:val="TableContents"/>
              <w:spacing w:before="0" w:after="283"/>
              <w:rPr>
                <w:sz w:val="4"/>
                <w:szCs w:val="4"/>
              </w:rPr>
            </w:pPr>
            <w:r>
              <w:rPr>
                <w:sz w:val="4"/>
                <w:szCs w:val="4"/>
              </w:rPr>
            </w:r>
          </w:p>
        </w:tc>
        <w:tc>
          <w:tcPr>
            <w:tcW w:w="319" w:type="dxa"/>
            <w:tcBorders/>
            <w:shd w:fill="auto" w:val="clear"/>
            <w:vAlign w:val="center"/>
          </w:tcPr>
          <w:p>
            <w:pPr>
              <w:pStyle w:val="TableContents"/>
              <w:spacing w:before="0" w:after="283"/>
              <w:rPr>
                <w:sz w:val="4"/>
                <w:szCs w:val="4"/>
              </w:rPr>
            </w:pPr>
            <w:r>
              <w:rPr>
                <w:sz w:val="4"/>
                <w:szCs w:val="4"/>
              </w:rPr>
            </w:r>
          </w:p>
        </w:tc>
        <w:tc>
          <w:tcPr>
            <w:tcW w:w="279" w:type="dxa"/>
            <w:tcBorders/>
            <w:shd w:fill="auto" w:val="clear"/>
            <w:vAlign w:val="center"/>
          </w:tcPr>
          <w:p>
            <w:pPr>
              <w:pStyle w:val="TableContents"/>
              <w:spacing w:before="0" w:after="283"/>
              <w:rPr>
                <w:sz w:val="4"/>
                <w:szCs w:val="4"/>
              </w:rPr>
            </w:pPr>
            <w:r>
              <w:rPr>
                <w:sz w:val="4"/>
                <w:szCs w:val="4"/>
              </w:rPr>
            </w:r>
          </w:p>
        </w:tc>
        <w:tc>
          <w:tcPr>
            <w:tcW w:w="453" w:type="dxa"/>
            <w:tcBorders/>
            <w:shd w:fill="auto" w:val="clear"/>
            <w:vAlign w:val="center"/>
          </w:tcPr>
          <w:p>
            <w:pPr>
              <w:pStyle w:val="TableContents"/>
              <w:spacing w:before="0" w:after="283"/>
              <w:rPr>
                <w:sz w:val="4"/>
                <w:szCs w:val="4"/>
              </w:rPr>
            </w:pPr>
            <w:r>
              <w:rPr>
                <w:sz w:val="4"/>
                <w:szCs w:val="4"/>
              </w:rPr>
            </w:r>
          </w:p>
        </w:tc>
        <w:tc>
          <w:tcPr>
            <w:tcW w:w="318" w:type="dxa"/>
            <w:tcBorders/>
            <w:shd w:fill="auto" w:val="clear"/>
            <w:vAlign w:val="center"/>
          </w:tcPr>
          <w:p>
            <w:pPr>
              <w:pStyle w:val="TableContents"/>
              <w:spacing w:before="0" w:after="283"/>
              <w:rPr>
                <w:sz w:val="4"/>
                <w:szCs w:val="4"/>
              </w:rPr>
            </w:pPr>
            <w:r>
              <w:rPr>
                <w:sz w:val="4"/>
                <w:szCs w:val="4"/>
              </w:rPr>
            </w:r>
          </w:p>
        </w:tc>
        <w:tc>
          <w:tcPr>
            <w:tcW w:w="281" w:type="dxa"/>
            <w:tcBorders/>
            <w:shd w:fill="auto" w:val="clear"/>
            <w:vAlign w:val="center"/>
          </w:tcPr>
          <w:p>
            <w:pPr>
              <w:pStyle w:val="TableContents"/>
              <w:spacing w:before="0" w:after="283"/>
              <w:rPr>
                <w:sz w:val="4"/>
                <w:szCs w:val="4"/>
              </w:rPr>
            </w:pPr>
            <w:r>
              <w:rPr>
                <w:sz w:val="4"/>
                <w:szCs w:val="4"/>
              </w:rPr>
            </w:r>
          </w:p>
        </w:tc>
        <w:tc>
          <w:tcPr>
            <w:tcW w:w="385" w:type="dxa"/>
            <w:tcBorders/>
            <w:shd w:fill="auto" w:val="clear"/>
            <w:vAlign w:val="center"/>
          </w:tcPr>
          <w:p>
            <w:pPr>
              <w:pStyle w:val="TableContents"/>
              <w:spacing w:before="0" w:after="283"/>
              <w:rPr>
                <w:sz w:val="4"/>
                <w:szCs w:val="4"/>
              </w:rPr>
            </w:pPr>
            <w:r>
              <w:rPr>
                <w:sz w:val="4"/>
                <w:szCs w:val="4"/>
              </w:rPr>
            </w:r>
          </w:p>
        </w:tc>
        <w:tc>
          <w:tcPr>
            <w:tcW w:w="366" w:type="dxa"/>
            <w:tcBorders/>
            <w:shd w:fill="auto" w:val="clear"/>
            <w:vAlign w:val="center"/>
          </w:tcPr>
          <w:p>
            <w:pPr>
              <w:pStyle w:val="TableContents"/>
              <w:spacing w:before="0" w:after="283"/>
              <w:rPr>
                <w:sz w:val="4"/>
                <w:szCs w:val="4"/>
              </w:rPr>
            </w:pPr>
            <w:r>
              <w:rPr>
                <w:sz w:val="4"/>
                <w:szCs w:val="4"/>
              </w:rPr>
            </w:r>
          </w:p>
        </w:tc>
        <w:tc>
          <w:tcPr>
            <w:tcW w:w="279" w:type="dxa"/>
            <w:tcBorders/>
            <w:shd w:fill="auto" w:val="clear"/>
            <w:vAlign w:val="center"/>
          </w:tcPr>
          <w:p>
            <w:pPr>
              <w:pStyle w:val="TableContents"/>
              <w:spacing w:before="0" w:after="283"/>
              <w:rPr>
                <w:sz w:val="4"/>
                <w:szCs w:val="4"/>
              </w:rPr>
            </w:pPr>
            <w:r>
              <w:rPr>
                <w:sz w:val="4"/>
                <w:szCs w:val="4"/>
              </w:rPr>
            </w:r>
          </w:p>
        </w:tc>
        <w:tc>
          <w:tcPr>
            <w:tcW w:w="390"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c>
          <w:tcPr>
            <w:tcW w:w="371" w:type="dxa"/>
            <w:tcBorders/>
            <w:shd w:fill="auto" w:val="clear"/>
            <w:vAlign w:val="center"/>
          </w:tcPr>
          <w:p>
            <w:pPr>
              <w:pStyle w:val="TableContents"/>
              <w:spacing w:before="0" w:after="283"/>
              <w:rPr>
                <w:sz w:val="4"/>
                <w:szCs w:val="4"/>
              </w:rPr>
            </w:pPr>
            <w:r>
              <w:rPr>
                <w:sz w:val="4"/>
                <w:szCs w:val="4"/>
              </w:rPr>
            </w:r>
          </w:p>
        </w:tc>
      </w:tr>
      <w:tr>
        <w:trPr/>
        <w:tc>
          <w:tcPr>
            <w:tcW w:w="595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102" w:type="dxa"/>
            <w:gridSpan w:val="6"/>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Three months ended</w:t>
            </w:r>
          </w:p>
        </w:tc>
        <w:tc>
          <w:tcPr>
            <w:tcW w:w="2152" w:type="dxa"/>
            <w:gridSpan w:val="6"/>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Six months ended</w:t>
            </w:r>
          </w:p>
        </w:tc>
      </w:tr>
      <w:tr>
        <w:trPr/>
        <w:tc>
          <w:tcPr>
            <w:tcW w:w="595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(Thousands of Dollars)</w:t>
            </w:r>
          </w:p>
        </w:tc>
        <w:tc>
          <w:tcPr>
            <w:tcW w:w="105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March 26,</w:t>
              <w:br/>
              <w:t>2023</w:t>
            </w:r>
          </w:p>
        </w:tc>
        <w:tc>
          <w:tcPr>
            <w:tcW w:w="105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March 27,</w:t>
              <w:br/>
              <w:t>2022</w:t>
            </w:r>
          </w:p>
        </w:tc>
        <w:tc>
          <w:tcPr>
            <w:tcW w:w="103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March 26,</w:t>
              <w:br/>
              <w:t>2023</w:t>
            </w:r>
          </w:p>
        </w:tc>
        <w:tc>
          <w:tcPr>
            <w:tcW w:w="112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March 27,</w:t>
              <w:br/>
              <w:t>2022</w:t>
            </w:r>
          </w:p>
        </w:tc>
      </w:tr>
      <w:tr>
        <w:trPr/>
        <w:tc>
          <w:tcPr>
            <w:tcW w:w="595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5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3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2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95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revenue</w:t>
            </w:r>
          </w:p>
        </w:tc>
        <w:tc>
          <w:tcPr>
            <w:tcW w:w="7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10,603 </w:t>
            </w:r>
          </w:p>
        </w:tc>
        <w:tc>
          <w:tcPr>
            <w:tcW w:w="27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11,561 </w:t>
            </w:r>
          </w:p>
        </w:tc>
        <w:tc>
          <w:tcPr>
            <w:tcW w:w="2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22,507 </w:t>
            </w:r>
          </w:p>
        </w:tc>
        <w:tc>
          <w:tcPr>
            <w:tcW w:w="27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23,756 </w:t>
            </w:r>
          </w:p>
        </w:tc>
        <w:tc>
          <w:tcPr>
            <w:tcW w:w="3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51"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20"/>
              </w:rPr>
              <w:t>Operating expenses, excluding restructuring costs, depreciation and amortization</w:t>
            </w:r>
            <w:r>
              <w:rPr>
                <w:rFonts w:ascii="Arial;sans-serif" w:hAnsi="Arial;sans-serif"/>
                <w:b w:val="false"/>
                <w:color w:val="000000"/>
                <w:sz w:val="13"/>
              </w:rPr>
              <w:t>(1)</w:t>
            </w:r>
          </w:p>
        </w:tc>
        <w:tc>
          <w:tcPr>
            <w:tcW w:w="7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8,681 </w:t>
            </w:r>
          </w:p>
        </w:tc>
        <w:tc>
          <w:tcPr>
            <w:tcW w:w="27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9,344 </w:t>
            </w:r>
          </w:p>
        </w:tc>
        <w:tc>
          <w:tcPr>
            <w:tcW w:w="2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18,026 </w:t>
            </w:r>
          </w:p>
        </w:tc>
        <w:tc>
          <w:tcPr>
            <w:tcW w:w="27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18,720 </w:t>
            </w:r>
          </w:p>
        </w:tc>
        <w:tc>
          <w:tcPr>
            <w:tcW w:w="3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5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Restructuring costs</w:t>
            </w:r>
          </w:p>
        </w:tc>
        <w:tc>
          <w:tcPr>
            <w:tcW w:w="7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101 </w:t>
            </w:r>
          </w:p>
        </w:tc>
        <w:tc>
          <w:tcPr>
            <w:tcW w:w="27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127 </w:t>
            </w:r>
          </w:p>
        </w:tc>
        <w:tc>
          <w:tcPr>
            <w:tcW w:w="27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5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Depreciation and amortization</w:t>
            </w:r>
          </w:p>
        </w:tc>
        <w:tc>
          <w:tcPr>
            <w:tcW w:w="7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135 </w:t>
            </w:r>
          </w:p>
        </w:tc>
        <w:tc>
          <w:tcPr>
            <w:tcW w:w="27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170 </w:t>
            </w:r>
          </w:p>
        </w:tc>
        <w:tc>
          <w:tcPr>
            <w:tcW w:w="2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273 </w:t>
            </w:r>
          </w:p>
        </w:tc>
        <w:tc>
          <w:tcPr>
            <w:tcW w:w="27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340 </w:t>
            </w:r>
          </w:p>
        </w:tc>
        <w:tc>
          <w:tcPr>
            <w:tcW w:w="3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5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income</w:t>
            </w:r>
          </w:p>
        </w:tc>
        <w:tc>
          <w:tcPr>
            <w:tcW w:w="77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1,686 </w:t>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77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2,047 </w:t>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4,081 </w:t>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4,696 </w:t>
            </w:r>
          </w:p>
        </w:tc>
        <w:tc>
          <w:tcPr>
            <w:tcW w:w="3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51" w:type="dxa"/>
            <w:gridSpan w:val="3"/>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w:t>
            </w:r>
          </w:p>
        </w:tc>
        <w:tc>
          <w:tcPr>
            <w:tcW w:w="771"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207 </w:t>
            </w:r>
          </w:p>
        </w:tc>
        <w:tc>
          <w:tcPr>
            <w:tcW w:w="279"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771"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627 </w:t>
            </w:r>
          </w:p>
        </w:tc>
        <w:tc>
          <w:tcPr>
            <w:tcW w:w="281"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1,014 </w:t>
            </w:r>
          </w:p>
        </w:tc>
        <w:tc>
          <w:tcPr>
            <w:tcW w:w="279"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1,620 </w:t>
            </w:r>
          </w:p>
        </w:tc>
        <w:tc>
          <w:tcPr>
            <w:tcW w:w="371"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51" w:type="dxa"/>
            <w:gridSpan w:val="3"/>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Equity in earnings of MNI</w:t>
            </w:r>
          </w:p>
        </w:tc>
        <w:tc>
          <w:tcPr>
            <w:tcW w:w="771"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104 </w:t>
            </w:r>
          </w:p>
        </w:tc>
        <w:tc>
          <w:tcPr>
            <w:tcW w:w="27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771"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314 </w:t>
            </w:r>
          </w:p>
        </w:tc>
        <w:tc>
          <w:tcPr>
            <w:tcW w:w="28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751"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507 </w:t>
            </w:r>
          </w:p>
        </w:tc>
        <w:tc>
          <w:tcPr>
            <w:tcW w:w="27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751"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810 </w:t>
            </w:r>
          </w:p>
        </w:tc>
        <w:tc>
          <w:tcPr>
            <w:tcW w:w="37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00" w:after="283"/>
        <w:jc w:val="both"/>
        <w:rPr>
          <w:rFonts w:ascii="Arial;sans-serif" w:hAnsi="Arial;sans-serif"/>
          <w:b w:val="false"/>
          <w:color w:val="000000"/>
          <w:sz w:val="13"/>
        </w:rPr>
      </w:pPr>
      <w:r>
        <w:rPr>
          <w:rFonts w:ascii="Arial;sans-serif" w:hAnsi="Arial;sans-serif"/>
          <w:b w:val="false"/>
          <w:color w:val="000000"/>
          <w:sz w:val="13"/>
        </w:rPr>
        <w:t>(1) Amounts were reclassed to align with current year presentation</w:t>
      </w:r>
    </w:p>
    <w:p>
      <w:pPr>
        <w:pStyle w:val="TextBody"/>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MNI makes periodic distributions of its earnings and in the three months ended March 26, 2023 and March 27, 2022, we received $0.1 million and $0.5 million in distributions, respectively. In the six months ended March 26, 2023 and March 27, 2022 we received distributions of $0.4 million and $0.8 million, respectively.</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83"/>
        <w:ind w:left="0" w:right="0" w:hanging="720"/>
        <w:rPr>
          <w:rFonts w:ascii="Arial;sans-serif" w:hAnsi="Arial;sans-serif"/>
          <w:b/>
          <w:color w:val="000000"/>
          <w:sz w:val="20"/>
        </w:rPr>
      </w:pPr>
      <w:r>
        <w:rPr>
          <w:rFonts w:ascii="Arial;sans-serif" w:hAnsi="Arial;sans-serif"/>
          <w:b/>
          <w:color w:val="000000"/>
          <w:sz w:val="20"/>
        </w:rPr>
        <w:t>4    GOODWILL AND OTHER INTANGIBLE ASSETS</w:t>
      </w:r>
    </w:p>
    <w:p>
      <w:pPr>
        <w:pStyle w:val="TextBody"/>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Goodwill and identified intangible assets consist of the following:</w:t>
      </w:r>
    </w:p>
    <w:tbl>
      <w:tblPr>
        <w:tblW w:w="6452" w:type="dxa"/>
        <w:jc w:val="left"/>
        <w:tblInd w:w="0" w:type="dxa"/>
        <w:tblCellMar>
          <w:top w:w="28" w:type="dxa"/>
          <w:left w:w="28" w:type="dxa"/>
          <w:bottom w:w="28" w:type="dxa"/>
          <w:right w:w="28" w:type="dxa"/>
        </w:tblCellMar>
      </w:tblPr>
      <w:tblGrid>
        <w:gridCol w:w="1341"/>
        <w:gridCol w:w="1178"/>
        <w:gridCol w:w="1185"/>
        <w:gridCol w:w="458"/>
        <w:gridCol w:w="458"/>
        <w:gridCol w:w="326"/>
        <w:gridCol w:w="458"/>
        <w:gridCol w:w="458"/>
        <w:gridCol w:w="590"/>
      </w:tblGrid>
      <w:tr>
        <w:trPr/>
        <w:tc>
          <w:tcPr>
            <w:tcW w:w="1341" w:type="dxa"/>
            <w:tcBorders/>
            <w:shd w:fill="auto" w:val="clear"/>
            <w:vAlign w:val="center"/>
          </w:tcPr>
          <w:p>
            <w:pPr>
              <w:pStyle w:val="TableContents"/>
              <w:spacing w:before="0" w:after="283"/>
              <w:rPr>
                <w:sz w:val="4"/>
                <w:szCs w:val="4"/>
              </w:rPr>
            </w:pPr>
            <w:r>
              <w:rPr>
                <w:sz w:val="4"/>
                <w:szCs w:val="4"/>
              </w:rPr>
            </w:r>
          </w:p>
        </w:tc>
        <w:tc>
          <w:tcPr>
            <w:tcW w:w="1178" w:type="dxa"/>
            <w:tcBorders/>
            <w:shd w:fill="auto" w:val="clear"/>
            <w:vAlign w:val="center"/>
          </w:tcPr>
          <w:p>
            <w:pPr>
              <w:pStyle w:val="TableContents"/>
              <w:spacing w:before="0" w:after="283"/>
              <w:rPr>
                <w:sz w:val="4"/>
                <w:szCs w:val="4"/>
              </w:rPr>
            </w:pPr>
            <w:r>
              <w:rPr>
                <w:sz w:val="4"/>
                <w:szCs w:val="4"/>
              </w:rPr>
            </w:r>
          </w:p>
        </w:tc>
        <w:tc>
          <w:tcPr>
            <w:tcW w:w="1185" w:type="dxa"/>
            <w:tcBorders/>
            <w:shd w:fill="auto" w:val="clear"/>
            <w:vAlign w:val="center"/>
          </w:tcPr>
          <w:p>
            <w:pPr>
              <w:pStyle w:val="TableContents"/>
              <w:spacing w:before="0" w:after="283"/>
              <w:rPr>
                <w:sz w:val="4"/>
                <w:szCs w:val="4"/>
              </w:rPr>
            </w:pPr>
            <w:r>
              <w:rPr>
                <w:sz w:val="4"/>
                <w:szCs w:val="4"/>
              </w:rPr>
            </w:r>
          </w:p>
        </w:tc>
        <w:tc>
          <w:tcPr>
            <w:tcW w:w="458" w:type="dxa"/>
            <w:tcBorders/>
            <w:shd w:fill="auto" w:val="clear"/>
            <w:vAlign w:val="center"/>
          </w:tcPr>
          <w:p>
            <w:pPr>
              <w:pStyle w:val="TableContents"/>
              <w:spacing w:before="0" w:after="283"/>
              <w:rPr>
                <w:sz w:val="4"/>
                <w:szCs w:val="4"/>
              </w:rPr>
            </w:pPr>
            <w:r>
              <w:rPr>
                <w:sz w:val="4"/>
                <w:szCs w:val="4"/>
              </w:rPr>
            </w:r>
          </w:p>
        </w:tc>
        <w:tc>
          <w:tcPr>
            <w:tcW w:w="458" w:type="dxa"/>
            <w:tcBorders/>
            <w:shd w:fill="auto" w:val="clear"/>
            <w:vAlign w:val="center"/>
          </w:tcPr>
          <w:p>
            <w:pPr>
              <w:pStyle w:val="TableContents"/>
              <w:spacing w:before="0" w:after="283"/>
              <w:rPr>
                <w:sz w:val="4"/>
                <w:szCs w:val="4"/>
              </w:rPr>
            </w:pPr>
            <w:r>
              <w:rPr>
                <w:sz w:val="4"/>
                <w:szCs w:val="4"/>
              </w:rPr>
            </w:r>
          </w:p>
        </w:tc>
        <w:tc>
          <w:tcPr>
            <w:tcW w:w="326" w:type="dxa"/>
            <w:tcBorders/>
            <w:shd w:fill="auto" w:val="clear"/>
            <w:vAlign w:val="center"/>
          </w:tcPr>
          <w:p>
            <w:pPr>
              <w:pStyle w:val="TableContents"/>
              <w:spacing w:before="0" w:after="283"/>
              <w:rPr>
                <w:sz w:val="4"/>
                <w:szCs w:val="4"/>
              </w:rPr>
            </w:pPr>
            <w:r>
              <w:rPr>
                <w:sz w:val="4"/>
                <w:szCs w:val="4"/>
              </w:rPr>
            </w:r>
          </w:p>
        </w:tc>
        <w:tc>
          <w:tcPr>
            <w:tcW w:w="458" w:type="dxa"/>
            <w:tcBorders/>
            <w:shd w:fill="auto" w:val="clear"/>
            <w:vAlign w:val="center"/>
          </w:tcPr>
          <w:p>
            <w:pPr>
              <w:pStyle w:val="TableContents"/>
              <w:spacing w:before="0" w:after="283"/>
              <w:rPr>
                <w:sz w:val="4"/>
                <w:szCs w:val="4"/>
              </w:rPr>
            </w:pPr>
            <w:r>
              <w:rPr>
                <w:sz w:val="4"/>
                <w:szCs w:val="4"/>
              </w:rPr>
            </w:r>
          </w:p>
        </w:tc>
        <w:tc>
          <w:tcPr>
            <w:tcW w:w="458" w:type="dxa"/>
            <w:tcBorders/>
            <w:shd w:fill="auto" w:val="clear"/>
            <w:vAlign w:val="center"/>
          </w:tcPr>
          <w:p>
            <w:pPr>
              <w:pStyle w:val="TableContents"/>
              <w:spacing w:before="0" w:after="283"/>
              <w:rPr>
                <w:sz w:val="4"/>
                <w:szCs w:val="4"/>
              </w:rPr>
            </w:pPr>
            <w:r>
              <w:rPr>
                <w:sz w:val="4"/>
                <w:szCs w:val="4"/>
              </w:rPr>
            </w:r>
          </w:p>
        </w:tc>
        <w:tc>
          <w:tcPr>
            <w:tcW w:w="590" w:type="dxa"/>
            <w:tcBorders/>
            <w:shd w:fill="auto" w:val="clear"/>
            <w:vAlign w:val="center"/>
          </w:tcPr>
          <w:p>
            <w:pPr>
              <w:pStyle w:val="TableContents"/>
              <w:spacing w:before="0" w:after="283"/>
              <w:rPr>
                <w:sz w:val="4"/>
                <w:szCs w:val="4"/>
              </w:rPr>
            </w:pPr>
            <w:r>
              <w:rPr>
                <w:sz w:val="4"/>
                <w:szCs w:val="4"/>
              </w:rPr>
            </w:r>
          </w:p>
        </w:tc>
      </w:tr>
      <w:tr>
        <w:trPr/>
        <w:tc>
          <w:tcPr>
            <w:tcW w:w="370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(Thousands of Dollars)</w:t>
            </w:r>
          </w:p>
        </w:tc>
        <w:tc>
          <w:tcPr>
            <w:tcW w:w="124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March 26,</w:t>
              <w:br/>
              <w:t>2023</w:t>
            </w:r>
          </w:p>
        </w:tc>
        <w:tc>
          <w:tcPr>
            <w:tcW w:w="150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September 25,</w:t>
              <w:br/>
              <w:t>2022</w:t>
            </w:r>
          </w:p>
        </w:tc>
      </w:tr>
      <w:tr>
        <w:trPr/>
        <w:tc>
          <w:tcPr>
            <w:tcW w:w="370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4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0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7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Goodwill, beginning of period</w:t>
            </w:r>
          </w:p>
        </w:tc>
        <w:tc>
          <w:tcPr>
            <w:tcW w:w="9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329,504 </w:t>
            </w:r>
          </w:p>
        </w:tc>
        <w:tc>
          <w:tcPr>
            <w:tcW w:w="3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330,204 </w:t>
            </w:r>
          </w:p>
        </w:tc>
        <w:tc>
          <w:tcPr>
            <w:tcW w:w="59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Impairment</w:t>
            </w:r>
          </w:p>
        </w:tc>
        <w:tc>
          <w:tcPr>
            <w:tcW w:w="9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(700)</w:t>
            </w:r>
          </w:p>
        </w:tc>
        <w:tc>
          <w:tcPr>
            <w:tcW w:w="59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0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Goodwill, end of period</w:t>
            </w:r>
          </w:p>
        </w:tc>
        <w:tc>
          <w:tcPr>
            <w:tcW w:w="9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329,504 </w:t>
            </w:r>
          </w:p>
        </w:tc>
        <w:tc>
          <w:tcPr>
            <w:tcW w:w="32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329,504 </w:t>
            </w:r>
          </w:p>
        </w:tc>
        <w:tc>
          <w:tcPr>
            <w:tcW w:w="59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Non-amortized intangible assets:</w:t>
            </w:r>
          </w:p>
        </w:tc>
        <w:tc>
          <w:tcPr>
            <w:tcW w:w="12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Mastheads</w:t>
            </w:r>
          </w:p>
        </w:tc>
        <w:tc>
          <w:tcPr>
            <w:tcW w:w="9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26,346 </w:t>
            </w:r>
          </w:p>
        </w:tc>
        <w:tc>
          <w:tcPr>
            <w:tcW w:w="3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26,346 </w:t>
            </w:r>
          </w:p>
        </w:tc>
        <w:tc>
          <w:tcPr>
            <w:tcW w:w="59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Amortizable intangible assets:</w:t>
            </w:r>
          </w:p>
        </w:tc>
        <w:tc>
          <w:tcPr>
            <w:tcW w:w="12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Customer and newspaper subscriber lists</w:t>
            </w:r>
          </w:p>
        </w:tc>
        <w:tc>
          <w:tcPr>
            <w:tcW w:w="9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322,310 </w:t>
            </w:r>
          </w:p>
        </w:tc>
        <w:tc>
          <w:tcPr>
            <w:tcW w:w="3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323,568 </w:t>
            </w:r>
          </w:p>
        </w:tc>
        <w:tc>
          <w:tcPr>
            <w:tcW w:w="59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Less accumulated amortization</w:t>
            </w:r>
          </w:p>
        </w:tc>
        <w:tc>
          <w:tcPr>
            <w:tcW w:w="9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(236,913)</w:t>
            </w:r>
          </w:p>
        </w:tc>
        <w:tc>
          <w:tcPr>
            <w:tcW w:w="3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(228,541)</w:t>
            </w:r>
          </w:p>
        </w:tc>
        <w:tc>
          <w:tcPr>
            <w:tcW w:w="59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0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85,397 </w:t>
            </w:r>
          </w:p>
        </w:tc>
        <w:tc>
          <w:tcPr>
            <w:tcW w:w="32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95,027 </w:t>
            </w:r>
          </w:p>
        </w:tc>
        <w:tc>
          <w:tcPr>
            <w:tcW w:w="59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04"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intangibles, net</w:t>
            </w:r>
          </w:p>
        </w:tc>
        <w:tc>
          <w:tcPr>
            <w:tcW w:w="9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441,247 </w:t>
            </w:r>
          </w:p>
        </w:tc>
        <w:tc>
          <w:tcPr>
            <w:tcW w:w="3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9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450,877 </w:t>
            </w:r>
          </w:p>
        </w:tc>
        <w:tc>
          <w:tcPr>
            <w:tcW w:w="5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The weighted average amortization period for amortizable assets is 11.95 years.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83"/>
        <w:ind w:left="0" w:right="0" w:hanging="720"/>
        <w:jc w:val="both"/>
        <w:rPr>
          <w:rFonts w:ascii="Arial;sans-serif" w:hAnsi="Arial;sans-serif"/>
          <w:b/>
          <w:color w:val="000000"/>
          <w:sz w:val="20"/>
        </w:rPr>
      </w:pPr>
      <w:r>
        <w:rPr>
          <w:rFonts w:ascii="Arial;sans-serif" w:hAnsi="Arial;sans-serif"/>
          <w:b/>
          <w:color w:val="000000"/>
          <w:sz w:val="20"/>
        </w:rPr>
        <w:t>5    DEBT</w:t>
      </w:r>
    </w:p>
    <w:p>
      <w:pPr>
        <w:pStyle w:val="TextBody"/>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 xml:space="preserve">The Company has debt consisting of a single 25-year term loan with BH Finance LLC, with an aggregate principal balance of $460.0 million at a 9% annual fixed rate and maturing on March 16, 2045 </w:t>
      </w:r>
    </w:p>
    <w:p>
      <w:pPr>
        <w:pStyle w:val="HorizontalLine"/>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050"/>
                <wp:effectExtent l="0" t="0" r="0" b="0"/>
                <wp:wrapNone/>
                <wp:docPr id="11" name="Frame11"/>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76" w:before="0" w:after="0"/>
                              <w:jc w:val="center"/>
                              <w:rPr>
                                <w:rFonts w:ascii="Arial;sans-serif" w:hAnsi="Arial;sans-serif"/>
                                <w:b w:val="false"/>
                                <w:color w:val="000000"/>
                                <w:sz w:val="20"/>
                              </w:rPr>
                            </w:pPr>
                            <w:r>
                              <w:rPr>
                                <w:rFonts w:ascii="Arial;sans-serif" w:hAnsi="Arial;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Arial;sans-serif" w:hAnsi="Arial;sans-serif"/>
                          <w:b w:val="false"/>
                          <w:color w:val="000000"/>
                          <w:sz w:val="20"/>
                        </w:rPr>
                      </w:pPr>
                      <w:r>
                        <w:rPr>
                          <w:rFonts w:ascii="Arial;sans-serif" w:hAnsi="Arial;sans-serif"/>
                          <w:b w:val="false"/>
                          <w:color w:val="000000"/>
                          <w:sz w:val="20"/>
                        </w:rPr>
                        <w:t>9</w:t>
                      </w:r>
                    </w:p>
                  </w:txbxContent>
                </v:textbox>
              </v:rect>
            </w:pict>
          </mc:Fallback>
        </mc:AlternateContent>
      </w:r>
    </w:p>
    <w:p>
      <w:pPr>
        <w:pStyle w:val="TextBody"/>
        <w:spacing w:before="0" w:after="0"/>
        <w:rPr/>
      </w:pPr>
      <w:r>
        <w:rPr/>
      </w:r>
    </w:p>
    <w:p>
      <w:pPr>
        <w:pStyle w:val="TextBody"/>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(referred to herein as “Credit Agreement” and “Term Loan”). On March 26, 2023, the fair value is $462.4 million. This represents a level 2 fair value measurement.</w:t>
      </w:r>
    </w:p>
    <w:p>
      <w:pPr>
        <w:pStyle w:val="TextBody"/>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During the six months ended March 26, 2023, we made principal debt payments of $2.6 million. Future payments are contingent on the Company's ability to generate future excess cash flow, as defined in the Credit Agreement. As of March 26, 2023, there was no excess cash flow payment due.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83"/>
        <w:ind w:left="0" w:right="0" w:hanging="720"/>
        <w:jc w:val="both"/>
        <w:rPr>
          <w:rFonts w:ascii="Arial;sans-serif" w:hAnsi="Arial;sans-serif"/>
          <w:b/>
          <w:color w:val="000000"/>
          <w:sz w:val="20"/>
        </w:rPr>
      </w:pPr>
      <w:r>
        <w:rPr>
          <w:rFonts w:ascii="Arial;sans-serif" w:hAnsi="Arial;sans-serif"/>
          <w:b/>
          <w:color w:val="000000"/>
          <w:sz w:val="20"/>
        </w:rPr>
        <w:t>6    PENSION, POSTRETIREMENT AND POSTEMPLOYMENT DEFINED BENEFIT PLANS</w:t>
      </w:r>
    </w:p>
    <w:p>
      <w:pPr>
        <w:pStyle w:val="TextBody"/>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We have a defined benefit pension plan that covers certain employees, including plans established under collective bargaining agreements. Additionally, we provide retiree medical and life insurance benefits under postretirement plans at several of our operating locations. Through March 26, 2023, our liability and related expense for benefits under the plans are recorded over the service period of employees based upon annual actuarial calculations.</w:t>
      </w:r>
    </w:p>
    <w:p>
      <w:pPr>
        <w:pStyle w:val="TextBody"/>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The net periodic pension and postretirement cost (benefit) components for our plans are as follows:</w:t>
      </w:r>
    </w:p>
    <w:tbl>
      <w:tblPr>
        <w:tblW w:w="8617" w:type="dxa"/>
        <w:jc w:val="left"/>
        <w:tblInd w:w="0" w:type="dxa"/>
        <w:tblCellMar>
          <w:top w:w="28" w:type="dxa"/>
          <w:left w:w="28" w:type="dxa"/>
          <w:bottom w:w="28" w:type="dxa"/>
          <w:right w:w="28" w:type="dxa"/>
        </w:tblCellMar>
      </w:tblPr>
      <w:tblGrid>
        <w:gridCol w:w="1591"/>
        <w:gridCol w:w="1397"/>
        <w:gridCol w:w="1406"/>
        <w:gridCol w:w="353"/>
        <w:gridCol w:w="353"/>
        <w:gridCol w:w="325"/>
        <w:gridCol w:w="353"/>
        <w:gridCol w:w="353"/>
        <w:gridCol w:w="327"/>
        <w:gridCol w:w="353"/>
        <w:gridCol w:w="353"/>
        <w:gridCol w:w="325"/>
        <w:gridCol w:w="380"/>
        <w:gridCol w:w="325"/>
        <w:gridCol w:w="423"/>
      </w:tblGrid>
      <w:tr>
        <w:trPr/>
        <w:tc>
          <w:tcPr>
            <w:tcW w:w="1591" w:type="dxa"/>
            <w:tcBorders/>
            <w:shd w:fill="auto" w:val="clear"/>
            <w:vAlign w:val="center"/>
          </w:tcPr>
          <w:p>
            <w:pPr>
              <w:pStyle w:val="TableContents"/>
              <w:spacing w:before="0" w:after="283"/>
              <w:rPr>
                <w:sz w:val="4"/>
                <w:szCs w:val="4"/>
              </w:rPr>
            </w:pPr>
            <w:r>
              <w:rPr>
                <w:sz w:val="4"/>
                <w:szCs w:val="4"/>
              </w:rPr>
            </w:r>
          </w:p>
        </w:tc>
        <w:tc>
          <w:tcPr>
            <w:tcW w:w="1397" w:type="dxa"/>
            <w:tcBorders/>
            <w:shd w:fill="auto" w:val="clear"/>
            <w:vAlign w:val="center"/>
          </w:tcPr>
          <w:p>
            <w:pPr>
              <w:pStyle w:val="TableContents"/>
              <w:spacing w:before="0" w:after="283"/>
              <w:rPr>
                <w:sz w:val="4"/>
                <w:szCs w:val="4"/>
              </w:rPr>
            </w:pPr>
            <w:r>
              <w:rPr>
                <w:sz w:val="4"/>
                <w:szCs w:val="4"/>
              </w:rPr>
            </w:r>
          </w:p>
        </w:tc>
        <w:tc>
          <w:tcPr>
            <w:tcW w:w="1406" w:type="dxa"/>
            <w:tcBorders/>
            <w:shd w:fill="auto" w:val="clear"/>
            <w:vAlign w:val="center"/>
          </w:tcPr>
          <w:p>
            <w:pPr>
              <w:pStyle w:val="TableContents"/>
              <w:spacing w:before="0" w:after="283"/>
              <w:rPr>
                <w:sz w:val="4"/>
                <w:szCs w:val="4"/>
              </w:rPr>
            </w:pPr>
            <w:r>
              <w:rPr>
                <w:sz w:val="4"/>
                <w:szCs w:val="4"/>
              </w:rPr>
            </w:r>
          </w:p>
        </w:tc>
        <w:tc>
          <w:tcPr>
            <w:tcW w:w="353" w:type="dxa"/>
            <w:tcBorders/>
            <w:shd w:fill="auto" w:val="clear"/>
            <w:vAlign w:val="center"/>
          </w:tcPr>
          <w:p>
            <w:pPr>
              <w:pStyle w:val="TableContents"/>
              <w:spacing w:before="0" w:after="283"/>
              <w:rPr>
                <w:sz w:val="4"/>
                <w:szCs w:val="4"/>
              </w:rPr>
            </w:pPr>
            <w:r>
              <w:rPr>
                <w:sz w:val="4"/>
                <w:szCs w:val="4"/>
              </w:rPr>
            </w:r>
          </w:p>
        </w:tc>
        <w:tc>
          <w:tcPr>
            <w:tcW w:w="353" w:type="dxa"/>
            <w:tcBorders/>
            <w:shd w:fill="auto" w:val="clear"/>
            <w:vAlign w:val="center"/>
          </w:tcPr>
          <w:p>
            <w:pPr>
              <w:pStyle w:val="TableContents"/>
              <w:spacing w:before="0" w:after="283"/>
              <w:rPr>
                <w:sz w:val="4"/>
                <w:szCs w:val="4"/>
              </w:rPr>
            </w:pPr>
            <w:r>
              <w:rPr>
                <w:sz w:val="4"/>
                <w:szCs w:val="4"/>
              </w:rPr>
            </w:r>
          </w:p>
        </w:tc>
        <w:tc>
          <w:tcPr>
            <w:tcW w:w="325" w:type="dxa"/>
            <w:tcBorders/>
            <w:shd w:fill="auto" w:val="clear"/>
            <w:vAlign w:val="center"/>
          </w:tcPr>
          <w:p>
            <w:pPr>
              <w:pStyle w:val="TableContents"/>
              <w:spacing w:before="0" w:after="283"/>
              <w:rPr>
                <w:sz w:val="4"/>
                <w:szCs w:val="4"/>
              </w:rPr>
            </w:pPr>
            <w:r>
              <w:rPr>
                <w:sz w:val="4"/>
                <w:szCs w:val="4"/>
              </w:rPr>
            </w:r>
          </w:p>
        </w:tc>
        <w:tc>
          <w:tcPr>
            <w:tcW w:w="353" w:type="dxa"/>
            <w:tcBorders/>
            <w:shd w:fill="auto" w:val="clear"/>
            <w:vAlign w:val="center"/>
          </w:tcPr>
          <w:p>
            <w:pPr>
              <w:pStyle w:val="TableContents"/>
              <w:spacing w:before="0" w:after="283"/>
              <w:rPr>
                <w:sz w:val="4"/>
                <w:szCs w:val="4"/>
              </w:rPr>
            </w:pPr>
            <w:r>
              <w:rPr>
                <w:sz w:val="4"/>
                <w:szCs w:val="4"/>
              </w:rPr>
            </w:r>
          </w:p>
        </w:tc>
        <w:tc>
          <w:tcPr>
            <w:tcW w:w="353" w:type="dxa"/>
            <w:tcBorders/>
            <w:shd w:fill="auto" w:val="clear"/>
            <w:vAlign w:val="center"/>
          </w:tcPr>
          <w:p>
            <w:pPr>
              <w:pStyle w:val="TableContents"/>
              <w:spacing w:before="0" w:after="283"/>
              <w:rPr>
                <w:sz w:val="4"/>
                <w:szCs w:val="4"/>
              </w:rPr>
            </w:pPr>
            <w:r>
              <w:rPr>
                <w:sz w:val="4"/>
                <w:szCs w:val="4"/>
              </w:rPr>
            </w:r>
          </w:p>
        </w:tc>
        <w:tc>
          <w:tcPr>
            <w:tcW w:w="327" w:type="dxa"/>
            <w:tcBorders/>
            <w:shd w:fill="auto" w:val="clear"/>
            <w:vAlign w:val="center"/>
          </w:tcPr>
          <w:p>
            <w:pPr>
              <w:pStyle w:val="TableContents"/>
              <w:spacing w:before="0" w:after="283"/>
              <w:rPr>
                <w:sz w:val="4"/>
                <w:szCs w:val="4"/>
              </w:rPr>
            </w:pPr>
            <w:r>
              <w:rPr>
                <w:sz w:val="4"/>
                <w:szCs w:val="4"/>
              </w:rPr>
            </w:r>
          </w:p>
        </w:tc>
        <w:tc>
          <w:tcPr>
            <w:tcW w:w="353" w:type="dxa"/>
            <w:tcBorders/>
            <w:shd w:fill="auto" w:val="clear"/>
            <w:vAlign w:val="center"/>
          </w:tcPr>
          <w:p>
            <w:pPr>
              <w:pStyle w:val="TableContents"/>
              <w:spacing w:before="0" w:after="283"/>
              <w:rPr>
                <w:sz w:val="4"/>
                <w:szCs w:val="4"/>
              </w:rPr>
            </w:pPr>
            <w:r>
              <w:rPr>
                <w:sz w:val="4"/>
                <w:szCs w:val="4"/>
              </w:rPr>
            </w:r>
          </w:p>
        </w:tc>
        <w:tc>
          <w:tcPr>
            <w:tcW w:w="353" w:type="dxa"/>
            <w:tcBorders/>
            <w:shd w:fill="auto" w:val="clear"/>
            <w:vAlign w:val="center"/>
          </w:tcPr>
          <w:p>
            <w:pPr>
              <w:pStyle w:val="TableContents"/>
              <w:spacing w:before="0" w:after="283"/>
              <w:rPr>
                <w:sz w:val="4"/>
                <w:szCs w:val="4"/>
              </w:rPr>
            </w:pPr>
            <w:r>
              <w:rPr>
                <w:sz w:val="4"/>
                <w:szCs w:val="4"/>
              </w:rPr>
            </w:r>
          </w:p>
        </w:tc>
        <w:tc>
          <w:tcPr>
            <w:tcW w:w="325" w:type="dxa"/>
            <w:tcBorders/>
            <w:shd w:fill="auto" w:val="clear"/>
            <w:vAlign w:val="center"/>
          </w:tcPr>
          <w:p>
            <w:pPr>
              <w:pStyle w:val="TableContents"/>
              <w:spacing w:before="0" w:after="283"/>
              <w:rPr>
                <w:sz w:val="4"/>
                <w:szCs w:val="4"/>
              </w:rPr>
            </w:pPr>
            <w:r>
              <w:rPr>
                <w:sz w:val="4"/>
                <w:szCs w:val="4"/>
              </w:rPr>
            </w:r>
          </w:p>
        </w:tc>
        <w:tc>
          <w:tcPr>
            <w:tcW w:w="380" w:type="dxa"/>
            <w:tcBorders/>
            <w:shd w:fill="auto" w:val="clear"/>
            <w:vAlign w:val="center"/>
          </w:tcPr>
          <w:p>
            <w:pPr>
              <w:pStyle w:val="TableContents"/>
              <w:spacing w:before="0" w:after="283"/>
              <w:rPr>
                <w:sz w:val="4"/>
                <w:szCs w:val="4"/>
              </w:rPr>
            </w:pPr>
            <w:r>
              <w:rPr>
                <w:sz w:val="4"/>
                <w:szCs w:val="4"/>
              </w:rPr>
            </w:r>
          </w:p>
        </w:tc>
        <w:tc>
          <w:tcPr>
            <w:tcW w:w="325" w:type="dxa"/>
            <w:tcBorders/>
            <w:shd w:fill="auto" w:val="clear"/>
            <w:vAlign w:val="center"/>
          </w:tcPr>
          <w:p>
            <w:pPr>
              <w:pStyle w:val="TableContents"/>
              <w:spacing w:before="0" w:after="283"/>
              <w:rPr>
                <w:sz w:val="4"/>
                <w:szCs w:val="4"/>
              </w:rPr>
            </w:pPr>
            <w:r>
              <w:rPr>
                <w:sz w:val="4"/>
                <w:szCs w:val="4"/>
              </w:rPr>
            </w:r>
          </w:p>
        </w:tc>
        <w:tc>
          <w:tcPr>
            <w:tcW w:w="423" w:type="dxa"/>
            <w:tcBorders/>
            <w:shd w:fill="auto" w:val="clear"/>
            <w:vAlign w:val="center"/>
          </w:tcPr>
          <w:p>
            <w:pPr>
              <w:pStyle w:val="TableContents"/>
              <w:spacing w:before="0" w:after="283"/>
              <w:rPr>
                <w:sz w:val="4"/>
                <w:szCs w:val="4"/>
              </w:rPr>
            </w:pPr>
            <w:r>
              <w:rPr>
                <w:sz w:val="4"/>
                <w:szCs w:val="4"/>
              </w:rPr>
            </w:r>
          </w:p>
        </w:tc>
      </w:tr>
      <w:tr>
        <w:trPr/>
        <w:tc>
          <w:tcPr>
            <w:tcW w:w="439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PENSION PLANS</w:t>
            </w:r>
          </w:p>
        </w:tc>
        <w:tc>
          <w:tcPr>
            <w:tcW w:w="2064" w:type="dxa"/>
            <w:gridSpan w:val="6"/>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 xml:space="preserve">Three months ended </w:t>
            </w:r>
          </w:p>
        </w:tc>
        <w:tc>
          <w:tcPr>
            <w:tcW w:w="2159" w:type="dxa"/>
            <w:gridSpan w:val="6"/>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 xml:space="preserve">Six months ended </w:t>
            </w:r>
          </w:p>
        </w:tc>
      </w:tr>
      <w:tr>
        <w:trPr/>
        <w:tc>
          <w:tcPr>
            <w:tcW w:w="439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(Thousands of Dollars)</w:t>
            </w:r>
          </w:p>
        </w:tc>
        <w:tc>
          <w:tcPr>
            <w:tcW w:w="103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March 26,</w:t>
              <w:br/>
              <w:t>2023</w:t>
            </w:r>
          </w:p>
        </w:tc>
        <w:tc>
          <w:tcPr>
            <w:tcW w:w="103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March 27,</w:t>
              <w:br/>
              <w:t>2022</w:t>
            </w:r>
          </w:p>
        </w:tc>
        <w:tc>
          <w:tcPr>
            <w:tcW w:w="103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March 26,</w:t>
              <w:br/>
              <w:t>2023</w:t>
            </w:r>
          </w:p>
        </w:tc>
        <w:tc>
          <w:tcPr>
            <w:tcW w:w="112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March 27,</w:t>
              <w:br/>
              <w:t>2022</w:t>
            </w:r>
          </w:p>
        </w:tc>
      </w:tr>
      <w:tr>
        <w:trPr/>
        <w:tc>
          <w:tcPr>
            <w:tcW w:w="439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3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3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3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2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3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Service cost for benefits earned during the period</w:t>
            </w:r>
          </w:p>
        </w:tc>
        <w:tc>
          <w:tcPr>
            <w:tcW w:w="7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3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287 </w:t>
            </w:r>
          </w:p>
        </w:tc>
        <w:tc>
          <w:tcPr>
            <w:tcW w:w="3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10 </w:t>
            </w:r>
          </w:p>
        </w:tc>
        <w:tc>
          <w:tcPr>
            <w:tcW w:w="3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743 </w:t>
            </w:r>
          </w:p>
        </w:tc>
        <w:tc>
          <w:tcPr>
            <w:tcW w:w="4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cost on projected benefit obligation</w:t>
            </w:r>
          </w:p>
        </w:tc>
        <w:tc>
          <w:tcPr>
            <w:tcW w:w="7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2,592 </w:t>
            </w:r>
          </w:p>
        </w:tc>
        <w:tc>
          <w:tcPr>
            <w:tcW w:w="3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2,001 </w:t>
            </w:r>
          </w:p>
        </w:tc>
        <w:tc>
          <w:tcPr>
            <w:tcW w:w="3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5,184 </w:t>
            </w:r>
          </w:p>
        </w:tc>
        <w:tc>
          <w:tcPr>
            <w:tcW w:w="3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3,938 </w:t>
            </w:r>
          </w:p>
        </w:tc>
        <w:tc>
          <w:tcPr>
            <w:tcW w:w="4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Expected return on plan assets</w:t>
            </w:r>
          </w:p>
        </w:tc>
        <w:tc>
          <w:tcPr>
            <w:tcW w:w="7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(2,548)</w:t>
            </w:r>
          </w:p>
        </w:tc>
        <w:tc>
          <w:tcPr>
            <w:tcW w:w="3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(4,535)</w:t>
            </w:r>
          </w:p>
        </w:tc>
        <w:tc>
          <w:tcPr>
            <w:tcW w:w="3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(5,096)</w:t>
            </w:r>
          </w:p>
        </w:tc>
        <w:tc>
          <w:tcPr>
            <w:tcW w:w="3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(9,071)</w:t>
            </w:r>
          </w:p>
        </w:tc>
        <w:tc>
          <w:tcPr>
            <w:tcW w:w="4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Amortization of net (gain) loss</w:t>
            </w:r>
          </w:p>
        </w:tc>
        <w:tc>
          <w:tcPr>
            <w:tcW w:w="7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3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(687)</w:t>
            </w:r>
          </w:p>
        </w:tc>
        <w:tc>
          <w:tcPr>
            <w:tcW w:w="3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4 </w:t>
            </w:r>
          </w:p>
        </w:tc>
        <w:tc>
          <w:tcPr>
            <w:tcW w:w="3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(1,946)</w:t>
            </w:r>
          </w:p>
        </w:tc>
        <w:tc>
          <w:tcPr>
            <w:tcW w:w="4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Amortization of prior service benefit</w:t>
            </w:r>
          </w:p>
        </w:tc>
        <w:tc>
          <w:tcPr>
            <w:tcW w:w="7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213 </w:t>
            </w:r>
          </w:p>
        </w:tc>
        <w:tc>
          <w:tcPr>
            <w:tcW w:w="3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212 </w:t>
            </w:r>
          </w:p>
        </w:tc>
        <w:tc>
          <w:tcPr>
            <w:tcW w:w="3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426 </w:t>
            </w:r>
          </w:p>
        </w:tc>
        <w:tc>
          <w:tcPr>
            <w:tcW w:w="3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212 </w:t>
            </w:r>
          </w:p>
        </w:tc>
        <w:tc>
          <w:tcPr>
            <w:tcW w:w="4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Curtailment gain</w:t>
            </w:r>
          </w:p>
        </w:tc>
        <w:tc>
          <w:tcPr>
            <w:tcW w:w="7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(1,027)</w:t>
            </w:r>
          </w:p>
        </w:tc>
        <w:tc>
          <w:tcPr>
            <w:tcW w:w="4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94"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Pension cost (benefit)</w:t>
            </w:r>
          </w:p>
        </w:tc>
        <w:tc>
          <w:tcPr>
            <w:tcW w:w="70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264 </w:t>
            </w:r>
          </w:p>
        </w:tc>
        <w:tc>
          <w:tcPr>
            <w:tcW w:w="3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70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(2,722)</w:t>
            </w:r>
          </w:p>
        </w:tc>
        <w:tc>
          <w:tcPr>
            <w:tcW w:w="3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70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528 </w:t>
            </w:r>
          </w:p>
        </w:tc>
        <w:tc>
          <w:tcPr>
            <w:tcW w:w="3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705"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(7,151)</w:t>
            </w:r>
          </w:p>
        </w:tc>
        <w:tc>
          <w:tcPr>
            <w:tcW w:w="4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tbl>
      <w:tblPr>
        <w:tblW w:w="8505" w:type="dxa"/>
        <w:jc w:val="left"/>
        <w:tblInd w:w="0" w:type="dxa"/>
        <w:tblCellMar>
          <w:top w:w="28" w:type="dxa"/>
          <w:left w:w="28" w:type="dxa"/>
          <w:bottom w:w="28" w:type="dxa"/>
          <w:right w:w="28" w:type="dxa"/>
        </w:tblCellMar>
      </w:tblPr>
      <w:tblGrid>
        <w:gridCol w:w="1592"/>
        <w:gridCol w:w="1401"/>
        <w:gridCol w:w="1402"/>
        <w:gridCol w:w="325"/>
        <w:gridCol w:w="325"/>
        <w:gridCol w:w="325"/>
        <w:gridCol w:w="324"/>
        <w:gridCol w:w="324"/>
        <w:gridCol w:w="327"/>
        <w:gridCol w:w="353"/>
        <w:gridCol w:w="353"/>
        <w:gridCol w:w="325"/>
        <w:gridCol w:w="367"/>
        <w:gridCol w:w="338"/>
        <w:gridCol w:w="424"/>
      </w:tblGrid>
      <w:tr>
        <w:trPr/>
        <w:tc>
          <w:tcPr>
            <w:tcW w:w="1592" w:type="dxa"/>
            <w:tcBorders/>
            <w:shd w:fill="auto" w:val="clear"/>
            <w:vAlign w:val="center"/>
          </w:tcPr>
          <w:p>
            <w:pPr>
              <w:pStyle w:val="TableContents"/>
              <w:spacing w:before="0" w:after="283"/>
              <w:rPr>
                <w:sz w:val="4"/>
                <w:szCs w:val="4"/>
              </w:rPr>
            </w:pPr>
            <w:r>
              <w:rPr>
                <w:sz w:val="4"/>
                <w:szCs w:val="4"/>
              </w:rPr>
            </w:r>
          </w:p>
        </w:tc>
        <w:tc>
          <w:tcPr>
            <w:tcW w:w="1401" w:type="dxa"/>
            <w:tcBorders/>
            <w:shd w:fill="auto" w:val="clear"/>
            <w:vAlign w:val="center"/>
          </w:tcPr>
          <w:p>
            <w:pPr>
              <w:pStyle w:val="TableContents"/>
              <w:spacing w:before="0" w:after="283"/>
              <w:rPr>
                <w:sz w:val="4"/>
                <w:szCs w:val="4"/>
              </w:rPr>
            </w:pPr>
            <w:r>
              <w:rPr>
                <w:sz w:val="4"/>
                <w:szCs w:val="4"/>
              </w:rPr>
            </w:r>
          </w:p>
        </w:tc>
        <w:tc>
          <w:tcPr>
            <w:tcW w:w="1402" w:type="dxa"/>
            <w:tcBorders/>
            <w:shd w:fill="auto" w:val="clear"/>
            <w:vAlign w:val="center"/>
          </w:tcPr>
          <w:p>
            <w:pPr>
              <w:pStyle w:val="TableContents"/>
              <w:spacing w:before="0" w:after="283"/>
              <w:rPr>
                <w:sz w:val="4"/>
                <w:szCs w:val="4"/>
              </w:rPr>
            </w:pPr>
            <w:r>
              <w:rPr>
                <w:sz w:val="4"/>
                <w:szCs w:val="4"/>
              </w:rPr>
            </w:r>
          </w:p>
        </w:tc>
        <w:tc>
          <w:tcPr>
            <w:tcW w:w="325" w:type="dxa"/>
            <w:tcBorders/>
            <w:shd w:fill="auto" w:val="clear"/>
            <w:vAlign w:val="center"/>
          </w:tcPr>
          <w:p>
            <w:pPr>
              <w:pStyle w:val="TableContents"/>
              <w:spacing w:before="0" w:after="283"/>
              <w:rPr>
                <w:sz w:val="4"/>
                <w:szCs w:val="4"/>
              </w:rPr>
            </w:pPr>
            <w:r>
              <w:rPr>
                <w:sz w:val="4"/>
                <w:szCs w:val="4"/>
              </w:rPr>
            </w:r>
          </w:p>
        </w:tc>
        <w:tc>
          <w:tcPr>
            <w:tcW w:w="325" w:type="dxa"/>
            <w:tcBorders/>
            <w:shd w:fill="auto" w:val="clear"/>
            <w:vAlign w:val="center"/>
          </w:tcPr>
          <w:p>
            <w:pPr>
              <w:pStyle w:val="TableContents"/>
              <w:spacing w:before="0" w:after="283"/>
              <w:rPr>
                <w:sz w:val="4"/>
                <w:szCs w:val="4"/>
              </w:rPr>
            </w:pPr>
            <w:r>
              <w:rPr>
                <w:sz w:val="4"/>
                <w:szCs w:val="4"/>
              </w:rPr>
            </w:r>
          </w:p>
        </w:tc>
        <w:tc>
          <w:tcPr>
            <w:tcW w:w="325" w:type="dxa"/>
            <w:tcBorders/>
            <w:shd w:fill="auto" w:val="clear"/>
            <w:vAlign w:val="center"/>
          </w:tcPr>
          <w:p>
            <w:pPr>
              <w:pStyle w:val="TableContents"/>
              <w:spacing w:before="0" w:after="283"/>
              <w:rPr>
                <w:sz w:val="4"/>
                <w:szCs w:val="4"/>
              </w:rPr>
            </w:pPr>
            <w:r>
              <w:rPr>
                <w:sz w:val="4"/>
                <w:szCs w:val="4"/>
              </w:rPr>
            </w:r>
          </w:p>
        </w:tc>
        <w:tc>
          <w:tcPr>
            <w:tcW w:w="324" w:type="dxa"/>
            <w:tcBorders/>
            <w:shd w:fill="auto" w:val="clear"/>
            <w:vAlign w:val="center"/>
          </w:tcPr>
          <w:p>
            <w:pPr>
              <w:pStyle w:val="TableContents"/>
              <w:spacing w:before="0" w:after="283"/>
              <w:rPr>
                <w:sz w:val="4"/>
                <w:szCs w:val="4"/>
              </w:rPr>
            </w:pPr>
            <w:r>
              <w:rPr>
                <w:sz w:val="4"/>
                <w:szCs w:val="4"/>
              </w:rPr>
            </w:r>
          </w:p>
        </w:tc>
        <w:tc>
          <w:tcPr>
            <w:tcW w:w="324" w:type="dxa"/>
            <w:tcBorders/>
            <w:shd w:fill="auto" w:val="clear"/>
            <w:vAlign w:val="center"/>
          </w:tcPr>
          <w:p>
            <w:pPr>
              <w:pStyle w:val="TableContents"/>
              <w:spacing w:before="0" w:after="283"/>
              <w:rPr>
                <w:sz w:val="4"/>
                <w:szCs w:val="4"/>
              </w:rPr>
            </w:pPr>
            <w:r>
              <w:rPr>
                <w:sz w:val="4"/>
                <w:szCs w:val="4"/>
              </w:rPr>
            </w:r>
          </w:p>
        </w:tc>
        <w:tc>
          <w:tcPr>
            <w:tcW w:w="327" w:type="dxa"/>
            <w:tcBorders/>
            <w:shd w:fill="auto" w:val="clear"/>
            <w:vAlign w:val="center"/>
          </w:tcPr>
          <w:p>
            <w:pPr>
              <w:pStyle w:val="TableContents"/>
              <w:spacing w:before="0" w:after="283"/>
              <w:rPr>
                <w:sz w:val="4"/>
                <w:szCs w:val="4"/>
              </w:rPr>
            </w:pPr>
            <w:r>
              <w:rPr>
                <w:sz w:val="4"/>
                <w:szCs w:val="4"/>
              </w:rPr>
            </w:r>
          </w:p>
        </w:tc>
        <w:tc>
          <w:tcPr>
            <w:tcW w:w="353" w:type="dxa"/>
            <w:tcBorders/>
            <w:shd w:fill="auto" w:val="clear"/>
            <w:vAlign w:val="center"/>
          </w:tcPr>
          <w:p>
            <w:pPr>
              <w:pStyle w:val="TableContents"/>
              <w:spacing w:before="0" w:after="283"/>
              <w:rPr>
                <w:sz w:val="4"/>
                <w:szCs w:val="4"/>
              </w:rPr>
            </w:pPr>
            <w:r>
              <w:rPr>
                <w:sz w:val="4"/>
                <w:szCs w:val="4"/>
              </w:rPr>
            </w:r>
          </w:p>
        </w:tc>
        <w:tc>
          <w:tcPr>
            <w:tcW w:w="353" w:type="dxa"/>
            <w:tcBorders/>
            <w:shd w:fill="auto" w:val="clear"/>
            <w:vAlign w:val="center"/>
          </w:tcPr>
          <w:p>
            <w:pPr>
              <w:pStyle w:val="TableContents"/>
              <w:spacing w:before="0" w:after="283"/>
              <w:rPr>
                <w:sz w:val="4"/>
                <w:szCs w:val="4"/>
              </w:rPr>
            </w:pPr>
            <w:r>
              <w:rPr>
                <w:sz w:val="4"/>
                <w:szCs w:val="4"/>
              </w:rPr>
            </w:r>
          </w:p>
        </w:tc>
        <w:tc>
          <w:tcPr>
            <w:tcW w:w="325" w:type="dxa"/>
            <w:tcBorders/>
            <w:shd w:fill="auto" w:val="clear"/>
            <w:vAlign w:val="center"/>
          </w:tcPr>
          <w:p>
            <w:pPr>
              <w:pStyle w:val="TableContents"/>
              <w:spacing w:before="0" w:after="283"/>
              <w:rPr>
                <w:sz w:val="4"/>
                <w:szCs w:val="4"/>
              </w:rPr>
            </w:pPr>
            <w:r>
              <w:rPr>
                <w:sz w:val="4"/>
                <w:szCs w:val="4"/>
              </w:rPr>
            </w:r>
          </w:p>
        </w:tc>
        <w:tc>
          <w:tcPr>
            <w:tcW w:w="367" w:type="dxa"/>
            <w:tcBorders/>
            <w:shd w:fill="auto" w:val="clear"/>
            <w:vAlign w:val="center"/>
          </w:tcPr>
          <w:p>
            <w:pPr>
              <w:pStyle w:val="TableContents"/>
              <w:spacing w:before="0" w:after="283"/>
              <w:rPr>
                <w:sz w:val="4"/>
                <w:szCs w:val="4"/>
              </w:rPr>
            </w:pPr>
            <w:r>
              <w:rPr>
                <w:sz w:val="4"/>
                <w:szCs w:val="4"/>
              </w:rPr>
            </w:r>
          </w:p>
        </w:tc>
        <w:tc>
          <w:tcPr>
            <w:tcW w:w="338" w:type="dxa"/>
            <w:tcBorders/>
            <w:shd w:fill="auto" w:val="clear"/>
            <w:vAlign w:val="center"/>
          </w:tcPr>
          <w:p>
            <w:pPr>
              <w:pStyle w:val="TableContents"/>
              <w:spacing w:before="0" w:after="283"/>
              <w:rPr>
                <w:sz w:val="4"/>
                <w:szCs w:val="4"/>
              </w:rPr>
            </w:pPr>
            <w:r>
              <w:rPr>
                <w:sz w:val="4"/>
                <w:szCs w:val="4"/>
              </w:rPr>
            </w:r>
          </w:p>
        </w:tc>
        <w:tc>
          <w:tcPr>
            <w:tcW w:w="424" w:type="dxa"/>
            <w:tcBorders/>
            <w:shd w:fill="auto" w:val="clear"/>
            <w:vAlign w:val="center"/>
          </w:tcPr>
          <w:p>
            <w:pPr>
              <w:pStyle w:val="TableContents"/>
              <w:spacing w:before="0" w:after="283"/>
              <w:rPr>
                <w:sz w:val="4"/>
                <w:szCs w:val="4"/>
              </w:rPr>
            </w:pPr>
            <w:r>
              <w:rPr>
                <w:sz w:val="4"/>
                <w:szCs w:val="4"/>
              </w:rPr>
            </w:r>
          </w:p>
        </w:tc>
      </w:tr>
      <w:tr>
        <w:trPr/>
        <w:tc>
          <w:tcPr>
            <w:tcW w:w="439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POSTRETIREMENT MEDICAL PLANS</w:t>
            </w:r>
          </w:p>
        </w:tc>
        <w:tc>
          <w:tcPr>
            <w:tcW w:w="1950" w:type="dxa"/>
            <w:gridSpan w:val="6"/>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 xml:space="preserve">Three months ended </w:t>
            </w:r>
          </w:p>
        </w:tc>
        <w:tc>
          <w:tcPr>
            <w:tcW w:w="2160" w:type="dxa"/>
            <w:gridSpan w:val="6"/>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Six months ended</w:t>
            </w:r>
          </w:p>
        </w:tc>
      </w:tr>
      <w:tr>
        <w:trPr/>
        <w:tc>
          <w:tcPr>
            <w:tcW w:w="439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(Thousands of Dollars)</w:t>
            </w:r>
          </w:p>
        </w:tc>
        <w:tc>
          <w:tcPr>
            <w:tcW w:w="97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March 26,</w:t>
              <w:br/>
              <w:t>2023</w:t>
            </w:r>
          </w:p>
        </w:tc>
        <w:tc>
          <w:tcPr>
            <w:tcW w:w="97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March 27,</w:t>
              <w:br/>
              <w:t>2022</w:t>
            </w:r>
          </w:p>
        </w:tc>
        <w:tc>
          <w:tcPr>
            <w:tcW w:w="103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March 26,</w:t>
              <w:br/>
              <w:t>2023</w:t>
            </w:r>
          </w:p>
        </w:tc>
        <w:tc>
          <w:tcPr>
            <w:tcW w:w="112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March 27,</w:t>
              <w:br/>
              <w:t>2022</w:t>
            </w:r>
          </w:p>
        </w:tc>
      </w:tr>
      <w:tr>
        <w:trPr/>
        <w:tc>
          <w:tcPr>
            <w:tcW w:w="439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7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7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3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2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3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Service cost for benefits earned during the period</w:t>
            </w:r>
          </w:p>
        </w:tc>
        <w:tc>
          <w:tcPr>
            <w:tcW w:w="65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17 </w:t>
            </w:r>
          </w:p>
        </w:tc>
        <w:tc>
          <w:tcPr>
            <w:tcW w:w="3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27 </w:t>
            </w:r>
          </w:p>
        </w:tc>
        <w:tc>
          <w:tcPr>
            <w:tcW w:w="3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34 </w:t>
            </w:r>
          </w:p>
        </w:tc>
        <w:tc>
          <w:tcPr>
            <w:tcW w:w="3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54 </w:t>
            </w:r>
          </w:p>
        </w:tc>
        <w:tc>
          <w:tcPr>
            <w:tcW w:w="4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cost on projected benefit obligation</w:t>
            </w:r>
          </w:p>
        </w:tc>
        <w:tc>
          <w:tcPr>
            <w:tcW w:w="65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149 </w:t>
            </w:r>
          </w:p>
        </w:tc>
        <w:tc>
          <w:tcPr>
            <w:tcW w:w="3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85 </w:t>
            </w:r>
          </w:p>
        </w:tc>
        <w:tc>
          <w:tcPr>
            <w:tcW w:w="3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298 </w:t>
            </w:r>
          </w:p>
        </w:tc>
        <w:tc>
          <w:tcPr>
            <w:tcW w:w="3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170 </w:t>
            </w:r>
          </w:p>
        </w:tc>
        <w:tc>
          <w:tcPr>
            <w:tcW w:w="4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Expected return on plan assets</w:t>
            </w:r>
          </w:p>
        </w:tc>
        <w:tc>
          <w:tcPr>
            <w:tcW w:w="65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(295)</w:t>
            </w:r>
          </w:p>
        </w:tc>
        <w:tc>
          <w:tcPr>
            <w:tcW w:w="3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(263)</w:t>
            </w:r>
          </w:p>
        </w:tc>
        <w:tc>
          <w:tcPr>
            <w:tcW w:w="3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(590)</w:t>
            </w:r>
          </w:p>
        </w:tc>
        <w:tc>
          <w:tcPr>
            <w:tcW w:w="3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(526)</w:t>
            </w:r>
          </w:p>
        </w:tc>
        <w:tc>
          <w:tcPr>
            <w:tcW w:w="4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Amortization of net gain</w:t>
            </w:r>
          </w:p>
        </w:tc>
        <w:tc>
          <w:tcPr>
            <w:tcW w:w="65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(254)</w:t>
            </w:r>
          </w:p>
        </w:tc>
        <w:tc>
          <w:tcPr>
            <w:tcW w:w="3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(249)</w:t>
            </w:r>
          </w:p>
        </w:tc>
        <w:tc>
          <w:tcPr>
            <w:tcW w:w="3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(508)</w:t>
            </w:r>
          </w:p>
        </w:tc>
        <w:tc>
          <w:tcPr>
            <w:tcW w:w="3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(498)</w:t>
            </w:r>
          </w:p>
        </w:tc>
        <w:tc>
          <w:tcPr>
            <w:tcW w:w="4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Amortization of prior service benefit</w:t>
            </w:r>
          </w:p>
        </w:tc>
        <w:tc>
          <w:tcPr>
            <w:tcW w:w="65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(162)</w:t>
            </w:r>
          </w:p>
        </w:tc>
        <w:tc>
          <w:tcPr>
            <w:tcW w:w="3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(162)</w:t>
            </w:r>
          </w:p>
        </w:tc>
        <w:tc>
          <w:tcPr>
            <w:tcW w:w="3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(324)</w:t>
            </w:r>
          </w:p>
        </w:tc>
        <w:tc>
          <w:tcPr>
            <w:tcW w:w="3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(324)</w:t>
            </w:r>
          </w:p>
        </w:tc>
        <w:tc>
          <w:tcPr>
            <w:tcW w:w="4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95"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Postretirement medical benefit</w:t>
            </w:r>
          </w:p>
        </w:tc>
        <w:tc>
          <w:tcPr>
            <w:tcW w:w="65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(545)</w:t>
            </w:r>
          </w:p>
        </w:tc>
        <w:tc>
          <w:tcPr>
            <w:tcW w:w="3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64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(562)</w:t>
            </w:r>
          </w:p>
        </w:tc>
        <w:tc>
          <w:tcPr>
            <w:tcW w:w="3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70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(1,090)</w:t>
            </w:r>
          </w:p>
        </w:tc>
        <w:tc>
          <w:tcPr>
            <w:tcW w:w="3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705"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(1,124)</w:t>
            </w:r>
          </w:p>
        </w:tc>
        <w:tc>
          <w:tcPr>
            <w:tcW w:w="4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00" w:after="283"/>
        <w:jc w:val="both"/>
        <w:rPr/>
      </w:pPr>
      <w:r>
        <w:rPr>
          <w:rFonts w:ascii="Arial;sans-serif" w:hAnsi="Arial;sans-serif"/>
          <w:b w:val="false"/>
          <w:color w:val="000000"/>
          <w:sz w:val="20"/>
        </w:rPr>
        <w:t>In the six months ended March 26, 2023 and March 27, 2022, we made no contributions to our pension plans.</w:t>
      </w:r>
      <w:r>
        <w:rPr>
          <w:color w:val="000000"/>
          <w:highlight w:val="white"/>
        </w:rPr>
        <w:t xml:space="preserve"> </w:t>
      </w:r>
      <w:r>
        <w:rPr>
          <w:rFonts w:ascii="Arial;sans-serif" w:hAnsi="Arial;sans-serif"/>
          <w:b w:val="false"/>
          <w:color w:val="000000"/>
          <w:sz w:val="20"/>
          <w:highlight w:val="white"/>
        </w:rPr>
        <w:t>W</w:t>
      </w:r>
      <w:r>
        <w:rPr>
          <w:rFonts w:ascii="Arial;sans-serif" w:hAnsi="Arial;sans-serif"/>
          <w:b w:val="false"/>
          <w:color w:val="000000"/>
          <w:sz w:val="20"/>
        </w:rPr>
        <w:t>e have no required contributions to our pension plans for 2023.</w:t>
      </w:r>
    </w:p>
    <w:p>
      <w:pPr>
        <w:pStyle w:val="TextBody"/>
        <w:spacing w:lineRule="auto" w:line="288" w:before="200" w:after="283"/>
        <w:jc w:val="both"/>
        <w:rPr>
          <w:rFonts w:ascii="Arial;sans-serif" w:hAnsi="Arial;sans-serif"/>
          <w:b/>
          <w:color w:val="000000"/>
          <w:sz w:val="20"/>
        </w:rPr>
      </w:pPr>
      <w:r>
        <w:rPr>
          <w:rFonts w:ascii="Arial;sans-serif" w:hAnsi="Arial;sans-serif"/>
          <w:b/>
          <w:color w:val="000000"/>
          <w:sz w:val="20"/>
        </w:rPr>
        <w:t>Multiemployer Pension Plans</w:t>
      </w:r>
    </w:p>
    <w:p>
      <w:pPr>
        <w:pStyle w:val="TextBody"/>
        <w:spacing w:lineRule="auto" w:line="288" w:before="200" w:after="283"/>
        <w:jc w:val="both"/>
        <w:rPr/>
      </w:pPr>
      <w:r>
        <w:rPr>
          <w:rFonts w:ascii="Arial;sans-serif" w:hAnsi="Arial;sans-serif"/>
          <w:b w:val="false"/>
          <w:color w:val="000000"/>
          <w:sz w:val="20"/>
        </w:rPr>
        <w:t>In prior periods, the Company effectuated withdrawals from several multiemployer plans. As of March 26, 2023, and September 25, 2022,</w:t>
      </w:r>
      <w:r>
        <w:rPr>
          <w:color w:val="000000"/>
        </w:rPr>
        <w:t xml:space="preserve"> </w:t>
      </w:r>
      <w:r>
        <w:rPr>
          <w:rFonts w:ascii="Arial;sans-serif" w:hAnsi="Arial;sans-serif"/>
          <w:b w:val="false"/>
          <w:color w:val="000000"/>
          <w:sz w:val="20"/>
        </w:rPr>
        <w:t>we had $23.4 million and $25.0 million of accrued withdrawal liabilities. The liabilities reflect the estimated value of payments to the fund, payable over 20 years.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050"/>
                <wp:effectExtent l="0" t="0" r="0" b="0"/>
                <wp:wrapNone/>
                <wp:docPr id="12" name="Frame12"/>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76" w:before="0" w:after="0"/>
                              <w:jc w:val="center"/>
                              <w:rPr>
                                <w:rFonts w:ascii="Arial;sans-serif" w:hAnsi="Arial;sans-serif"/>
                                <w:b w:val="false"/>
                                <w:color w:val="000000"/>
                                <w:sz w:val="20"/>
                              </w:rPr>
                            </w:pPr>
                            <w:r>
                              <w:rPr>
                                <w:rFonts w:ascii="Arial;sans-serif" w:hAnsi="Arial;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Arial;sans-serif" w:hAnsi="Arial;sans-serif"/>
                          <w:b w:val="false"/>
                          <w:color w:val="000000"/>
                          <w:sz w:val="20"/>
                        </w:rPr>
                      </w:pPr>
                      <w:r>
                        <w:rPr>
                          <w:rFonts w:ascii="Arial;sans-serif" w:hAnsi="Arial;sans-serif"/>
                          <w:b w:val="false"/>
                          <w:color w:val="000000"/>
                          <w:sz w:val="20"/>
                        </w:rPr>
                        <w:t>10</w:t>
                      </w:r>
                    </w:p>
                  </w:txbxContent>
                </v:textbox>
              </v:rect>
            </w:pict>
          </mc:Fallback>
        </mc:AlternateContent>
      </w:r>
    </w:p>
    <w:p>
      <w:pPr>
        <w:pStyle w:val="TextBody"/>
        <w:spacing w:before="0" w:after="0"/>
        <w:rPr/>
      </w:pPr>
      <w:r>
        <w:rPr/>
      </w:r>
    </w:p>
    <w:p>
      <w:pPr>
        <w:pStyle w:val="TextBody"/>
        <w:spacing w:lineRule="auto" w:line="288" w:before="200" w:after="283"/>
        <w:ind w:left="0" w:right="0" w:hanging="720"/>
        <w:rPr>
          <w:rFonts w:ascii="Arial;sans-serif" w:hAnsi="Arial;sans-serif"/>
          <w:b/>
          <w:color w:val="000000"/>
          <w:sz w:val="20"/>
        </w:rPr>
      </w:pPr>
      <w:r>
        <w:rPr>
          <w:rFonts w:ascii="Arial;sans-serif" w:hAnsi="Arial;sans-serif"/>
          <w:b/>
          <w:color w:val="000000"/>
          <w:sz w:val="20"/>
        </w:rPr>
        <w:t>7    INCOME TAXES</w:t>
      </w:r>
    </w:p>
    <w:p>
      <w:pPr>
        <w:pStyle w:val="TextBody"/>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We recorded an income tax benefit of $2.1 million related to loss before taxes of $7.4 million for the three months ended March 26, 2023, and an income tax benefit of $1.6 million related to a loss before income taxes of $5.2 million for the six months ended March 26, 2023. We recorded an income tax benefit of $3.1 million related to income before taxes of $9.8 million for the three months ended March 27, 2022 and income tax expense of $2.2 million related to income before income taxes of $8.7 million for the six months ended March 27, 2022. The effective income tax rate for the three and six months ended March 26, 2023, were 27.8% and 31.5%, respectively. The effective income tax rate for the three and six months ended March 27, 2022, were 32.0% and 25.3%, respectively.</w:t>
      </w:r>
    </w:p>
    <w:p>
      <w:pPr>
        <w:pStyle w:val="TextBody"/>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The primary differences between these rates and the U.S. federal statutory rate of 21% are because of state taxes, non-deductible expenses, adjustments to reserves for uncertain tax positions, including any related interest, and mark-to-market adjustments to value stock warrants.</w:t>
      </w:r>
    </w:p>
    <w:p>
      <w:pPr>
        <w:pStyle w:val="TextBody"/>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We file a consolidated federal tax return, as well as combined and separate tax returns in approximately 27 state and local jurisdictions. We do not currently have any federal or material state income tax examinations in progress. Our income tax returns have generally been audited or closed to audit through 2015.</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83"/>
        <w:ind w:left="0" w:right="0" w:hanging="720"/>
        <w:rPr>
          <w:rFonts w:ascii="Arial;sans-serif" w:hAnsi="Arial;sans-serif"/>
          <w:b/>
          <w:color w:val="000000"/>
          <w:sz w:val="20"/>
        </w:rPr>
      </w:pPr>
      <w:r>
        <w:rPr>
          <w:rFonts w:ascii="Arial;sans-serif" w:hAnsi="Arial;sans-serif"/>
          <w:b/>
          <w:color w:val="000000"/>
          <w:sz w:val="20"/>
        </w:rPr>
        <w:t>8    EARNINGS PER COMMON SHARE</w:t>
      </w:r>
    </w:p>
    <w:p>
      <w:pPr>
        <w:pStyle w:val="TextBody"/>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The following table sets forth the computation of basic and diluted earnings per common share:</w:t>
      </w:r>
    </w:p>
    <w:tbl>
      <w:tblPr>
        <w:tblW w:w="9445" w:type="dxa"/>
        <w:jc w:val="left"/>
        <w:tblInd w:w="0" w:type="dxa"/>
        <w:tblCellMar>
          <w:top w:w="28" w:type="dxa"/>
          <w:left w:w="28" w:type="dxa"/>
          <w:bottom w:w="28" w:type="dxa"/>
          <w:right w:w="28" w:type="dxa"/>
        </w:tblCellMar>
      </w:tblPr>
      <w:tblGrid>
        <w:gridCol w:w="1911"/>
        <w:gridCol w:w="1680"/>
        <w:gridCol w:w="1689"/>
        <w:gridCol w:w="353"/>
        <w:gridCol w:w="353"/>
        <w:gridCol w:w="325"/>
        <w:gridCol w:w="353"/>
        <w:gridCol w:w="353"/>
        <w:gridCol w:w="327"/>
        <w:gridCol w:w="353"/>
        <w:gridCol w:w="353"/>
        <w:gridCol w:w="325"/>
        <w:gridCol w:w="336"/>
        <w:gridCol w:w="310"/>
        <w:gridCol w:w="424"/>
      </w:tblGrid>
      <w:tr>
        <w:trPr/>
        <w:tc>
          <w:tcPr>
            <w:tcW w:w="1911" w:type="dxa"/>
            <w:tcBorders/>
            <w:shd w:fill="auto" w:val="clear"/>
            <w:vAlign w:val="center"/>
          </w:tcPr>
          <w:p>
            <w:pPr>
              <w:pStyle w:val="TableContents"/>
              <w:spacing w:before="0" w:after="283"/>
              <w:rPr>
                <w:sz w:val="4"/>
                <w:szCs w:val="4"/>
              </w:rPr>
            </w:pPr>
            <w:r>
              <w:rPr>
                <w:sz w:val="4"/>
                <w:szCs w:val="4"/>
              </w:rPr>
            </w:r>
          </w:p>
        </w:tc>
        <w:tc>
          <w:tcPr>
            <w:tcW w:w="1680" w:type="dxa"/>
            <w:tcBorders/>
            <w:shd w:fill="auto" w:val="clear"/>
            <w:vAlign w:val="center"/>
          </w:tcPr>
          <w:p>
            <w:pPr>
              <w:pStyle w:val="TableContents"/>
              <w:spacing w:before="0" w:after="283"/>
              <w:rPr>
                <w:sz w:val="4"/>
                <w:szCs w:val="4"/>
              </w:rPr>
            </w:pPr>
            <w:r>
              <w:rPr>
                <w:sz w:val="4"/>
                <w:szCs w:val="4"/>
              </w:rPr>
            </w:r>
          </w:p>
        </w:tc>
        <w:tc>
          <w:tcPr>
            <w:tcW w:w="1689" w:type="dxa"/>
            <w:tcBorders/>
            <w:shd w:fill="auto" w:val="clear"/>
            <w:vAlign w:val="center"/>
          </w:tcPr>
          <w:p>
            <w:pPr>
              <w:pStyle w:val="TableContents"/>
              <w:spacing w:before="0" w:after="283"/>
              <w:rPr>
                <w:sz w:val="4"/>
                <w:szCs w:val="4"/>
              </w:rPr>
            </w:pPr>
            <w:r>
              <w:rPr>
                <w:sz w:val="4"/>
                <w:szCs w:val="4"/>
              </w:rPr>
            </w:r>
          </w:p>
        </w:tc>
        <w:tc>
          <w:tcPr>
            <w:tcW w:w="353" w:type="dxa"/>
            <w:tcBorders/>
            <w:shd w:fill="auto" w:val="clear"/>
            <w:vAlign w:val="center"/>
          </w:tcPr>
          <w:p>
            <w:pPr>
              <w:pStyle w:val="TableContents"/>
              <w:spacing w:before="0" w:after="283"/>
              <w:rPr>
                <w:sz w:val="4"/>
                <w:szCs w:val="4"/>
              </w:rPr>
            </w:pPr>
            <w:r>
              <w:rPr>
                <w:sz w:val="4"/>
                <w:szCs w:val="4"/>
              </w:rPr>
            </w:r>
          </w:p>
        </w:tc>
        <w:tc>
          <w:tcPr>
            <w:tcW w:w="353" w:type="dxa"/>
            <w:tcBorders/>
            <w:shd w:fill="auto" w:val="clear"/>
            <w:vAlign w:val="center"/>
          </w:tcPr>
          <w:p>
            <w:pPr>
              <w:pStyle w:val="TableContents"/>
              <w:spacing w:before="0" w:after="283"/>
              <w:rPr>
                <w:sz w:val="4"/>
                <w:szCs w:val="4"/>
              </w:rPr>
            </w:pPr>
            <w:r>
              <w:rPr>
                <w:sz w:val="4"/>
                <w:szCs w:val="4"/>
              </w:rPr>
            </w:r>
          </w:p>
        </w:tc>
        <w:tc>
          <w:tcPr>
            <w:tcW w:w="325" w:type="dxa"/>
            <w:tcBorders/>
            <w:shd w:fill="auto" w:val="clear"/>
            <w:vAlign w:val="center"/>
          </w:tcPr>
          <w:p>
            <w:pPr>
              <w:pStyle w:val="TableContents"/>
              <w:spacing w:before="0" w:after="283"/>
              <w:rPr>
                <w:sz w:val="4"/>
                <w:szCs w:val="4"/>
              </w:rPr>
            </w:pPr>
            <w:r>
              <w:rPr>
                <w:sz w:val="4"/>
                <w:szCs w:val="4"/>
              </w:rPr>
            </w:r>
          </w:p>
        </w:tc>
        <w:tc>
          <w:tcPr>
            <w:tcW w:w="353" w:type="dxa"/>
            <w:tcBorders/>
            <w:shd w:fill="auto" w:val="clear"/>
            <w:vAlign w:val="center"/>
          </w:tcPr>
          <w:p>
            <w:pPr>
              <w:pStyle w:val="TableContents"/>
              <w:spacing w:before="0" w:after="283"/>
              <w:rPr>
                <w:sz w:val="4"/>
                <w:szCs w:val="4"/>
              </w:rPr>
            </w:pPr>
            <w:r>
              <w:rPr>
                <w:sz w:val="4"/>
                <w:szCs w:val="4"/>
              </w:rPr>
            </w:r>
          </w:p>
        </w:tc>
        <w:tc>
          <w:tcPr>
            <w:tcW w:w="353" w:type="dxa"/>
            <w:tcBorders/>
            <w:shd w:fill="auto" w:val="clear"/>
            <w:vAlign w:val="center"/>
          </w:tcPr>
          <w:p>
            <w:pPr>
              <w:pStyle w:val="TableContents"/>
              <w:spacing w:before="0" w:after="283"/>
              <w:rPr>
                <w:sz w:val="4"/>
                <w:szCs w:val="4"/>
              </w:rPr>
            </w:pPr>
            <w:r>
              <w:rPr>
                <w:sz w:val="4"/>
                <w:szCs w:val="4"/>
              </w:rPr>
            </w:r>
          </w:p>
        </w:tc>
        <w:tc>
          <w:tcPr>
            <w:tcW w:w="327" w:type="dxa"/>
            <w:tcBorders/>
            <w:shd w:fill="auto" w:val="clear"/>
            <w:vAlign w:val="center"/>
          </w:tcPr>
          <w:p>
            <w:pPr>
              <w:pStyle w:val="TableContents"/>
              <w:spacing w:before="0" w:after="283"/>
              <w:rPr>
                <w:sz w:val="4"/>
                <w:szCs w:val="4"/>
              </w:rPr>
            </w:pPr>
            <w:r>
              <w:rPr>
                <w:sz w:val="4"/>
                <w:szCs w:val="4"/>
              </w:rPr>
            </w:r>
          </w:p>
        </w:tc>
        <w:tc>
          <w:tcPr>
            <w:tcW w:w="353" w:type="dxa"/>
            <w:tcBorders/>
            <w:shd w:fill="auto" w:val="clear"/>
            <w:vAlign w:val="center"/>
          </w:tcPr>
          <w:p>
            <w:pPr>
              <w:pStyle w:val="TableContents"/>
              <w:spacing w:before="0" w:after="283"/>
              <w:rPr>
                <w:sz w:val="4"/>
                <w:szCs w:val="4"/>
              </w:rPr>
            </w:pPr>
            <w:r>
              <w:rPr>
                <w:sz w:val="4"/>
                <w:szCs w:val="4"/>
              </w:rPr>
            </w:r>
          </w:p>
        </w:tc>
        <w:tc>
          <w:tcPr>
            <w:tcW w:w="353" w:type="dxa"/>
            <w:tcBorders/>
            <w:shd w:fill="auto" w:val="clear"/>
            <w:vAlign w:val="center"/>
          </w:tcPr>
          <w:p>
            <w:pPr>
              <w:pStyle w:val="TableContents"/>
              <w:spacing w:before="0" w:after="283"/>
              <w:rPr>
                <w:sz w:val="4"/>
                <w:szCs w:val="4"/>
              </w:rPr>
            </w:pPr>
            <w:r>
              <w:rPr>
                <w:sz w:val="4"/>
                <w:szCs w:val="4"/>
              </w:rPr>
            </w:r>
          </w:p>
        </w:tc>
        <w:tc>
          <w:tcPr>
            <w:tcW w:w="325" w:type="dxa"/>
            <w:tcBorders/>
            <w:shd w:fill="auto" w:val="clear"/>
            <w:vAlign w:val="center"/>
          </w:tcPr>
          <w:p>
            <w:pPr>
              <w:pStyle w:val="TableContents"/>
              <w:spacing w:before="0" w:after="283"/>
              <w:rPr>
                <w:sz w:val="4"/>
                <w:szCs w:val="4"/>
              </w:rPr>
            </w:pPr>
            <w:r>
              <w:rPr>
                <w:sz w:val="4"/>
                <w:szCs w:val="4"/>
              </w:rPr>
            </w:r>
          </w:p>
        </w:tc>
        <w:tc>
          <w:tcPr>
            <w:tcW w:w="336" w:type="dxa"/>
            <w:tcBorders/>
            <w:shd w:fill="auto" w:val="clear"/>
            <w:vAlign w:val="center"/>
          </w:tcPr>
          <w:p>
            <w:pPr>
              <w:pStyle w:val="TableContents"/>
              <w:spacing w:before="0" w:after="283"/>
              <w:rPr>
                <w:sz w:val="4"/>
                <w:szCs w:val="4"/>
              </w:rPr>
            </w:pPr>
            <w:r>
              <w:rPr>
                <w:sz w:val="4"/>
                <w:szCs w:val="4"/>
              </w:rPr>
            </w:r>
          </w:p>
        </w:tc>
        <w:tc>
          <w:tcPr>
            <w:tcW w:w="310" w:type="dxa"/>
            <w:tcBorders/>
            <w:shd w:fill="auto" w:val="clear"/>
            <w:vAlign w:val="center"/>
          </w:tcPr>
          <w:p>
            <w:pPr>
              <w:pStyle w:val="TableContents"/>
              <w:spacing w:before="0" w:after="283"/>
              <w:rPr>
                <w:sz w:val="4"/>
                <w:szCs w:val="4"/>
              </w:rPr>
            </w:pPr>
            <w:r>
              <w:rPr>
                <w:sz w:val="4"/>
                <w:szCs w:val="4"/>
              </w:rPr>
            </w:r>
          </w:p>
        </w:tc>
        <w:tc>
          <w:tcPr>
            <w:tcW w:w="424" w:type="dxa"/>
            <w:tcBorders/>
            <w:shd w:fill="auto" w:val="clear"/>
            <w:vAlign w:val="center"/>
          </w:tcPr>
          <w:p>
            <w:pPr>
              <w:pStyle w:val="TableContents"/>
              <w:spacing w:before="0" w:after="283"/>
              <w:rPr>
                <w:sz w:val="4"/>
                <w:szCs w:val="4"/>
              </w:rPr>
            </w:pPr>
            <w:r>
              <w:rPr>
                <w:sz w:val="4"/>
                <w:szCs w:val="4"/>
              </w:rPr>
            </w:r>
          </w:p>
        </w:tc>
      </w:tr>
      <w:tr>
        <w:trPr/>
        <w:tc>
          <w:tcPr>
            <w:tcW w:w="528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064" w:type="dxa"/>
            <w:gridSpan w:val="6"/>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 xml:space="preserve">Three months ended </w:t>
            </w:r>
          </w:p>
        </w:tc>
        <w:tc>
          <w:tcPr>
            <w:tcW w:w="2101" w:type="dxa"/>
            <w:gridSpan w:val="6"/>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Six months ended</w:t>
            </w:r>
          </w:p>
        </w:tc>
      </w:tr>
      <w:tr>
        <w:trPr/>
        <w:tc>
          <w:tcPr>
            <w:tcW w:w="528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(Thousands of Dollars and Shares, Except Per Share Data)</w:t>
            </w:r>
          </w:p>
        </w:tc>
        <w:tc>
          <w:tcPr>
            <w:tcW w:w="103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March 26,</w:t>
              <w:br/>
              <w:t>2023</w:t>
            </w:r>
          </w:p>
        </w:tc>
        <w:tc>
          <w:tcPr>
            <w:tcW w:w="103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March 27,</w:t>
              <w:br/>
              <w:t>2022</w:t>
            </w:r>
          </w:p>
        </w:tc>
        <w:tc>
          <w:tcPr>
            <w:tcW w:w="103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March 26,</w:t>
              <w:br/>
              <w:t>2023</w:t>
            </w:r>
          </w:p>
        </w:tc>
        <w:tc>
          <w:tcPr>
            <w:tcW w:w="107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March 27,</w:t>
              <w:br/>
              <w:t>2022</w:t>
            </w:r>
          </w:p>
        </w:tc>
      </w:tr>
      <w:tr>
        <w:trPr/>
        <w:tc>
          <w:tcPr>
            <w:tcW w:w="528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3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3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3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7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2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(Loss) income attributable to Lee Enterprises, Incorporated:</w:t>
            </w:r>
          </w:p>
        </w:tc>
        <w:tc>
          <w:tcPr>
            <w:tcW w:w="7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(5,885)</w:t>
            </w:r>
          </w:p>
        </w:tc>
        <w:tc>
          <w:tcPr>
            <w:tcW w:w="3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(7,276)</w:t>
            </w:r>
          </w:p>
        </w:tc>
        <w:tc>
          <w:tcPr>
            <w:tcW w:w="3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(4,786)</w:t>
            </w:r>
          </w:p>
        </w:tc>
        <w:tc>
          <w:tcPr>
            <w:tcW w:w="3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5,382 </w:t>
            </w:r>
          </w:p>
        </w:tc>
        <w:tc>
          <w:tcPr>
            <w:tcW w:w="4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80" w:type="dxa"/>
            <w:gridSpan w:val="3"/>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Weighted average common shares</w:t>
            </w:r>
          </w:p>
        </w:tc>
        <w:tc>
          <w:tcPr>
            <w:tcW w:w="706"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5,996 </w:t>
            </w:r>
          </w:p>
        </w:tc>
        <w:tc>
          <w:tcPr>
            <w:tcW w:w="325"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706"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5,955 </w:t>
            </w:r>
          </w:p>
        </w:tc>
        <w:tc>
          <w:tcPr>
            <w:tcW w:w="327"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706"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6,018 </w:t>
            </w:r>
          </w:p>
        </w:tc>
        <w:tc>
          <w:tcPr>
            <w:tcW w:w="325"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5,919 </w:t>
            </w:r>
          </w:p>
        </w:tc>
        <w:tc>
          <w:tcPr>
            <w:tcW w:w="424"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Less weighted average restricted Common Stock</w:t>
            </w:r>
          </w:p>
        </w:tc>
        <w:tc>
          <w:tcPr>
            <w:tcW w:w="7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(173)</w:t>
            </w:r>
          </w:p>
        </w:tc>
        <w:tc>
          <w:tcPr>
            <w:tcW w:w="3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(178)</w:t>
            </w:r>
          </w:p>
        </w:tc>
        <w:tc>
          <w:tcPr>
            <w:tcW w:w="3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(172)</w:t>
            </w:r>
          </w:p>
        </w:tc>
        <w:tc>
          <w:tcPr>
            <w:tcW w:w="3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(167)</w:t>
            </w:r>
          </w:p>
        </w:tc>
        <w:tc>
          <w:tcPr>
            <w:tcW w:w="4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80"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Basic average common shares</w:t>
            </w:r>
          </w:p>
        </w:tc>
        <w:tc>
          <w:tcPr>
            <w:tcW w:w="70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5,823 </w:t>
            </w:r>
          </w:p>
        </w:tc>
        <w:tc>
          <w:tcPr>
            <w:tcW w:w="32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70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5,777 </w:t>
            </w:r>
          </w:p>
        </w:tc>
        <w:tc>
          <w:tcPr>
            <w:tcW w:w="32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70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5,846 </w:t>
            </w:r>
          </w:p>
        </w:tc>
        <w:tc>
          <w:tcPr>
            <w:tcW w:w="32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5,752 </w:t>
            </w:r>
          </w:p>
        </w:tc>
        <w:tc>
          <w:tcPr>
            <w:tcW w:w="42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Dilutive stock options and restricted Common Stock</w:t>
            </w:r>
          </w:p>
        </w:tc>
        <w:tc>
          <w:tcPr>
            <w:tcW w:w="7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107 </w:t>
            </w:r>
          </w:p>
        </w:tc>
        <w:tc>
          <w:tcPr>
            <w:tcW w:w="4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80"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Diluted average common shares</w:t>
            </w:r>
          </w:p>
        </w:tc>
        <w:tc>
          <w:tcPr>
            <w:tcW w:w="70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5,823 </w:t>
            </w:r>
          </w:p>
        </w:tc>
        <w:tc>
          <w:tcPr>
            <w:tcW w:w="32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70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5,777 </w:t>
            </w:r>
          </w:p>
        </w:tc>
        <w:tc>
          <w:tcPr>
            <w:tcW w:w="32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70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5,846 </w:t>
            </w:r>
          </w:p>
        </w:tc>
        <w:tc>
          <w:tcPr>
            <w:tcW w:w="32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5,859 </w:t>
            </w:r>
          </w:p>
        </w:tc>
        <w:tc>
          <w:tcPr>
            <w:tcW w:w="42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80" w:type="dxa"/>
            <w:gridSpan w:val="3"/>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Earnings per common share:</w:t>
            </w:r>
          </w:p>
        </w:tc>
        <w:tc>
          <w:tcPr>
            <w:tcW w:w="1031" w:type="dxa"/>
            <w:gridSpan w:val="3"/>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33" w:type="dxa"/>
            <w:gridSpan w:val="3"/>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31" w:type="dxa"/>
            <w:gridSpan w:val="3"/>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70" w:type="dxa"/>
            <w:gridSpan w:val="3"/>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52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Basic</w:t>
            </w:r>
          </w:p>
        </w:tc>
        <w:tc>
          <w:tcPr>
            <w:tcW w:w="7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w:t>
            </w:r>
          </w:p>
        </w:tc>
        <w:tc>
          <w:tcPr>
            <w:tcW w:w="3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(1.26)</w:t>
            </w:r>
          </w:p>
        </w:tc>
        <w:tc>
          <w:tcPr>
            <w:tcW w:w="3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(0.82)</w:t>
            </w:r>
          </w:p>
        </w:tc>
        <w:tc>
          <w:tcPr>
            <w:tcW w:w="3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0.94 </w:t>
            </w:r>
          </w:p>
        </w:tc>
        <w:tc>
          <w:tcPr>
            <w:tcW w:w="4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80" w:type="dxa"/>
            <w:gridSpan w:val="3"/>
            <w:tcBorders>
              <w:bottom w:val="double" w:sz="8" w:space="0" w:color="000000"/>
            </w:tcBorders>
            <w:shd w:fill="CCEEFF" w:val="clear"/>
            <w:tcMar>
              <w:top w:w="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Diluted</w:t>
            </w:r>
          </w:p>
        </w:tc>
        <w:tc>
          <w:tcPr>
            <w:tcW w:w="706" w:type="dxa"/>
            <w:gridSpan w:val="2"/>
            <w:tcBorders>
              <w:bottom w:val="double" w:sz="8" w:space="0" w:color="000000"/>
            </w:tcBorders>
            <w:shd w:fill="CCEEFF" w:val="clear"/>
            <w:tcMar>
              <w:top w:w="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w:t>
            </w:r>
          </w:p>
        </w:tc>
        <w:tc>
          <w:tcPr>
            <w:tcW w:w="325" w:type="dxa"/>
            <w:tcBorders>
              <w:bottom w:val="double" w:sz="8" w:space="0" w:color="000000"/>
            </w:tcBorders>
            <w:shd w:fill="CCEE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706" w:type="dxa"/>
            <w:gridSpan w:val="2"/>
            <w:tcBorders>
              <w:bottom w:val="double" w:sz="8" w:space="0" w:color="000000"/>
            </w:tcBorders>
            <w:shd w:fill="CCEEFF" w:val="clear"/>
            <w:tcMar>
              <w:top w:w="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(1.26)</w:t>
            </w:r>
          </w:p>
        </w:tc>
        <w:tc>
          <w:tcPr>
            <w:tcW w:w="327" w:type="dxa"/>
            <w:tcBorders>
              <w:bottom w:val="double" w:sz="8" w:space="0" w:color="000000"/>
            </w:tcBorders>
            <w:shd w:fill="CCEE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706" w:type="dxa"/>
            <w:gridSpan w:val="2"/>
            <w:tcBorders>
              <w:bottom w:val="double" w:sz="8" w:space="0" w:color="000000"/>
            </w:tcBorders>
            <w:shd w:fill="CCEEFF" w:val="clear"/>
            <w:tcMar>
              <w:top w:w="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(0.82)</w:t>
            </w:r>
          </w:p>
        </w:tc>
        <w:tc>
          <w:tcPr>
            <w:tcW w:w="325" w:type="dxa"/>
            <w:tcBorders>
              <w:bottom w:val="double" w:sz="8" w:space="0" w:color="000000"/>
            </w:tcBorders>
            <w:shd w:fill="CCEE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646" w:type="dxa"/>
            <w:gridSpan w:val="2"/>
            <w:tcBorders>
              <w:bottom w:val="double" w:sz="8" w:space="0" w:color="000000"/>
            </w:tcBorders>
            <w:shd w:fill="CCEEFF" w:val="clear"/>
            <w:tcMar>
              <w:top w:w="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0.92 </w:t>
            </w:r>
          </w:p>
        </w:tc>
        <w:tc>
          <w:tcPr>
            <w:tcW w:w="424" w:type="dxa"/>
            <w:tcBorders>
              <w:bottom w:val="double" w:sz="8" w:space="0" w:color="000000"/>
            </w:tcBorders>
            <w:shd w:fill="CCEEFF" w:val="clear"/>
            <w:tcMar>
              <w:top w:w="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For the three months ended March 26, 2023 and March 27, 2022, 68,186 and 600,000 shares, respectively, were not considered in the computation of diluted earnings per common share because their inclusion would result in an anti-dilutive effect on per share amounts. For the six months ended March 26, 2023 and March 27, 2022, 68,186 and 600,000 shares, respectively, were not considered in the computation of diluted earnings per common share because their inclusion would result in an anti-dilutive effect on per share amounts.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83"/>
        <w:ind w:left="0" w:right="0" w:hanging="720"/>
        <w:rPr>
          <w:rFonts w:ascii="Arial;sans-serif" w:hAnsi="Arial;sans-serif"/>
          <w:b/>
          <w:color w:val="000000"/>
          <w:sz w:val="20"/>
        </w:rPr>
      </w:pPr>
      <w:r>
        <w:rPr>
          <w:rFonts w:ascii="Arial;sans-serif" w:hAnsi="Arial;sans-serif"/>
          <w:b/>
          <w:color w:val="000000"/>
          <w:sz w:val="20"/>
        </w:rPr>
        <w:t>9    COMMITMENTS AND CONTINGENT LIABILITIES</w:t>
      </w:r>
    </w:p>
    <w:p>
      <w:pPr>
        <w:pStyle w:val="TextBody"/>
        <w:spacing w:lineRule="auto" w:line="288" w:before="200" w:after="283"/>
        <w:jc w:val="both"/>
        <w:rPr>
          <w:rFonts w:ascii="Arial;sans-serif" w:hAnsi="Arial;sans-serif"/>
          <w:b/>
          <w:color w:val="000000"/>
          <w:sz w:val="20"/>
        </w:rPr>
      </w:pPr>
      <w:r>
        <w:rPr>
          <w:rFonts w:ascii="Arial;sans-serif" w:hAnsi="Arial;sans-serif"/>
          <w:b/>
          <w:color w:val="000000"/>
          <w:sz w:val="20"/>
        </w:rPr>
        <w:t>Legal Proceedings</w:t>
      </w:r>
    </w:p>
    <w:p>
      <w:pPr>
        <w:pStyle w:val="TextBody"/>
        <w:spacing w:lineRule="auto" w:line="288" w:before="200" w:after="283"/>
        <w:jc w:val="both"/>
        <w:rPr/>
      </w:pPr>
      <w:r>
        <w:rPr>
          <w:rFonts w:ascii="Arial;sans-serif" w:hAnsi="Arial;sans-serif"/>
          <w:b w:val="false"/>
          <w:color w:val="000000"/>
          <w:sz w:val="20"/>
        </w:rPr>
        <w:t xml:space="preserve">We are involved in a variety of legal actions that arise in the normal course of business. Insurance coverage mitigates potential loss for certain of these matters. While we are unable to predict the ultimate outcome of these legal actions, it is our opinion that the disposition of these matters will </w:t>
      </w:r>
      <w:r>
        <w:rPr>
          <w:rFonts w:ascii="Arial;sans-serif" w:hAnsi="Arial;sans-serif"/>
          <w:b w:val="false"/>
          <w:i/>
          <w:color w:val="000000"/>
          <w:sz w:val="20"/>
        </w:rPr>
        <w:t>not</w:t>
      </w:r>
      <w:r>
        <w:rPr>
          <w:color w:val="000000"/>
        </w:rPr>
        <w:t xml:space="preserve"> </w:t>
      </w:r>
      <w:r>
        <w:rPr>
          <w:rFonts w:ascii="Arial;sans-serif" w:hAnsi="Arial;sans-serif"/>
          <w:b w:val="false"/>
          <w:color w:val="000000"/>
          <w:sz w:val="20"/>
        </w:rPr>
        <w:t>have a material adverse effect on our Consolidated Financial Statements, taken as a whole.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050"/>
                <wp:effectExtent l="0" t="0" r="0" b="0"/>
                <wp:wrapNone/>
                <wp:docPr id="13" name="Frame13"/>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76" w:before="0" w:after="0"/>
                              <w:jc w:val="center"/>
                              <w:rPr>
                                <w:rFonts w:ascii="Arial;sans-serif" w:hAnsi="Arial;sans-serif"/>
                                <w:b w:val="false"/>
                                <w:color w:val="000000"/>
                                <w:sz w:val="20"/>
                              </w:rPr>
                            </w:pPr>
                            <w:r>
                              <w:rPr>
                                <w:rFonts w:ascii="Arial;sans-serif" w:hAnsi="Arial;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Arial;sans-serif" w:hAnsi="Arial;sans-serif"/>
                          <w:b w:val="false"/>
                          <w:color w:val="000000"/>
                          <w:sz w:val="20"/>
                        </w:rPr>
                      </w:pPr>
                      <w:r>
                        <w:rPr>
                          <w:rFonts w:ascii="Arial;sans-serif" w:hAnsi="Arial;sans-serif"/>
                          <w:b w:val="false"/>
                          <w:color w:val="000000"/>
                          <w:sz w:val="20"/>
                        </w:rPr>
                        <w:t>11</w:t>
                      </w:r>
                    </w:p>
                  </w:txbxContent>
                </v:textbox>
              </v:rect>
            </w:pict>
          </mc:Fallback>
        </mc:AlternateContent>
      </w:r>
    </w:p>
    <w:p>
      <w:pPr>
        <w:pStyle w:val="TextBody"/>
        <w:spacing w:before="0" w:after="0"/>
        <w:rPr/>
      </w:pPr>
      <w:r>
        <w:rPr/>
      </w:r>
    </w:p>
    <w:p>
      <w:pPr>
        <w:pStyle w:val="TextBody"/>
        <w:spacing w:lineRule="auto" w:line="288" w:before="200" w:after="283"/>
        <w:ind w:left="0" w:right="0" w:hanging="720"/>
        <w:jc w:val="both"/>
        <w:rPr>
          <w:rFonts w:ascii="Arial;sans-serif" w:hAnsi="Arial;sans-serif"/>
          <w:b/>
          <w:color w:val="000000"/>
          <w:sz w:val="20"/>
        </w:rPr>
      </w:pPr>
      <w:r>
        <w:rPr>
          <w:rFonts w:ascii="Arial;sans-serif" w:hAnsi="Arial;sans-serif"/>
          <w:b/>
          <w:color w:val="000000"/>
          <w:sz w:val="20"/>
        </w:rPr>
        <w:t>Item 2.    Management's Discussion and Analysis of Financial Condition and Results of Operations</w:t>
      </w:r>
    </w:p>
    <w:p>
      <w:pPr>
        <w:pStyle w:val="TextBody"/>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The following discussion includes comments and analysis relating to our results of operations and financial condition as of and for the three months ended March 26, 2023. This discussion should be read in conjunction with the Consolidated Financial Statements and related Notes thereto, included herein, and our 2022 Annual Report on Form 10-K. Statements that are not historical are forward-looking and involve risks and uncertainties. See "Forward-Looking Statements" at the end of this section for further information.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83"/>
        <w:jc w:val="both"/>
        <w:rPr>
          <w:rFonts w:ascii="Arial;sans-serif" w:hAnsi="Arial;sans-serif"/>
          <w:b/>
          <w:color w:val="000000"/>
          <w:sz w:val="20"/>
        </w:rPr>
      </w:pPr>
      <w:r>
        <w:rPr>
          <w:rFonts w:ascii="Arial;sans-serif" w:hAnsi="Arial;sans-serif"/>
          <w:b/>
          <w:color w:val="000000"/>
          <w:sz w:val="20"/>
        </w:rPr>
        <w:t>EXECUTIVE OVERVIEW</w:t>
      </w:r>
    </w:p>
    <w:p>
      <w:pPr>
        <w:pStyle w:val="TextBody"/>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Lee Enterprises, Incorporated is a leading provider of high quality, trusted, local news and information in the markets we serve with rapidly growing digital subscription and advertising platforms.</w:t>
      </w:r>
    </w:p>
    <w:p>
      <w:pPr>
        <w:pStyle w:val="TextBody"/>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We operate 77 principally mid-sized local media operations.</w:t>
      </w:r>
    </w:p>
    <w:p>
      <w:pPr>
        <w:pStyle w:val="TextBody"/>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We reach nearly 70% of all adults in our larger markets through a combination of our print and digital content offerings.</w:t>
      </w:r>
    </w:p>
    <w:p>
      <w:pPr>
        <w:pStyle w:val="TextBody"/>
        <w:spacing w:lineRule="auto" w:line="288" w:before="200" w:after="283"/>
        <w:ind w:left="0" w:right="0" w:hanging="360"/>
        <w:jc w:val="both"/>
        <w:rPr/>
      </w:pPr>
      <w:r>
        <w:rPr>
          <w:color w:val="000000"/>
        </w:rPr>
        <w:t>•</w:t>
      </w:r>
      <w:r>
        <w:rPr>
          <w:rFonts w:ascii="Arial;sans-serif" w:hAnsi="Arial;sans-serif"/>
          <w:b w:val="false"/>
          <w:color w:val="000000"/>
          <w:sz w:val="20"/>
        </w:rPr>
        <w:t>Our web and mobile sites are the number one digital source of local news in most of our markets, reaching almost 38</w:t>
      </w:r>
      <w:r>
        <w:rPr>
          <w:color w:val="000000"/>
          <w:highlight w:val="white"/>
        </w:rPr>
        <w:t xml:space="preserve"> </w:t>
      </w:r>
      <w:r>
        <w:rPr>
          <w:rFonts w:ascii="Arial;sans-serif" w:hAnsi="Arial;sans-serif"/>
          <w:b w:val="false"/>
          <w:color w:val="000000"/>
          <w:sz w:val="20"/>
          <w:highlight w:val="white"/>
        </w:rPr>
        <w:t>m</w:t>
      </w:r>
      <w:r>
        <w:rPr>
          <w:rFonts w:ascii="Arial;sans-serif" w:hAnsi="Arial;sans-serif"/>
          <w:b w:val="false"/>
          <w:color w:val="000000"/>
          <w:sz w:val="20"/>
        </w:rPr>
        <w:t>illion monthly unique visitors in 2023 with 356 million page views and 76 million visits.</w:t>
      </w:r>
    </w:p>
    <w:p>
      <w:pPr>
        <w:pStyle w:val="TextBody"/>
        <w:spacing w:lineRule="auto" w:line="288" w:before="200" w:after="283"/>
        <w:ind w:left="0" w:right="0" w:hanging="360"/>
        <w:jc w:val="both"/>
        <w:rPr/>
      </w:pPr>
      <w:r>
        <w:rPr>
          <w:color w:val="000000"/>
        </w:rPr>
        <w:t>•</w:t>
      </w:r>
      <w:r>
        <w:rPr>
          <w:rFonts w:ascii="Arial;sans-serif" w:hAnsi="Arial;sans-serif"/>
          <w:b w:val="false"/>
          <w:color w:val="000000"/>
          <w:sz w:val="20"/>
        </w:rPr>
        <w:t>We have approximately one million paid subscribers to our print and digital products. Digital-only subscribers totaled approximately 596,000 a 21.0% increase over the prior year.</w:t>
      </w:r>
    </w:p>
    <w:p>
      <w:pPr>
        <w:pStyle w:val="TextBody"/>
        <w:spacing w:lineRule="auto" w:line="288" w:before="200" w:after="283"/>
        <w:jc w:val="both"/>
        <w:rPr/>
      </w:pPr>
      <w:r>
        <w:rPr>
          <w:rFonts w:ascii="Arial;sans-serif" w:hAnsi="Arial;sans-serif"/>
          <w:b w:val="false"/>
          <w:color w:val="000000"/>
          <w:sz w:val="20"/>
        </w:rPr>
        <w:t xml:space="preserve">Our products include daily newspapers, websites and mobile applications, mobile news and advertising, video products, a digital marketing agency, digital services including web hosting and content management, niche publications and community newspapers. Our local media operations range from large daily newspapers and their associated digital products, such as the </w:t>
      </w:r>
      <w:r>
        <w:rPr>
          <w:rFonts w:ascii="Arial;sans-serif" w:hAnsi="Arial;sans-serif"/>
          <w:b w:val="false"/>
          <w:i/>
          <w:color w:val="000000"/>
          <w:sz w:val="20"/>
        </w:rPr>
        <w:t xml:space="preserve">St. Louis Post-Dispatch </w:t>
      </w:r>
      <w:r>
        <w:rPr>
          <w:rFonts w:ascii="Arial;sans-serif" w:hAnsi="Arial;sans-serif"/>
          <w:b w:val="false"/>
          <w:color w:val="000000"/>
          <w:sz w:val="20"/>
        </w:rPr>
        <w:t>and</w:t>
      </w:r>
      <w:r>
        <w:rPr>
          <w:color w:val="000000"/>
        </w:rPr>
        <w:t xml:space="preserve"> </w:t>
      </w:r>
      <w:r>
        <w:rPr>
          <w:rFonts w:ascii="Arial;sans-serif" w:hAnsi="Arial;sans-serif"/>
          <w:b w:val="false"/>
          <w:i/>
          <w:color w:val="000000"/>
          <w:sz w:val="20"/>
        </w:rPr>
        <w:t>the Buffalo News</w:t>
      </w:r>
      <w:r>
        <w:rPr>
          <w:rFonts w:ascii="Arial;sans-serif" w:hAnsi="Arial;sans-serif"/>
          <w:b w:val="false"/>
          <w:color w:val="000000"/>
          <w:sz w:val="20"/>
        </w:rPr>
        <w:t>, to non-daily newspapers with news websites and digital platforms serving smaller communities.</w:t>
      </w:r>
    </w:p>
    <w:p>
      <w:pPr>
        <w:pStyle w:val="TextBody"/>
        <w:spacing w:lineRule="auto" w:line="288" w:before="200" w:after="283"/>
        <w:jc w:val="both"/>
        <w:rPr/>
      </w:pPr>
      <w:r>
        <w:rPr>
          <w:rFonts w:ascii="Arial;sans-serif" w:hAnsi="Arial;sans-serif"/>
          <w:b w:val="false"/>
          <w:color w:val="000000"/>
          <w:sz w:val="20"/>
        </w:rPr>
        <w:t>We also operate Amplified Digital</w:t>
      </w:r>
      <w:r>
        <w:rPr>
          <w:rFonts w:ascii="Arial;sans-serif" w:hAnsi="Arial;sans-serif"/>
          <w:b w:val="false"/>
          <w:color w:val="000000"/>
          <w:sz w:val="13"/>
        </w:rPr>
        <w:t>®</w:t>
      </w:r>
      <w:r>
        <w:rPr>
          <w:rFonts w:ascii="Arial;sans-serif" w:hAnsi="Arial;sans-serif"/>
          <w:b w:val="false"/>
          <w:color w:val="000000"/>
          <w:sz w:val="20"/>
        </w:rPr>
        <w:t>, a full-service digital marketing agency offering omnichannel marketing solutions, audience targeted display, social audience targeting, social media management, email marketing, banners, video streaming and much more. Amplified Digital</w:t>
      </w:r>
      <w:r>
        <w:rPr>
          <w:rFonts w:ascii="Arial;sans-serif" w:hAnsi="Arial;sans-serif"/>
          <w:b w:val="false"/>
          <w:color w:val="000000"/>
          <w:sz w:val="13"/>
        </w:rPr>
        <w:t>®</w:t>
      </w:r>
      <w:r>
        <w:rPr>
          <w:color w:val="000000"/>
        </w:rPr>
        <w:t xml:space="preserve"> </w:t>
      </w:r>
      <w:r>
        <w:rPr>
          <w:rFonts w:ascii="Arial;sans-serif" w:hAnsi="Arial;sans-serif"/>
          <w:b w:val="false"/>
          <w:color w:val="000000"/>
          <w:sz w:val="20"/>
        </w:rPr>
        <w:t>serves more than 4,500 customers in 49 states.</w:t>
      </w:r>
    </w:p>
    <w:p>
      <w:pPr>
        <w:pStyle w:val="TextBody"/>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We also operate BLOX Digital which provides state-of-the-art web hosting, content management services and video management services to nearly 2,200 other media organizations including broadcast.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83"/>
        <w:jc w:val="both"/>
        <w:rPr>
          <w:rFonts w:ascii="Arial;sans-serif" w:hAnsi="Arial;sans-serif"/>
          <w:b/>
          <w:color w:val="000000"/>
          <w:sz w:val="20"/>
        </w:rPr>
      </w:pPr>
      <w:r>
        <w:rPr>
          <w:rFonts w:ascii="Arial;sans-serif" w:hAnsi="Arial;sans-serif"/>
          <w:b/>
          <w:color w:val="000000"/>
          <w:sz w:val="20"/>
        </w:rPr>
        <w:t>STRATEGY</w:t>
      </w:r>
    </w:p>
    <w:p>
      <w:pPr>
        <w:pStyle w:val="TextBody"/>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We are a major subscription and advertising platform, a trusted local news provider and innovative, digitally-focused marketing solutions company. Our focus is on the local market - including local news and information, local advertising and marketing services to top local accounts, and digital services to local content curators. To align with the core strength of our Company, our post-pandemic operating strategy is locally focused around three pillars:</w:t>
      </w:r>
    </w:p>
    <w:p>
      <w:pPr>
        <w:pStyle w:val="TextBody"/>
        <w:spacing w:lineRule="auto" w:line="288" w:before="200" w:after="283"/>
        <w:ind w:left="0" w:right="0" w:hanging="360"/>
        <w:jc w:val="both"/>
        <w:rPr/>
      </w:pPr>
      <w:r>
        <w:rPr>
          <w:color w:val="000000"/>
        </w:rPr>
        <w:t>•</w:t>
      </w:r>
      <w:r>
        <w:rPr>
          <w:rFonts w:ascii="Arial;sans-serif" w:hAnsi="Arial;sans-serif"/>
          <w:b w:val="false"/>
          <w:color w:val="000000"/>
          <w:sz w:val="20"/>
        </w:rPr>
        <w:t>Grow digital audiences by transforming the way we present local news and information</w:t>
      </w:r>
    </w:p>
    <w:p>
      <w:pPr>
        <w:pStyle w:val="TextBody"/>
        <w:spacing w:lineRule="auto" w:line="288" w:before="200" w:after="283"/>
        <w:ind w:left="0" w:right="0" w:hanging="360"/>
        <w:jc w:val="both"/>
        <w:rPr/>
      </w:pPr>
      <w:r>
        <w:rPr>
          <w:color w:val="000000"/>
        </w:rPr>
        <w:t>•</w:t>
      </w:r>
      <w:r>
        <w:rPr>
          <w:rFonts w:ascii="Arial;sans-serif" w:hAnsi="Arial;sans-serif"/>
          <w:b w:val="false"/>
          <w:color w:val="000000"/>
          <w:sz w:val="20"/>
        </w:rPr>
        <w:t>Expand our digital subscription base and revenue through audience growth and continued conversion of our massive digital audiences.</w:t>
      </w:r>
    </w:p>
    <w:p>
      <w:pPr>
        <w:pStyle w:val="TextBody"/>
        <w:spacing w:lineRule="auto" w:line="288" w:before="200" w:after="283"/>
        <w:ind w:left="0" w:right="0" w:hanging="360"/>
        <w:jc w:val="both"/>
        <w:rPr/>
      </w:pPr>
      <w:r>
        <w:rPr>
          <w:color w:val="000000"/>
        </w:rPr>
        <w:t>•</w:t>
      </w:r>
      <w:r>
        <w:rPr>
          <w:rFonts w:ascii="Arial;sans-serif" w:hAnsi="Arial;sans-serif"/>
          <w:b w:val="false"/>
          <w:color w:val="000000"/>
          <w:sz w:val="20"/>
        </w:rPr>
        <w:t>Diversify and expand offerings for advertisers by launching a portfolio of video advertising initiatives and e-commerce sales strategies through Amplified Digital</w:t>
      </w:r>
      <w:r>
        <w:rPr>
          <w:rFonts w:ascii="Arial;sans-serif" w:hAnsi="Arial;sans-serif"/>
          <w:b w:val="false"/>
          <w:color w:val="000000"/>
          <w:sz w:val="13"/>
        </w:rPr>
        <w:t>®</w:t>
      </w:r>
      <w:r>
        <w:rPr>
          <w:color w:val="000000"/>
        </w:rPr>
        <w:t xml:space="preserve"> </w:t>
      </w:r>
      <w:r>
        <w:rPr>
          <w:rFonts w:ascii="Arial;sans-serif" w:hAnsi="Arial;sans-serif"/>
          <w:b w:val="false"/>
          <w:color w:val="000000"/>
          <w:sz w:val="20"/>
        </w:rPr>
        <w:t>that will enable advertisers to leverage our vast data-rich digital audiences and reach consumers in new ways.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050"/>
                <wp:effectExtent l="0" t="0" r="0" b="0"/>
                <wp:wrapNone/>
                <wp:docPr id="14" name="Frame14"/>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76" w:before="0" w:after="0"/>
                              <w:jc w:val="center"/>
                              <w:rPr>
                                <w:rFonts w:ascii="Arial;sans-serif" w:hAnsi="Arial;sans-serif"/>
                                <w:b w:val="false"/>
                                <w:color w:val="000000"/>
                                <w:sz w:val="20"/>
                              </w:rPr>
                            </w:pPr>
                            <w:r>
                              <w:rPr>
                                <w:rFonts w:ascii="Arial;sans-serif" w:hAnsi="Arial;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Arial;sans-serif" w:hAnsi="Arial;sans-serif"/>
                          <w:b w:val="false"/>
                          <w:color w:val="000000"/>
                          <w:sz w:val="20"/>
                        </w:rPr>
                      </w:pPr>
                      <w:r>
                        <w:rPr>
                          <w:rFonts w:ascii="Arial;sans-serif" w:hAnsi="Arial;sans-serif"/>
                          <w:b w:val="false"/>
                          <w:color w:val="000000"/>
                          <w:sz w:val="20"/>
                        </w:rPr>
                        <w:t>12</w:t>
                      </w:r>
                    </w:p>
                  </w:txbxContent>
                </v:textbox>
              </v:rect>
            </w:pict>
          </mc:Fallback>
        </mc:AlternateContent>
      </w:r>
    </w:p>
    <w:p>
      <w:pPr>
        <w:pStyle w:val="TextBody"/>
        <w:spacing w:before="0" w:after="0"/>
        <w:rPr/>
      </w:pPr>
      <w:r>
        <w:rPr/>
      </w:r>
    </w:p>
    <w:p>
      <w:pPr>
        <w:pStyle w:val="TextBody"/>
        <w:spacing w:lineRule="auto" w:line="288" w:before="200" w:after="283"/>
        <w:rPr>
          <w:rFonts w:ascii="Arial;sans-serif" w:hAnsi="Arial;sans-serif"/>
          <w:b/>
          <w:color w:val="000000"/>
          <w:sz w:val="20"/>
        </w:rPr>
      </w:pPr>
      <w:r>
        <w:rPr>
          <w:rFonts w:ascii="Arial;sans-serif" w:hAnsi="Arial;sans-serif"/>
          <w:b/>
          <w:color w:val="000000"/>
          <w:sz w:val="20"/>
        </w:rPr>
        <w:t>RESULTS OF OPERATIONS</w:t>
      </w:r>
    </w:p>
    <w:p>
      <w:pPr>
        <w:pStyle w:val="TextBody"/>
        <w:spacing w:lineRule="auto" w:line="288" w:before="200" w:after="283"/>
        <w:jc w:val="center"/>
        <w:rPr>
          <w:rFonts w:ascii="Arial;sans-serif" w:hAnsi="Arial;sans-serif"/>
          <w:b/>
          <w:color w:val="000000"/>
          <w:sz w:val="20"/>
        </w:rPr>
      </w:pPr>
      <w:r>
        <w:rPr>
          <w:rFonts w:ascii="Arial;sans-serif" w:hAnsi="Arial;sans-serif"/>
          <w:b/>
          <w:color w:val="000000"/>
          <w:sz w:val="20"/>
        </w:rPr>
        <w:t>Three Months Ended March 26, 2023</w:t>
      </w:r>
    </w:p>
    <w:p>
      <w:pPr>
        <w:pStyle w:val="TextBody"/>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Operating results are summarized below.</w:t>
      </w:r>
    </w:p>
    <w:tbl>
      <w:tblPr>
        <w:tblW w:w="8623" w:type="dxa"/>
        <w:jc w:val="left"/>
        <w:tblInd w:w="0" w:type="dxa"/>
        <w:tblCellMar>
          <w:top w:w="28" w:type="dxa"/>
          <w:left w:w="28" w:type="dxa"/>
          <w:bottom w:w="28" w:type="dxa"/>
          <w:right w:w="28" w:type="dxa"/>
        </w:tblCellMar>
      </w:tblPr>
      <w:tblGrid>
        <w:gridCol w:w="1782"/>
        <w:gridCol w:w="1566"/>
        <w:gridCol w:w="1571"/>
        <w:gridCol w:w="427"/>
        <w:gridCol w:w="429"/>
        <w:gridCol w:w="176"/>
        <w:gridCol w:w="427"/>
        <w:gridCol w:w="429"/>
        <w:gridCol w:w="176"/>
        <w:gridCol w:w="384"/>
        <w:gridCol w:w="321"/>
        <w:gridCol w:w="935"/>
      </w:tblGrid>
      <w:tr>
        <w:trPr/>
        <w:tc>
          <w:tcPr>
            <w:tcW w:w="1782" w:type="dxa"/>
            <w:tcBorders/>
            <w:shd w:fill="auto" w:val="clear"/>
            <w:vAlign w:val="center"/>
          </w:tcPr>
          <w:p>
            <w:pPr>
              <w:pStyle w:val="TableContents"/>
              <w:spacing w:before="0" w:after="283"/>
              <w:rPr>
                <w:sz w:val="4"/>
                <w:szCs w:val="4"/>
              </w:rPr>
            </w:pPr>
            <w:r>
              <w:rPr>
                <w:sz w:val="4"/>
                <w:szCs w:val="4"/>
              </w:rPr>
            </w:r>
          </w:p>
        </w:tc>
        <w:tc>
          <w:tcPr>
            <w:tcW w:w="1566" w:type="dxa"/>
            <w:tcBorders/>
            <w:shd w:fill="auto" w:val="clear"/>
            <w:vAlign w:val="center"/>
          </w:tcPr>
          <w:p>
            <w:pPr>
              <w:pStyle w:val="TableContents"/>
              <w:spacing w:before="0" w:after="283"/>
              <w:rPr>
                <w:sz w:val="4"/>
                <w:szCs w:val="4"/>
              </w:rPr>
            </w:pPr>
            <w:r>
              <w:rPr>
                <w:sz w:val="4"/>
                <w:szCs w:val="4"/>
              </w:rPr>
            </w:r>
          </w:p>
        </w:tc>
        <w:tc>
          <w:tcPr>
            <w:tcW w:w="1571" w:type="dxa"/>
            <w:tcBorders/>
            <w:shd w:fill="auto" w:val="clear"/>
            <w:vAlign w:val="center"/>
          </w:tcPr>
          <w:p>
            <w:pPr>
              <w:pStyle w:val="TableContents"/>
              <w:spacing w:before="0" w:after="283"/>
              <w:rPr>
                <w:sz w:val="4"/>
                <w:szCs w:val="4"/>
              </w:rPr>
            </w:pPr>
            <w:r>
              <w:rPr>
                <w:sz w:val="4"/>
                <w:szCs w:val="4"/>
              </w:rPr>
            </w:r>
          </w:p>
        </w:tc>
        <w:tc>
          <w:tcPr>
            <w:tcW w:w="427" w:type="dxa"/>
            <w:tcBorders/>
            <w:shd w:fill="auto" w:val="clear"/>
            <w:vAlign w:val="center"/>
          </w:tcPr>
          <w:p>
            <w:pPr>
              <w:pStyle w:val="TableContents"/>
              <w:spacing w:before="0" w:after="283"/>
              <w:rPr>
                <w:sz w:val="4"/>
                <w:szCs w:val="4"/>
              </w:rPr>
            </w:pPr>
            <w:r>
              <w:rPr>
                <w:sz w:val="4"/>
                <w:szCs w:val="4"/>
              </w:rPr>
            </w:r>
          </w:p>
        </w:tc>
        <w:tc>
          <w:tcPr>
            <w:tcW w:w="429"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427" w:type="dxa"/>
            <w:tcBorders/>
            <w:shd w:fill="auto" w:val="clear"/>
            <w:vAlign w:val="center"/>
          </w:tcPr>
          <w:p>
            <w:pPr>
              <w:pStyle w:val="TableContents"/>
              <w:spacing w:before="0" w:after="283"/>
              <w:rPr>
                <w:sz w:val="4"/>
                <w:szCs w:val="4"/>
              </w:rPr>
            </w:pPr>
            <w:r>
              <w:rPr>
                <w:sz w:val="4"/>
                <w:szCs w:val="4"/>
              </w:rPr>
            </w:r>
          </w:p>
        </w:tc>
        <w:tc>
          <w:tcPr>
            <w:tcW w:w="429"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384" w:type="dxa"/>
            <w:tcBorders/>
            <w:shd w:fill="auto" w:val="clear"/>
            <w:vAlign w:val="center"/>
          </w:tcPr>
          <w:p>
            <w:pPr>
              <w:pStyle w:val="TableContents"/>
              <w:spacing w:before="0" w:after="283"/>
              <w:rPr>
                <w:sz w:val="4"/>
                <w:szCs w:val="4"/>
              </w:rPr>
            </w:pPr>
            <w:r>
              <w:rPr>
                <w:sz w:val="4"/>
                <w:szCs w:val="4"/>
              </w:rPr>
            </w:r>
          </w:p>
        </w:tc>
        <w:tc>
          <w:tcPr>
            <w:tcW w:w="321" w:type="dxa"/>
            <w:tcBorders/>
            <w:shd w:fill="auto" w:val="clear"/>
            <w:vAlign w:val="center"/>
          </w:tcPr>
          <w:p>
            <w:pPr>
              <w:pStyle w:val="TableContents"/>
              <w:spacing w:before="0" w:after="283"/>
              <w:rPr>
                <w:sz w:val="4"/>
                <w:szCs w:val="4"/>
              </w:rPr>
            </w:pPr>
            <w:r>
              <w:rPr>
                <w:sz w:val="4"/>
                <w:szCs w:val="4"/>
              </w:rPr>
            </w:r>
          </w:p>
        </w:tc>
        <w:tc>
          <w:tcPr>
            <w:tcW w:w="935" w:type="dxa"/>
            <w:tcBorders/>
            <w:shd w:fill="auto" w:val="clear"/>
            <w:vAlign w:val="center"/>
          </w:tcPr>
          <w:p>
            <w:pPr>
              <w:pStyle w:val="TableContents"/>
              <w:spacing w:before="0" w:after="283"/>
              <w:rPr>
                <w:sz w:val="4"/>
                <w:szCs w:val="4"/>
              </w:rPr>
            </w:pPr>
            <w:r>
              <w:rPr>
                <w:sz w:val="4"/>
                <w:szCs w:val="4"/>
              </w:rPr>
            </w:r>
          </w:p>
        </w:tc>
      </w:tr>
      <w:tr>
        <w:trPr/>
        <w:tc>
          <w:tcPr>
            <w:tcW w:w="491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(Thousands of Dollars, Except Per Common Share Data)</w:t>
            </w:r>
          </w:p>
        </w:tc>
        <w:tc>
          <w:tcPr>
            <w:tcW w:w="103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2023</w:t>
            </w:r>
          </w:p>
        </w:tc>
        <w:tc>
          <w:tcPr>
            <w:tcW w:w="103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2022</w:t>
            </w:r>
          </w:p>
        </w:tc>
        <w:tc>
          <w:tcPr>
            <w:tcW w:w="164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Percent Change</w:t>
            </w:r>
          </w:p>
        </w:tc>
      </w:tr>
      <w:tr>
        <w:trPr/>
        <w:tc>
          <w:tcPr>
            <w:tcW w:w="491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3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3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64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9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revenue:</w:t>
            </w:r>
          </w:p>
        </w:tc>
        <w:tc>
          <w:tcPr>
            <w:tcW w:w="103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4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Print advertising revenue</w:t>
            </w:r>
          </w:p>
        </w:tc>
        <w:tc>
          <w:tcPr>
            <w:tcW w:w="8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31,450 </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44,248 </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(28.9)</w:t>
            </w:r>
          </w:p>
        </w:tc>
        <w:tc>
          <w:tcPr>
            <w:tcW w:w="93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9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Digital advertising revenue</w:t>
            </w:r>
          </w:p>
        </w:tc>
        <w:tc>
          <w:tcPr>
            <w:tcW w:w="8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46,250 </w:t>
            </w:r>
          </w:p>
        </w:tc>
        <w:tc>
          <w:tcPr>
            <w:tcW w:w="1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43,385 </w:t>
            </w:r>
          </w:p>
        </w:tc>
        <w:tc>
          <w:tcPr>
            <w:tcW w:w="1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6.6 </w:t>
            </w:r>
          </w:p>
        </w:tc>
        <w:tc>
          <w:tcPr>
            <w:tcW w:w="93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919"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Advertising and marketing services revenue</w:t>
            </w:r>
          </w:p>
        </w:tc>
        <w:tc>
          <w:tcPr>
            <w:tcW w:w="85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77,700 </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87,633 </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705"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(11.3)</w:t>
            </w:r>
          </w:p>
        </w:tc>
        <w:tc>
          <w:tcPr>
            <w:tcW w:w="935"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91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Print subscription revenue</w:t>
            </w:r>
          </w:p>
        </w:tc>
        <w:tc>
          <w:tcPr>
            <w:tcW w:w="85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64,586 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77,255 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70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(16.4)</w:t>
            </w:r>
          </w:p>
        </w:tc>
        <w:tc>
          <w:tcPr>
            <w:tcW w:w="93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9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Digital subscription revenue</w:t>
            </w:r>
          </w:p>
        </w:tc>
        <w:tc>
          <w:tcPr>
            <w:tcW w:w="8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13,996 </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10,093 </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38.7 </w:t>
            </w:r>
          </w:p>
        </w:tc>
        <w:tc>
          <w:tcPr>
            <w:tcW w:w="93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91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Subscription revenue</w:t>
            </w:r>
          </w:p>
        </w:tc>
        <w:tc>
          <w:tcPr>
            <w:tcW w:w="85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78,582 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87,348 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70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w:t>
            </w:r>
          </w:p>
        </w:tc>
        <w:tc>
          <w:tcPr>
            <w:tcW w:w="93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919"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Print other revenue</w:t>
            </w:r>
          </w:p>
        </w:tc>
        <w:tc>
          <w:tcPr>
            <w:tcW w:w="85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9,649 </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10,374 </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705"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w:t>
            </w:r>
          </w:p>
        </w:tc>
        <w:tc>
          <w:tcPr>
            <w:tcW w:w="935"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9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Digital other revenue</w:t>
            </w:r>
          </w:p>
        </w:tc>
        <w:tc>
          <w:tcPr>
            <w:tcW w:w="8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4,756 </w:t>
            </w:r>
          </w:p>
        </w:tc>
        <w:tc>
          <w:tcPr>
            <w:tcW w:w="1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4,659 </w:t>
            </w:r>
          </w:p>
        </w:tc>
        <w:tc>
          <w:tcPr>
            <w:tcW w:w="1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2.1 </w:t>
            </w:r>
          </w:p>
        </w:tc>
        <w:tc>
          <w:tcPr>
            <w:tcW w:w="93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919"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revenue</w:t>
            </w:r>
          </w:p>
        </w:tc>
        <w:tc>
          <w:tcPr>
            <w:tcW w:w="85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14,405 </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15,033 </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705"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w:t>
            </w:r>
          </w:p>
        </w:tc>
        <w:tc>
          <w:tcPr>
            <w:tcW w:w="935"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91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operating revenue</w:t>
            </w:r>
          </w:p>
        </w:tc>
        <w:tc>
          <w:tcPr>
            <w:tcW w:w="85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170,687 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190,014 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70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(10.2)</w:t>
            </w:r>
          </w:p>
        </w:tc>
        <w:tc>
          <w:tcPr>
            <w:tcW w:w="93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919"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expenses:</w:t>
            </w:r>
          </w:p>
        </w:tc>
        <w:tc>
          <w:tcPr>
            <w:tcW w:w="1032"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32"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640"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9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Compensation</w:t>
            </w:r>
          </w:p>
        </w:tc>
        <w:tc>
          <w:tcPr>
            <w:tcW w:w="8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68,831 </w:t>
            </w:r>
          </w:p>
        </w:tc>
        <w:tc>
          <w:tcPr>
            <w:tcW w:w="1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83,513 </w:t>
            </w:r>
          </w:p>
        </w:tc>
        <w:tc>
          <w:tcPr>
            <w:tcW w:w="1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(17.6)</w:t>
            </w:r>
          </w:p>
        </w:tc>
        <w:tc>
          <w:tcPr>
            <w:tcW w:w="93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9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Newsprint and ink</w:t>
            </w:r>
          </w:p>
        </w:tc>
        <w:tc>
          <w:tcPr>
            <w:tcW w:w="8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6,466 </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7,068 </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w:t>
            </w:r>
          </w:p>
        </w:tc>
        <w:tc>
          <w:tcPr>
            <w:tcW w:w="93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9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operating expenses</w:t>
            </w:r>
          </w:p>
        </w:tc>
        <w:tc>
          <w:tcPr>
            <w:tcW w:w="8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82,569 </w:t>
            </w:r>
          </w:p>
        </w:tc>
        <w:tc>
          <w:tcPr>
            <w:tcW w:w="1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84,679 </w:t>
            </w:r>
          </w:p>
        </w:tc>
        <w:tc>
          <w:tcPr>
            <w:tcW w:w="1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w:t>
            </w:r>
          </w:p>
        </w:tc>
        <w:tc>
          <w:tcPr>
            <w:tcW w:w="93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9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Depreciation and amortization</w:t>
            </w:r>
          </w:p>
        </w:tc>
        <w:tc>
          <w:tcPr>
            <w:tcW w:w="8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7,733 </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8,951 </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(13.6)</w:t>
            </w:r>
          </w:p>
        </w:tc>
        <w:tc>
          <w:tcPr>
            <w:tcW w:w="93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9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Assets gain on sales, impairments and other, net</w:t>
            </w:r>
          </w:p>
        </w:tc>
        <w:tc>
          <w:tcPr>
            <w:tcW w:w="8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(792)</w:t>
            </w:r>
          </w:p>
        </w:tc>
        <w:tc>
          <w:tcPr>
            <w:tcW w:w="1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(152)</w:t>
            </w:r>
          </w:p>
        </w:tc>
        <w:tc>
          <w:tcPr>
            <w:tcW w:w="1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421.1 </w:t>
            </w:r>
          </w:p>
        </w:tc>
        <w:tc>
          <w:tcPr>
            <w:tcW w:w="93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9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Restructuring costs and other</w:t>
            </w:r>
          </w:p>
        </w:tc>
        <w:tc>
          <w:tcPr>
            <w:tcW w:w="8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3,694 </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10,590 </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(65.1)</w:t>
            </w:r>
          </w:p>
        </w:tc>
        <w:tc>
          <w:tcPr>
            <w:tcW w:w="93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91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operating expenses</w:t>
            </w:r>
          </w:p>
        </w:tc>
        <w:tc>
          <w:tcPr>
            <w:tcW w:w="85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168,501 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194,649 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70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(13.4)</w:t>
            </w:r>
          </w:p>
        </w:tc>
        <w:tc>
          <w:tcPr>
            <w:tcW w:w="93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9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Equity in earnings of associated companies</w:t>
            </w:r>
          </w:p>
        </w:tc>
        <w:tc>
          <w:tcPr>
            <w:tcW w:w="8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672 </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1,407 </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(52.2)</w:t>
            </w:r>
          </w:p>
        </w:tc>
        <w:tc>
          <w:tcPr>
            <w:tcW w:w="93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91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income (loss)</w:t>
            </w:r>
          </w:p>
        </w:tc>
        <w:tc>
          <w:tcPr>
            <w:tcW w:w="85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2,858 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(3,228)</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70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(188.5)</w:t>
            </w:r>
          </w:p>
        </w:tc>
        <w:tc>
          <w:tcPr>
            <w:tcW w:w="93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919"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Non-operating income (expense):</w:t>
            </w:r>
          </w:p>
        </w:tc>
        <w:tc>
          <w:tcPr>
            <w:tcW w:w="1032"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32"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640"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9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expense</w:t>
            </w:r>
          </w:p>
        </w:tc>
        <w:tc>
          <w:tcPr>
            <w:tcW w:w="8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(10,501)</w:t>
            </w:r>
          </w:p>
        </w:tc>
        <w:tc>
          <w:tcPr>
            <w:tcW w:w="1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(10,523)</w:t>
            </w:r>
          </w:p>
        </w:tc>
        <w:tc>
          <w:tcPr>
            <w:tcW w:w="1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(0.2)</w:t>
            </w:r>
          </w:p>
        </w:tc>
        <w:tc>
          <w:tcPr>
            <w:tcW w:w="93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9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Pension withdrawal cost</w:t>
            </w:r>
          </w:p>
        </w:tc>
        <w:tc>
          <w:tcPr>
            <w:tcW w:w="8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(2,335)</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(100.0)</w:t>
            </w:r>
          </w:p>
        </w:tc>
        <w:tc>
          <w:tcPr>
            <w:tcW w:w="93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9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Pension and OPEB related benefit (cost) and other, net</w:t>
            </w:r>
          </w:p>
        </w:tc>
        <w:tc>
          <w:tcPr>
            <w:tcW w:w="8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206 </w:t>
            </w:r>
          </w:p>
        </w:tc>
        <w:tc>
          <w:tcPr>
            <w:tcW w:w="1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6,248 </w:t>
            </w:r>
          </w:p>
        </w:tc>
        <w:tc>
          <w:tcPr>
            <w:tcW w:w="1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(96.7)</w:t>
            </w:r>
          </w:p>
        </w:tc>
        <w:tc>
          <w:tcPr>
            <w:tcW w:w="93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919"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non-operating expense, net</w:t>
            </w:r>
          </w:p>
        </w:tc>
        <w:tc>
          <w:tcPr>
            <w:tcW w:w="85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(10,295)</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(6,610)</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705"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55.7 </w:t>
            </w:r>
          </w:p>
        </w:tc>
        <w:tc>
          <w:tcPr>
            <w:tcW w:w="935"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91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(Loss) income before income taxes</w:t>
            </w:r>
          </w:p>
        </w:tc>
        <w:tc>
          <w:tcPr>
            <w:tcW w:w="85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(7,437)</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(9,838)</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70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(24.4)</w:t>
            </w:r>
          </w:p>
        </w:tc>
        <w:tc>
          <w:tcPr>
            <w:tcW w:w="93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9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tax (benefit) expense</w:t>
            </w:r>
          </w:p>
        </w:tc>
        <w:tc>
          <w:tcPr>
            <w:tcW w:w="8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(2,071)</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(3,144)</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(34.1)</w:t>
            </w:r>
          </w:p>
        </w:tc>
        <w:tc>
          <w:tcPr>
            <w:tcW w:w="93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91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Loss</w:t>
            </w:r>
          </w:p>
        </w:tc>
        <w:tc>
          <w:tcPr>
            <w:tcW w:w="85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(5,366)</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(6,694)</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70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(19.8)</w:t>
            </w:r>
          </w:p>
        </w:tc>
        <w:tc>
          <w:tcPr>
            <w:tcW w:w="93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919"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32"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32"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640"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9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Earnings (loss) per common share:</w:t>
            </w:r>
          </w:p>
        </w:tc>
        <w:tc>
          <w:tcPr>
            <w:tcW w:w="103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4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Basic</w:t>
            </w:r>
          </w:p>
        </w:tc>
        <w:tc>
          <w:tcPr>
            <w:tcW w:w="8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(1.26)</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19.8 </w:t>
            </w:r>
          </w:p>
        </w:tc>
        <w:tc>
          <w:tcPr>
            <w:tcW w:w="93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919" w:type="dxa"/>
            <w:gridSpan w:val="3"/>
            <w:tcBorders>
              <w:bottom w:val="single" w:sz="8" w:space="0" w:color="000000"/>
            </w:tcBorders>
            <w:shd w:fill="CCEEFF" w:val="clear"/>
            <w:tcMar>
              <w:top w:w="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Diluted</w:t>
            </w:r>
          </w:p>
        </w:tc>
        <w:tc>
          <w:tcPr>
            <w:tcW w:w="856" w:type="dxa"/>
            <w:gridSpan w:val="2"/>
            <w:tcBorders>
              <w:bottom w:val="single" w:sz="8" w:space="0" w:color="000000"/>
            </w:tcBorders>
            <w:shd w:fill="CCEEFF" w:val="clear"/>
            <w:tcMar>
              <w:top w:w="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w:t>
            </w:r>
          </w:p>
        </w:tc>
        <w:tc>
          <w:tcPr>
            <w:tcW w:w="176" w:type="dxa"/>
            <w:tcBorders>
              <w:bottom w:val="single" w:sz="8" w:space="0" w:color="000000"/>
            </w:tcBorders>
            <w:shd w:fill="CCEE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856" w:type="dxa"/>
            <w:gridSpan w:val="2"/>
            <w:tcBorders>
              <w:bottom w:val="single" w:sz="8" w:space="0" w:color="000000"/>
            </w:tcBorders>
            <w:shd w:fill="CCEEFF" w:val="clear"/>
            <w:tcMar>
              <w:top w:w="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(1.26)</w:t>
            </w:r>
          </w:p>
        </w:tc>
        <w:tc>
          <w:tcPr>
            <w:tcW w:w="176" w:type="dxa"/>
            <w:tcBorders>
              <w:bottom w:val="single" w:sz="8" w:space="0" w:color="000000"/>
            </w:tcBorders>
            <w:shd w:fill="CCEE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705" w:type="dxa"/>
            <w:gridSpan w:val="2"/>
            <w:tcBorders>
              <w:bottom w:val="single" w:sz="8" w:space="0" w:color="000000"/>
            </w:tcBorders>
            <w:shd w:fill="CCEEFF" w:val="clear"/>
            <w:tcMar>
              <w:top w:w="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19.8 </w:t>
            </w:r>
          </w:p>
        </w:tc>
        <w:tc>
          <w:tcPr>
            <w:tcW w:w="935" w:type="dxa"/>
            <w:tcBorders>
              <w:bottom w:val="single" w:sz="8" w:space="0" w:color="000000"/>
            </w:tcBorders>
            <w:shd w:fill="CCEEFF" w:val="clear"/>
            <w:tcMar>
              <w:top w:w="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bl>
    <w:p>
      <w:pPr>
        <w:pStyle w:val="TextBody"/>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References to the “2023 Quarter” refer to the three months ended March 26, 2023. Similarly, references to the “2022 Quarter” refer to the three months ended March 27, 2022.</w:t>
      </w:r>
    </w:p>
    <w:p>
      <w:pPr>
        <w:pStyle w:val="TextBody"/>
        <w:spacing w:lineRule="auto" w:line="288" w:before="200" w:after="283"/>
        <w:jc w:val="center"/>
        <w:rPr>
          <w:rFonts w:ascii="Arial;sans-serif" w:hAnsi="Arial;sans-serif"/>
          <w:b/>
          <w:color w:val="000000"/>
          <w:sz w:val="20"/>
        </w:rPr>
      </w:pPr>
      <w:r>
        <w:rPr>
          <w:rFonts w:ascii="Arial;sans-serif" w:hAnsi="Arial;sans-serif"/>
          <w:b/>
          <w:color w:val="000000"/>
          <w:sz w:val="20"/>
        </w:rPr>
        <w:t>Operating Revenue</w:t>
      </w:r>
    </w:p>
    <w:p>
      <w:pPr>
        <w:pStyle w:val="TextBody"/>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Total operating revenue was $170.7 million in the 2023 Quarter, down $19.3 million, or 10.2%, compared to the prior year.</w:t>
      </w:r>
    </w:p>
    <w:p>
      <w:pPr>
        <w:pStyle w:val="HorizontalLine"/>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050"/>
                <wp:effectExtent l="0" t="0" r="0" b="0"/>
                <wp:wrapNone/>
                <wp:docPr id="15" name="Frame15"/>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76" w:before="0" w:after="0"/>
                              <w:jc w:val="center"/>
                              <w:rPr>
                                <w:rFonts w:ascii="Arial;sans-serif" w:hAnsi="Arial;sans-serif"/>
                                <w:b w:val="false"/>
                                <w:color w:val="000000"/>
                                <w:sz w:val="20"/>
                              </w:rPr>
                            </w:pPr>
                            <w:r>
                              <w:rPr>
                                <w:rFonts w:ascii="Arial;sans-serif" w:hAnsi="Arial;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Arial;sans-serif" w:hAnsi="Arial;sans-serif"/>
                          <w:b w:val="false"/>
                          <w:color w:val="000000"/>
                          <w:sz w:val="20"/>
                        </w:rPr>
                      </w:pPr>
                      <w:r>
                        <w:rPr>
                          <w:rFonts w:ascii="Arial;sans-serif" w:hAnsi="Arial;sans-serif"/>
                          <w:b w:val="false"/>
                          <w:color w:val="000000"/>
                          <w:sz w:val="20"/>
                        </w:rPr>
                        <w:t>13</w:t>
                      </w:r>
                    </w:p>
                  </w:txbxContent>
                </v:textbox>
              </v:rect>
            </w:pict>
          </mc:Fallback>
        </mc:AlternateContent>
      </w:r>
    </w:p>
    <w:p>
      <w:pPr>
        <w:pStyle w:val="TextBody"/>
        <w:spacing w:before="0" w:after="0"/>
        <w:rPr/>
      </w:pPr>
      <w:r>
        <w:rPr/>
      </w:r>
    </w:p>
    <w:p>
      <w:pPr>
        <w:pStyle w:val="TextBody"/>
        <w:spacing w:lineRule="auto" w:line="288" w:before="200" w:after="283"/>
        <w:jc w:val="both"/>
        <w:rPr/>
      </w:pPr>
      <w:r>
        <w:rPr>
          <w:rFonts w:ascii="Arial;sans-serif" w:hAnsi="Arial;sans-serif"/>
          <w:b w:val="false"/>
          <w:color w:val="000000"/>
          <w:sz w:val="20"/>
        </w:rPr>
        <w:t>Advertising and marketing services revenue totaled $77.7 million in the 2023 Quarter, down 11.3% compared to the 2022 Quarter. Advertising revenue, print and digital, was adversely affected by a wide spread pull back in advertising spending. Print advertising revenues were $31.5 million in the 2023 Quarter, down 28.9% compared to the 2022 Quarter due to the soft advertising environment and a continued secular declines in demand for print advertising. Digital advertising and marketing services totaled $46.3 million in the 2023 Quarter, up 6.6% compared to the 2022 Quarter. These gains resulted from an increase in Amplified Digital</w:t>
      </w:r>
      <w:r>
        <w:rPr>
          <w:rFonts w:ascii="Arial;sans-serif" w:hAnsi="Arial;sans-serif"/>
          <w:b w:val="false"/>
          <w:color w:val="000000"/>
          <w:sz w:val="13"/>
        </w:rPr>
        <w:t>®</w:t>
      </w:r>
      <w:r>
        <w:rPr>
          <w:color w:val="000000"/>
        </w:rPr>
        <w:t xml:space="preserve"> </w:t>
      </w:r>
      <w:r>
        <w:rPr>
          <w:rFonts w:ascii="Arial;sans-serif" w:hAnsi="Arial;sans-serif"/>
          <w:b w:val="false"/>
          <w:color w:val="000000"/>
          <w:sz w:val="20"/>
        </w:rPr>
        <w:t>revenue. Digital advertising and marketing services represented 59.5% of the 2023 Quarter total advertising and marketing services revenue, compared to 49.5% in the same period last year.</w:t>
      </w:r>
    </w:p>
    <w:p>
      <w:pPr>
        <w:pStyle w:val="TextBody"/>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Subscription revenue totaled $78.6 million in the 2023 Quarter, down 10.0% compared to the 2022 Quarter. Decline in full access volume, consistent with historical and industry trends was partially offset by selective price increases on our full access subscriptions, growth in digital-only subscribers and price increases on digital subscriptions. Digital-only subscribers grew 21.0% since the 2023 Quarter and now total 596,000, and revenue from digital-only subscribers totaled $14.0 million, up 38.7% compared to the 2022 Quarter.</w:t>
      </w:r>
    </w:p>
    <w:p>
      <w:pPr>
        <w:pStyle w:val="TextBody"/>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Other revenue, which primarily consists of commercial printing revenue and digital services from BLOX Digital, decreased $0.6 million, or 4.2%, in the 2023 Quarter compared to the 2022 Quarter. Digital services revenue totaled $4.8 million in the 2023 Quarter, a 2.1% increase compared to the 2022 Quarter. Commercial printing revenue totaled $4.8 million in the 2023 Quarter, a 7.4% decrease compared to the 2022 Quarter, primarily driven by reduction in print volumes from our partners.</w:t>
      </w:r>
    </w:p>
    <w:p>
      <w:pPr>
        <w:pStyle w:val="TextBody"/>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Total digital revenue including digital advertising revenue, digital subscription revenue and digital services revenue totaled $65.0 million in the 2023 Quarter, an increase of 11.8% over the 2022 Quarter, and represented 38.1% of our total operating revenue in the 2023 Quarter.</w:t>
      </w:r>
    </w:p>
    <w:p>
      <w:pPr>
        <w:pStyle w:val="TextBody"/>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Equity in earnings of TNI and MNI decreased 0.7 in the 2023 Quarter.</w:t>
      </w:r>
    </w:p>
    <w:p>
      <w:pPr>
        <w:pStyle w:val="TextBody"/>
        <w:spacing w:lineRule="auto" w:line="288" w:before="200" w:after="283"/>
        <w:jc w:val="center"/>
        <w:rPr>
          <w:rFonts w:ascii="Arial;sans-serif" w:hAnsi="Arial;sans-serif"/>
          <w:b/>
          <w:color w:val="000000"/>
          <w:sz w:val="20"/>
        </w:rPr>
      </w:pPr>
      <w:r>
        <w:rPr>
          <w:rFonts w:ascii="Arial;sans-serif" w:hAnsi="Arial;sans-serif"/>
          <w:b/>
          <w:color w:val="000000"/>
          <w:sz w:val="20"/>
        </w:rPr>
        <w:t>Operating Expenses</w:t>
      </w:r>
    </w:p>
    <w:p>
      <w:pPr>
        <w:pStyle w:val="TextBody"/>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Total operating expenses were $168.5 million in the 2023 Quarter, a 13.4% decrease compared to the 2022 Quarter. Cash Costs, a non-GAAP financial measure used to summarize certain operating expense (see reconciliation of non-GAAP financial measures below), were down 9.9% in the 2023 Quarter.</w:t>
      </w:r>
    </w:p>
    <w:p>
      <w:pPr>
        <w:pStyle w:val="TextBody"/>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Compensation expense decreased $14.7 million in the 2023 Quarter, or 17.6%, compared to the 2022 Quarter from reductions in headcount due to continued business transformation efforts, partially offset by investments in digital talent.</w:t>
      </w:r>
    </w:p>
    <w:p>
      <w:pPr>
        <w:pStyle w:val="TextBody"/>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Newsprint and ink costs decreased $0.6 in the 2023 Quarter, or 8.5%, compared to the 2022 Quarter. The decrease is attributable to declines in newsprint volumes offset by higher newsprint prices. See Item 3, “Commodities”, included herein, for further discussion and analysis of the impact of newsprint on our business.</w:t>
      </w:r>
    </w:p>
    <w:p>
      <w:pPr>
        <w:pStyle w:val="TextBody"/>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Other operating expenses decreased $2.1 in the 2023 Quarter, or 2.5%, compared to the 2022 Quarter. Other operating expenses include all operating costs not considered to be compensation, newsprint, depreciation and amortization, or restructuring costs and assets loss on sales, impairments, and other, net. The largest components are costs associated with printing and distribution of our printed products, digital costs of goods sold and facility expenses. The decrease is attributable to lower delivery and other print-related costs due to lower volumes of our print editions partially offset by investments to fund our digital growth strategy.</w:t>
      </w:r>
    </w:p>
    <w:p>
      <w:pPr>
        <w:pStyle w:val="TextBody"/>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Restructuring costs and other totaled $3.7 million and $10.6 million in the 2023 Quarter and 2022 Quarter, respectively. Restructuring costs and other include severance costs, litigation expenses, restructuring expenses, and advisor expenses. Restructuring costs in the 2023 Quarter are predominately severance related to our ongoing business transformation, while restructuring costs In the 2022 quarter also include costs associated with the unsolicited offer in November 2021.</w:t>
      </w:r>
    </w:p>
    <w:p>
      <w:pPr>
        <w:pStyle w:val="TextBody"/>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Depreciation and amortization expense decreased $1.2 million, or 13.6%, in the 2023 Quarter. The decrease in both is attributable to assets becoming fully depreciated or amortized.</w:t>
      </w:r>
    </w:p>
    <w:p>
      <w:pPr>
        <w:pStyle w:val="TextBody"/>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Assets gain on sales, impairments and other, was a net gain of $0.8 million in the 2023 Quarter compared to a net gain of $0.2 million in the 2022 Quarter. Assets gain on sales, impairments and other in the 2023 Quarter and in the 2022 Quarter were the result of the disposition of non-core assets, including real estate.</w:t>
      </w:r>
    </w:p>
    <w:p>
      <w:pPr>
        <w:pStyle w:val="HorizontalLine"/>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050"/>
                <wp:effectExtent l="0" t="0" r="0" b="0"/>
                <wp:wrapNone/>
                <wp:docPr id="16" name="Frame16"/>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76" w:before="0" w:after="0"/>
                              <w:jc w:val="center"/>
                              <w:rPr>
                                <w:rFonts w:ascii="Arial;sans-serif" w:hAnsi="Arial;sans-serif"/>
                                <w:b w:val="false"/>
                                <w:color w:val="000000"/>
                                <w:sz w:val="20"/>
                              </w:rPr>
                            </w:pPr>
                            <w:r>
                              <w:rPr>
                                <w:rFonts w:ascii="Arial;sans-serif" w:hAnsi="Arial;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Arial;sans-serif" w:hAnsi="Arial;sans-serif"/>
                          <w:b w:val="false"/>
                          <w:color w:val="000000"/>
                          <w:sz w:val="20"/>
                        </w:rPr>
                      </w:pPr>
                      <w:r>
                        <w:rPr>
                          <w:rFonts w:ascii="Arial;sans-serif" w:hAnsi="Arial;sans-serif"/>
                          <w:b w:val="false"/>
                          <w:color w:val="000000"/>
                          <w:sz w:val="20"/>
                        </w:rPr>
                        <w:t>14</w:t>
                      </w:r>
                    </w:p>
                  </w:txbxContent>
                </v:textbox>
              </v:rect>
            </w:pict>
          </mc:Fallback>
        </mc:AlternateContent>
      </w:r>
    </w:p>
    <w:p>
      <w:pPr>
        <w:pStyle w:val="TextBody"/>
        <w:spacing w:before="0" w:after="0"/>
        <w:rPr/>
      </w:pPr>
      <w:r>
        <w:rPr/>
      </w:r>
    </w:p>
    <w:p>
      <w:pPr>
        <w:pStyle w:val="TextBody"/>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The factors noted above resulted in an operating income of $2.9 million in the 2023 Quarter compared to an operating loss of $3.2 million in the 2022 Quarter.</w:t>
      </w:r>
    </w:p>
    <w:p>
      <w:pPr>
        <w:pStyle w:val="TextBody"/>
        <w:spacing w:lineRule="auto" w:line="288" w:before="200" w:after="283"/>
        <w:jc w:val="center"/>
        <w:rPr>
          <w:rFonts w:ascii="Arial;sans-serif" w:hAnsi="Arial;sans-serif"/>
          <w:b/>
          <w:color w:val="000000"/>
          <w:sz w:val="20"/>
        </w:rPr>
      </w:pPr>
      <w:r>
        <w:rPr>
          <w:rFonts w:ascii="Arial;sans-serif" w:hAnsi="Arial;sans-serif"/>
          <w:b/>
          <w:color w:val="000000"/>
          <w:sz w:val="20"/>
        </w:rPr>
        <w:t>Non-operating Income and Expense</w:t>
      </w:r>
    </w:p>
    <w:p>
      <w:pPr>
        <w:pStyle w:val="TextBody"/>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Interest expense was flat at $10.5 million in the 2023 Quarter, compared to the same period last year. Our weighted average cost of debt was 9.0% at the end of the 2023 Quarter and 2022 Quarter.</w:t>
      </w:r>
    </w:p>
    <w:p>
      <w:pPr>
        <w:pStyle w:val="TextBody"/>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 xml:space="preserve">Other non-operating income and expense consists of benefits associated with our pension and other postretirement plans and the fair value adjustment of our Warrants. We recorded $0.3 million periodic pension and other postretirement benefits in the 2023 Quarter compared to $3.6 million in the 2022 Quarter. </w:t>
      </w:r>
    </w:p>
    <w:p>
      <w:pPr>
        <w:pStyle w:val="TextBody"/>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We recognized pension withdrawal costs in the 2022 Quarter of $2.3 million, in connection with the withdrawal from a pension plan that covered certain employees. This withdrawal liability will be paid in equal quarterly installments over the next 20 years.</w:t>
      </w:r>
    </w:p>
    <w:p>
      <w:pPr>
        <w:pStyle w:val="TextBody"/>
        <w:spacing w:lineRule="auto" w:line="288" w:before="200" w:after="283"/>
        <w:jc w:val="center"/>
        <w:rPr>
          <w:rFonts w:ascii="Arial;sans-serif" w:hAnsi="Arial;sans-serif"/>
          <w:b/>
          <w:color w:val="000000"/>
          <w:sz w:val="20"/>
        </w:rPr>
      </w:pPr>
      <w:r>
        <w:rPr>
          <w:rFonts w:ascii="Arial;sans-serif" w:hAnsi="Arial;sans-serif"/>
          <w:b/>
          <w:color w:val="000000"/>
          <w:sz w:val="20"/>
        </w:rPr>
        <w:t>Income Tax Expense (Benefit)</w:t>
      </w:r>
    </w:p>
    <w:p>
      <w:pPr>
        <w:pStyle w:val="TextBody"/>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We recorded an income tax benefit of $2.1 million, or 27.8% of pretax loss in the 2023 Quarter. In the 2022 Quarter, we recognized an income tax benefit of $3.1 million, or 32.0% of pretax loss.</w:t>
      </w:r>
    </w:p>
    <w:p>
      <w:pPr>
        <w:pStyle w:val="TextBody"/>
        <w:spacing w:lineRule="auto" w:line="288" w:before="200" w:after="283"/>
        <w:jc w:val="center"/>
        <w:rPr>
          <w:rFonts w:ascii="Arial;sans-serif" w:hAnsi="Arial;sans-serif"/>
          <w:b/>
          <w:color w:val="000000"/>
          <w:sz w:val="20"/>
        </w:rPr>
      </w:pPr>
      <w:r>
        <w:rPr>
          <w:rFonts w:ascii="Arial;sans-serif" w:hAnsi="Arial;sans-serif"/>
          <w:b/>
          <w:color w:val="000000"/>
          <w:sz w:val="20"/>
        </w:rPr>
        <w:t>Net Income (Loss) and Earnings (Losses) Per Share</w:t>
      </w:r>
    </w:p>
    <w:p>
      <w:pPr>
        <w:pStyle w:val="TextBody"/>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Net loss was $5.4 million and diluted losses per share were $1.01 for the 2023 Quarter compared to net loss of $6.7 million and diluted losses per share of $1.26 for the 2022 Quarter. The change reflects the various items discussed above.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050"/>
                <wp:effectExtent l="0" t="0" r="0" b="0"/>
                <wp:wrapNone/>
                <wp:docPr id="17" name="Frame17"/>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76" w:before="0" w:after="0"/>
                              <w:jc w:val="center"/>
                              <w:rPr>
                                <w:rFonts w:ascii="Arial;sans-serif" w:hAnsi="Arial;sans-serif"/>
                                <w:b w:val="false"/>
                                <w:color w:val="000000"/>
                                <w:sz w:val="20"/>
                              </w:rPr>
                            </w:pPr>
                            <w:r>
                              <w:rPr>
                                <w:rFonts w:ascii="Arial;sans-serif" w:hAnsi="Arial;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Arial;sans-serif" w:hAnsi="Arial;sans-serif"/>
                          <w:b w:val="false"/>
                          <w:color w:val="000000"/>
                          <w:sz w:val="20"/>
                        </w:rPr>
                      </w:pPr>
                      <w:r>
                        <w:rPr>
                          <w:rFonts w:ascii="Arial;sans-serif" w:hAnsi="Arial;sans-serif"/>
                          <w:b w:val="false"/>
                          <w:color w:val="000000"/>
                          <w:sz w:val="20"/>
                        </w:rPr>
                        <w:t>15</w:t>
                      </w:r>
                    </w:p>
                  </w:txbxContent>
                </v:textbox>
              </v:rect>
            </w:pict>
          </mc:Fallback>
        </mc:AlternateContent>
      </w:r>
    </w:p>
    <w:p>
      <w:pPr>
        <w:pStyle w:val="TextBody"/>
        <w:spacing w:before="0" w:after="0"/>
        <w:rPr/>
      </w:pPr>
      <w:r>
        <w:rPr/>
      </w:r>
    </w:p>
    <w:p>
      <w:pPr>
        <w:pStyle w:val="TextBody"/>
        <w:spacing w:lineRule="auto" w:line="288" w:before="200" w:after="283"/>
        <w:jc w:val="center"/>
        <w:rPr/>
      </w:pPr>
      <w:r>
        <w:rPr>
          <w:rFonts w:ascii="Arial;sans-serif" w:hAnsi="Arial;sans-serif"/>
          <w:b/>
          <w:color w:val="000000"/>
          <w:sz w:val="20"/>
        </w:rPr>
        <w:t>Six Months Ended</w:t>
      </w:r>
      <w:r>
        <w:rPr>
          <w:color w:val="000000"/>
        </w:rPr>
        <w:t xml:space="preserve"> </w:t>
      </w:r>
      <w:r>
        <w:rPr>
          <w:rFonts w:ascii="Arial;sans-serif" w:hAnsi="Arial;sans-serif"/>
          <w:b/>
          <w:color w:val="000000"/>
          <w:sz w:val="20"/>
        </w:rPr>
        <w:t>March 26, 2023</w:t>
      </w:r>
    </w:p>
    <w:p>
      <w:pPr>
        <w:pStyle w:val="TextBody"/>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Operating results, as reported in the Consolidated Financial Statements, are summarized below.</w:t>
      </w:r>
    </w:p>
    <w:tbl>
      <w:tblPr>
        <w:tblW w:w="9467" w:type="dxa"/>
        <w:jc w:val="left"/>
        <w:tblInd w:w="0" w:type="dxa"/>
        <w:tblCellMar>
          <w:top w:w="28" w:type="dxa"/>
          <w:left w:w="28" w:type="dxa"/>
          <w:bottom w:w="28" w:type="dxa"/>
          <w:right w:w="28" w:type="dxa"/>
        </w:tblCellMar>
      </w:tblPr>
      <w:tblGrid>
        <w:gridCol w:w="1782"/>
        <w:gridCol w:w="1566"/>
        <w:gridCol w:w="1571"/>
        <w:gridCol w:w="484"/>
        <w:gridCol w:w="484"/>
        <w:gridCol w:w="486"/>
        <w:gridCol w:w="484"/>
        <w:gridCol w:w="484"/>
        <w:gridCol w:w="486"/>
        <w:gridCol w:w="384"/>
        <w:gridCol w:w="321"/>
        <w:gridCol w:w="935"/>
      </w:tblGrid>
      <w:tr>
        <w:trPr/>
        <w:tc>
          <w:tcPr>
            <w:tcW w:w="1782" w:type="dxa"/>
            <w:tcBorders/>
            <w:shd w:fill="auto" w:val="clear"/>
            <w:vAlign w:val="center"/>
          </w:tcPr>
          <w:p>
            <w:pPr>
              <w:pStyle w:val="TableContents"/>
              <w:spacing w:before="0" w:after="283"/>
              <w:rPr>
                <w:sz w:val="4"/>
                <w:szCs w:val="4"/>
              </w:rPr>
            </w:pPr>
            <w:r>
              <w:rPr>
                <w:sz w:val="4"/>
                <w:szCs w:val="4"/>
              </w:rPr>
            </w:r>
          </w:p>
        </w:tc>
        <w:tc>
          <w:tcPr>
            <w:tcW w:w="1566" w:type="dxa"/>
            <w:tcBorders/>
            <w:shd w:fill="auto" w:val="clear"/>
            <w:vAlign w:val="center"/>
          </w:tcPr>
          <w:p>
            <w:pPr>
              <w:pStyle w:val="TableContents"/>
              <w:spacing w:before="0" w:after="283"/>
              <w:rPr>
                <w:sz w:val="4"/>
                <w:szCs w:val="4"/>
              </w:rPr>
            </w:pPr>
            <w:r>
              <w:rPr>
                <w:sz w:val="4"/>
                <w:szCs w:val="4"/>
              </w:rPr>
            </w:r>
          </w:p>
        </w:tc>
        <w:tc>
          <w:tcPr>
            <w:tcW w:w="1571" w:type="dxa"/>
            <w:tcBorders/>
            <w:shd w:fill="auto" w:val="clear"/>
            <w:vAlign w:val="center"/>
          </w:tcPr>
          <w:p>
            <w:pPr>
              <w:pStyle w:val="TableContents"/>
              <w:spacing w:before="0" w:after="283"/>
              <w:rPr>
                <w:sz w:val="4"/>
                <w:szCs w:val="4"/>
              </w:rPr>
            </w:pPr>
            <w:r>
              <w:rPr>
                <w:sz w:val="4"/>
                <w:szCs w:val="4"/>
              </w:rPr>
            </w:r>
          </w:p>
        </w:tc>
        <w:tc>
          <w:tcPr>
            <w:tcW w:w="484" w:type="dxa"/>
            <w:tcBorders/>
            <w:shd w:fill="auto" w:val="clear"/>
            <w:vAlign w:val="center"/>
          </w:tcPr>
          <w:p>
            <w:pPr>
              <w:pStyle w:val="TableContents"/>
              <w:spacing w:before="0" w:after="283"/>
              <w:rPr>
                <w:sz w:val="4"/>
                <w:szCs w:val="4"/>
              </w:rPr>
            </w:pPr>
            <w:r>
              <w:rPr>
                <w:sz w:val="4"/>
                <w:szCs w:val="4"/>
              </w:rPr>
            </w:r>
          </w:p>
        </w:tc>
        <w:tc>
          <w:tcPr>
            <w:tcW w:w="484" w:type="dxa"/>
            <w:tcBorders/>
            <w:shd w:fill="auto" w:val="clear"/>
            <w:vAlign w:val="center"/>
          </w:tcPr>
          <w:p>
            <w:pPr>
              <w:pStyle w:val="TableContents"/>
              <w:spacing w:before="0" w:after="283"/>
              <w:rPr>
                <w:sz w:val="4"/>
                <w:szCs w:val="4"/>
              </w:rPr>
            </w:pPr>
            <w:r>
              <w:rPr>
                <w:sz w:val="4"/>
                <w:szCs w:val="4"/>
              </w:rPr>
            </w:r>
          </w:p>
        </w:tc>
        <w:tc>
          <w:tcPr>
            <w:tcW w:w="486" w:type="dxa"/>
            <w:tcBorders/>
            <w:shd w:fill="auto" w:val="clear"/>
            <w:vAlign w:val="center"/>
          </w:tcPr>
          <w:p>
            <w:pPr>
              <w:pStyle w:val="TableContents"/>
              <w:spacing w:before="0" w:after="283"/>
              <w:rPr>
                <w:sz w:val="4"/>
                <w:szCs w:val="4"/>
              </w:rPr>
            </w:pPr>
            <w:r>
              <w:rPr>
                <w:sz w:val="4"/>
                <w:szCs w:val="4"/>
              </w:rPr>
            </w:r>
          </w:p>
        </w:tc>
        <w:tc>
          <w:tcPr>
            <w:tcW w:w="484" w:type="dxa"/>
            <w:tcBorders/>
            <w:shd w:fill="auto" w:val="clear"/>
            <w:vAlign w:val="center"/>
          </w:tcPr>
          <w:p>
            <w:pPr>
              <w:pStyle w:val="TableContents"/>
              <w:spacing w:before="0" w:after="283"/>
              <w:rPr>
                <w:sz w:val="4"/>
                <w:szCs w:val="4"/>
              </w:rPr>
            </w:pPr>
            <w:r>
              <w:rPr>
                <w:sz w:val="4"/>
                <w:szCs w:val="4"/>
              </w:rPr>
            </w:r>
          </w:p>
        </w:tc>
        <w:tc>
          <w:tcPr>
            <w:tcW w:w="484" w:type="dxa"/>
            <w:tcBorders/>
            <w:shd w:fill="auto" w:val="clear"/>
            <w:vAlign w:val="center"/>
          </w:tcPr>
          <w:p>
            <w:pPr>
              <w:pStyle w:val="TableContents"/>
              <w:spacing w:before="0" w:after="283"/>
              <w:rPr>
                <w:sz w:val="4"/>
                <w:szCs w:val="4"/>
              </w:rPr>
            </w:pPr>
            <w:r>
              <w:rPr>
                <w:sz w:val="4"/>
                <w:szCs w:val="4"/>
              </w:rPr>
            </w:r>
          </w:p>
        </w:tc>
        <w:tc>
          <w:tcPr>
            <w:tcW w:w="486" w:type="dxa"/>
            <w:tcBorders/>
            <w:shd w:fill="auto" w:val="clear"/>
            <w:vAlign w:val="center"/>
          </w:tcPr>
          <w:p>
            <w:pPr>
              <w:pStyle w:val="TableContents"/>
              <w:spacing w:before="0" w:after="283"/>
              <w:rPr>
                <w:sz w:val="4"/>
                <w:szCs w:val="4"/>
              </w:rPr>
            </w:pPr>
            <w:r>
              <w:rPr>
                <w:sz w:val="4"/>
                <w:szCs w:val="4"/>
              </w:rPr>
            </w:r>
          </w:p>
        </w:tc>
        <w:tc>
          <w:tcPr>
            <w:tcW w:w="384" w:type="dxa"/>
            <w:tcBorders/>
            <w:shd w:fill="auto" w:val="clear"/>
            <w:vAlign w:val="center"/>
          </w:tcPr>
          <w:p>
            <w:pPr>
              <w:pStyle w:val="TableContents"/>
              <w:spacing w:before="0" w:after="283"/>
              <w:rPr>
                <w:sz w:val="4"/>
                <w:szCs w:val="4"/>
              </w:rPr>
            </w:pPr>
            <w:r>
              <w:rPr>
                <w:sz w:val="4"/>
                <w:szCs w:val="4"/>
              </w:rPr>
            </w:r>
          </w:p>
        </w:tc>
        <w:tc>
          <w:tcPr>
            <w:tcW w:w="321" w:type="dxa"/>
            <w:tcBorders/>
            <w:shd w:fill="auto" w:val="clear"/>
            <w:vAlign w:val="center"/>
          </w:tcPr>
          <w:p>
            <w:pPr>
              <w:pStyle w:val="TableContents"/>
              <w:spacing w:before="0" w:after="283"/>
              <w:rPr>
                <w:sz w:val="4"/>
                <w:szCs w:val="4"/>
              </w:rPr>
            </w:pPr>
            <w:r>
              <w:rPr>
                <w:sz w:val="4"/>
                <w:szCs w:val="4"/>
              </w:rPr>
            </w:r>
          </w:p>
        </w:tc>
        <w:tc>
          <w:tcPr>
            <w:tcW w:w="935" w:type="dxa"/>
            <w:tcBorders/>
            <w:shd w:fill="auto" w:val="clear"/>
            <w:vAlign w:val="center"/>
          </w:tcPr>
          <w:p>
            <w:pPr>
              <w:pStyle w:val="TableContents"/>
              <w:spacing w:before="0" w:after="283"/>
              <w:rPr>
                <w:sz w:val="4"/>
                <w:szCs w:val="4"/>
              </w:rPr>
            </w:pPr>
            <w:r>
              <w:rPr>
                <w:sz w:val="4"/>
                <w:szCs w:val="4"/>
              </w:rPr>
            </w:r>
          </w:p>
        </w:tc>
      </w:tr>
      <w:tr>
        <w:trPr/>
        <w:tc>
          <w:tcPr>
            <w:tcW w:w="491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(Thousands of Dollars, Except Per Common Share Data)</w:t>
            </w:r>
          </w:p>
        </w:tc>
        <w:tc>
          <w:tcPr>
            <w:tcW w:w="145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March 26, 2023</w:t>
            </w:r>
          </w:p>
        </w:tc>
        <w:tc>
          <w:tcPr>
            <w:tcW w:w="145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March 27, 2022</w:t>
            </w:r>
          </w:p>
        </w:tc>
        <w:tc>
          <w:tcPr>
            <w:tcW w:w="164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Percent Change</w:t>
            </w:r>
          </w:p>
        </w:tc>
      </w:tr>
      <w:tr>
        <w:trPr/>
        <w:tc>
          <w:tcPr>
            <w:tcW w:w="491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5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5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64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9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revenue:</w:t>
            </w:r>
          </w:p>
        </w:tc>
        <w:tc>
          <w:tcPr>
            <w:tcW w:w="14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4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Print advertising revenue</w:t>
            </w:r>
          </w:p>
        </w:tc>
        <w:tc>
          <w:tcPr>
            <w:tcW w:w="96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73,286 </w:t>
            </w:r>
          </w:p>
        </w:tc>
        <w:tc>
          <w:tcPr>
            <w:tcW w:w="4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100,218 </w:t>
            </w:r>
          </w:p>
        </w:tc>
        <w:tc>
          <w:tcPr>
            <w:tcW w:w="4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(26.9)</w:t>
            </w:r>
          </w:p>
        </w:tc>
        <w:tc>
          <w:tcPr>
            <w:tcW w:w="93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9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Digital advertising revenue</w:t>
            </w:r>
          </w:p>
        </w:tc>
        <w:tc>
          <w:tcPr>
            <w:tcW w:w="96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93,999 </w:t>
            </w:r>
          </w:p>
        </w:tc>
        <w:tc>
          <w:tcPr>
            <w:tcW w:w="4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86,169 </w:t>
            </w:r>
          </w:p>
        </w:tc>
        <w:tc>
          <w:tcPr>
            <w:tcW w:w="4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9.1 </w:t>
            </w:r>
          </w:p>
        </w:tc>
        <w:tc>
          <w:tcPr>
            <w:tcW w:w="93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919"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Advertising and marketing services revenue</w:t>
            </w:r>
          </w:p>
        </w:tc>
        <w:tc>
          <w:tcPr>
            <w:tcW w:w="96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167,285 </w:t>
            </w:r>
          </w:p>
        </w:tc>
        <w:tc>
          <w:tcPr>
            <w:tcW w:w="48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96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186,387 </w:t>
            </w:r>
          </w:p>
        </w:tc>
        <w:tc>
          <w:tcPr>
            <w:tcW w:w="48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705"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(10.2)</w:t>
            </w:r>
          </w:p>
        </w:tc>
        <w:tc>
          <w:tcPr>
            <w:tcW w:w="935"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91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Print subscription revenue</w:t>
            </w:r>
          </w:p>
        </w:tc>
        <w:tc>
          <w:tcPr>
            <w:tcW w:w="96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131,956 </w:t>
            </w:r>
          </w:p>
        </w:tc>
        <w:tc>
          <w:tcPr>
            <w:tcW w:w="48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96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156,883 </w:t>
            </w:r>
          </w:p>
        </w:tc>
        <w:tc>
          <w:tcPr>
            <w:tcW w:w="48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70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(15.9)</w:t>
            </w:r>
          </w:p>
        </w:tc>
        <w:tc>
          <w:tcPr>
            <w:tcW w:w="93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9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Digital subscription revenue</w:t>
            </w:r>
          </w:p>
        </w:tc>
        <w:tc>
          <w:tcPr>
            <w:tcW w:w="96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26,325 </w:t>
            </w:r>
          </w:p>
        </w:tc>
        <w:tc>
          <w:tcPr>
            <w:tcW w:w="4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17,984 </w:t>
            </w:r>
          </w:p>
        </w:tc>
        <w:tc>
          <w:tcPr>
            <w:tcW w:w="4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46.4 </w:t>
            </w:r>
          </w:p>
        </w:tc>
        <w:tc>
          <w:tcPr>
            <w:tcW w:w="93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91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Subscription revenue</w:t>
            </w:r>
          </w:p>
        </w:tc>
        <w:tc>
          <w:tcPr>
            <w:tcW w:w="96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158,281 </w:t>
            </w:r>
          </w:p>
        </w:tc>
        <w:tc>
          <w:tcPr>
            <w:tcW w:w="48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96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174,867 </w:t>
            </w:r>
          </w:p>
        </w:tc>
        <w:tc>
          <w:tcPr>
            <w:tcW w:w="48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70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(9.5)</w:t>
            </w:r>
          </w:p>
        </w:tc>
        <w:tc>
          <w:tcPr>
            <w:tcW w:w="93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919"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Print other revenue</w:t>
            </w:r>
          </w:p>
        </w:tc>
        <w:tc>
          <w:tcPr>
            <w:tcW w:w="96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20,769 </w:t>
            </w:r>
          </w:p>
        </w:tc>
        <w:tc>
          <w:tcPr>
            <w:tcW w:w="48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96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21,759 </w:t>
            </w:r>
          </w:p>
        </w:tc>
        <w:tc>
          <w:tcPr>
            <w:tcW w:w="48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705"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w:t>
            </w:r>
          </w:p>
        </w:tc>
        <w:tc>
          <w:tcPr>
            <w:tcW w:w="935"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9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Digital other revenue</w:t>
            </w:r>
          </w:p>
        </w:tc>
        <w:tc>
          <w:tcPr>
            <w:tcW w:w="96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9,483 </w:t>
            </w:r>
          </w:p>
        </w:tc>
        <w:tc>
          <w:tcPr>
            <w:tcW w:w="4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9,283 </w:t>
            </w:r>
          </w:p>
        </w:tc>
        <w:tc>
          <w:tcPr>
            <w:tcW w:w="4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2.2 </w:t>
            </w:r>
          </w:p>
        </w:tc>
        <w:tc>
          <w:tcPr>
            <w:tcW w:w="93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919"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revenue</w:t>
            </w:r>
          </w:p>
        </w:tc>
        <w:tc>
          <w:tcPr>
            <w:tcW w:w="96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30,252 </w:t>
            </w:r>
          </w:p>
        </w:tc>
        <w:tc>
          <w:tcPr>
            <w:tcW w:w="48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96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31,042 </w:t>
            </w:r>
          </w:p>
        </w:tc>
        <w:tc>
          <w:tcPr>
            <w:tcW w:w="48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705"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w:t>
            </w:r>
          </w:p>
        </w:tc>
        <w:tc>
          <w:tcPr>
            <w:tcW w:w="935"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91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operating revenue</w:t>
            </w:r>
          </w:p>
        </w:tc>
        <w:tc>
          <w:tcPr>
            <w:tcW w:w="96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355,818 </w:t>
            </w:r>
          </w:p>
        </w:tc>
        <w:tc>
          <w:tcPr>
            <w:tcW w:w="48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96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392,296 </w:t>
            </w:r>
          </w:p>
        </w:tc>
        <w:tc>
          <w:tcPr>
            <w:tcW w:w="48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70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(9.3)</w:t>
            </w:r>
          </w:p>
        </w:tc>
        <w:tc>
          <w:tcPr>
            <w:tcW w:w="93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919"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expenses:</w:t>
            </w:r>
          </w:p>
        </w:tc>
        <w:tc>
          <w:tcPr>
            <w:tcW w:w="1454"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454"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640"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9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Compensation</w:t>
            </w:r>
          </w:p>
        </w:tc>
        <w:tc>
          <w:tcPr>
            <w:tcW w:w="96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144,277 </w:t>
            </w:r>
          </w:p>
        </w:tc>
        <w:tc>
          <w:tcPr>
            <w:tcW w:w="4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168,207 </w:t>
            </w:r>
          </w:p>
        </w:tc>
        <w:tc>
          <w:tcPr>
            <w:tcW w:w="4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(14.2)</w:t>
            </w:r>
          </w:p>
        </w:tc>
        <w:tc>
          <w:tcPr>
            <w:tcW w:w="93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9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Newsprint and ink</w:t>
            </w:r>
          </w:p>
        </w:tc>
        <w:tc>
          <w:tcPr>
            <w:tcW w:w="96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13,898 </w:t>
            </w:r>
          </w:p>
        </w:tc>
        <w:tc>
          <w:tcPr>
            <w:tcW w:w="4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14,712 </w:t>
            </w:r>
          </w:p>
        </w:tc>
        <w:tc>
          <w:tcPr>
            <w:tcW w:w="4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w:t>
            </w:r>
          </w:p>
        </w:tc>
        <w:tc>
          <w:tcPr>
            <w:tcW w:w="93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9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operating expenses</w:t>
            </w:r>
          </w:p>
        </w:tc>
        <w:tc>
          <w:tcPr>
            <w:tcW w:w="96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169,343 </w:t>
            </w:r>
          </w:p>
        </w:tc>
        <w:tc>
          <w:tcPr>
            <w:tcW w:w="4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170,661 </w:t>
            </w:r>
          </w:p>
        </w:tc>
        <w:tc>
          <w:tcPr>
            <w:tcW w:w="4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(0.8)</w:t>
            </w:r>
          </w:p>
        </w:tc>
        <w:tc>
          <w:tcPr>
            <w:tcW w:w="93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9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Depreciation and amortization</w:t>
            </w:r>
          </w:p>
        </w:tc>
        <w:tc>
          <w:tcPr>
            <w:tcW w:w="96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15,619 </w:t>
            </w:r>
          </w:p>
        </w:tc>
        <w:tc>
          <w:tcPr>
            <w:tcW w:w="4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18,627 </w:t>
            </w:r>
          </w:p>
        </w:tc>
        <w:tc>
          <w:tcPr>
            <w:tcW w:w="4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(16.1)</w:t>
            </w:r>
          </w:p>
        </w:tc>
        <w:tc>
          <w:tcPr>
            <w:tcW w:w="93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9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Assets gain on sales, impairments and other</w:t>
            </w:r>
          </w:p>
        </w:tc>
        <w:tc>
          <w:tcPr>
            <w:tcW w:w="96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(3,355)</w:t>
            </w:r>
          </w:p>
        </w:tc>
        <w:tc>
          <w:tcPr>
            <w:tcW w:w="4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(12,426)</w:t>
            </w:r>
          </w:p>
        </w:tc>
        <w:tc>
          <w:tcPr>
            <w:tcW w:w="4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(73.0)</w:t>
            </w:r>
          </w:p>
        </w:tc>
        <w:tc>
          <w:tcPr>
            <w:tcW w:w="93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9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Restructuring costs and other</w:t>
            </w:r>
          </w:p>
        </w:tc>
        <w:tc>
          <w:tcPr>
            <w:tcW w:w="96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4,340 </w:t>
            </w:r>
          </w:p>
        </w:tc>
        <w:tc>
          <w:tcPr>
            <w:tcW w:w="4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13,790 </w:t>
            </w:r>
          </w:p>
        </w:tc>
        <w:tc>
          <w:tcPr>
            <w:tcW w:w="4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(68.5)</w:t>
            </w:r>
          </w:p>
        </w:tc>
        <w:tc>
          <w:tcPr>
            <w:tcW w:w="93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91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operating expenses</w:t>
            </w:r>
          </w:p>
        </w:tc>
        <w:tc>
          <w:tcPr>
            <w:tcW w:w="96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344,122 </w:t>
            </w:r>
          </w:p>
        </w:tc>
        <w:tc>
          <w:tcPr>
            <w:tcW w:w="48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96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373,571 </w:t>
            </w:r>
          </w:p>
        </w:tc>
        <w:tc>
          <w:tcPr>
            <w:tcW w:w="48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70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w:t>
            </w:r>
          </w:p>
        </w:tc>
        <w:tc>
          <w:tcPr>
            <w:tcW w:w="93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9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Equity in earnings of associated companies</w:t>
            </w:r>
          </w:p>
        </w:tc>
        <w:tc>
          <w:tcPr>
            <w:tcW w:w="96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2,340 </w:t>
            </w:r>
          </w:p>
        </w:tc>
        <w:tc>
          <w:tcPr>
            <w:tcW w:w="4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3,161 </w:t>
            </w:r>
          </w:p>
        </w:tc>
        <w:tc>
          <w:tcPr>
            <w:tcW w:w="4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(26.0)</w:t>
            </w:r>
          </w:p>
        </w:tc>
        <w:tc>
          <w:tcPr>
            <w:tcW w:w="93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91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income</w:t>
            </w:r>
          </w:p>
        </w:tc>
        <w:tc>
          <w:tcPr>
            <w:tcW w:w="96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14,036 </w:t>
            </w:r>
          </w:p>
        </w:tc>
        <w:tc>
          <w:tcPr>
            <w:tcW w:w="48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96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21,886 </w:t>
            </w:r>
          </w:p>
        </w:tc>
        <w:tc>
          <w:tcPr>
            <w:tcW w:w="48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70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(35.9)</w:t>
            </w:r>
          </w:p>
        </w:tc>
        <w:tc>
          <w:tcPr>
            <w:tcW w:w="93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919"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Non-operating income (expense):</w:t>
            </w:r>
          </w:p>
        </w:tc>
        <w:tc>
          <w:tcPr>
            <w:tcW w:w="1454"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454"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640"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9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expense</w:t>
            </w:r>
          </w:p>
        </w:tc>
        <w:tc>
          <w:tcPr>
            <w:tcW w:w="96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(20,909)</w:t>
            </w:r>
          </w:p>
        </w:tc>
        <w:tc>
          <w:tcPr>
            <w:tcW w:w="4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(21,186)</w:t>
            </w:r>
          </w:p>
        </w:tc>
        <w:tc>
          <w:tcPr>
            <w:tcW w:w="4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w:t>
            </w:r>
          </w:p>
        </w:tc>
        <w:tc>
          <w:tcPr>
            <w:tcW w:w="93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9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Curtailment gain</w:t>
            </w:r>
          </w:p>
        </w:tc>
        <w:tc>
          <w:tcPr>
            <w:tcW w:w="96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1,027 </w:t>
            </w:r>
          </w:p>
        </w:tc>
        <w:tc>
          <w:tcPr>
            <w:tcW w:w="4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(100.0)</w:t>
            </w:r>
          </w:p>
        </w:tc>
        <w:tc>
          <w:tcPr>
            <w:tcW w:w="93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9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Pension withdrawal cost</w:t>
            </w:r>
          </w:p>
        </w:tc>
        <w:tc>
          <w:tcPr>
            <w:tcW w:w="96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(2,335)</w:t>
            </w:r>
          </w:p>
        </w:tc>
        <w:tc>
          <w:tcPr>
            <w:tcW w:w="4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(100.0)</w:t>
            </w:r>
          </w:p>
        </w:tc>
        <w:tc>
          <w:tcPr>
            <w:tcW w:w="93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9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Pension and OPEB related benefit (cost) and other, net</w:t>
            </w:r>
          </w:p>
        </w:tc>
        <w:tc>
          <w:tcPr>
            <w:tcW w:w="96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1,700 </w:t>
            </w:r>
          </w:p>
        </w:tc>
        <w:tc>
          <w:tcPr>
            <w:tcW w:w="4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9,320 </w:t>
            </w:r>
          </w:p>
        </w:tc>
        <w:tc>
          <w:tcPr>
            <w:tcW w:w="4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(81.8)</w:t>
            </w:r>
          </w:p>
        </w:tc>
        <w:tc>
          <w:tcPr>
            <w:tcW w:w="93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91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non-operating expense, net</w:t>
            </w:r>
          </w:p>
        </w:tc>
        <w:tc>
          <w:tcPr>
            <w:tcW w:w="96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(19,209)</w:t>
            </w:r>
          </w:p>
        </w:tc>
        <w:tc>
          <w:tcPr>
            <w:tcW w:w="48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96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(13,174)</w:t>
            </w:r>
          </w:p>
        </w:tc>
        <w:tc>
          <w:tcPr>
            <w:tcW w:w="48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70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45.8 </w:t>
            </w:r>
          </w:p>
        </w:tc>
        <w:tc>
          <w:tcPr>
            <w:tcW w:w="93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919"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(Loss) income before income taxes</w:t>
            </w:r>
          </w:p>
        </w:tc>
        <w:tc>
          <w:tcPr>
            <w:tcW w:w="96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(5,173)</w:t>
            </w:r>
          </w:p>
        </w:tc>
        <w:tc>
          <w:tcPr>
            <w:tcW w:w="48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96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8,712 </w:t>
            </w:r>
          </w:p>
        </w:tc>
        <w:tc>
          <w:tcPr>
            <w:tcW w:w="48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705"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(159.4)</w:t>
            </w:r>
          </w:p>
        </w:tc>
        <w:tc>
          <w:tcPr>
            <w:tcW w:w="935"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9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tax (benefit) expense</w:t>
            </w:r>
          </w:p>
        </w:tc>
        <w:tc>
          <w:tcPr>
            <w:tcW w:w="96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(1,631)</w:t>
            </w:r>
          </w:p>
        </w:tc>
        <w:tc>
          <w:tcPr>
            <w:tcW w:w="4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2,207 </w:t>
            </w:r>
          </w:p>
        </w:tc>
        <w:tc>
          <w:tcPr>
            <w:tcW w:w="4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(173.9)</w:t>
            </w:r>
          </w:p>
        </w:tc>
        <w:tc>
          <w:tcPr>
            <w:tcW w:w="93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919"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(loss) income</w:t>
            </w:r>
          </w:p>
        </w:tc>
        <w:tc>
          <w:tcPr>
            <w:tcW w:w="96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(3,542)</w:t>
            </w:r>
          </w:p>
        </w:tc>
        <w:tc>
          <w:tcPr>
            <w:tcW w:w="48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96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6,505 </w:t>
            </w:r>
          </w:p>
        </w:tc>
        <w:tc>
          <w:tcPr>
            <w:tcW w:w="48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705"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(154.5)</w:t>
            </w:r>
          </w:p>
        </w:tc>
        <w:tc>
          <w:tcPr>
            <w:tcW w:w="935"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91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45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45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64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9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Earnings (loss) per common share:</w:t>
            </w:r>
          </w:p>
        </w:tc>
        <w:tc>
          <w:tcPr>
            <w:tcW w:w="145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4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Basic</w:t>
            </w:r>
          </w:p>
        </w:tc>
        <w:tc>
          <w:tcPr>
            <w:tcW w:w="96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(0.82)</w:t>
            </w:r>
          </w:p>
        </w:tc>
        <w:tc>
          <w:tcPr>
            <w:tcW w:w="4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4"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0.94</w:t>
            </w:r>
          </w:p>
        </w:tc>
        <w:tc>
          <w:tcPr>
            <w:tcW w:w="70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(187.1)</w:t>
            </w:r>
          </w:p>
        </w:tc>
        <w:tc>
          <w:tcPr>
            <w:tcW w:w="93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919" w:type="dxa"/>
            <w:gridSpan w:val="3"/>
            <w:tcBorders>
              <w:bottom w:val="single" w:sz="8" w:space="0" w:color="000000"/>
            </w:tcBorders>
            <w:shd w:fill="FFFFFF" w:val="clear"/>
            <w:tcMar>
              <w:top w:w="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Diluted</w:t>
            </w:r>
          </w:p>
        </w:tc>
        <w:tc>
          <w:tcPr>
            <w:tcW w:w="968" w:type="dxa"/>
            <w:gridSpan w:val="2"/>
            <w:tcBorders>
              <w:bottom w:val="single" w:sz="8" w:space="0" w:color="000000"/>
            </w:tcBorders>
            <w:shd w:fill="FFFFFF" w:val="clear"/>
            <w:tcMar>
              <w:top w:w="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(0.82)</w:t>
            </w:r>
          </w:p>
        </w:tc>
        <w:tc>
          <w:tcPr>
            <w:tcW w:w="486" w:type="dxa"/>
            <w:tcBorders>
              <w:bottom w:val="single" w:sz="8" w:space="0" w:color="000000"/>
            </w:tcBorders>
            <w:shd w:fill="FFFF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1454" w:type="dxa"/>
            <w:gridSpan w:val="3"/>
            <w:tcBorders>
              <w:bottom w:val="single" w:sz="8" w:space="0" w:color="000000"/>
            </w:tcBorders>
            <w:shd w:fill="FFFFFF" w:val="clear"/>
            <w:tcMar>
              <w:top w:w="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0.92</w:t>
            </w:r>
          </w:p>
        </w:tc>
        <w:tc>
          <w:tcPr>
            <w:tcW w:w="705" w:type="dxa"/>
            <w:gridSpan w:val="2"/>
            <w:tcBorders>
              <w:bottom w:val="single" w:sz="8" w:space="0" w:color="000000"/>
            </w:tcBorders>
            <w:shd w:fill="FFFFFF" w:val="clear"/>
            <w:tcMar>
              <w:top w:w="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(189.0)</w:t>
            </w:r>
          </w:p>
        </w:tc>
        <w:tc>
          <w:tcPr>
            <w:tcW w:w="935" w:type="dxa"/>
            <w:tcBorders>
              <w:bottom w:val="single" w:sz="8" w:space="0" w:color="000000"/>
            </w:tcBorders>
            <w:shd w:fill="FFFFFF" w:val="clear"/>
            <w:tcMar>
              <w:top w:w="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bl>
    <w:p>
      <w:pPr>
        <w:pStyle w:val="TextBody"/>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References to the “2023 Period” refer to the six months ended March 26, 2023. Similarly, references to the “2022 Period” refer to the six months ended March 27, 2022.</w:t>
      </w:r>
    </w:p>
    <w:p>
      <w:pPr>
        <w:pStyle w:val="TextBody"/>
        <w:spacing w:lineRule="auto" w:line="288" w:before="200" w:after="283"/>
        <w:jc w:val="center"/>
        <w:rPr>
          <w:rFonts w:ascii="Arial;sans-serif" w:hAnsi="Arial;sans-serif"/>
          <w:b/>
          <w:color w:val="000000"/>
          <w:sz w:val="20"/>
        </w:rPr>
      </w:pPr>
      <w:r>
        <w:rPr>
          <w:rFonts w:ascii="Arial;sans-serif" w:hAnsi="Arial;sans-serif"/>
          <w:b/>
          <w:color w:val="000000"/>
          <w:sz w:val="20"/>
        </w:rPr>
        <w:t>Operating Revenue</w:t>
      </w:r>
    </w:p>
    <w:p>
      <w:pPr>
        <w:pStyle w:val="TextBody"/>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Total operating revenue was $355.8 million in the 2023 Period, down $36.5 million, or 9.3%, compared to the 2022 Period.</w:t>
      </w:r>
    </w:p>
    <w:p>
      <w:pPr>
        <w:pStyle w:val="HorizontalLine"/>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050"/>
                <wp:effectExtent l="0" t="0" r="0" b="0"/>
                <wp:wrapNone/>
                <wp:docPr id="18" name="Frame18"/>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76" w:before="0" w:after="0"/>
                              <w:jc w:val="center"/>
                              <w:rPr>
                                <w:rFonts w:ascii="Arial;sans-serif" w:hAnsi="Arial;sans-serif"/>
                                <w:b w:val="false"/>
                                <w:color w:val="000000"/>
                                <w:sz w:val="20"/>
                              </w:rPr>
                            </w:pPr>
                            <w:r>
                              <w:rPr>
                                <w:rFonts w:ascii="Arial;sans-serif" w:hAnsi="Arial;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Arial;sans-serif" w:hAnsi="Arial;sans-serif"/>
                          <w:b w:val="false"/>
                          <w:color w:val="000000"/>
                          <w:sz w:val="20"/>
                        </w:rPr>
                      </w:pPr>
                      <w:r>
                        <w:rPr>
                          <w:rFonts w:ascii="Arial;sans-serif" w:hAnsi="Arial;sans-serif"/>
                          <w:b w:val="false"/>
                          <w:color w:val="000000"/>
                          <w:sz w:val="20"/>
                        </w:rPr>
                        <w:t>16</w:t>
                      </w:r>
                    </w:p>
                  </w:txbxContent>
                </v:textbox>
              </v:rect>
            </w:pict>
          </mc:Fallback>
        </mc:AlternateContent>
      </w:r>
    </w:p>
    <w:p>
      <w:pPr>
        <w:pStyle w:val="TextBody"/>
        <w:spacing w:before="0" w:after="0"/>
        <w:rPr/>
      </w:pPr>
      <w:r>
        <w:rPr/>
      </w:r>
    </w:p>
    <w:p>
      <w:pPr>
        <w:pStyle w:val="TextBody"/>
        <w:spacing w:lineRule="auto" w:line="288" w:before="200" w:after="283"/>
        <w:jc w:val="both"/>
        <w:rPr/>
      </w:pPr>
      <w:r>
        <w:rPr>
          <w:rFonts w:ascii="Arial;sans-serif" w:hAnsi="Arial;sans-serif"/>
          <w:b w:val="false"/>
          <w:color w:val="000000"/>
          <w:sz w:val="20"/>
        </w:rPr>
        <w:t>Advertising and marketing services revenue totaled $167.3 million in the 2023 Period, down 10.2% compared to the prior year. Advertising revenue, print and digital, was adversely affected by a wide spread pull back in advertising spending. Print advertising revenues were $73.3 million in the 2023 Period, down 26.9% compared to the prior year due to the soft advertising environment and a continued secular decline in demand for print advertising. Digital advertising and marketing services totaled $94.0 million in the 2023 Period, up 9.1% compared to the prior year. These gains resulted from an 83.1% increase in Amplified Digital</w:t>
      </w:r>
      <w:r>
        <w:rPr>
          <w:rFonts w:ascii="Arial;sans-serif" w:hAnsi="Arial;sans-serif"/>
          <w:b w:val="false"/>
          <w:color w:val="000000"/>
          <w:sz w:val="13"/>
        </w:rPr>
        <w:t>®</w:t>
      </w:r>
      <w:r>
        <w:rPr>
          <w:color w:val="000000"/>
        </w:rPr>
        <w:t xml:space="preserve"> </w:t>
      </w:r>
      <w:r>
        <w:rPr>
          <w:rFonts w:ascii="Arial;sans-serif" w:hAnsi="Arial;sans-serif"/>
          <w:b w:val="false"/>
          <w:color w:val="000000"/>
          <w:sz w:val="20"/>
        </w:rPr>
        <w:t>revenue and an increase in advertising on our owned and operated sites. Digital advertising and marketing services represented 56.2% of the 2022 Period total advertising and marketing services revenue, compared to 46.2% in the same period last year.</w:t>
      </w:r>
    </w:p>
    <w:p>
      <w:pPr>
        <w:pStyle w:val="TextBody"/>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Subscription revenue totaled $158.3 million in the 2023 Period, down 9.5% compared to the 2022 Period. The decline in full access volume, consistent with historical and industry trends were partially offset by growth in digital only subscribers and selective price increases on our full access subscriptions. Digital only subscribers grew 16.8% since the 2022 Period and now total 596,000.</w:t>
      </w:r>
    </w:p>
    <w:p>
      <w:pPr>
        <w:pStyle w:val="TextBody"/>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Other revenue, which primarily consists of commercial printing revenue and digital services from BLOX Digital, decreased $0.8 million, or 2.5%, in the 2023 Period compared to the 2022 Period. Digital services revenue totaled $9.5 million in the 2023 Period, a 6.8% increase compared to the 2022 Period. Commercial printing revenue totaled $10.2 million in the 2023 Period, a 5.9% decrease compared to the 2022 Period primarily driven by reduction in print volumes from our partners.</w:t>
      </w:r>
    </w:p>
    <w:p>
      <w:pPr>
        <w:pStyle w:val="TextBody"/>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Total digital revenue including digital advertising revenue, digital subscription revenue and digital services revenue totaled $129.8 million in the 2023 Period, an increase of 14.4% over the 2022 Period, and represented 36.5% of our total operating revenue in the 2023 Period.</w:t>
      </w:r>
    </w:p>
    <w:p>
      <w:pPr>
        <w:pStyle w:val="TextBody"/>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Equity in earnings of TNI and MNI decreased $0.8 million in the 2023 Period.</w:t>
      </w:r>
    </w:p>
    <w:p>
      <w:pPr>
        <w:pStyle w:val="TextBody"/>
        <w:spacing w:lineRule="auto" w:line="288" w:before="200" w:after="283"/>
        <w:jc w:val="center"/>
        <w:rPr>
          <w:rFonts w:ascii="Arial;sans-serif" w:hAnsi="Arial;sans-serif"/>
          <w:b/>
          <w:color w:val="000000"/>
          <w:sz w:val="20"/>
        </w:rPr>
      </w:pPr>
      <w:r>
        <w:rPr>
          <w:rFonts w:ascii="Arial;sans-serif" w:hAnsi="Arial;sans-serif"/>
          <w:b/>
          <w:color w:val="000000"/>
          <w:sz w:val="20"/>
        </w:rPr>
        <w:t>Operating Expenses</w:t>
      </w:r>
    </w:p>
    <w:p>
      <w:pPr>
        <w:pStyle w:val="TextBody"/>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Total operating expenses were $344.1 million in the 2023 Period, a 7.9% decrease compared to the 2022 Period. Cash Costs, a non-GAAP financial measure (see reconciliation of non-GAAP financial measures below), were $327.5 million, a 7.4% decrease compared to the 2022 Period.</w:t>
      </w:r>
    </w:p>
    <w:p>
      <w:pPr>
        <w:pStyle w:val="TextBody"/>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Compensation expense decreased $23.9 million in the 2023 Period, or 14.2%, compared to the 2022 Period attributable to reductions in FTE's due to continued business transformation efforts partially offset by investments in digital talent and increasing average compensation levels.</w:t>
      </w:r>
    </w:p>
    <w:p>
      <w:pPr>
        <w:pStyle w:val="TextBody"/>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Newsprint and ink costs decreased $0.8 million in the 2023 Period, or 5.5%, compared to the 2022 Period. The decrease is attributable to declines in newsprint volumes offset by higher newsprint prices. See Item 3, “Commodities”, included herein, for further discussion and analysis of the impact of newsprint on our business.</w:t>
      </w:r>
    </w:p>
    <w:p>
      <w:pPr>
        <w:pStyle w:val="TextBody"/>
        <w:spacing w:lineRule="auto" w:line="288" w:before="200" w:after="283"/>
        <w:jc w:val="both"/>
        <w:rPr/>
      </w:pPr>
      <w:r>
        <w:rPr>
          <w:rFonts w:ascii="Arial;sans-serif" w:hAnsi="Arial;sans-serif"/>
          <w:b w:val="false"/>
          <w:color w:val="000000"/>
          <w:sz w:val="20"/>
        </w:rPr>
        <w:t>Other operating expenses decreased $1.3 million in the 2023 Period, or 0.8%, compared to the 2022 Period. Other operating expenses include all operating costs not considered to be compensation, newsprint, depreciation and amortization, or restructuring costs and assets loss on sales, impairments and other, net. The largest components are costs associated with printing and distribution of our printed products, digital cost of goods sold and facility expenses. The decrease is attributable to lower delivery and other print-related costs due to lower volumes of our print editions increases partially offset by increases to digital costs of goods sold from Amplified Digital</w:t>
      </w:r>
      <w:r>
        <w:rPr>
          <w:rFonts w:ascii="Arial;sans-serif" w:hAnsi="Arial;sans-serif"/>
          <w:b w:val="false"/>
          <w:color w:val="000000"/>
          <w:sz w:val="13"/>
        </w:rPr>
        <w:t>®</w:t>
      </w:r>
      <w:r>
        <w:rPr>
          <w:color w:val="000000"/>
        </w:rPr>
        <w:t xml:space="preserve"> </w:t>
      </w:r>
      <w:r>
        <w:rPr>
          <w:rFonts w:ascii="Arial;sans-serif" w:hAnsi="Arial;sans-serif"/>
          <w:b w:val="false"/>
          <w:color w:val="000000"/>
          <w:sz w:val="20"/>
        </w:rPr>
        <w:t>growth, higher input costs due to inflation and investments to fund our digital growth strategy.</w:t>
      </w:r>
    </w:p>
    <w:p>
      <w:pPr>
        <w:pStyle w:val="TextBody"/>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Restructuring costs and other totaled $4.3 million and $13.8 million in the 2023 Period and 2022 Period, respectively. Restructuring costs and other include severance costs, litigation costs, restructuring expenses, and advisor expenses in the 2022 Period associated with an unsolicited takeover offer received in November 2021. Restructuring costs in the 2023 Period are predominately severance related to our ongoing business transformation.</w:t>
      </w:r>
    </w:p>
    <w:p>
      <w:pPr>
        <w:pStyle w:val="TextBody"/>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Depreciation and amortization expense decreased $3.0 million, or 16.1%, in the 2023 Period. The decrease in both is attributable to assets becoming fully depreciated or amortized.</w:t>
      </w:r>
    </w:p>
    <w:p>
      <w:pPr>
        <w:pStyle w:val="HorizontalLine"/>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050"/>
                <wp:effectExtent l="0" t="0" r="0" b="0"/>
                <wp:wrapNone/>
                <wp:docPr id="19" name="Frame19"/>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76" w:before="0" w:after="0"/>
                              <w:jc w:val="center"/>
                              <w:rPr>
                                <w:rFonts w:ascii="Arial;sans-serif" w:hAnsi="Arial;sans-serif"/>
                                <w:b w:val="false"/>
                                <w:color w:val="000000"/>
                                <w:sz w:val="20"/>
                              </w:rPr>
                            </w:pPr>
                            <w:r>
                              <w:rPr>
                                <w:rFonts w:ascii="Arial;sans-serif" w:hAnsi="Arial;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Arial;sans-serif" w:hAnsi="Arial;sans-serif"/>
                          <w:b w:val="false"/>
                          <w:color w:val="000000"/>
                          <w:sz w:val="20"/>
                        </w:rPr>
                      </w:pPr>
                      <w:r>
                        <w:rPr>
                          <w:rFonts w:ascii="Arial;sans-serif" w:hAnsi="Arial;sans-serif"/>
                          <w:b w:val="false"/>
                          <w:color w:val="000000"/>
                          <w:sz w:val="20"/>
                        </w:rPr>
                        <w:t>17</w:t>
                      </w:r>
                    </w:p>
                  </w:txbxContent>
                </v:textbox>
              </v:rect>
            </w:pict>
          </mc:Fallback>
        </mc:AlternateContent>
      </w:r>
    </w:p>
    <w:p>
      <w:pPr>
        <w:pStyle w:val="TextBody"/>
        <w:spacing w:before="0" w:after="0"/>
        <w:rPr/>
      </w:pPr>
      <w:r>
        <w:rPr/>
      </w:r>
    </w:p>
    <w:p>
      <w:pPr>
        <w:pStyle w:val="TextBody"/>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Assets (gain) loss on sales, impairments and other, was a net gain of $3.4 million in the 2023 Period compared to a net gain of $12.4 million in the 2022 Period. The gains and losses in the 2023 Period and 2022 Period were the result of the disposition of non-core assets, including real estate.</w:t>
      </w:r>
    </w:p>
    <w:p>
      <w:pPr>
        <w:pStyle w:val="TextBody"/>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The factors noted above resulted in operating income of $14.0 million in the 2023 Period compared to $21.9 million in the 2022 Period.</w:t>
      </w:r>
    </w:p>
    <w:p>
      <w:pPr>
        <w:pStyle w:val="TextBody"/>
        <w:spacing w:lineRule="auto" w:line="288" w:before="200" w:after="283"/>
        <w:jc w:val="center"/>
        <w:rPr>
          <w:rFonts w:ascii="Arial;sans-serif" w:hAnsi="Arial;sans-serif"/>
          <w:b/>
          <w:color w:val="000000"/>
          <w:sz w:val="20"/>
        </w:rPr>
      </w:pPr>
      <w:r>
        <w:rPr>
          <w:rFonts w:ascii="Arial;sans-serif" w:hAnsi="Arial;sans-serif"/>
          <w:b/>
          <w:color w:val="000000"/>
          <w:sz w:val="20"/>
        </w:rPr>
        <w:t>Non-operating Income and Expense</w:t>
      </w:r>
    </w:p>
    <w:p>
      <w:pPr>
        <w:pStyle w:val="TextBody"/>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Interest expense decreased $0.3 million, or 1.3%, to $20.9 million in the 2023 Period, compared to the same period last year. The decrease was due to a lower outstanding balance on our Term Loan. Our weighted average cost of debt was 9.0% at the end of the 2023 Period and 2022 Period.</w:t>
      </w:r>
    </w:p>
    <w:p>
      <w:pPr>
        <w:pStyle w:val="TextBody"/>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Other non-operating income and expense consists of benefits associated with our pension and other postretirement plans and the fair value adjustment of our Warrants. We recorded $0.6 million periodic pension and other postretirement benefits in the 2022 Period compared to $8.0 million in the 2022 Period. We recorded non-operating income of $0.1 million in the 2022 Period related to changes in the value of the Warrants.</w:t>
      </w:r>
    </w:p>
    <w:p>
      <w:pPr>
        <w:pStyle w:val="TextBody"/>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We recognized a non-cash curtailment gain of $1.0 million in the 2022 Period as a result of freezing certain pension plans.</w:t>
      </w:r>
    </w:p>
    <w:p>
      <w:pPr>
        <w:pStyle w:val="TextBody"/>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We recognized pension withdrawal costs in the 2022 Period of $2.3 million in connection with the withdrawal from a pension plan that covered certain employees. This withdrawal liability will be paid in equal quarterly installments over the next 20 years.</w:t>
      </w:r>
    </w:p>
    <w:p>
      <w:pPr>
        <w:pStyle w:val="TextBody"/>
        <w:spacing w:lineRule="auto" w:line="288" w:before="200" w:after="283"/>
        <w:jc w:val="center"/>
        <w:rPr>
          <w:rFonts w:ascii="Arial;sans-serif" w:hAnsi="Arial;sans-serif"/>
          <w:b/>
          <w:color w:val="000000"/>
          <w:sz w:val="20"/>
        </w:rPr>
      </w:pPr>
      <w:r>
        <w:rPr>
          <w:rFonts w:ascii="Arial;sans-serif" w:hAnsi="Arial;sans-serif"/>
          <w:b/>
          <w:color w:val="000000"/>
          <w:sz w:val="20"/>
        </w:rPr>
        <w:t>Income Tax Expense (Benefit)</w:t>
      </w:r>
    </w:p>
    <w:p>
      <w:pPr>
        <w:pStyle w:val="TextBody"/>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We recorded an income tax benefit of $1.6 million, or 31.5% of pretax loss, in the 2023 Period. In the 2022 Period, we recognized an income tax expense of $2.2 million or 25.3% of pretax income.</w:t>
      </w:r>
    </w:p>
    <w:p>
      <w:pPr>
        <w:pStyle w:val="TextBody"/>
        <w:spacing w:lineRule="auto" w:line="288" w:before="200" w:after="283"/>
        <w:jc w:val="center"/>
        <w:rPr>
          <w:rFonts w:ascii="Arial;sans-serif" w:hAnsi="Arial;sans-serif"/>
          <w:b/>
          <w:color w:val="000000"/>
          <w:sz w:val="20"/>
        </w:rPr>
      </w:pPr>
      <w:r>
        <w:rPr>
          <w:rFonts w:ascii="Arial;sans-serif" w:hAnsi="Arial;sans-serif"/>
          <w:b/>
          <w:color w:val="000000"/>
          <w:sz w:val="20"/>
        </w:rPr>
        <w:t>Net Income (Loss) and Earnings (Losses) Per Share</w:t>
      </w:r>
    </w:p>
    <w:p>
      <w:pPr>
        <w:pStyle w:val="TextBody"/>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Net loss was $3.5 million and diluted losses per share were $0.82 for the 2023 Period, compared to net income of $6.5 million and diluted earnings per share of $0.92 for the 2022 Period. The change reflects the various items discussed above.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83"/>
        <w:jc w:val="both"/>
        <w:rPr>
          <w:rFonts w:ascii="Arial;sans-serif" w:hAnsi="Arial;sans-serif"/>
          <w:b/>
          <w:color w:val="000000"/>
          <w:sz w:val="20"/>
        </w:rPr>
      </w:pPr>
      <w:r>
        <w:rPr>
          <w:rFonts w:ascii="Arial;sans-serif" w:hAnsi="Arial;sans-serif"/>
          <w:b/>
          <w:color w:val="000000"/>
          <w:sz w:val="20"/>
        </w:rPr>
        <w:t>NON-GAAP FINANCIAL MEASURES</w:t>
      </w:r>
    </w:p>
    <w:p>
      <w:pPr>
        <w:pStyle w:val="TextBody"/>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We use non-GAAP financial performance measures to supplement the financial information presented on a GAAP basis. These non-GAAP financial measures should not be considered in isolation or as a substitute for the relevant GAAP measures and should be read in conjunction with information presented on a GAAP basis.</w:t>
      </w:r>
    </w:p>
    <w:p>
      <w:pPr>
        <w:pStyle w:val="TextBody"/>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In this report, we present Adjusted EBITDA and Cash Costs which are non-GAAP financial performance measures that exclude from our reported GAAP results the impact of certain items consisting primarily of restructuring charges and non-cash charges. We believe such expenses, charges and gains are not indicative of normal, ongoing operations, and their inclusion in results makes for more difficult comparisons between years and with peer group companies. In the future, however, we are likely to incur expenses, charges and gains similar to the items for which the applicable GAAP financial measures have been adjusted and to report non-GAAP financial measures excluding such items. Accordingly, exclusion of those or similar items in our non-GAAP presentations should not be interpreted as implying the items are non-recurring, infrequent, or unusual.</w:t>
      </w:r>
    </w:p>
    <w:p>
      <w:pPr>
        <w:pStyle w:val="TextBody"/>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 xml:space="preserve">We define our non-GAAP measures, which may not be comparable to similarly titled measures reported by other companies, as follows: </w:t>
      </w:r>
    </w:p>
    <w:p>
      <w:pPr>
        <w:pStyle w:val="TextBody"/>
        <w:spacing w:lineRule="auto" w:line="288" w:before="200" w:after="283"/>
        <w:jc w:val="both"/>
        <w:rPr/>
      </w:pPr>
      <w:r>
        <w:rPr>
          <w:rFonts w:ascii="Arial;sans-serif" w:hAnsi="Arial;sans-serif"/>
          <w:b w:val="false"/>
          <w:i/>
          <w:color w:val="000000"/>
          <w:sz w:val="20"/>
        </w:rPr>
        <w:t>Adjusted EBITDA</w:t>
      </w:r>
      <w:r>
        <w:rPr>
          <w:color w:val="000000"/>
        </w:rPr>
        <w:t xml:space="preserve"> </w:t>
      </w:r>
      <w:r>
        <w:rPr>
          <w:rFonts w:ascii="Arial;sans-serif" w:hAnsi="Arial;sans-serif"/>
          <w:b w:val="false"/>
          <w:color w:val="000000"/>
          <w:sz w:val="20"/>
        </w:rPr>
        <w:t xml:space="preserve">is a non-GAAP financial performance measure that enhances financial statement users' overall understanding of the operating performance of the Company. The measure isolates unusual, infrequent, or non-cash transactions from the operating performance of the business. This allows users to easily compare operating performance among various fiscal periods and how management measures the performance of the business. This measure also provides users with a benchmark that can be used when forecasting future operating performance of the Company that excludes unusual, nonrecurring or one-time transactions. Adjusted EBITDA is also a component of the calculation used by stockholders and analysts to determine the value of our </w:t>
      </w:r>
    </w:p>
    <w:p>
      <w:pPr>
        <w:pStyle w:val="HorizontalLine"/>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050"/>
                <wp:effectExtent l="0" t="0" r="0" b="0"/>
                <wp:wrapNone/>
                <wp:docPr id="20" name="Frame20"/>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76" w:before="0" w:after="0"/>
                              <w:jc w:val="center"/>
                              <w:rPr>
                                <w:rFonts w:ascii="Arial;sans-serif" w:hAnsi="Arial;sans-serif"/>
                                <w:b w:val="false"/>
                                <w:color w:val="000000"/>
                                <w:sz w:val="20"/>
                              </w:rPr>
                            </w:pPr>
                            <w:r>
                              <w:rPr>
                                <w:rFonts w:ascii="Arial;sans-serif" w:hAnsi="Arial;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Arial;sans-serif" w:hAnsi="Arial;sans-serif"/>
                          <w:b w:val="false"/>
                          <w:color w:val="000000"/>
                          <w:sz w:val="20"/>
                        </w:rPr>
                      </w:pPr>
                      <w:r>
                        <w:rPr>
                          <w:rFonts w:ascii="Arial;sans-serif" w:hAnsi="Arial;sans-serif"/>
                          <w:b w:val="false"/>
                          <w:color w:val="000000"/>
                          <w:sz w:val="20"/>
                        </w:rPr>
                        <w:t>18</w:t>
                      </w:r>
                    </w:p>
                  </w:txbxContent>
                </v:textbox>
              </v:rect>
            </w:pict>
          </mc:Fallback>
        </mc:AlternateContent>
      </w:r>
    </w:p>
    <w:p>
      <w:pPr>
        <w:pStyle w:val="TextBody"/>
        <w:spacing w:before="0" w:after="0"/>
        <w:rPr/>
      </w:pPr>
      <w:r>
        <w:rPr/>
      </w:r>
    </w:p>
    <w:p>
      <w:pPr>
        <w:pStyle w:val="TextBody"/>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business when using the market approach, which applies a market multiple to financial metrics. It is also a measure used to calculate the leverage ratio of the Company, which is a key financial ratio monitored and used by the Company and its investors. Adjusted EBITDA is defined as net income (loss), plus non-operating expenses, income tax expense, depreciation and amortization, assets loss (gain) on sales, impairments and other, restructuring costs and other, stock compensation and our 50% share of EBITDA from TNI and MNI, minus equity in earnings of TNI and MNI.</w:t>
      </w:r>
    </w:p>
    <w:p>
      <w:pPr>
        <w:pStyle w:val="TextBody"/>
        <w:spacing w:lineRule="auto" w:line="288" w:before="200" w:after="283"/>
        <w:jc w:val="both"/>
        <w:rPr/>
      </w:pPr>
      <w:r>
        <w:rPr>
          <w:rFonts w:ascii="Arial;sans-serif" w:hAnsi="Arial;sans-serif"/>
          <w:b w:val="false"/>
          <w:i/>
          <w:color w:val="000000"/>
          <w:sz w:val="20"/>
        </w:rPr>
        <w:t xml:space="preserve">Cash Costs </w:t>
      </w:r>
      <w:r>
        <w:rPr>
          <w:rFonts w:ascii="Arial;sans-serif" w:hAnsi="Arial;sans-serif"/>
          <w:b w:val="false"/>
          <w:color w:val="000000"/>
          <w:sz w:val="20"/>
        </w:rPr>
        <w:t>represent a non-GAAP financial performance measure of operating expenses which are measured on an accrual basis and settled in cash. This measure is useful to investors in understanding the components of the Company’s cash-settled operating costs. Generally, the Company provides forward-looking guidance of Cash Costs, which can be used by financial statement users to assess the Company's ability to manage and control its operating cost structure. Cash Costs are defined as compensation, newsprint and ink and other operating expenses. Depreciation and amortization, assets loss (gain) on sales, impairments and other, other non-cash operating expenses and other expenses are excluded. Cash Costs also exclude restructuring costs and other, which are typically settled in cash.</w:t>
      </w:r>
    </w:p>
    <w:p>
      <w:pPr>
        <w:pStyle w:val="TextBody"/>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Adjusted EBITDA and Cash Costs are reconciled to net income (loss) and operating expenses, below, the closest comparable numbers under GAAP.</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83"/>
        <w:rPr>
          <w:rFonts w:ascii="Arial;sans-serif" w:hAnsi="Arial;sans-serif"/>
          <w:b/>
          <w:color w:val="000000"/>
          <w:sz w:val="20"/>
        </w:rPr>
      </w:pPr>
      <w:r>
        <w:rPr>
          <w:rFonts w:ascii="Arial;sans-serif" w:hAnsi="Arial;sans-serif"/>
          <w:b/>
          <w:color w:val="000000"/>
          <w:sz w:val="20"/>
        </w:rPr>
        <w:t>RECONCILIATION OF NON-GAAP FINANCIAL MEASURES</w:t>
      </w:r>
    </w:p>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(UNAUDITED)</w:t>
      </w:r>
    </w:p>
    <w:p>
      <w:pPr>
        <w:pStyle w:val="TextBody"/>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The table below reconciles the non-GAAP financial performance measure of Adjusted EBITDA to net income, the most directly comparable GAAP measure:</w:t>
      </w:r>
    </w:p>
    <w:tbl>
      <w:tblPr>
        <w:tblW w:w="10205" w:type="dxa"/>
        <w:jc w:val="left"/>
        <w:tblInd w:w="0" w:type="dxa"/>
        <w:tblCellMar>
          <w:top w:w="28" w:type="dxa"/>
          <w:left w:w="28" w:type="dxa"/>
          <w:bottom w:w="28" w:type="dxa"/>
          <w:right w:w="28" w:type="dxa"/>
        </w:tblCellMar>
      </w:tblPr>
      <w:tblGrid>
        <w:gridCol w:w="1583"/>
        <w:gridCol w:w="1387"/>
        <w:gridCol w:w="1393"/>
        <w:gridCol w:w="485"/>
        <w:gridCol w:w="482"/>
        <w:gridCol w:w="481"/>
        <w:gridCol w:w="483"/>
        <w:gridCol w:w="480"/>
        <w:gridCol w:w="484"/>
        <w:gridCol w:w="485"/>
        <w:gridCol w:w="482"/>
        <w:gridCol w:w="481"/>
        <w:gridCol w:w="438"/>
        <w:gridCol w:w="436"/>
        <w:gridCol w:w="625"/>
      </w:tblGrid>
      <w:tr>
        <w:trPr/>
        <w:tc>
          <w:tcPr>
            <w:tcW w:w="1583" w:type="dxa"/>
            <w:tcBorders/>
            <w:shd w:fill="auto" w:val="clear"/>
            <w:vAlign w:val="center"/>
          </w:tcPr>
          <w:p>
            <w:pPr>
              <w:pStyle w:val="TableContents"/>
              <w:spacing w:before="0" w:after="283"/>
              <w:rPr>
                <w:sz w:val="4"/>
                <w:szCs w:val="4"/>
              </w:rPr>
            </w:pPr>
            <w:r>
              <w:rPr>
                <w:sz w:val="4"/>
                <w:szCs w:val="4"/>
              </w:rPr>
            </w:r>
          </w:p>
        </w:tc>
        <w:tc>
          <w:tcPr>
            <w:tcW w:w="1387" w:type="dxa"/>
            <w:tcBorders/>
            <w:shd w:fill="auto" w:val="clear"/>
            <w:vAlign w:val="center"/>
          </w:tcPr>
          <w:p>
            <w:pPr>
              <w:pStyle w:val="TableContents"/>
              <w:spacing w:before="0" w:after="283"/>
              <w:rPr>
                <w:sz w:val="4"/>
                <w:szCs w:val="4"/>
              </w:rPr>
            </w:pPr>
            <w:r>
              <w:rPr>
                <w:sz w:val="4"/>
                <w:szCs w:val="4"/>
              </w:rPr>
            </w:r>
          </w:p>
        </w:tc>
        <w:tc>
          <w:tcPr>
            <w:tcW w:w="1393" w:type="dxa"/>
            <w:tcBorders/>
            <w:shd w:fill="auto" w:val="clear"/>
            <w:vAlign w:val="center"/>
          </w:tcPr>
          <w:p>
            <w:pPr>
              <w:pStyle w:val="TableContents"/>
              <w:spacing w:before="0" w:after="283"/>
              <w:rPr>
                <w:sz w:val="4"/>
                <w:szCs w:val="4"/>
              </w:rPr>
            </w:pPr>
            <w:r>
              <w:rPr>
                <w:sz w:val="4"/>
                <w:szCs w:val="4"/>
              </w:rPr>
            </w:r>
          </w:p>
        </w:tc>
        <w:tc>
          <w:tcPr>
            <w:tcW w:w="485" w:type="dxa"/>
            <w:tcBorders/>
            <w:shd w:fill="auto" w:val="clear"/>
            <w:vAlign w:val="center"/>
          </w:tcPr>
          <w:p>
            <w:pPr>
              <w:pStyle w:val="TableContents"/>
              <w:spacing w:before="0" w:after="283"/>
              <w:rPr>
                <w:sz w:val="4"/>
                <w:szCs w:val="4"/>
              </w:rPr>
            </w:pPr>
            <w:r>
              <w:rPr>
                <w:sz w:val="4"/>
                <w:szCs w:val="4"/>
              </w:rPr>
            </w:r>
          </w:p>
        </w:tc>
        <w:tc>
          <w:tcPr>
            <w:tcW w:w="482" w:type="dxa"/>
            <w:tcBorders/>
            <w:shd w:fill="auto" w:val="clear"/>
            <w:vAlign w:val="center"/>
          </w:tcPr>
          <w:p>
            <w:pPr>
              <w:pStyle w:val="TableContents"/>
              <w:spacing w:before="0" w:after="283"/>
              <w:rPr>
                <w:sz w:val="4"/>
                <w:szCs w:val="4"/>
              </w:rPr>
            </w:pPr>
            <w:r>
              <w:rPr>
                <w:sz w:val="4"/>
                <w:szCs w:val="4"/>
              </w:rPr>
            </w:r>
          </w:p>
        </w:tc>
        <w:tc>
          <w:tcPr>
            <w:tcW w:w="481" w:type="dxa"/>
            <w:tcBorders/>
            <w:shd w:fill="auto" w:val="clear"/>
            <w:vAlign w:val="center"/>
          </w:tcPr>
          <w:p>
            <w:pPr>
              <w:pStyle w:val="TableContents"/>
              <w:spacing w:before="0" w:after="283"/>
              <w:rPr>
                <w:sz w:val="4"/>
                <w:szCs w:val="4"/>
              </w:rPr>
            </w:pPr>
            <w:r>
              <w:rPr>
                <w:sz w:val="4"/>
                <w:szCs w:val="4"/>
              </w:rPr>
            </w:r>
          </w:p>
        </w:tc>
        <w:tc>
          <w:tcPr>
            <w:tcW w:w="483" w:type="dxa"/>
            <w:tcBorders/>
            <w:shd w:fill="auto" w:val="clear"/>
            <w:vAlign w:val="center"/>
          </w:tcPr>
          <w:p>
            <w:pPr>
              <w:pStyle w:val="TableContents"/>
              <w:spacing w:before="0" w:after="283"/>
              <w:rPr>
                <w:sz w:val="4"/>
                <w:szCs w:val="4"/>
              </w:rPr>
            </w:pPr>
            <w:r>
              <w:rPr>
                <w:sz w:val="4"/>
                <w:szCs w:val="4"/>
              </w:rPr>
            </w:r>
          </w:p>
        </w:tc>
        <w:tc>
          <w:tcPr>
            <w:tcW w:w="480" w:type="dxa"/>
            <w:tcBorders/>
            <w:shd w:fill="auto" w:val="clear"/>
            <w:vAlign w:val="center"/>
          </w:tcPr>
          <w:p>
            <w:pPr>
              <w:pStyle w:val="TableContents"/>
              <w:spacing w:before="0" w:after="283"/>
              <w:rPr>
                <w:sz w:val="4"/>
                <w:szCs w:val="4"/>
              </w:rPr>
            </w:pPr>
            <w:r>
              <w:rPr>
                <w:sz w:val="4"/>
                <w:szCs w:val="4"/>
              </w:rPr>
            </w:r>
          </w:p>
        </w:tc>
        <w:tc>
          <w:tcPr>
            <w:tcW w:w="484" w:type="dxa"/>
            <w:tcBorders/>
            <w:shd w:fill="auto" w:val="clear"/>
            <w:vAlign w:val="center"/>
          </w:tcPr>
          <w:p>
            <w:pPr>
              <w:pStyle w:val="TableContents"/>
              <w:spacing w:before="0" w:after="283"/>
              <w:rPr>
                <w:sz w:val="4"/>
                <w:szCs w:val="4"/>
              </w:rPr>
            </w:pPr>
            <w:r>
              <w:rPr>
                <w:sz w:val="4"/>
                <w:szCs w:val="4"/>
              </w:rPr>
            </w:r>
          </w:p>
        </w:tc>
        <w:tc>
          <w:tcPr>
            <w:tcW w:w="485" w:type="dxa"/>
            <w:tcBorders/>
            <w:shd w:fill="auto" w:val="clear"/>
            <w:vAlign w:val="center"/>
          </w:tcPr>
          <w:p>
            <w:pPr>
              <w:pStyle w:val="TableContents"/>
              <w:spacing w:before="0" w:after="283"/>
              <w:rPr>
                <w:sz w:val="4"/>
                <w:szCs w:val="4"/>
              </w:rPr>
            </w:pPr>
            <w:r>
              <w:rPr>
                <w:sz w:val="4"/>
                <w:szCs w:val="4"/>
              </w:rPr>
            </w:r>
          </w:p>
        </w:tc>
        <w:tc>
          <w:tcPr>
            <w:tcW w:w="482" w:type="dxa"/>
            <w:tcBorders/>
            <w:shd w:fill="auto" w:val="clear"/>
            <w:vAlign w:val="center"/>
          </w:tcPr>
          <w:p>
            <w:pPr>
              <w:pStyle w:val="TableContents"/>
              <w:spacing w:before="0" w:after="283"/>
              <w:rPr>
                <w:sz w:val="4"/>
                <w:szCs w:val="4"/>
              </w:rPr>
            </w:pPr>
            <w:r>
              <w:rPr>
                <w:sz w:val="4"/>
                <w:szCs w:val="4"/>
              </w:rPr>
            </w:r>
          </w:p>
        </w:tc>
        <w:tc>
          <w:tcPr>
            <w:tcW w:w="481" w:type="dxa"/>
            <w:tcBorders/>
            <w:shd w:fill="auto" w:val="clear"/>
            <w:vAlign w:val="center"/>
          </w:tcPr>
          <w:p>
            <w:pPr>
              <w:pStyle w:val="TableContents"/>
              <w:spacing w:before="0" w:after="283"/>
              <w:rPr>
                <w:sz w:val="4"/>
                <w:szCs w:val="4"/>
              </w:rPr>
            </w:pPr>
            <w:r>
              <w:rPr>
                <w:sz w:val="4"/>
                <w:szCs w:val="4"/>
              </w:rPr>
            </w:r>
          </w:p>
        </w:tc>
        <w:tc>
          <w:tcPr>
            <w:tcW w:w="438" w:type="dxa"/>
            <w:tcBorders/>
            <w:shd w:fill="auto" w:val="clear"/>
            <w:vAlign w:val="center"/>
          </w:tcPr>
          <w:p>
            <w:pPr>
              <w:pStyle w:val="TableContents"/>
              <w:spacing w:before="0" w:after="283"/>
              <w:rPr>
                <w:sz w:val="4"/>
                <w:szCs w:val="4"/>
              </w:rPr>
            </w:pPr>
            <w:r>
              <w:rPr>
                <w:sz w:val="4"/>
                <w:szCs w:val="4"/>
              </w:rPr>
            </w:r>
          </w:p>
        </w:tc>
        <w:tc>
          <w:tcPr>
            <w:tcW w:w="436" w:type="dxa"/>
            <w:tcBorders/>
            <w:shd w:fill="auto" w:val="clear"/>
            <w:vAlign w:val="center"/>
          </w:tcPr>
          <w:p>
            <w:pPr>
              <w:pStyle w:val="TableContents"/>
              <w:spacing w:before="0" w:after="283"/>
              <w:rPr>
                <w:sz w:val="4"/>
                <w:szCs w:val="4"/>
              </w:rPr>
            </w:pPr>
            <w:r>
              <w:rPr>
                <w:sz w:val="4"/>
                <w:szCs w:val="4"/>
              </w:rPr>
            </w:r>
          </w:p>
        </w:tc>
        <w:tc>
          <w:tcPr>
            <w:tcW w:w="625" w:type="dxa"/>
            <w:tcBorders/>
            <w:shd w:fill="auto" w:val="clear"/>
            <w:vAlign w:val="center"/>
          </w:tcPr>
          <w:p>
            <w:pPr>
              <w:pStyle w:val="TableContents"/>
              <w:spacing w:before="0" w:after="283"/>
              <w:rPr>
                <w:sz w:val="4"/>
                <w:szCs w:val="4"/>
              </w:rPr>
            </w:pPr>
            <w:r>
              <w:rPr>
                <w:sz w:val="4"/>
                <w:szCs w:val="4"/>
              </w:rPr>
            </w:r>
          </w:p>
        </w:tc>
      </w:tr>
      <w:tr>
        <w:trPr/>
        <w:tc>
          <w:tcPr>
            <w:tcW w:w="436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895" w:type="dxa"/>
            <w:gridSpan w:val="6"/>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 xml:space="preserve">Three months ended </w:t>
            </w:r>
          </w:p>
        </w:tc>
        <w:tc>
          <w:tcPr>
            <w:tcW w:w="2947" w:type="dxa"/>
            <w:gridSpan w:val="6"/>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Six months ended</w:t>
            </w:r>
          </w:p>
        </w:tc>
      </w:tr>
      <w:tr>
        <w:trPr/>
        <w:tc>
          <w:tcPr>
            <w:tcW w:w="436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(Thousands of Dollars)</w:t>
            </w:r>
          </w:p>
        </w:tc>
        <w:tc>
          <w:tcPr>
            <w:tcW w:w="144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March 26, 2023</w:t>
            </w:r>
          </w:p>
        </w:tc>
        <w:tc>
          <w:tcPr>
            <w:tcW w:w="144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March 27, 2022</w:t>
            </w:r>
          </w:p>
        </w:tc>
        <w:tc>
          <w:tcPr>
            <w:tcW w:w="144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March 26, 2023</w:t>
            </w:r>
          </w:p>
        </w:tc>
        <w:tc>
          <w:tcPr>
            <w:tcW w:w="149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March 27, 2022</w:t>
            </w:r>
          </w:p>
        </w:tc>
      </w:tr>
      <w:tr>
        <w:trPr/>
        <w:tc>
          <w:tcPr>
            <w:tcW w:w="436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4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4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4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9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36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(loss) income</w:t>
            </w:r>
          </w:p>
        </w:tc>
        <w:tc>
          <w:tcPr>
            <w:tcW w:w="9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(5,366)</w:t>
            </w:r>
          </w:p>
        </w:tc>
        <w:tc>
          <w:tcPr>
            <w:tcW w:w="4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(6,694)</w:t>
            </w:r>
          </w:p>
        </w:tc>
        <w:tc>
          <w:tcPr>
            <w:tcW w:w="48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(3,542)</w:t>
            </w:r>
          </w:p>
        </w:tc>
        <w:tc>
          <w:tcPr>
            <w:tcW w:w="4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6,505 </w:t>
            </w:r>
          </w:p>
        </w:tc>
        <w:tc>
          <w:tcPr>
            <w:tcW w:w="6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6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Adjusted to exclude</w:t>
            </w:r>
          </w:p>
        </w:tc>
        <w:tc>
          <w:tcPr>
            <w:tcW w:w="144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6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tax (benefit) expense</w:t>
            </w:r>
          </w:p>
        </w:tc>
        <w:tc>
          <w:tcPr>
            <w:tcW w:w="9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(2,071)</w:t>
            </w:r>
          </w:p>
        </w:tc>
        <w:tc>
          <w:tcPr>
            <w:tcW w:w="4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(3,144)</w:t>
            </w:r>
          </w:p>
        </w:tc>
        <w:tc>
          <w:tcPr>
            <w:tcW w:w="48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(1,631)</w:t>
            </w:r>
          </w:p>
        </w:tc>
        <w:tc>
          <w:tcPr>
            <w:tcW w:w="4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2,207 </w:t>
            </w:r>
          </w:p>
        </w:tc>
        <w:tc>
          <w:tcPr>
            <w:tcW w:w="6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6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Non-operating expenses, net</w:t>
            </w:r>
          </w:p>
        </w:tc>
        <w:tc>
          <w:tcPr>
            <w:tcW w:w="9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10,295 </w:t>
            </w:r>
          </w:p>
        </w:tc>
        <w:tc>
          <w:tcPr>
            <w:tcW w:w="4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6,610 </w:t>
            </w:r>
          </w:p>
        </w:tc>
        <w:tc>
          <w:tcPr>
            <w:tcW w:w="48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19,209 </w:t>
            </w:r>
          </w:p>
        </w:tc>
        <w:tc>
          <w:tcPr>
            <w:tcW w:w="4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13,174 </w:t>
            </w:r>
          </w:p>
        </w:tc>
        <w:tc>
          <w:tcPr>
            <w:tcW w:w="6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6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Equity in earnings of TNI and MNI</w:t>
            </w:r>
          </w:p>
        </w:tc>
        <w:tc>
          <w:tcPr>
            <w:tcW w:w="9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(672)</w:t>
            </w:r>
          </w:p>
        </w:tc>
        <w:tc>
          <w:tcPr>
            <w:tcW w:w="4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(1,407)</w:t>
            </w:r>
          </w:p>
        </w:tc>
        <w:tc>
          <w:tcPr>
            <w:tcW w:w="48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(2,340)</w:t>
            </w:r>
          </w:p>
        </w:tc>
        <w:tc>
          <w:tcPr>
            <w:tcW w:w="4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(3,161)</w:t>
            </w:r>
          </w:p>
        </w:tc>
        <w:tc>
          <w:tcPr>
            <w:tcW w:w="6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6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Depreciation and amortization</w:t>
            </w:r>
          </w:p>
        </w:tc>
        <w:tc>
          <w:tcPr>
            <w:tcW w:w="9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7,733 </w:t>
            </w:r>
          </w:p>
        </w:tc>
        <w:tc>
          <w:tcPr>
            <w:tcW w:w="4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8,951 </w:t>
            </w:r>
          </w:p>
        </w:tc>
        <w:tc>
          <w:tcPr>
            <w:tcW w:w="48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15,619 </w:t>
            </w:r>
          </w:p>
        </w:tc>
        <w:tc>
          <w:tcPr>
            <w:tcW w:w="4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18,627 </w:t>
            </w:r>
          </w:p>
        </w:tc>
        <w:tc>
          <w:tcPr>
            <w:tcW w:w="6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6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Restructuring costs and other</w:t>
            </w:r>
          </w:p>
        </w:tc>
        <w:tc>
          <w:tcPr>
            <w:tcW w:w="9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3,694 </w:t>
            </w:r>
          </w:p>
        </w:tc>
        <w:tc>
          <w:tcPr>
            <w:tcW w:w="4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10,590 </w:t>
            </w:r>
          </w:p>
        </w:tc>
        <w:tc>
          <w:tcPr>
            <w:tcW w:w="48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4,340 </w:t>
            </w:r>
          </w:p>
        </w:tc>
        <w:tc>
          <w:tcPr>
            <w:tcW w:w="4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13,790 </w:t>
            </w:r>
          </w:p>
        </w:tc>
        <w:tc>
          <w:tcPr>
            <w:tcW w:w="6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6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Assets gain on sales, impairments and other, net</w:t>
            </w:r>
          </w:p>
        </w:tc>
        <w:tc>
          <w:tcPr>
            <w:tcW w:w="9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(792)</w:t>
            </w:r>
          </w:p>
        </w:tc>
        <w:tc>
          <w:tcPr>
            <w:tcW w:w="4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(152)</w:t>
            </w:r>
          </w:p>
        </w:tc>
        <w:tc>
          <w:tcPr>
            <w:tcW w:w="48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(3,355)</w:t>
            </w:r>
          </w:p>
        </w:tc>
        <w:tc>
          <w:tcPr>
            <w:tcW w:w="4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(12,426)</w:t>
            </w:r>
          </w:p>
        </w:tc>
        <w:tc>
          <w:tcPr>
            <w:tcW w:w="6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6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 compensation</w:t>
            </w:r>
          </w:p>
        </w:tc>
        <w:tc>
          <w:tcPr>
            <w:tcW w:w="9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573 </w:t>
            </w:r>
          </w:p>
        </w:tc>
        <w:tc>
          <w:tcPr>
            <w:tcW w:w="4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512 </w:t>
            </w:r>
          </w:p>
        </w:tc>
        <w:tc>
          <w:tcPr>
            <w:tcW w:w="48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922 </w:t>
            </w:r>
          </w:p>
        </w:tc>
        <w:tc>
          <w:tcPr>
            <w:tcW w:w="4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699 </w:t>
            </w:r>
          </w:p>
        </w:tc>
        <w:tc>
          <w:tcPr>
            <w:tcW w:w="6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6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Add:</w:t>
            </w:r>
          </w:p>
        </w:tc>
        <w:tc>
          <w:tcPr>
            <w:tcW w:w="144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6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Ownership share of TNI and MNI EBITDA (50%)</w:t>
            </w:r>
          </w:p>
        </w:tc>
        <w:tc>
          <w:tcPr>
            <w:tcW w:w="9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930 </w:t>
            </w:r>
          </w:p>
        </w:tc>
        <w:tc>
          <w:tcPr>
            <w:tcW w:w="4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1,657 </w:t>
            </w:r>
          </w:p>
        </w:tc>
        <w:tc>
          <w:tcPr>
            <w:tcW w:w="48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2,722 </w:t>
            </w:r>
          </w:p>
        </w:tc>
        <w:tc>
          <w:tcPr>
            <w:tcW w:w="4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3,596 </w:t>
            </w:r>
          </w:p>
        </w:tc>
        <w:tc>
          <w:tcPr>
            <w:tcW w:w="6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63"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Adjusted EBITDA</w:t>
            </w:r>
          </w:p>
        </w:tc>
        <w:tc>
          <w:tcPr>
            <w:tcW w:w="967"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14,324 </w:t>
            </w:r>
          </w:p>
        </w:tc>
        <w:tc>
          <w:tcPr>
            <w:tcW w:w="4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963"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16,923 </w:t>
            </w:r>
          </w:p>
        </w:tc>
        <w:tc>
          <w:tcPr>
            <w:tcW w:w="4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967"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31,944 </w:t>
            </w:r>
          </w:p>
        </w:tc>
        <w:tc>
          <w:tcPr>
            <w:tcW w:w="4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874"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43,011 </w:t>
            </w:r>
          </w:p>
        </w:tc>
        <w:tc>
          <w:tcPr>
            <w:tcW w:w="6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050"/>
                <wp:effectExtent l="0" t="0" r="0" b="0"/>
                <wp:wrapNone/>
                <wp:docPr id="21" name="Frame21"/>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76" w:before="0" w:after="0"/>
                              <w:jc w:val="center"/>
                              <w:rPr>
                                <w:rFonts w:ascii="Arial;sans-serif" w:hAnsi="Arial;sans-serif"/>
                                <w:b w:val="false"/>
                                <w:color w:val="000000"/>
                                <w:sz w:val="20"/>
                              </w:rPr>
                            </w:pPr>
                            <w:r>
                              <w:rPr>
                                <w:rFonts w:ascii="Arial;sans-serif" w:hAnsi="Arial;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Arial;sans-serif" w:hAnsi="Arial;sans-serif"/>
                          <w:b w:val="false"/>
                          <w:color w:val="000000"/>
                          <w:sz w:val="20"/>
                        </w:rPr>
                      </w:pPr>
                      <w:r>
                        <w:rPr>
                          <w:rFonts w:ascii="Arial;sans-serif" w:hAnsi="Arial;sans-serif"/>
                          <w:b w:val="false"/>
                          <w:color w:val="000000"/>
                          <w:sz w:val="20"/>
                        </w:rPr>
                        <w:t>19</w:t>
                      </w:r>
                    </w:p>
                  </w:txbxContent>
                </v:textbox>
              </v:rect>
            </w:pict>
          </mc:Fallback>
        </mc:AlternateContent>
      </w:r>
    </w:p>
    <w:p>
      <w:pPr>
        <w:pStyle w:val="TextBody"/>
        <w:spacing w:before="0" w:after="0"/>
        <w:rPr/>
      </w:pPr>
      <w:r>
        <w:rPr/>
      </w:r>
    </w:p>
    <w:p>
      <w:pPr>
        <w:pStyle w:val="TextBody"/>
        <w:spacing w:lineRule="auto" w:line="288" w:before="200" w:after="283"/>
        <w:rPr>
          <w:rFonts w:ascii="Arial;sans-serif" w:hAnsi="Arial;sans-serif"/>
          <w:b w:val="false"/>
          <w:color w:val="000000"/>
          <w:sz w:val="20"/>
        </w:rPr>
      </w:pPr>
      <w:r>
        <w:rPr>
          <w:rFonts w:ascii="Arial;sans-serif" w:hAnsi="Arial;sans-serif"/>
          <w:b w:val="false"/>
          <w:color w:val="000000"/>
          <w:sz w:val="20"/>
        </w:rPr>
        <w:t>The table below reconciles the non-GAAP financial performance measure of Cash Costs to Operating expenses, the most directly comparable GAAP measure:</w:t>
      </w:r>
    </w:p>
    <w:tbl>
      <w:tblPr>
        <w:tblW w:w="10205" w:type="dxa"/>
        <w:jc w:val="left"/>
        <w:tblInd w:w="0" w:type="dxa"/>
        <w:tblCellMar>
          <w:top w:w="28" w:type="dxa"/>
          <w:left w:w="28" w:type="dxa"/>
          <w:bottom w:w="28" w:type="dxa"/>
          <w:right w:w="28" w:type="dxa"/>
        </w:tblCellMar>
      </w:tblPr>
      <w:tblGrid>
        <w:gridCol w:w="1581"/>
        <w:gridCol w:w="1388"/>
        <w:gridCol w:w="1392"/>
        <w:gridCol w:w="485"/>
        <w:gridCol w:w="483"/>
        <w:gridCol w:w="481"/>
        <w:gridCol w:w="483"/>
        <w:gridCol w:w="481"/>
        <w:gridCol w:w="484"/>
        <w:gridCol w:w="485"/>
        <w:gridCol w:w="483"/>
        <w:gridCol w:w="481"/>
        <w:gridCol w:w="438"/>
        <w:gridCol w:w="437"/>
        <w:gridCol w:w="623"/>
      </w:tblGrid>
      <w:tr>
        <w:trPr/>
        <w:tc>
          <w:tcPr>
            <w:tcW w:w="1581" w:type="dxa"/>
            <w:tcBorders/>
            <w:shd w:fill="auto" w:val="clear"/>
            <w:vAlign w:val="center"/>
          </w:tcPr>
          <w:p>
            <w:pPr>
              <w:pStyle w:val="TableContents"/>
              <w:spacing w:before="0" w:after="283"/>
              <w:rPr>
                <w:sz w:val="4"/>
                <w:szCs w:val="4"/>
              </w:rPr>
            </w:pPr>
            <w:r>
              <w:rPr>
                <w:sz w:val="4"/>
                <w:szCs w:val="4"/>
              </w:rPr>
            </w:r>
          </w:p>
        </w:tc>
        <w:tc>
          <w:tcPr>
            <w:tcW w:w="1388" w:type="dxa"/>
            <w:tcBorders/>
            <w:shd w:fill="auto" w:val="clear"/>
            <w:vAlign w:val="center"/>
          </w:tcPr>
          <w:p>
            <w:pPr>
              <w:pStyle w:val="TableContents"/>
              <w:spacing w:before="0" w:after="283"/>
              <w:rPr>
                <w:sz w:val="4"/>
                <w:szCs w:val="4"/>
              </w:rPr>
            </w:pPr>
            <w:r>
              <w:rPr>
                <w:sz w:val="4"/>
                <w:szCs w:val="4"/>
              </w:rPr>
            </w:r>
          </w:p>
        </w:tc>
        <w:tc>
          <w:tcPr>
            <w:tcW w:w="1392" w:type="dxa"/>
            <w:tcBorders/>
            <w:shd w:fill="auto" w:val="clear"/>
            <w:vAlign w:val="center"/>
          </w:tcPr>
          <w:p>
            <w:pPr>
              <w:pStyle w:val="TableContents"/>
              <w:spacing w:before="0" w:after="283"/>
              <w:rPr>
                <w:sz w:val="4"/>
                <w:szCs w:val="4"/>
              </w:rPr>
            </w:pPr>
            <w:r>
              <w:rPr>
                <w:sz w:val="4"/>
                <w:szCs w:val="4"/>
              </w:rPr>
            </w:r>
          </w:p>
        </w:tc>
        <w:tc>
          <w:tcPr>
            <w:tcW w:w="485" w:type="dxa"/>
            <w:tcBorders/>
            <w:shd w:fill="auto" w:val="clear"/>
            <w:vAlign w:val="center"/>
          </w:tcPr>
          <w:p>
            <w:pPr>
              <w:pStyle w:val="TableContents"/>
              <w:spacing w:before="0" w:after="283"/>
              <w:rPr>
                <w:sz w:val="4"/>
                <w:szCs w:val="4"/>
              </w:rPr>
            </w:pPr>
            <w:r>
              <w:rPr>
                <w:sz w:val="4"/>
                <w:szCs w:val="4"/>
              </w:rPr>
            </w:r>
          </w:p>
        </w:tc>
        <w:tc>
          <w:tcPr>
            <w:tcW w:w="483" w:type="dxa"/>
            <w:tcBorders/>
            <w:shd w:fill="auto" w:val="clear"/>
            <w:vAlign w:val="center"/>
          </w:tcPr>
          <w:p>
            <w:pPr>
              <w:pStyle w:val="TableContents"/>
              <w:spacing w:before="0" w:after="283"/>
              <w:rPr>
                <w:sz w:val="4"/>
                <w:szCs w:val="4"/>
              </w:rPr>
            </w:pPr>
            <w:r>
              <w:rPr>
                <w:sz w:val="4"/>
                <w:szCs w:val="4"/>
              </w:rPr>
            </w:r>
          </w:p>
        </w:tc>
        <w:tc>
          <w:tcPr>
            <w:tcW w:w="481" w:type="dxa"/>
            <w:tcBorders/>
            <w:shd w:fill="auto" w:val="clear"/>
            <w:vAlign w:val="center"/>
          </w:tcPr>
          <w:p>
            <w:pPr>
              <w:pStyle w:val="TableContents"/>
              <w:spacing w:before="0" w:after="283"/>
              <w:rPr>
                <w:sz w:val="4"/>
                <w:szCs w:val="4"/>
              </w:rPr>
            </w:pPr>
            <w:r>
              <w:rPr>
                <w:sz w:val="4"/>
                <w:szCs w:val="4"/>
              </w:rPr>
            </w:r>
          </w:p>
        </w:tc>
        <w:tc>
          <w:tcPr>
            <w:tcW w:w="483" w:type="dxa"/>
            <w:tcBorders/>
            <w:shd w:fill="auto" w:val="clear"/>
            <w:vAlign w:val="center"/>
          </w:tcPr>
          <w:p>
            <w:pPr>
              <w:pStyle w:val="TableContents"/>
              <w:spacing w:before="0" w:after="283"/>
              <w:rPr>
                <w:sz w:val="4"/>
                <w:szCs w:val="4"/>
              </w:rPr>
            </w:pPr>
            <w:r>
              <w:rPr>
                <w:sz w:val="4"/>
                <w:szCs w:val="4"/>
              </w:rPr>
            </w:r>
          </w:p>
        </w:tc>
        <w:tc>
          <w:tcPr>
            <w:tcW w:w="481" w:type="dxa"/>
            <w:tcBorders/>
            <w:shd w:fill="auto" w:val="clear"/>
            <w:vAlign w:val="center"/>
          </w:tcPr>
          <w:p>
            <w:pPr>
              <w:pStyle w:val="TableContents"/>
              <w:spacing w:before="0" w:after="283"/>
              <w:rPr>
                <w:sz w:val="4"/>
                <w:szCs w:val="4"/>
              </w:rPr>
            </w:pPr>
            <w:r>
              <w:rPr>
                <w:sz w:val="4"/>
                <w:szCs w:val="4"/>
              </w:rPr>
            </w:r>
          </w:p>
        </w:tc>
        <w:tc>
          <w:tcPr>
            <w:tcW w:w="484" w:type="dxa"/>
            <w:tcBorders/>
            <w:shd w:fill="auto" w:val="clear"/>
            <w:vAlign w:val="center"/>
          </w:tcPr>
          <w:p>
            <w:pPr>
              <w:pStyle w:val="TableContents"/>
              <w:spacing w:before="0" w:after="283"/>
              <w:rPr>
                <w:sz w:val="4"/>
                <w:szCs w:val="4"/>
              </w:rPr>
            </w:pPr>
            <w:r>
              <w:rPr>
                <w:sz w:val="4"/>
                <w:szCs w:val="4"/>
              </w:rPr>
            </w:r>
          </w:p>
        </w:tc>
        <w:tc>
          <w:tcPr>
            <w:tcW w:w="485" w:type="dxa"/>
            <w:tcBorders/>
            <w:shd w:fill="auto" w:val="clear"/>
            <w:vAlign w:val="center"/>
          </w:tcPr>
          <w:p>
            <w:pPr>
              <w:pStyle w:val="TableContents"/>
              <w:spacing w:before="0" w:after="283"/>
              <w:rPr>
                <w:sz w:val="4"/>
                <w:szCs w:val="4"/>
              </w:rPr>
            </w:pPr>
            <w:r>
              <w:rPr>
                <w:sz w:val="4"/>
                <w:szCs w:val="4"/>
              </w:rPr>
            </w:r>
          </w:p>
        </w:tc>
        <w:tc>
          <w:tcPr>
            <w:tcW w:w="483" w:type="dxa"/>
            <w:tcBorders/>
            <w:shd w:fill="auto" w:val="clear"/>
            <w:vAlign w:val="center"/>
          </w:tcPr>
          <w:p>
            <w:pPr>
              <w:pStyle w:val="TableContents"/>
              <w:spacing w:before="0" w:after="283"/>
              <w:rPr>
                <w:sz w:val="4"/>
                <w:szCs w:val="4"/>
              </w:rPr>
            </w:pPr>
            <w:r>
              <w:rPr>
                <w:sz w:val="4"/>
                <w:szCs w:val="4"/>
              </w:rPr>
            </w:r>
          </w:p>
        </w:tc>
        <w:tc>
          <w:tcPr>
            <w:tcW w:w="481" w:type="dxa"/>
            <w:tcBorders/>
            <w:shd w:fill="auto" w:val="clear"/>
            <w:vAlign w:val="center"/>
          </w:tcPr>
          <w:p>
            <w:pPr>
              <w:pStyle w:val="TableContents"/>
              <w:spacing w:before="0" w:after="283"/>
              <w:rPr>
                <w:sz w:val="4"/>
                <w:szCs w:val="4"/>
              </w:rPr>
            </w:pPr>
            <w:r>
              <w:rPr>
                <w:sz w:val="4"/>
                <w:szCs w:val="4"/>
              </w:rPr>
            </w:r>
          </w:p>
        </w:tc>
        <w:tc>
          <w:tcPr>
            <w:tcW w:w="438" w:type="dxa"/>
            <w:tcBorders/>
            <w:shd w:fill="auto" w:val="clear"/>
            <w:vAlign w:val="center"/>
          </w:tcPr>
          <w:p>
            <w:pPr>
              <w:pStyle w:val="TableContents"/>
              <w:spacing w:before="0" w:after="283"/>
              <w:rPr>
                <w:sz w:val="4"/>
                <w:szCs w:val="4"/>
              </w:rPr>
            </w:pPr>
            <w:r>
              <w:rPr>
                <w:sz w:val="4"/>
                <w:szCs w:val="4"/>
              </w:rPr>
            </w:r>
          </w:p>
        </w:tc>
        <w:tc>
          <w:tcPr>
            <w:tcW w:w="437" w:type="dxa"/>
            <w:tcBorders/>
            <w:shd w:fill="auto" w:val="clear"/>
            <w:vAlign w:val="center"/>
          </w:tcPr>
          <w:p>
            <w:pPr>
              <w:pStyle w:val="TableContents"/>
              <w:spacing w:before="0" w:after="283"/>
              <w:rPr>
                <w:sz w:val="4"/>
                <w:szCs w:val="4"/>
              </w:rPr>
            </w:pPr>
            <w:r>
              <w:rPr>
                <w:sz w:val="4"/>
                <w:szCs w:val="4"/>
              </w:rPr>
            </w:r>
          </w:p>
        </w:tc>
        <w:tc>
          <w:tcPr>
            <w:tcW w:w="623" w:type="dxa"/>
            <w:tcBorders/>
            <w:shd w:fill="auto" w:val="clear"/>
            <w:vAlign w:val="center"/>
          </w:tcPr>
          <w:p>
            <w:pPr>
              <w:pStyle w:val="TableContents"/>
              <w:spacing w:before="0" w:after="283"/>
              <w:rPr>
                <w:sz w:val="4"/>
                <w:szCs w:val="4"/>
              </w:rPr>
            </w:pPr>
            <w:r>
              <w:rPr>
                <w:sz w:val="4"/>
                <w:szCs w:val="4"/>
              </w:rPr>
            </w:r>
          </w:p>
        </w:tc>
      </w:tr>
      <w:tr>
        <w:trPr/>
        <w:tc>
          <w:tcPr>
            <w:tcW w:w="436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897" w:type="dxa"/>
            <w:gridSpan w:val="6"/>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Three months ended</w:t>
            </w:r>
          </w:p>
        </w:tc>
        <w:tc>
          <w:tcPr>
            <w:tcW w:w="2947" w:type="dxa"/>
            <w:gridSpan w:val="6"/>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Six months ended</w:t>
            </w:r>
          </w:p>
        </w:tc>
      </w:tr>
      <w:tr>
        <w:trPr/>
        <w:tc>
          <w:tcPr>
            <w:tcW w:w="43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(Thousands of Dollars)</w:t>
            </w:r>
          </w:p>
        </w:tc>
        <w:tc>
          <w:tcPr>
            <w:tcW w:w="144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March 26, 2023</w:t>
            </w:r>
          </w:p>
        </w:tc>
        <w:tc>
          <w:tcPr>
            <w:tcW w:w="144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March 27, 2022</w:t>
            </w:r>
          </w:p>
        </w:tc>
        <w:tc>
          <w:tcPr>
            <w:tcW w:w="144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March 26, 2023</w:t>
            </w:r>
          </w:p>
        </w:tc>
        <w:tc>
          <w:tcPr>
            <w:tcW w:w="149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March 27, 2022</w:t>
            </w:r>
          </w:p>
        </w:tc>
      </w:tr>
      <w:tr>
        <w:trPr/>
        <w:tc>
          <w:tcPr>
            <w:tcW w:w="436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4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4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4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9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36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expenses</w:t>
            </w:r>
          </w:p>
        </w:tc>
        <w:tc>
          <w:tcPr>
            <w:tcW w:w="96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168,501 </w:t>
            </w:r>
          </w:p>
        </w:tc>
        <w:tc>
          <w:tcPr>
            <w:tcW w:w="4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194,649 </w:t>
            </w:r>
          </w:p>
        </w:tc>
        <w:tc>
          <w:tcPr>
            <w:tcW w:w="48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344,122 </w:t>
            </w:r>
          </w:p>
        </w:tc>
        <w:tc>
          <w:tcPr>
            <w:tcW w:w="4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373,571 </w:t>
            </w:r>
          </w:p>
        </w:tc>
        <w:tc>
          <w:tcPr>
            <w:tcW w:w="6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6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Adjustments</w:t>
            </w:r>
          </w:p>
        </w:tc>
        <w:tc>
          <w:tcPr>
            <w:tcW w:w="144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6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Depreciation and amortization</w:t>
            </w:r>
          </w:p>
        </w:tc>
        <w:tc>
          <w:tcPr>
            <w:tcW w:w="96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7,733 </w:t>
            </w:r>
          </w:p>
        </w:tc>
        <w:tc>
          <w:tcPr>
            <w:tcW w:w="4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8,951 </w:t>
            </w:r>
          </w:p>
        </w:tc>
        <w:tc>
          <w:tcPr>
            <w:tcW w:w="48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15,619 </w:t>
            </w:r>
          </w:p>
        </w:tc>
        <w:tc>
          <w:tcPr>
            <w:tcW w:w="4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18,627 </w:t>
            </w:r>
          </w:p>
        </w:tc>
        <w:tc>
          <w:tcPr>
            <w:tcW w:w="6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6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Assets gain on sales, impairments and other, net</w:t>
            </w:r>
          </w:p>
        </w:tc>
        <w:tc>
          <w:tcPr>
            <w:tcW w:w="96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(792)</w:t>
            </w:r>
          </w:p>
        </w:tc>
        <w:tc>
          <w:tcPr>
            <w:tcW w:w="4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(152)</w:t>
            </w:r>
          </w:p>
        </w:tc>
        <w:tc>
          <w:tcPr>
            <w:tcW w:w="48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(3,355)</w:t>
            </w:r>
          </w:p>
        </w:tc>
        <w:tc>
          <w:tcPr>
            <w:tcW w:w="4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(12,426)</w:t>
            </w:r>
          </w:p>
        </w:tc>
        <w:tc>
          <w:tcPr>
            <w:tcW w:w="6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6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Restructuring costs and other</w:t>
            </w:r>
          </w:p>
        </w:tc>
        <w:tc>
          <w:tcPr>
            <w:tcW w:w="96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3,694 </w:t>
            </w:r>
          </w:p>
        </w:tc>
        <w:tc>
          <w:tcPr>
            <w:tcW w:w="4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10,590 </w:t>
            </w:r>
          </w:p>
        </w:tc>
        <w:tc>
          <w:tcPr>
            <w:tcW w:w="48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4,340 </w:t>
            </w:r>
          </w:p>
        </w:tc>
        <w:tc>
          <w:tcPr>
            <w:tcW w:w="4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13,790 </w:t>
            </w:r>
          </w:p>
        </w:tc>
        <w:tc>
          <w:tcPr>
            <w:tcW w:w="6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61"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Costs</w:t>
            </w:r>
          </w:p>
        </w:tc>
        <w:tc>
          <w:tcPr>
            <w:tcW w:w="96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157,866 </w:t>
            </w:r>
          </w:p>
        </w:tc>
        <w:tc>
          <w:tcPr>
            <w:tcW w:w="4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964"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175,260 </w:t>
            </w:r>
          </w:p>
        </w:tc>
        <w:tc>
          <w:tcPr>
            <w:tcW w:w="4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96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327,518 </w:t>
            </w:r>
          </w:p>
        </w:tc>
        <w:tc>
          <w:tcPr>
            <w:tcW w:w="4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875"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353,580 </w:t>
            </w:r>
          </w:p>
        </w:tc>
        <w:tc>
          <w:tcPr>
            <w:tcW w:w="6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83"/>
        <w:jc w:val="both"/>
        <w:rPr>
          <w:rFonts w:ascii="Arial;sans-serif" w:hAnsi="Arial;sans-serif"/>
          <w:b/>
          <w:color w:val="000000"/>
          <w:sz w:val="20"/>
        </w:rPr>
      </w:pPr>
      <w:r>
        <w:rPr>
          <w:rFonts w:ascii="Arial;sans-serif" w:hAnsi="Arial;sans-serif"/>
          <w:b/>
          <w:color w:val="000000"/>
          <w:sz w:val="20"/>
        </w:rPr>
        <w:t xml:space="preserve">LIQUIDITY AND CAPITAL RESOURCES </w:t>
      </w:r>
    </w:p>
    <w:p>
      <w:pPr>
        <w:pStyle w:val="TextBody"/>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Our operations have historically generated strong positive cash flow and are expected to provide sufficient liquidity, together with cash on hand, to meet our requirements, primarily operating expenses, interest expense and capital expenditures. A summary of our cash flows is included in the narrative below.</w:t>
      </w:r>
    </w:p>
    <w:p>
      <w:pPr>
        <w:pStyle w:val="TextBody"/>
        <w:spacing w:lineRule="auto" w:line="288" w:before="200" w:after="283"/>
        <w:jc w:val="center"/>
        <w:rPr>
          <w:rFonts w:ascii="Arial;sans-serif" w:hAnsi="Arial;sans-serif"/>
          <w:b/>
          <w:color w:val="000000"/>
          <w:sz w:val="20"/>
        </w:rPr>
      </w:pPr>
      <w:r>
        <w:rPr>
          <w:rFonts w:ascii="Arial;sans-serif" w:hAnsi="Arial;sans-serif"/>
          <w:b/>
          <w:color w:val="000000"/>
          <w:sz w:val="20"/>
        </w:rPr>
        <w:t>Operating Activities</w:t>
      </w:r>
    </w:p>
    <w:p>
      <w:pPr>
        <w:pStyle w:val="TextBody"/>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 xml:space="preserve">Cash provided by operating activities totaled $0.6 million in 2023 compared to cash required for operating activities of $0.6 million in 2022, an increase of $1.3 million. The increase was driven by an increase in working capital of $8.0 million primarily related to favorable changes to receivables and income taxes, partially offset by a decrease in operating results of $6.8 million, (defined as net income (loss) adjusted for non-working capital items). </w:t>
      </w:r>
    </w:p>
    <w:p>
      <w:pPr>
        <w:pStyle w:val="TextBody"/>
        <w:spacing w:lineRule="auto" w:line="288" w:before="200" w:after="283"/>
        <w:jc w:val="center"/>
        <w:rPr>
          <w:rFonts w:ascii="Arial;sans-serif" w:hAnsi="Arial;sans-serif"/>
          <w:b/>
          <w:color w:val="000000"/>
          <w:sz w:val="20"/>
        </w:rPr>
      </w:pPr>
      <w:r>
        <w:rPr>
          <w:rFonts w:ascii="Arial;sans-serif" w:hAnsi="Arial;sans-serif"/>
          <w:b/>
          <w:color w:val="000000"/>
          <w:sz w:val="20"/>
        </w:rPr>
        <w:t>Investing Activities</w:t>
      </w:r>
    </w:p>
    <w:p>
      <w:pPr>
        <w:pStyle w:val="TextBody"/>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Cash provided by investing activities totaled $5.0 million in the 2023 Period compared to cash provided by investing activities of $9.9 million in the 2022 Period. 2023 and 2022 included $5.1 million and $14.7 million, respectively, in proceeds from the sale of assets as the Company divested non-core real estate.</w:t>
      </w:r>
    </w:p>
    <w:p>
      <w:pPr>
        <w:pStyle w:val="TextBody"/>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We anticipate that funds necessary for capital expenditures, which are expected to total up to $10.0 million in 2023, and other requirements, will be available from internally generated funds.</w:t>
      </w:r>
    </w:p>
    <w:p>
      <w:pPr>
        <w:pStyle w:val="TextBody"/>
        <w:spacing w:lineRule="auto" w:line="288" w:before="200" w:after="283"/>
        <w:jc w:val="center"/>
        <w:rPr>
          <w:rFonts w:ascii="Arial;sans-serif" w:hAnsi="Arial;sans-serif"/>
          <w:b/>
          <w:color w:val="000000"/>
          <w:sz w:val="20"/>
        </w:rPr>
      </w:pPr>
      <w:r>
        <w:rPr>
          <w:rFonts w:ascii="Arial;sans-serif" w:hAnsi="Arial;sans-serif"/>
          <w:b/>
          <w:color w:val="000000"/>
          <w:sz w:val="20"/>
        </w:rPr>
        <w:t>Financing Activities</w:t>
      </w:r>
    </w:p>
    <w:p>
      <w:pPr>
        <w:pStyle w:val="TextBody"/>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Cash required for financing activities totaled $2.8 million in the 2023 Period compared to $20.1 million in the 2022 Period. Debt reduction accounted for nearly all the usage of funds in both periods.</w:t>
      </w:r>
    </w:p>
    <w:p>
      <w:pPr>
        <w:pStyle w:val="TextBody"/>
        <w:spacing w:lineRule="auto" w:line="288" w:before="200" w:after="283"/>
        <w:jc w:val="center"/>
        <w:rPr>
          <w:rFonts w:ascii="Arial;sans-serif" w:hAnsi="Arial;sans-serif"/>
          <w:b/>
          <w:color w:val="000000"/>
          <w:sz w:val="20"/>
          <w:highlight w:val="white"/>
        </w:rPr>
      </w:pPr>
      <w:r>
        <w:rPr>
          <w:rFonts w:ascii="Arial;sans-serif" w:hAnsi="Arial;sans-serif"/>
          <w:b/>
          <w:color w:val="000000"/>
          <w:sz w:val="20"/>
          <w:highlight w:val="white"/>
        </w:rPr>
        <w:t>Additional Information on Liquidity</w:t>
      </w:r>
    </w:p>
    <w:p>
      <w:pPr>
        <w:pStyle w:val="TextBody"/>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Our liquidity, consisting of cash on the balance sheet, totaled $19.0 million on March 26, 2023. This liquidity amount excludes any future cash flows from operations. We expect all interest and principal payments due in the next twelve months will be satisfied by existing cash and our cash flows, which will allow us to maintain an adequate level of liquidity.</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83"/>
        <w:jc w:val="both"/>
        <w:rPr>
          <w:rFonts w:ascii="Arial;sans-serif" w:hAnsi="Arial;sans-serif"/>
          <w:b/>
          <w:color w:val="000000"/>
          <w:sz w:val="20"/>
        </w:rPr>
      </w:pPr>
      <w:r>
        <w:rPr>
          <w:rFonts w:ascii="Arial;sans-serif" w:hAnsi="Arial;sans-serif"/>
          <w:b/>
          <w:color w:val="000000"/>
          <w:sz w:val="20"/>
        </w:rPr>
        <w:t>CHANGES IN LAWS AND REGULATIONS</w:t>
      </w:r>
    </w:p>
    <w:p>
      <w:pPr>
        <w:pStyle w:val="TextBody"/>
        <w:spacing w:lineRule="auto" w:line="288" w:before="200" w:after="283"/>
        <w:jc w:val="center"/>
        <w:rPr>
          <w:rFonts w:ascii="Arial;sans-serif" w:hAnsi="Arial;sans-serif"/>
          <w:b/>
          <w:color w:val="000000"/>
          <w:sz w:val="20"/>
        </w:rPr>
      </w:pPr>
      <w:r>
        <w:rPr>
          <w:rFonts w:ascii="Arial;sans-serif" w:hAnsi="Arial;sans-serif"/>
          <w:b/>
          <w:color w:val="000000"/>
          <w:sz w:val="20"/>
        </w:rPr>
        <w:t>Wage Laws</w:t>
      </w:r>
    </w:p>
    <w:p>
      <w:pPr>
        <w:pStyle w:val="TextBody"/>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 xml:space="preserve">The United States and various state and local governments are considering increasing their respective minimum wage rates. Most of our employees are paid more than the current United States or state minimum wage rates. However, until changes to such rates are enacted, the impact of the changes cannot be determined.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050"/>
                <wp:effectExtent l="0" t="0" r="0" b="0"/>
                <wp:wrapNone/>
                <wp:docPr id="22" name="Frame22"/>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76" w:before="0" w:after="0"/>
                              <w:jc w:val="center"/>
                              <w:rPr>
                                <w:rFonts w:ascii="Arial;sans-serif" w:hAnsi="Arial;sans-serif"/>
                                <w:b w:val="false"/>
                                <w:color w:val="000000"/>
                                <w:sz w:val="20"/>
                              </w:rPr>
                            </w:pPr>
                            <w:r>
                              <w:rPr>
                                <w:rFonts w:ascii="Arial;sans-serif" w:hAnsi="Arial;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Arial;sans-serif" w:hAnsi="Arial;sans-serif"/>
                          <w:b w:val="false"/>
                          <w:color w:val="000000"/>
                          <w:sz w:val="20"/>
                        </w:rPr>
                      </w:pPr>
                      <w:r>
                        <w:rPr>
                          <w:rFonts w:ascii="Arial;sans-serif" w:hAnsi="Arial;sans-serif"/>
                          <w:b w:val="false"/>
                          <w:color w:val="000000"/>
                          <w:sz w:val="20"/>
                        </w:rPr>
                        <w:t>20</w:t>
                      </w:r>
                    </w:p>
                  </w:txbxContent>
                </v:textbox>
              </v:rect>
            </w:pict>
          </mc:Fallback>
        </mc:AlternateContent>
      </w:r>
    </w:p>
    <w:p>
      <w:pPr>
        <w:pStyle w:val="TextBody"/>
        <w:spacing w:before="0" w:after="0"/>
        <w:rPr/>
      </w:pPr>
      <w:r>
        <w:rPr/>
      </w:r>
    </w:p>
    <w:p>
      <w:pPr>
        <w:pStyle w:val="TextBody"/>
        <w:spacing w:lineRule="auto" w:line="288" w:before="200" w:after="283"/>
        <w:jc w:val="both"/>
        <w:rPr>
          <w:rFonts w:ascii="Arial;sans-serif" w:hAnsi="Arial;sans-serif"/>
          <w:b/>
          <w:color w:val="000000"/>
          <w:sz w:val="20"/>
          <w:highlight w:val="white"/>
        </w:rPr>
      </w:pPr>
      <w:r>
        <w:rPr>
          <w:rFonts w:ascii="Arial;sans-serif" w:hAnsi="Arial;sans-serif"/>
          <w:b/>
          <w:color w:val="000000"/>
          <w:sz w:val="20"/>
          <w:highlight w:val="white"/>
        </w:rPr>
        <w:t>FORWARD-LOOKING STATEMENTS</w:t>
      </w:r>
    </w:p>
    <w:p>
      <w:pPr>
        <w:pStyle w:val="TextBody"/>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The Private Securities Litigation Reform Act of 1995 provides a “safe harbor” for forward-looking statements. This report contains information that may be deemed forward-looking that is based largely on our current expectations, and is subject to certain risks, trends and uncertainties that could cause actual results to differ materially from those anticipated. Among such risks, trends and other uncertainties, which in some instances are beyond our control, are:</w:t>
      </w:r>
    </w:p>
    <w:p>
      <w:pPr>
        <w:pStyle w:val="TextBody"/>
        <w:spacing w:lineRule="auto" w:line="288" w:before="120" w:after="283"/>
        <w:ind w:left="0" w:right="0" w:hanging="360"/>
        <w:jc w:val="both"/>
        <w:rPr/>
      </w:pPr>
      <w:r>
        <w:rPr>
          <w:color w:val="000000"/>
        </w:rPr>
        <w:t>•</w:t>
      </w:r>
      <w:r>
        <w:rPr>
          <w:rFonts w:ascii="Arial;sans-serif" w:hAnsi="Arial;sans-serif"/>
          <w:b w:val="false"/>
          <w:color w:val="000000"/>
          <w:sz w:val="20"/>
        </w:rPr>
        <w:t>The overall impact the COVID-19 pandemic has on the Company's revenues and costs;</w:t>
      </w:r>
    </w:p>
    <w:p>
      <w:pPr>
        <w:pStyle w:val="TextBody"/>
        <w:spacing w:lineRule="auto" w:line="288" w:before="0" w:after="0"/>
        <w:ind w:left="0" w:right="0" w:hanging="360"/>
        <w:jc w:val="both"/>
        <w:rPr/>
      </w:pPr>
      <w:r>
        <w:rPr>
          <w:color w:val="000000"/>
        </w:rPr>
        <w:t>•</w:t>
      </w:r>
      <w:r>
        <w:rPr>
          <w:rFonts w:ascii="Arial;sans-serif" w:hAnsi="Arial;sans-serif"/>
          <w:b w:val="false"/>
          <w:color w:val="000000"/>
          <w:sz w:val="20"/>
        </w:rPr>
        <w:t>The long-term or permanent changes the COVID-19 pandemic may have on the publishing industry, which may result in permanent revenue reductions and other risks and uncertainties;</w:t>
      </w:r>
    </w:p>
    <w:p>
      <w:pPr>
        <w:pStyle w:val="TextBody"/>
        <w:spacing w:lineRule="auto" w:line="288" w:before="0" w:after="0"/>
        <w:ind w:left="0" w:right="0" w:hanging="360"/>
        <w:jc w:val="both"/>
        <w:rPr/>
      </w:pPr>
      <w:r>
        <w:rPr>
          <w:color w:val="000000"/>
        </w:rPr>
        <w:t>•</w:t>
      </w:r>
      <w:r>
        <w:rPr>
          <w:rFonts w:ascii="Arial;sans-serif" w:hAnsi="Arial;sans-serif"/>
          <w:b w:val="false"/>
          <w:color w:val="000000"/>
          <w:sz w:val="20"/>
        </w:rPr>
        <w:t>We may be required to indemnify the previous owners of the BH Media or Buffalo News for unknown legal and other matters that may arise;</w:t>
      </w:r>
    </w:p>
    <w:p>
      <w:pPr>
        <w:pStyle w:val="TextBody"/>
        <w:spacing w:lineRule="auto" w:line="288" w:before="0" w:after="0"/>
        <w:ind w:left="0" w:right="0" w:hanging="360"/>
        <w:jc w:val="both"/>
        <w:rPr/>
      </w:pPr>
      <w:r>
        <w:rPr>
          <w:color w:val="000000"/>
        </w:rPr>
        <w:t>•</w:t>
      </w:r>
      <w:r>
        <w:rPr>
          <w:rFonts w:ascii="Arial;sans-serif" w:hAnsi="Arial;sans-serif"/>
          <w:b w:val="false"/>
          <w:color w:val="000000"/>
          <w:sz w:val="20"/>
        </w:rPr>
        <w:t>Our ability to manage declining print revenue and circulation subscribers;</w:t>
      </w:r>
    </w:p>
    <w:p>
      <w:pPr>
        <w:pStyle w:val="TextBody"/>
        <w:spacing w:lineRule="auto" w:line="288" w:before="0" w:after="0"/>
        <w:ind w:left="0" w:right="0" w:hanging="360"/>
        <w:jc w:val="both"/>
        <w:rPr/>
      </w:pPr>
      <w:r>
        <w:rPr>
          <w:color w:val="000000"/>
        </w:rPr>
        <w:t>•</w:t>
      </w:r>
      <w:r>
        <w:rPr>
          <w:rFonts w:ascii="Arial;sans-serif" w:hAnsi="Arial;sans-serif"/>
          <w:b w:val="false"/>
          <w:color w:val="000000"/>
          <w:sz w:val="20"/>
        </w:rPr>
        <w:t>The impact and duration of adverse conditions in certain aspects of the economy affecting our business;</w:t>
      </w:r>
    </w:p>
    <w:p>
      <w:pPr>
        <w:pStyle w:val="TextBody"/>
        <w:spacing w:lineRule="auto" w:line="288" w:before="0" w:after="0"/>
        <w:ind w:left="0" w:right="0" w:hanging="360"/>
        <w:jc w:val="both"/>
        <w:rPr/>
      </w:pPr>
      <w:r>
        <w:rPr>
          <w:color w:val="000000"/>
        </w:rPr>
        <w:t>•</w:t>
      </w:r>
      <w:r>
        <w:rPr>
          <w:rFonts w:ascii="Arial;sans-serif" w:hAnsi="Arial;sans-serif"/>
          <w:b w:val="false"/>
          <w:color w:val="000000"/>
          <w:sz w:val="20"/>
        </w:rPr>
        <w:t>Changes in advertising and subscription demand;</w:t>
      </w:r>
    </w:p>
    <w:p>
      <w:pPr>
        <w:pStyle w:val="TextBody"/>
        <w:spacing w:lineRule="auto" w:line="288" w:before="0" w:after="0"/>
        <w:ind w:left="0" w:right="0" w:hanging="360"/>
        <w:jc w:val="both"/>
        <w:rPr/>
      </w:pPr>
      <w:r>
        <w:rPr>
          <w:color w:val="000000"/>
        </w:rPr>
        <w:t>•</w:t>
      </w:r>
      <w:r>
        <w:rPr>
          <w:rFonts w:ascii="Arial;sans-serif" w:hAnsi="Arial;sans-serif"/>
          <w:b w:val="false"/>
          <w:color w:val="000000"/>
          <w:sz w:val="20"/>
        </w:rPr>
        <w:t>Changes in technology that impact our ability to deliver digital advertising;</w:t>
      </w:r>
    </w:p>
    <w:p>
      <w:pPr>
        <w:pStyle w:val="TextBody"/>
        <w:spacing w:lineRule="auto" w:line="288" w:before="0" w:after="0"/>
        <w:ind w:left="0" w:right="0" w:hanging="360"/>
        <w:jc w:val="both"/>
        <w:rPr/>
      </w:pPr>
      <w:r>
        <w:rPr>
          <w:color w:val="000000"/>
        </w:rPr>
        <w:t>•</w:t>
      </w:r>
      <w:r>
        <w:rPr>
          <w:rFonts w:ascii="Arial;sans-serif" w:hAnsi="Arial;sans-serif"/>
          <w:b w:val="false"/>
          <w:color w:val="000000"/>
          <w:sz w:val="20"/>
        </w:rPr>
        <w:t>Potential changes in newsprint, other commodities and energy costs;</w:t>
      </w:r>
    </w:p>
    <w:p>
      <w:pPr>
        <w:pStyle w:val="TextBody"/>
        <w:spacing w:lineRule="auto" w:line="288" w:before="0" w:after="0"/>
        <w:ind w:left="0" w:right="0" w:hanging="360"/>
        <w:jc w:val="both"/>
        <w:rPr/>
      </w:pPr>
      <w:r>
        <w:rPr>
          <w:color w:val="000000"/>
        </w:rPr>
        <w:t>•</w:t>
      </w:r>
      <w:r>
        <w:rPr>
          <w:rFonts w:ascii="Arial;sans-serif" w:hAnsi="Arial;sans-serif"/>
          <w:b w:val="false"/>
          <w:color w:val="000000"/>
          <w:sz w:val="20"/>
        </w:rPr>
        <w:t>Interest rates;</w:t>
      </w:r>
    </w:p>
    <w:p>
      <w:pPr>
        <w:pStyle w:val="TextBody"/>
        <w:spacing w:lineRule="auto" w:line="288" w:before="0" w:after="0"/>
        <w:ind w:left="0" w:right="0" w:hanging="360"/>
        <w:jc w:val="both"/>
        <w:rPr/>
      </w:pPr>
      <w:r>
        <w:rPr>
          <w:color w:val="000000"/>
        </w:rPr>
        <w:t>•</w:t>
      </w:r>
      <w:r>
        <w:rPr>
          <w:rFonts w:ascii="Arial;sans-serif" w:hAnsi="Arial;sans-serif"/>
          <w:b w:val="false"/>
          <w:color w:val="000000"/>
          <w:sz w:val="20"/>
        </w:rPr>
        <w:t>Labor costs;</w:t>
      </w:r>
    </w:p>
    <w:p>
      <w:pPr>
        <w:pStyle w:val="TextBody"/>
        <w:spacing w:lineRule="auto" w:line="288" w:before="0" w:after="0"/>
        <w:ind w:left="0" w:right="0" w:hanging="360"/>
        <w:jc w:val="both"/>
        <w:rPr/>
      </w:pPr>
      <w:r>
        <w:rPr>
          <w:color w:val="000000"/>
        </w:rPr>
        <w:t>•</w:t>
      </w:r>
      <w:r>
        <w:rPr>
          <w:rFonts w:ascii="Arial;sans-serif" w:hAnsi="Arial;sans-serif"/>
          <w:b w:val="false"/>
          <w:color w:val="000000"/>
          <w:sz w:val="20"/>
        </w:rPr>
        <w:t>Significant cyber security breaches or failure of our information technology systems;</w:t>
      </w:r>
    </w:p>
    <w:p>
      <w:pPr>
        <w:pStyle w:val="TextBody"/>
        <w:spacing w:lineRule="auto" w:line="288" w:before="0" w:after="0"/>
        <w:ind w:left="0" w:right="0" w:hanging="360"/>
        <w:jc w:val="both"/>
        <w:rPr/>
      </w:pPr>
      <w:r>
        <w:rPr>
          <w:color w:val="000000"/>
        </w:rPr>
        <w:t>•</w:t>
      </w:r>
      <w:r>
        <w:rPr>
          <w:rFonts w:ascii="Arial;sans-serif" w:hAnsi="Arial;sans-serif"/>
          <w:b w:val="false"/>
          <w:color w:val="000000"/>
          <w:sz w:val="20"/>
        </w:rPr>
        <w:t>Our ability to achieve planned expense reductions and realize the expected benefit of our acquisitions;</w:t>
      </w:r>
    </w:p>
    <w:p>
      <w:pPr>
        <w:pStyle w:val="TextBody"/>
        <w:spacing w:lineRule="auto" w:line="288" w:before="0" w:after="0"/>
        <w:ind w:left="0" w:right="0" w:hanging="360"/>
        <w:jc w:val="both"/>
        <w:rPr/>
      </w:pPr>
      <w:r>
        <w:rPr>
          <w:color w:val="000000"/>
        </w:rPr>
        <w:t>•</w:t>
      </w:r>
      <w:r>
        <w:rPr>
          <w:rFonts w:ascii="Arial;sans-serif" w:hAnsi="Arial;sans-serif"/>
          <w:b w:val="false"/>
          <w:color w:val="000000"/>
          <w:sz w:val="20"/>
        </w:rPr>
        <w:t>Our ability to maintain employee and customer relationships;</w:t>
      </w:r>
    </w:p>
    <w:p>
      <w:pPr>
        <w:pStyle w:val="TextBody"/>
        <w:spacing w:lineRule="auto" w:line="288" w:before="0" w:after="0"/>
        <w:ind w:left="0" w:right="0" w:hanging="360"/>
        <w:jc w:val="both"/>
        <w:rPr/>
      </w:pPr>
      <w:r>
        <w:rPr>
          <w:color w:val="000000"/>
        </w:rPr>
        <w:t>•</w:t>
      </w:r>
      <w:r>
        <w:rPr>
          <w:rFonts w:ascii="Arial;sans-serif" w:hAnsi="Arial;sans-serif"/>
          <w:b w:val="false"/>
          <w:color w:val="000000"/>
          <w:sz w:val="20"/>
        </w:rPr>
        <w:t>Our ability to manage increased capital costs;</w:t>
      </w:r>
    </w:p>
    <w:p>
      <w:pPr>
        <w:pStyle w:val="TextBody"/>
        <w:spacing w:lineRule="auto" w:line="288" w:before="0" w:after="0"/>
        <w:ind w:left="0" w:right="0" w:hanging="360"/>
        <w:jc w:val="both"/>
        <w:rPr/>
      </w:pPr>
      <w:r>
        <w:rPr>
          <w:color w:val="000000"/>
        </w:rPr>
        <w:t>•</w:t>
      </w:r>
      <w:r>
        <w:rPr>
          <w:rFonts w:ascii="Arial;sans-serif" w:hAnsi="Arial;sans-serif"/>
          <w:b w:val="false"/>
          <w:color w:val="000000"/>
          <w:sz w:val="20"/>
        </w:rPr>
        <w:t>Our ability to maintain our listing status on NASDAQ;</w:t>
      </w:r>
    </w:p>
    <w:p>
      <w:pPr>
        <w:pStyle w:val="TextBody"/>
        <w:spacing w:lineRule="auto" w:line="288" w:before="0" w:after="0"/>
        <w:ind w:left="0" w:right="0" w:hanging="360"/>
        <w:jc w:val="both"/>
        <w:rPr/>
      </w:pPr>
      <w:r>
        <w:rPr>
          <w:color w:val="000000"/>
        </w:rPr>
        <w:t>•</w:t>
      </w:r>
      <w:r>
        <w:rPr>
          <w:rFonts w:ascii="Arial;sans-serif" w:hAnsi="Arial;sans-serif"/>
          <w:b w:val="false"/>
          <w:color w:val="000000"/>
          <w:sz w:val="20"/>
        </w:rPr>
        <w:t>Competition; and</w:t>
      </w:r>
    </w:p>
    <w:p>
      <w:pPr>
        <w:pStyle w:val="TextBody"/>
        <w:spacing w:lineRule="auto" w:line="288" w:before="0" w:after="0"/>
        <w:ind w:left="0" w:right="0" w:hanging="360"/>
        <w:jc w:val="both"/>
        <w:rPr/>
      </w:pPr>
      <w:r>
        <w:rPr>
          <w:color w:val="000000"/>
        </w:rPr>
        <w:t>•</w:t>
      </w:r>
      <w:r>
        <w:rPr>
          <w:rFonts w:ascii="Arial;sans-serif" w:hAnsi="Arial;sans-serif"/>
          <w:b w:val="false"/>
          <w:color w:val="000000"/>
          <w:sz w:val="20"/>
        </w:rPr>
        <w:t>Other risks detailed from time to time in our publicly filed documents.</w:t>
      </w:r>
    </w:p>
    <w:p>
      <w:pPr>
        <w:pStyle w:val="TextBody"/>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Any statements that are not statements of historical fact (including statements containing the words “may”, “will”, “would”, “could”, “believes”, “expects”, “anticipates”, “intends”, “plans”, “projects”, “considers” and similar expressions) generally should be considered forward-looking statements. Statements regarding our plans, strategies, prospects and expectations regarding our business and industry, including statements regarding the impacts that the COVID-19 pandemic and our responses thereto may have on our future operations, are forward-looking statements. They reflect our expectations, are not guarantees of performance and speak only as of the date the statement is made. Readers are cautioned not to place undue reliance on such forward-looking statements, which are made as of the date of this report. We do not undertake to publicly update or revise our forward-looking statements, except as required by law.</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83"/>
        <w:ind w:left="0" w:right="0" w:hanging="720"/>
        <w:jc w:val="both"/>
        <w:rPr>
          <w:rFonts w:ascii="Arial;sans-serif" w:hAnsi="Arial;sans-serif"/>
          <w:b/>
          <w:color w:val="000000"/>
          <w:sz w:val="20"/>
        </w:rPr>
      </w:pPr>
      <w:r>
        <w:rPr>
          <w:rFonts w:ascii="Arial;sans-serif" w:hAnsi="Arial;sans-serif"/>
          <w:b/>
          <w:color w:val="000000"/>
          <w:sz w:val="20"/>
        </w:rPr>
        <w:t>Item 3.    Quantitative and Qualitative Disclosures About Market Risk</w:t>
      </w:r>
    </w:p>
    <w:p>
      <w:pPr>
        <w:pStyle w:val="TextBody"/>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We are exposed to market risk stemming from changes in interest rates and commodity prices. Changes in these factors could cause fluctuations in earnings and cash flows. In the normal course of business, exposure to certain of these market risks is managed as described below.</w:t>
      </w:r>
    </w:p>
    <w:p>
      <w:pPr>
        <w:pStyle w:val="TextBody"/>
        <w:spacing w:lineRule="auto" w:line="288" w:before="200" w:after="283"/>
        <w:jc w:val="both"/>
        <w:rPr>
          <w:rFonts w:ascii="Arial;sans-serif" w:hAnsi="Arial;sans-serif"/>
          <w:b/>
          <w:color w:val="000000"/>
          <w:sz w:val="20"/>
        </w:rPr>
      </w:pPr>
      <w:r>
        <w:rPr>
          <w:rFonts w:ascii="Arial;sans-serif" w:hAnsi="Arial;sans-serif"/>
          <w:b/>
          <w:color w:val="000000"/>
          <w:sz w:val="20"/>
        </w:rPr>
        <w:t>INTEREST RATES ON DEBT</w:t>
      </w:r>
    </w:p>
    <w:p>
      <w:pPr>
        <w:pStyle w:val="TextBody"/>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Our debt structure, which is entirely fixed rate, eliminates the potential impact of an increase in interest rates. We have no interest rate hedging in place.</w:t>
      </w:r>
    </w:p>
    <w:p>
      <w:pPr>
        <w:pStyle w:val="TextBody"/>
        <w:spacing w:lineRule="auto" w:line="288" w:before="200" w:after="283"/>
        <w:jc w:val="both"/>
        <w:rPr>
          <w:rFonts w:ascii="Arial;sans-serif" w:hAnsi="Arial;sans-serif"/>
          <w:b/>
          <w:color w:val="000000"/>
          <w:sz w:val="20"/>
        </w:rPr>
      </w:pPr>
      <w:r>
        <w:rPr>
          <w:rFonts w:ascii="Arial;sans-serif" w:hAnsi="Arial;sans-serif"/>
          <w:b/>
          <w:color w:val="000000"/>
          <w:sz w:val="20"/>
        </w:rPr>
        <w:t>COMMODITIES</w:t>
      </w:r>
    </w:p>
    <w:p>
      <w:pPr>
        <w:pStyle w:val="TextBody"/>
        <w:spacing w:before="0" w:after="0"/>
        <w:rPr/>
      </w:pPr>
      <w:r>
        <w:rPr/>
      </w:r>
    </w:p>
    <w:p>
      <w:pPr>
        <w:pStyle w:val="TextBody"/>
        <w:spacing w:lineRule="auto" w:line="268" w:before="0" w:after="0"/>
        <w:jc w:val="both"/>
        <w:rPr>
          <w:rFonts w:ascii="Arial;sans-serif" w:hAnsi="Arial;sans-serif"/>
          <w:b w:val="false"/>
          <w:color w:val="000000"/>
          <w:sz w:val="20"/>
        </w:rPr>
      </w:pPr>
      <w:r>
        <w:rPr>
          <w:rFonts w:ascii="Arial;sans-serif" w:hAnsi="Arial;sans-serif"/>
          <w:b w:val="false"/>
          <w:color w:val="000000"/>
          <w:sz w:val="20"/>
        </w:rPr>
        <w:t>Newsprint prices remained steady in the quarter from the increases in prices implemented throughout 2022, but price reductions effective in Q3 of 2023 have been announced. Despite reduced consumption, the newsprint supply chain continues to be challenged due to significant capacity reductions taken in the last two years including paper machine permanent shutdowns, conversion to paper grades other than newsprint, and recovering demand, domestically and exports, for newsprint.</w:t>
      </w:r>
    </w:p>
    <w:p>
      <w:pPr>
        <w:pStyle w:val="TextBody"/>
        <w:spacing w:before="0" w:after="0"/>
        <w:jc w:val="both"/>
        <w:rPr/>
      </w:pPr>
      <w:r>
        <w:rPr/>
      </w:r>
    </w:p>
    <w:p>
      <w:pPr>
        <w:pStyle w:val="TextBody"/>
        <w:spacing w:lineRule="auto" w:line="268" w:before="0" w:after="0"/>
        <w:jc w:val="both"/>
        <w:rPr>
          <w:rFonts w:ascii="Arial;sans-serif" w:hAnsi="Arial;sans-serif"/>
          <w:b w:val="false"/>
          <w:color w:val="000000"/>
          <w:sz w:val="20"/>
        </w:rPr>
      </w:pPr>
      <w:r>
        <w:rPr>
          <w:rFonts w:ascii="Arial;sans-serif" w:hAnsi="Arial;sans-serif"/>
          <w:b w:val="false"/>
          <w:color w:val="000000"/>
          <w:sz w:val="20"/>
        </w:rPr>
        <w:t xml:space="preserve">Our long-term supply strategy continues to align the Company with those cost-effective suppliers most likely to continue producing and supplying newsprint to the North American market and geographically aligned with our </w:t>
      </w:r>
    </w:p>
    <w:p>
      <w:pPr>
        <w:pStyle w:val="HorizontalLine"/>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050"/>
                <wp:effectExtent l="0" t="0" r="0" b="0"/>
                <wp:wrapNone/>
                <wp:docPr id="23" name="Frame23"/>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21</w:t>
                      </w:r>
                    </w:p>
                  </w:txbxContent>
                </v:textbox>
              </v:rect>
            </w:pict>
          </mc:Fallback>
        </mc:AlternateContent>
      </w:r>
    </w:p>
    <w:p>
      <w:pPr>
        <w:pStyle w:val="TextBody"/>
        <w:spacing w:before="0" w:after="0"/>
        <w:rPr/>
      </w:pPr>
      <w:r>
        <w:rPr/>
      </w:r>
    </w:p>
    <w:p>
      <w:pPr>
        <w:pStyle w:val="TextBody"/>
        <w:spacing w:lineRule="auto" w:line="268" w:before="0" w:after="0"/>
        <w:jc w:val="both"/>
        <w:rPr>
          <w:rFonts w:ascii="Arial;sans-serif" w:hAnsi="Arial;sans-serif"/>
          <w:b w:val="false"/>
          <w:color w:val="000000"/>
          <w:sz w:val="20"/>
        </w:rPr>
      </w:pPr>
      <w:r>
        <w:rPr>
          <w:rFonts w:ascii="Arial;sans-serif" w:hAnsi="Arial;sans-serif"/>
          <w:b w:val="false"/>
          <w:color w:val="000000"/>
          <w:sz w:val="20"/>
        </w:rPr>
        <w:t>print locations. Where possible the Company will align supply with the lowest cost material, but may be restricted due to shipping expenses and paper production availability.</w:t>
      </w:r>
    </w:p>
    <w:p>
      <w:pPr>
        <w:pStyle w:val="TextBody"/>
        <w:spacing w:before="0" w:after="0"/>
        <w:jc w:val="both"/>
        <w:rPr/>
      </w:pPr>
      <w:r>
        <w:rPr/>
      </w:r>
    </w:p>
    <w:p>
      <w:pPr>
        <w:pStyle w:val="TextBody"/>
        <w:spacing w:lineRule="auto" w:line="268" w:before="0" w:after="0"/>
        <w:jc w:val="both"/>
        <w:rPr>
          <w:rFonts w:ascii="Arial;sans-serif" w:hAnsi="Arial;sans-serif"/>
          <w:b w:val="false"/>
          <w:color w:val="000000"/>
          <w:sz w:val="20"/>
        </w:rPr>
      </w:pPr>
      <w:r>
        <w:rPr>
          <w:rFonts w:ascii="Arial;sans-serif" w:hAnsi="Arial;sans-serif"/>
          <w:b w:val="false"/>
          <w:color w:val="000000"/>
          <w:sz w:val="20"/>
        </w:rPr>
        <w:t>A $10 per tonne price increase on 27.7-pound newsprint would result in an annualized reduction in income before taxes of approximately $0.3 million based on current and anticipated consumption trends in 2023, excluding consumption of TNI and MNI and the impact of LIFO accounting.</w:t>
      </w:r>
    </w:p>
    <w:p>
      <w:pPr>
        <w:pStyle w:val="TextBody"/>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Our fixed rate debt consists of $460.0 million principal amount of the Term Loan recorded at carrying value.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83"/>
        <w:ind w:left="0" w:right="0" w:hanging="720"/>
        <w:rPr>
          <w:rFonts w:ascii="Arial;sans-serif" w:hAnsi="Arial;sans-serif"/>
          <w:b/>
          <w:color w:val="000000"/>
          <w:sz w:val="20"/>
        </w:rPr>
      </w:pPr>
      <w:r>
        <w:rPr>
          <w:rFonts w:ascii="Arial;sans-serif" w:hAnsi="Arial;sans-serif"/>
          <w:b/>
          <w:color w:val="000000"/>
          <w:sz w:val="20"/>
        </w:rPr>
        <w:t>Item 4.    Controls and Procedures</w:t>
      </w:r>
    </w:p>
    <w:p>
      <w:pPr>
        <w:pStyle w:val="TextBody"/>
        <w:spacing w:lineRule="auto" w:line="288" w:before="200" w:after="283"/>
        <w:jc w:val="both"/>
        <w:rPr>
          <w:rFonts w:ascii="Arial;sans-serif" w:hAnsi="Arial;sans-serif"/>
          <w:b/>
          <w:color w:val="000000"/>
          <w:sz w:val="20"/>
        </w:rPr>
      </w:pPr>
      <w:r>
        <w:rPr>
          <w:rFonts w:ascii="Arial;sans-serif" w:hAnsi="Arial;sans-serif"/>
          <w:b/>
          <w:color w:val="000000"/>
          <w:sz w:val="20"/>
        </w:rPr>
        <w:t>EVALUATION OF DISCLOSURE CONTROLS AND PROCEDURES</w:t>
      </w:r>
    </w:p>
    <w:p>
      <w:pPr>
        <w:pStyle w:val="TextBody"/>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As of September 25, 2022, under the supervision and with the participation of our senior management, including our Chief Executive Officer and Chief Financial Officer, we conducted an evaluation of the effectiveness of the design and operation of our disclosure controls and procedures, as defined in Rules 13a-15(e) and 15d-15(e) under the Exchange Act. Based on that evaluation the Company has concluded that, because the material weaknesses in the Company's internal control that existed as of September 25, 2022 have not been remediated by the end of the period covered by this report, our disclosure controls and procedures were not effective.</w:t>
      </w:r>
    </w:p>
    <w:p>
      <w:pPr>
        <w:pStyle w:val="TextBody"/>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The material weaknesses identified by the Company are described below:</w:t>
      </w:r>
    </w:p>
    <w:p>
      <w:pPr>
        <w:pStyle w:val="TextBody"/>
        <w:spacing w:lineRule="auto" w:line="288" w:before="200" w:after="283"/>
        <w:ind w:left="0" w:right="0" w:hanging="360"/>
        <w:jc w:val="both"/>
        <w:rPr/>
      </w:pPr>
      <w:r>
        <w:rPr>
          <w:color w:val="000000"/>
        </w:rPr>
        <w:t>•</w:t>
      </w:r>
      <w:r>
        <w:rPr>
          <w:rFonts w:ascii="Arial;sans-serif" w:hAnsi="Arial;sans-serif"/>
          <w:b w:val="false"/>
          <w:color w:val="000000"/>
          <w:sz w:val="20"/>
        </w:rPr>
        <w:t>Management did not maintain appropriately designed information technology general controls in the areas of user access for certain of its information systems that are relevant to the preparation of the Company’s consolidated financial statements and system of internal control over financial reporting.</w:t>
      </w:r>
    </w:p>
    <w:p>
      <w:pPr>
        <w:pStyle w:val="TextBody"/>
        <w:spacing w:lineRule="auto" w:line="288" w:before="200" w:after="283"/>
        <w:ind w:left="0" w:right="0" w:hanging="360"/>
        <w:jc w:val="both"/>
        <w:rPr/>
      </w:pPr>
      <w:r>
        <w:rPr>
          <w:color w:val="000000"/>
        </w:rPr>
        <w:t>•</w:t>
      </w:r>
      <w:r>
        <w:rPr>
          <w:rFonts w:ascii="Arial;sans-serif" w:hAnsi="Arial;sans-serif"/>
          <w:b w:val="false"/>
          <w:color w:val="000000"/>
          <w:sz w:val="20"/>
        </w:rPr>
        <w:t>Management did not maintain appropriately designed controls over data provided by third-party service organizations for which a System and Organization Controls (SOC) 1 Type 2 report is not available. Specifically, management did not design and implement controls over the validation of the completeness and accuracy of information received from these service organizations and correspondingly relied upon by the Company in the preparation of the Company’s consolidated financial statements.</w:t>
      </w:r>
    </w:p>
    <w:p>
      <w:pPr>
        <w:pStyle w:val="TextBody"/>
        <w:spacing w:lineRule="auto" w:line="288" w:before="200" w:after="283"/>
        <w:ind w:left="0" w:right="0" w:hanging="360"/>
        <w:jc w:val="both"/>
        <w:rPr/>
      </w:pPr>
      <w:r>
        <w:rPr>
          <w:color w:val="000000"/>
        </w:rPr>
        <w:t>•</w:t>
      </w:r>
      <w:r>
        <w:rPr>
          <w:rFonts w:ascii="Arial;sans-serif" w:hAnsi="Arial;sans-serif"/>
          <w:b w:val="false"/>
          <w:color w:val="000000"/>
          <w:sz w:val="20"/>
        </w:rPr>
        <w:t>Management did not maintain appropriately designed controls to validate the accuracy of the tax basis associated with certain deferred tax assets and liabilities, which resulted in an immaterial error correction associated with the Company's previously issued consolidated financial statements.</w:t>
      </w:r>
    </w:p>
    <w:p>
      <w:pPr>
        <w:pStyle w:val="TextBody"/>
        <w:spacing w:lineRule="auto" w:line="288" w:before="200" w:after="283"/>
        <w:jc w:val="both"/>
        <w:rPr>
          <w:rFonts w:ascii="Arial;sans-serif" w:hAnsi="Arial;sans-serif"/>
          <w:b/>
          <w:color w:val="000000"/>
          <w:sz w:val="20"/>
        </w:rPr>
      </w:pPr>
      <w:r>
        <w:rPr>
          <w:rFonts w:ascii="Arial;sans-serif" w:hAnsi="Arial;sans-serif"/>
          <w:b/>
          <w:color w:val="000000"/>
          <w:sz w:val="20"/>
        </w:rPr>
        <w:t>Remediation Plans and Actions</w:t>
      </w:r>
    </w:p>
    <w:p>
      <w:pPr>
        <w:pStyle w:val="TextBody"/>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Management is committed to remediating the material weaknesses that have been identified and maintaining an effective system of disclosure controls and procedures. These remediation efforts, summarized below, are intended to both address the identified material weaknesses and to enhance our overall financial control environment. In this regard, our initiatives include:</w:t>
      </w:r>
    </w:p>
    <w:p>
      <w:pPr>
        <w:pStyle w:val="TextBody"/>
        <w:spacing w:lineRule="auto" w:line="288" w:before="200" w:after="283"/>
        <w:ind w:left="0" w:right="0" w:hanging="360"/>
        <w:jc w:val="both"/>
        <w:rPr/>
      </w:pPr>
      <w:r>
        <w:rPr>
          <w:color w:val="000000"/>
        </w:rPr>
        <w:t>•</w:t>
      </w:r>
      <w:r>
        <w:rPr>
          <w:rFonts w:ascii="Arial;sans-serif" w:hAnsi="Arial;sans-serif"/>
          <w:b w:val="false"/>
          <w:color w:val="000000"/>
          <w:sz w:val="20"/>
        </w:rPr>
        <w:t>Establishing a project team to review, evaluate, and remediate material weaknesses in internal controls over financial reporting. The Company's recently expanded Corporate Compliance function will lead management's efforts related to effective control design, documentation, and implementation, as well as remediate ineffective controls.</w:t>
      </w:r>
    </w:p>
    <w:p>
      <w:pPr>
        <w:pStyle w:val="TextBody"/>
        <w:spacing w:lineRule="auto" w:line="288" w:before="200" w:after="283"/>
        <w:ind w:left="0" w:right="0" w:hanging="360"/>
        <w:jc w:val="both"/>
        <w:rPr/>
      </w:pPr>
      <w:r>
        <w:rPr>
          <w:color w:val="000000"/>
        </w:rPr>
        <w:t>•</w:t>
      </w:r>
      <w:r>
        <w:rPr>
          <w:rFonts w:ascii="Arial;sans-serif" w:hAnsi="Arial;sans-serif"/>
          <w:b w:val="false"/>
          <w:color w:val="000000"/>
          <w:sz w:val="20"/>
        </w:rPr>
        <w:t>Undergoing a complete user access review related to our information technology systems to refine user roles and establish appropriate user access to various systems that the Company relies upon in its internal controls over financial reporting, which includes enhancing user access provisioning and monitoring controls to enforce appropriate system access and segregation of duties.</w:t>
      </w:r>
    </w:p>
    <w:p>
      <w:pPr>
        <w:pStyle w:val="TextBody"/>
        <w:spacing w:lineRule="auto" w:line="288" w:before="200" w:after="283"/>
        <w:ind w:left="0" w:right="0" w:hanging="360"/>
        <w:jc w:val="both"/>
        <w:rPr/>
      </w:pPr>
      <w:r>
        <w:rPr>
          <w:color w:val="000000"/>
        </w:rPr>
        <w:t>•</w:t>
      </w:r>
      <w:r>
        <w:rPr>
          <w:rFonts w:ascii="Arial;sans-serif" w:hAnsi="Arial;sans-serif"/>
          <w:b w:val="false"/>
          <w:color w:val="000000"/>
          <w:sz w:val="20"/>
        </w:rPr>
        <w:t>Providing training to relevant personnel reinforcing existing Company policies regarding user access and the steps and procedures required to perform the required reviews of access to Company systems.</w:t>
      </w:r>
    </w:p>
    <w:p>
      <w:pPr>
        <w:pStyle w:val="TextBody"/>
        <w:spacing w:lineRule="auto" w:line="288" w:before="200" w:after="283"/>
        <w:ind w:left="0" w:right="0" w:hanging="360"/>
        <w:jc w:val="both"/>
        <w:rPr/>
      </w:pPr>
      <w:r>
        <w:rPr>
          <w:color w:val="000000"/>
        </w:rPr>
        <w:t>•</w:t>
      </w:r>
      <w:r>
        <w:rPr>
          <w:rFonts w:ascii="Arial;sans-serif" w:hAnsi="Arial;sans-serif"/>
          <w:b w:val="false"/>
          <w:color w:val="000000"/>
          <w:sz w:val="20"/>
        </w:rPr>
        <w:t>Enhancing the design of internal controls around evaluating data provided by third-party service organizations for which a SOC 1, Type 2 is not available to validate completeness and accuracy.</w:t>
      </w:r>
    </w:p>
    <w:p>
      <w:pPr>
        <w:pStyle w:val="HorizontalLine"/>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050"/>
                <wp:effectExtent l="0" t="0" r="0" b="0"/>
                <wp:wrapNone/>
                <wp:docPr id="24" name="Frame24"/>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22</w:t>
                      </w:r>
                    </w:p>
                  </w:txbxContent>
                </v:textbox>
              </v:rect>
            </w:pict>
          </mc:Fallback>
        </mc:AlternateContent>
      </w:r>
    </w:p>
    <w:p>
      <w:pPr>
        <w:pStyle w:val="TextBody"/>
        <w:spacing w:before="0" w:after="0"/>
        <w:rPr/>
      </w:pPr>
      <w:r>
        <w:rPr/>
      </w:r>
    </w:p>
    <w:p>
      <w:pPr>
        <w:pStyle w:val="TextBody"/>
        <w:spacing w:lineRule="auto" w:line="288" w:before="200" w:after="283"/>
        <w:ind w:left="0" w:right="0" w:hanging="360"/>
        <w:jc w:val="both"/>
        <w:rPr/>
      </w:pPr>
      <w:r>
        <w:rPr>
          <w:color w:val="000000"/>
        </w:rPr>
        <w:t>•</w:t>
      </w:r>
      <w:r>
        <w:rPr>
          <w:rFonts w:ascii="Arial;sans-serif" w:hAnsi="Arial;sans-serif"/>
          <w:b w:val="false"/>
          <w:color w:val="000000"/>
          <w:sz w:val="20"/>
        </w:rPr>
        <w:t>Enhancing the design of internal controls to validate the accuracy of the tax basis for deferred tax assets and liabilities, including enhancing our record retention policy to include retaining documentation for complex tax items for as long as such tax items impact our consolidated financial statements.</w:t>
      </w:r>
    </w:p>
    <w:p>
      <w:pPr>
        <w:pStyle w:val="TextBody"/>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The material weaknesses will be considered remediated when management concludes that, through testing, the applicable remedial controls are designed and implemented effectively.</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83"/>
        <w:jc w:val="center"/>
        <w:rPr>
          <w:rFonts w:ascii="Arial;sans-serif" w:hAnsi="Arial;sans-serif"/>
          <w:b/>
          <w:color w:val="000000"/>
          <w:sz w:val="20"/>
        </w:rPr>
      </w:pPr>
      <w:r>
        <w:rPr>
          <w:rFonts w:ascii="Arial;sans-serif" w:hAnsi="Arial;sans-serif"/>
          <w:b/>
          <w:color w:val="000000"/>
          <w:sz w:val="20"/>
        </w:rPr>
        <w:t>PART II</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OTHER INFORMATION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83"/>
        <w:ind w:left="0" w:right="0" w:hanging="720"/>
        <w:rPr>
          <w:rFonts w:ascii="Arial;sans-serif" w:hAnsi="Arial;sans-serif"/>
          <w:b/>
          <w:color w:val="000000"/>
          <w:sz w:val="20"/>
        </w:rPr>
      </w:pPr>
      <w:r>
        <w:rPr>
          <w:rFonts w:ascii="Arial;sans-serif" w:hAnsi="Arial;sans-serif"/>
          <w:b/>
          <w:color w:val="000000"/>
          <w:sz w:val="20"/>
        </w:rPr>
        <w:t>Item 1.    Legal Proceedings</w:t>
      </w:r>
    </w:p>
    <w:p>
      <w:pPr>
        <w:pStyle w:val="TextBody"/>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We are involved in a variety of legal actions that arise in the normal course of business. Insurance coverage mitigates potential loss for certain of these matters. While we are unable to predict the ultimate outcome of these legal actions, it is our opinion that the disposition of these matters will not have a material adverse effect on our Consolidated Financial Statements, taken as a whole.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83"/>
        <w:ind w:left="0" w:right="0" w:hanging="720"/>
        <w:rPr/>
      </w:pPr>
      <w:r>
        <w:rPr>
          <w:rFonts w:ascii="Arial;sans-serif" w:hAnsi="Arial;sans-serif"/>
          <w:b/>
          <w:color w:val="000000"/>
          <w:sz w:val="20"/>
        </w:rPr>
        <w:t>Item 1.A Risk Factors</w:t>
      </w:r>
      <w:r>
        <w:rPr>
          <w:color w:val="000000"/>
        </w:rPr>
        <w:t xml:space="preserve"> </w:t>
      </w:r>
    </w:p>
    <w:p>
      <w:pPr>
        <w:pStyle w:val="TextBody"/>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Except as otherwise described herein, there have been no material changes in the risk factors previously disclosed in “Part I, Item 1A. Risk Factors” of our 2022 Form 10-K.</w:t>
      </w:r>
    </w:p>
    <w:p>
      <w:pPr>
        <w:pStyle w:val="TextBody"/>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In addition, the Company may, from time to time, evaluate and pursue other opportunities for growth, including through strategic investments, joint ventures, and other acquisitions. These strategic initiatives involve various inherent risks, including, without limitation, general business risk, integration and synergy risk, market acceptance risk and risks associated with the potential distraction of management. Such transactions and initiatives may not ultimately create value for us or our stockholders and may harm our reputation and materially adversely affect our business, financial condition, and results of operations.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Arial;sans-serif" w:hAnsi="Arial;sans-serif"/>
          <w:b/>
          <w:color w:val="000000"/>
          <w:sz w:val="20"/>
        </w:rPr>
      </w:pPr>
      <w:r>
        <w:rPr>
          <w:rFonts w:ascii="Arial;sans-serif" w:hAnsi="Arial;sans-serif"/>
          <w:b/>
          <w:color w:val="000000"/>
          <w:sz w:val="20"/>
        </w:rPr>
        <w:t>Item 6.    Exhibits</w:t>
      </w:r>
    </w:p>
    <w:p>
      <w:pPr>
        <w:pStyle w:val="TextBody"/>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Exhibits marked with an asterisk (*) are incorporated by reference to documents previously filed by us with the SEC, as indicated. Exhibits marked with a plus (+) are management contracts or compensatory plan contracts or arrangements filed pursuant to Item 601(b)(10)(iii)(A) of Regulation S-K. All other documents listed are filed with this Quarterly Report on Form 10-Q.</w:t>
      </w:r>
    </w:p>
    <w:tbl>
      <w:tblPr>
        <w:tblW w:w="10205" w:type="dxa"/>
        <w:jc w:val="left"/>
        <w:tblInd w:w="0" w:type="dxa"/>
        <w:tblCellMar>
          <w:top w:w="28" w:type="dxa"/>
          <w:left w:w="28" w:type="dxa"/>
          <w:bottom w:w="28" w:type="dxa"/>
          <w:right w:w="28" w:type="dxa"/>
        </w:tblCellMar>
      </w:tblPr>
      <w:tblGrid>
        <w:gridCol w:w="307"/>
        <w:gridCol w:w="270"/>
        <w:gridCol w:w="272"/>
        <w:gridCol w:w="2844"/>
        <w:gridCol w:w="2786"/>
        <w:gridCol w:w="2794"/>
        <w:gridCol w:w="272"/>
        <w:gridCol w:w="272"/>
        <w:gridCol w:w="388"/>
      </w:tblGrid>
      <w:tr>
        <w:trPr/>
        <w:tc>
          <w:tcPr>
            <w:tcW w:w="307" w:type="dxa"/>
            <w:tcBorders/>
            <w:shd w:fill="auto" w:val="clear"/>
            <w:vAlign w:val="center"/>
          </w:tcPr>
          <w:p>
            <w:pPr>
              <w:pStyle w:val="TableContents"/>
              <w:spacing w:before="0" w:after="283"/>
              <w:rPr>
                <w:sz w:val="4"/>
                <w:szCs w:val="4"/>
              </w:rPr>
            </w:pPr>
            <w:r>
              <w:rPr>
                <w:sz w:val="4"/>
                <w:szCs w:val="4"/>
              </w:rPr>
            </w:r>
          </w:p>
        </w:tc>
        <w:tc>
          <w:tcPr>
            <w:tcW w:w="270"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2844" w:type="dxa"/>
            <w:tcBorders/>
            <w:shd w:fill="auto" w:val="clear"/>
            <w:vAlign w:val="center"/>
          </w:tcPr>
          <w:p>
            <w:pPr>
              <w:pStyle w:val="TableContents"/>
              <w:spacing w:before="0" w:after="283"/>
              <w:rPr>
                <w:sz w:val="4"/>
                <w:szCs w:val="4"/>
              </w:rPr>
            </w:pPr>
            <w:r>
              <w:rPr>
                <w:sz w:val="4"/>
                <w:szCs w:val="4"/>
              </w:rPr>
            </w:r>
          </w:p>
        </w:tc>
        <w:tc>
          <w:tcPr>
            <w:tcW w:w="2786" w:type="dxa"/>
            <w:tcBorders/>
            <w:shd w:fill="auto" w:val="clear"/>
            <w:vAlign w:val="center"/>
          </w:tcPr>
          <w:p>
            <w:pPr>
              <w:pStyle w:val="TableContents"/>
              <w:spacing w:before="0" w:after="283"/>
              <w:rPr>
                <w:sz w:val="4"/>
                <w:szCs w:val="4"/>
              </w:rPr>
            </w:pPr>
            <w:r>
              <w:rPr>
                <w:sz w:val="4"/>
                <w:szCs w:val="4"/>
              </w:rPr>
            </w:r>
          </w:p>
        </w:tc>
        <w:tc>
          <w:tcPr>
            <w:tcW w:w="2794"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388" w:type="dxa"/>
            <w:tcBorders/>
            <w:shd w:fill="auto" w:val="clear"/>
            <w:vAlign w:val="center"/>
          </w:tcPr>
          <w:p>
            <w:pPr>
              <w:pStyle w:val="TableContents"/>
              <w:spacing w:before="0" w:after="283"/>
              <w:rPr>
                <w:sz w:val="4"/>
                <w:szCs w:val="4"/>
              </w:rPr>
            </w:pPr>
            <w:r>
              <w:rPr>
                <w:sz w:val="4"/>
                <w:szCs w:val="4"/>
              </w:rPr>
            </w:r>
          </w:p>
        </w:tc>
      </w:tr>
      <w:tr>
        <w:trPr/>
        <w:tc>
          <w:tcPr>
            <w:tcW w:w="84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Number</w:t>
            </w:r>
          </w:p>
        </w:tc>
        <w:tc>
          <w:tcPr>
            <w:tcW w:w="842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Description</w:t>
            </w:r>
          </w:p>
        </w:tc>
        <w:tc>
          <w:tcPr>
            <w:tcW w:w="93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84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42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84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31.1</w:t>
            </w:r>
          </w:p>
        </w:tc>
        <w:tc>
          <w:tcPr>
            <w:tcW w:w="842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lee-20230326xex311.htm">
              <w:r>
                <w:rPr>
                  <w:rStyle w:val="InternetLink"/>
                  <w:rFonts w:ascii="Arial;sans-serif" w:hAnsi="Arial;sans-serif"/>
                  <w:b w:val="false"/>
                  <w:color w:val="0000FF"/>
                  <w:sz w:val="20"/>
                  <w:u w:val="single"/>
                </w:rPr>
                <w:t>Rule 13a-14(a) Certification of Chief Executive Officer</w:t>
              </w:r>
            </w:hyperlink>
          </w:p>
        </w:tc>
        <w:tc>
          <w:tcPr>
            <w:tcW w:w="932"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Attached</w:t>
            </w:r>
          </w:p>
        </w:tc>
      </w:tr>
      <w:tr>
        <w:trPr/>
        <w:tc>
          <w:tcPr>
            <w:tcW w:w="84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31.2</w:t>
            </w:r>
          </w:p>
        </w:tc>
        <w:tc>
          <w:tcPr>
            <w:tcW w:w="842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lee-20230326xex312.htm">
              <w:r>
                <w:rPr>
                  <w:rStyle w:val="InternetLink"/>
                  <w:rFonts w:ascii="Arial;sans-serif" w:hAnsi="Arial;sans-serif"/>
                  <w:b w:val="false"/>
                  <w:color w:val="0000FF"/>
                  <w:sz w:val="20"/>
                  <w:u w:val="single"/>
                </w:rPr>
                <w:t>Rule 13a-14(a) Certification of Chief Financial Officer</w:t>
              </w:r>
            </w:hyperlink>
          </w:p>
        </w:tc>
        <w:tc>
          <w:tcPr>
            <w:tcW w:w="932"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Attached</w:t>
            </w:r>
          </w:p>
        </w:tc>
      </w:tr>
      <w:tr>
        <w:trPr/>
        <w:tc>
          <w:tcPr>
            <w:tcW w:w="84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32.1</w:t>
            </w:r>
          </w:p>
        </w:tc>
        <w:tc>
          <w:tcPr>
            <w:tcW w:w="842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lee-20230326xex321.htm">
              <w:r>
                <w:rPr>
                  <w:rStyle w:val="InternetLink"/>
                  <w:rFonts w:ascii="Arial;sans-serif" w:hAnsi="Arial;sans-serif"/>
                  <w:b w:val="false"/>
                  <w:color w:val="0000FF"/>
                  <w:sz w:val="20"/>
                  <w:u w:val="single"/>
                </w:rPr>
                <w:t>Section 1350 Certification of Chief Executive Officer</w:t>
              </w:r>
            </w:hyperlink>
          </w:p>
        </w:tc>
        <w:tc>
          <w:tcPr>
            <w:tcW w:w="932"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Attached</w:t>
            </w:r>
          </w:p>
        </w:tc>
      </w:tr>
      <w:tr>
        <w:trPr/>
        <w:tc>
          <w:tcPr>
            <w:tcW w:w="84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32.2</w:t>
            </w:r>
          </w:p>
        </w:tc>
        <w:tc>
          <w:tcPr>
            <w:tcW w:w="842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lee-20230326xex322.htm">
              <w:r>
                <w:rPr>
                  <w:rStyle w:val="InternetLink"/>
                  <w:rFonts w:ascii="Arial;sans-serif" w:hAnsi="Arial;sans-serif"/>
                  <w:b w:val="false"/>
                  <w:color w:val="0000FF"/>
                  <w:sz w:val="20"/>
                  <w:u w:val="single"/>
                </w:rPr>
                <w:t>Section 1350 Certification of Chief Financial Officer</w:t>
              </w:r>
            </w:hyperlink>
          </w:p>
        </w:tc>
        <w:tc>
          <w:tcPr>
            <w:tcW w:w="932"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Attached</w:t>
            </w:r>
          </w:p>
        </w:tc>
      </w:tr>
      <w:tr>
        <w:trPr/>
        <w:tc>
          <w:tcPr>
            <w:tcW w:w="84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101.INS</w:t>
            </w:r>
          </w:p>
        </w:tc>
        <w:tc>
          <w:tcPr>
            <w:tcW w:w="84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Inline XBRL Instance Document (the Instance Document does not appear in the Interactive Data File because its XBRL tags are embedded within the Inline XBRL document)</w:t>
            </w:r>
          </w:p>
        </w:tc>
        <w:tc>
          <w:tcPr>
            <w:tcW w:w="932"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Attached</w:t>
            </w:r>
          </w:p>
        </w:tc>
      </w:tr>
      <w:tr>
        <w:trPr/>
        <w:tc>
          <w:tcPr>
            <w:tcW w:w="84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101.SCH</w:t>
            </w:r>
          </w:p>
        </w:tc>
        <w:tc>
          <w:tcPr>
            <w:tcW w:w="84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Inline XBRL Taxonomy Extension Schema Document</w:t>
            </w:r>
          </w:p>
        </w:tc>
        <w:tc>
          <w:tcPr>
            <w:tcW w:w="932"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Attached</w:t>
            </w:r>
          </w:p>
        </w:tc>
      </w:tr>
      <w:tr>
        <w:trPr/>
        <w:tc>
          <w:tcPr>
            <w:tcW w:w="84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101.CAL</w:t>
            </w:r>
          </w:p>
        </w:tc>
        <w:tc>
          <w:tcPr>
            <w:tcW w:w="84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Inline XBRL Taxonomy Extension Calculation Linkbase Document</w:t>
            </w:r>
          </w:p>
        </w:tc>
        <w:tc>
          <w:tcPr>
            <w:tcW w:w="932"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Attached</w:t>
            </w:r>
          </w:p>
        </w:tc>
      </w:tr>
      <w:tr>
        <w:trPr/>
        <w:tc>
          <w:tcPr>
            <w:tcW w:w="84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101.DEF</w:t>
            </w:r>
          </w:p>
        </w:tc>
        <w:tc>
          <w:tcPr>
            <w:tcW w:w="84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Inline XBRL Taxonomy Extension Definition Linkbase Document</w:t>
            </w:r>
          </w:p>
        </w:tc>
        <w:tc>
          <w:tcPr>
            <w:tcW w:w="932"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Attached</w:t>
            </w:r>
          </w:p>
        </w:tc>
      </w:tr>
      <w:tr>
        <w:trPr/>
        <w:tc>
          <w:tcPr>
            <w:tcW w:w="84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101.LAB</w:t>
            </w:r>
          </w:p>
        </w:tc>
        <w:tc>
          <w:tcPr>
            <w:tcW w:w="84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Inline XBRL Taxonomy Extension Label Linkbase Document</w:t>
            </w:r>
          </w:p>
        </w:tc>
        <w:tc>
          <w:tcPr>
            <w:tcW w:w="932"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Attached</w:t>
            </w:r>
          </w:p>
        </w:tc>
      </w:tr>
      <w:tr>
        <w:trPr/>
        <w:tc>
          <w:tcPr>
            <w:tcW w:w="84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101.PRE</w:t>
            </w:r>
          </w:p>
        </w:tc>
        <w:tc>
          <w:tcPr>
            <w:tcW w:w="84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Inline XBRL Taxonomy Extension Presentation Linkbase Document</w:t>
            </w:r>
          </w:p>
        </w:tc>
        <w:tc>
          <w:tcPr>
            <w:tcW w:w="932"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Attached</w:t>
            </w:r>
          </w:p>
        </w:tc>
      </w:tr>
      <w:tr>
        <w:trPr/>
        <w:tc>
          <w:tcPr>
            <w:tcW w:w="849"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104</w:t>
            </w:r>
          </w:p>
        </w:tc>
        <w:tc>
          <w:tcPr>
            <w:tcW w:w="8424"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Cover Page Interactive Data File (formatted as Inline XBRL and embedded within the Inline XBRL document)</w:t>
            </w:r>
          </w:p>
        </w:tc>
        <w:tc>
          <w:tcPr>
            <w:tcW w:w="932"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Attached</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050"/>
                <wp:effectExtent l="0" t="0" r="0" b="0"/>
                <wp:wrapNone/>
                <wp:docPr id="25" name="Frame25"/>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23</w:t>
                      </w:r>
                    </w:p>
                  </w:txbxContent>
                </v:textbox>
              </v:rect>
            </w:pict>
          </mc:Fallback>
        </mc:AlternateContent>
      </w:r>
    </w:p>
    <w:p>
      <w:pPr>
        <w:pStyle w:val="TextBody"/>
        <w:spacing w:before="0" w:after="0"/>
        <w:rPr/>
      </w:pPr>
      <w:r>
        <w:rPr/>
      </w:r>
    </w:p>
    <w:p>
      <w:pPr>
        <w:pStyle w:val="TextBody"/>
        <w:spacing w:lineRule="auto" w:line="288" w:before="200" w:after="283"/>
        <w:jc w:val="center"/>
        <w:rPr>
          <w:rFonts w:ascii="Arial;sans-serif" w:hAnsi="Arial;sans-serif"/>
          <w:b/>
          <w:color w:val="000000"/>
          <w:sz w:val="20"/>
        </w:rPr>
      </w:pPr>
      <w:r>
        <w:rPr>
          <w:rFonts w:ascii="Arial;sans-serif" w:hAnsi="Arial;sans-serif"/>
          <w:b/>
          <w:color w:val="000000"/>
          <w:sz w:val="20"/>
        </w:rPr>
        <w:t>SIGNATURES</w:t>
      </w:r>
    </w:p>
    <w:p>
      <w:pPr>
        <w:pStyle w:val="TextBody"/>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Pursuant to the requirements of the Securities Exchange Act of 1934, the Registrant has duly caused this report to be signed on its behalf by the undersigned thereunto duly authorized.</w:t>
      </w:r>
    </w:p>
    <w:tbl>
      <w:tblPr>
        <w:tblW w:w="6920" w:type="dxa"/>
        <w:jc w:val="left"/>
        <w:tblInd w:w="0" w:type="dxa"/>
        <w:tblCellMar>
          <w:top w:w="28" w:type="dxa"/>
          <w:left w:w="28" w:type="dxa"/>
          <w:bottom w:w="28" w:type="dxa"/>
          <w:right w:w="28" w:type="dxa"/>
        </w:tblCellMar>
      </w:tblPr>
      <w:tblGrid>
        <w:gridCol w:w="124"/>
        <w:gridCol w:w="109"/>
        <w:gridCol w:w="109"/>
        <w:gridCol w:w="1564"/>
        <w:gridCol w:w="1564"/>
        <w:gridCol w:w="1567"/>
        <w:gridCol w:w="109"/>
        <w:gridCol w:w="109"/>
        <w:gridCol w:w="109"/>
        <w:gridCol w:w="394"/>
        <w:gridCol w:w="394"/>
        <w:gridCol w:w="396"/>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4" w:type="dxa"/>
            <w:tcBorders/>
            <w:shd w:fill="auto" w:val="clear"/>
            <w:vAlign w:val="center"/>
          </w:tcPr>
          <w:p>
            <w:pPr>
              <w:pStyle w:val="TableContents"/>
              <w:spacing w:before="0" w:after="283"/>
              <w:rPr>
                <w:sz w:val="4"/>
                <w:szCs w:val="4"/>
              </w:rPr>
            </w:pPr>
            <w:r>
              <w:rPr>
                <w:sz w:val="4"/>
                <w:szCs w:val="4"/>
              </w:rPr>
            </w:r>
          </w:p>
        </w:tc>
        <w:tc>
          <w:tcPr>
            <w:tcW w:w="1564" w:type="dxa"/>
            <w:tcBorders/>
            <w:shd w:fill="auto" w:val="clear"/>
            <w:vAlign w:val="center"/>
          </w:tcPr>
          <w:p>
            <w:pPr>
              <w:pStyle w:val="TableContents"/>
              <w:spacing w:before="0" w:after="283"/>
              <w:rPr>
                <w:sz w:val="4"/>
                <w:szCs w:val="4"/>
              </w:rPr>
            </w:pPr>
            <w:r>
              <w:rPr>
                <w:sz w:val="4"/>
                <w:szCs w:val="4"/>
              </w:rPr>
            </w:r>
          </w:p>
        </w:tc>
        <w:tc>
          <w:tcPr>
            <w:tcW w:w="156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94" w:type="dxa"/>
            <w:tcBorders/>
            <w:shd w:fill="auto" w:val="clear"/>
            <w:vAlign w:val="center"/>
          </w:tcPr>
          <w:p>
            <w:pPr>
              <w:pStyle w:val="TableContents"/>
              <w:spacing w:before="0" w:after="283"/>
              <w:rPr>
                <w:sz w:val="4"/>
                <w:szCs w:val="4"/>
              </w:rPr>
            </w:pPr>
            <w:r>
              <w:rPr>
                <w:sz w:val="4"/>
                <w:szCs w:val="4"/>
              </w:rPr>
            </w:r>
          </w:p>
        </w:tc>
        <w:tc>
          <w:tcPr>
            <w:tcW w:w="394" w:type="dxa"/>
            <w:tcBorders/>
            <w:shd w:fill="auto" w:val="clear"/>
            <w:vAlign w:val="center"/>
          </w:tcPr>
          <w:p>
            <w:pPr>
              <w:pStyle w:val="TableContents"/>
              <w:spacing w:before="0" w:after="283"/>
              <w:rPr>
                <w:sz w:val="4"/>
                <w:szCs w:val="4"/>
              </w:rPr>
            </w:pPr>
            <w:r>
              <w:rPr>
                <w:sz w:val="4"/>
                <w:szCs w:val="4"/>
              </w:rPr>
            </w:r>
          </w:p>
        </w:tc>
        <w:tc>
          <w:tcPr>
            <w:tcW w:w="3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9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LEE ENTERPRISES, INCORPORATED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9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Timothy R. Millage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4"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rFonts w:ascii="Arial;sans-serif" w:hAnsi="Arial;sans-serif"/>
                <w:b w:val="false"/>
                <w:color w:val="000000"/>
                <w:sz w:val="20"/>
              </w:rPr>
            </w:pPr>
            <w:r>
              <w:rPr>
                <w:rFonts w:ascii="Arial;sans-serif" w:hAnsi="Arial;sans-serif"/>
                <w:b w:val="false"/>
                <w:color w:val="000000"/>
                <w:sz w:val="20"/>
              </w:rPr>
              <w:t>May 4, 2023</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9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Timothy R. Millage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9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Vice President, Chief Financial Officer and Treasurer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9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(Principal Financial and Accounting Officer)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050"/>
                <wp:effectExtent l="0" t="0" r="0" b="0"/>
                <wp:wrapNone/>
                <wp:docPr id="26" name="Frame26"/>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24</w:t>
                      </w:r>
                    </w:p>
                  </w:txbxContent>
                </v:textbox>
              </v:rect>
            </w:pict>
          </mc:Fallback>
        </mc:AlternateContent>
      </w:r>
    </w:p>
    <w:p>
      <w:pPr>
        <w:pStyle w:val="TextBody"/>
        <w:spacing w:lineRule="auto" w:line="288" w:before="160" w:after="283"/>
        <w:jc w:val="right"/>
        <w:rPr>
          <w:rFonts w:ascii="Arial;sans-serif" w:hAnsi="Arial;sans-serif"/>
          <w:b/>
          <w:color w:val="000000"/>
          <w:sz w:val="20"/>
        </w:rPr>
      </w:pPr>
      <w:r>
        <w:rPr>
          <w:rFonts w:ascii="Arial;sans-serif" w:hAnsi="Arial;sans-serif"/>
          <w:b/>
          <w:color w:val="000000"/>
          <w:sz w:val="20"/>
        </w:rPr>
        <w:t>Exhibit 31.1</w:t>
      </w:r>
    </w:p>
    <w:p>
      <w:pPr>
        <w:pStyle w:val="TextBody"/>
        <w:spacing w:lineRule="auto" w:line="288" w:before="160" w:after="283"/>
        <w:jc w:val="center"/>
        <w:rPr>
          <w:rFonts w:ascii="Arial;sans-serif" w:hAnsi="Arial;sans-serif"/>
          <w:b/>
          <w:color w:val="000000"/>
          <w:sz w:val="20"/>
        </w:rPr>
      </w:pPr>
      <w:r>
        <w:rPr>
          <w:rFonts w:ascii="Arial;sans-serif" w:hAnsi="Arial;sans-serif"/>
          <w:b/>
          <w:color w:val="000000"/>
          <w:sz w:val="20"/>
        </w:rPr>
        <w:t>CERTIFICATION</w:t>
      </w:r>
    </w:p>
    <w:p>
      <w:pPr>
        <w:pStyle w:val="TextBody"/>
        <w:spacing w:lineRule="auto" w:line="288" w:before="160" w:after="283"/>
        <w:rPr>
          <w:rFonts w:ascii="Arial;sans-serif" w:hAnsi="Arial;sans-serif"/>
          <w:b w:val="false"/>
          <w:color w:val="000000"/>
          <w:sz w:val="20"/>
        </w:rPr>
      </w:pPr>
      <w:r>
        <w:rPr>
          <w:rFonts w:ascii="Arial;sans-serif" w:hAnsi="Arial;sans-serif"/>
          <w:b w:val="false"/>
          <w:color w:val="000000"/>
          <w:sz w:val="20"/>
        </w:rPr>
        <w:t>I, Kevin D. Mowbray, certify that:</w:t>
      </w:r>
    </w:p>
    <w:p>
      <w:pPr>
        <w:pStyle w:val="TextBody"/>
        <w:spacing w:lineRule="auto" w:line="288" w:before="160" w:after="283"/>
        <w:ind w:left="0" w:right="0" w:hanging="540"/>
        <w:rPr>
          <w:rFonts w:ascii="Arial;sans-serif" w:hAnsi="Arial;sans-serif"/>
          <w:b w:val="false"/>
          <w:color w:val="000000"/>
          <w:sz w:val="20"/>
        </w:rPr>
      </w:pPr>
      <w:r>
        <w:rPr>
          <w:rFonts w:ascii="Arial;sans-serif" w:hAnsi="Arial;sans-serif"/>
          <w:b w:val="false"/>
          <w:color w:val="000000"/>
          <w:sz w:val="20"/>
        </w:rPr>
        <w:t>1I have reviewed this Quarterly report on Form 10-Q ("Quarterly Report") of Lee Enterprises, Incorporated ("Registrant");</w:t>
      </w:r>
    </w:p>
    <w:p>
      <w:pPr>
        <w:pStyle w:val="TextBody"/>
        <w:spacing w:lineRule="auto" w:line="288" w:before="160" w:after="283"/>
        <w:ind w:left="0" w:right="0" w:hanging="540"/>
        <w:rPr>
          <w:rFonts w:ascii="Arial;sans-serif" w:hAnsi="Arial;sans-serif"/>
          <w:b w:val="false"/>
          <w:color w:val="000000"/>
          <w:sz w:val="20"/>
        </w:rPr>
      </w:pPr>
      <w:r>
        <w:rPr>
          <w:rFonts w:ascii="Arial;sans-serif" w:hAnsi="Arial;sans-serif"/>
          <w:b w:val="false"/>
          <w:color w:val="000000"/>
          <w:sz w:val="20"/>
        </w:rPr>
        <w:t>2Based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pStyle w:val="TextBody"/>
        <w:spacing w:lineRule="auto" w:line="288" w:before="160" w:after="283"/>
        <w:ind w:left="0" w:right="0" w:hanging="540"/>
        <w:rPr>
          <w:rFonts w:ascii="Arial;sans-serif" w:hAnsi="Arial;sans-serif"/>
          <w:b w:val="false"/>
          <w:color w:val="000000"/>
          <w:sz w:val="20"/>
        </w:rPr>
      </w:pPr>
      <w:r>
        <w:rPr>
          <w:rFonts w:ascii="Arial;sans-serif" w:hAnsi="Arial;sans-serif"/>
          <w:b w:val="false"/>
          <w:color w:val="000000"/>
          <w:sz w:val="20"/>
        </w:rPr>
        <w:t>3Based on my knowledge, the Consolidated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pStyle w:val="TextBody"/>
        <w:spacing w:lineRule="auto" w:line="288" w:before="160" w:after="283"/>
        <w:ind w:left="0" w:right="0" w:hanging="540"/>
        <w:rPr>
          <w:rFonts w:ascii="Arial;sans-serif" w:hAnsi="Arial;sans-serif"/>
          <w:b w:val="false"/>
          <w:color w:val="000000"/>
          <w:sz w:val="20"/>
        </w:rPr>
      </w:pPr>
      <w:r>
        <w:rPr>
          <w:rFonts w:ascii="Arial;sans-serif" w:hAnsi="Arial;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lineRule="auto" w:line="288" w:before="160" w:after="283"/>
        <w:ind w:left="0" w:right="0" w:hanging="540"/>
        <w:rPr>
          <w:rFonts w:ascii="Arial;sans-serif" w:hAnsi="Arial;sans-serif"/>
          <w:b w:val="false"/>
          <w:color w:val="000000"/>
          <w:sz w:val="20"/>
        </w:rPr>
      </w:pPr>
      <w:r>
        <w:rPr>
          <w:rFonts w:ascii="Arial;sans-serif" w:hAnsi="Arial;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pStyle w:val="TextBody"/>
        <w:spacing w:lineRule="auto" w:line="288" w:before="160" w:after="283"/>
        <w:ind w:left="0" w:right="0" w:hanging="540"/>
        <w:rPr>
          <w:rFonts w:ascii="Arial;sans-serif" w:hAnsi="Arial;sans-serif"/>
          <w:b w:val="false"/>
          <w:color w:val="000000"/>
          <w:sz w:val="20"/>
        </w:rPr>
      </w:pPr>
      <w:r>
        <w:rPr>
          <w:rFonts w:ascii="Arial;sans-serif" w:hAnsi="Arial;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lineRule="auto" w:line="288" w:before="160" w:after="283"/>
        <w:ind w:left="0" w:right="0" w:hanging="540"/>
        <w:rPr>
          <w:rFonts w:ascii="Arial;sans-serif" w:hAnsi="Arial;sans-serif"/>
          <w:b w:val="false"/>
          <w:color w:val="000000"/>
          <w:sz w:val="20"/>
        </w:rPr>
      </w:pPr>
      <w:r>
        <w:rPr>
          <w:rFonts w:ascii="Arial;sans-serif" w:hAnsi="Arial;sans-serif"/>
          <w:b w:val="false"/>
          <w:color w:val="000000"/>
          <w:sz w:val="20"/>
        </w:rPr>
        <w:t>c)evaluated the effectiveness of the Registrant's disclosure controls and procedures and presented in this Quarterly Report our conclusions about the effectiveness of the disclosure controls and procedures as of the end of the period covered by this Quarterly Report based on such evaluation; and</w:t>
      </w:r>
    </w:p>
    <w:p>
      <w:pPr>
        <w:pStyle w:val="TextBody"/>
        <w:spacing w:lineRule="auto" w:line="288" w:before="160" w:after="283"/>
        <w:ind w:left="0" w:right="0" w:hanging="540"/>
        <w:rPr>
          <w:rFonts w:ascii="Arial;sans-serif" w:hAnsi="Arial;sans-serif"/>
          <w:b w:val="false"/>
          <w:color w:val="000000"/>
          <w:sz w:val="20"/>
        </w:rPr>
      </w:pPr>
      <w:r>
        <w:rPr>
          <w:rFonts w:ascii="Arial;sans-serif" w:hAnsi="Arial;sans-serif"/>
          <w:b w:val="false"/>
          <w:color w:val="000000"/>
          <w:sz w:val="20"/>
        </w:rPr>
        <w:t>d)disclosed in this Quarterly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lineRule="auto" w:line="288" w:before="160" w:after="283"/>
        <w:ind w:left="0" w:right="0" w:hanging="720"/>
        <w:rPr>
          <w:rFonts w:ascii="Arial;sans-serif" w:hAnsi="Arial;sans-serif"/>
          <w:b w:val="false"/>
          <w:color w:val="000000"/>
          <w:sz w:val="20"/>
        </w:rPr>
      </w:pPr>
      <w:r>
        <w:rPr>
          <w:rFonts w:ascii="Arial;sans-serif" w:hAnsi="Arial;sans-serif"/>
          <w:b w:val="false"/>
          <w:color w:val="000000"/>
          <w:sz w:val="20"/>
        </w:rPr>
        <w:t>5The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pStyle w:val="TextBody"/>
        <w:spacing w:lineRule="auto" w:line="288" w:before="160" w:after="283"/>
        <w:ind w:left="0" w:right="0" w:hanging="540"/>
        <w:rPr>
          <w:rFonts w:ascii="Arial;sans-serif" w:hAnsi="Arial;sans-serif"/>
          <w:b w:val="false"/>
          <w:color w:val="000000"/>
          <w:sz w:val="20"/>
        </w:rPr>
      </w:pPr>
      <w:r>
        <w:rPr>
          <w:rFonts w:ascii="Arial;sans-serif" w:hAnsi="Arial;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lineRule="auto" w:line="288" w:before="160" w:after="283"/>
        <w:ind w:left="0" w:right="0" w:hanging="540"/>
        <w:rPr>
          <w:rFonts w:ascii="Arial;sans-serif" w:hAnsi="Arial;sans-serif"/>
          <w:b w:val="false"/>
          <w:color w:val="000000"/>
          <w:sz w:val="20"/>
        </w:rPr>
      </w:pPr>
      <w:r>
        <w:rPr>
          <w:rFonts w:ascii="Arial;sans-serif" w:hAnsi="Arial;sans-serif"/>
          <w:b w:val="false"/>
          <w:color w:val="000000"/>
          <w:sz w:val="20"/>
        </w:rPr>
        <w:t>b)any fraud, whether or not material, that involves management or other employees who have a significant role in the Registrant's internal control over financial reporting.</w:t>
      </w:r>
    </w:p>
    <w:p>
      <w:pPr>
        <w:pStyle w:val="TextBody"/>
        <w:spacing w:lineRule="auto" w:line="288" w:before="160" w:after="283"/>
        <w:rPr>
          <w:rFonts w:ascii="Arial;sans-serif" w:hAnsi="Arial;sans-serif"/>
          <w:b w:val="false"/>
          <w:color w:val="000000"/>
          <w:sz w:val="20"/>
        </w:rPr>
      </w:pPr>
      <w:r>
        <w:rPr>
          <w:rFonts w:ascii="Arial;sans-serif" w:hAnsi="Arial;sans-serif"/>
          <w:b w:val="false"/>
          <w:color w:val="000000"/>
          <w:sz w:val="20"/>
        </w:rPr>
        <w:t>Date: May 4, 2023</w:t>
      </w:r>
    </w:p>
    <w:tbl>
      <w:tblPr>
        <w:tblW w:w="3777" w:type="dxa"/>
        <w:jc w:val="left"/>
        <w:tblInd w:w="0" w:type="dxa"/>
        <w:tblCellMar>
          <w:top w:w="28" w:type="dxa"/>
          <w:left w:w="28" w:type="dxa"/>
          <w:bottom w:w="28" w:type="dxa"/>
          <w:right w:w="28" w:type="dxa"/>
        </w:tblCellMar>
      </w:tblPr>
      <w:tblGrid>
        <w:gridCol w:w="124"/>
        <w:gridCol w:w="109"/>
        <w:gridCol w:w="109"/>
        <w:gridCol w:w="1003"/>
        <w:gridCol w:w="1003"/>
        <w:gridCol w:w="1429"/>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03" w:type="dxa"/>
            <w:tcBorders/>
            <w:shd w:fill="auto" w:val="clear"/>
            <w:vAlign w:val="center"/>
          </w:tcPr>
          <w:p>
            <w:pPr>
              <w:pStyle w:val="TableContents"/>
              <w:spacing w:before="0" w:after="283"/>
              <w:rPr>
                <w:sz w:val="4"/>
                <w:szCs w:val="4"/>
              </w:rPr>
            </w:pPr>
            <w:r>
              <w:rPr>
                <w:sz w:val="4"/>
                <w:szCs w:val="4"/>
              </w:rPr>
            </w:r>
          </w:p>
        </w:tc>
        <w:tc>
          <w:tcPr>
            <w:tcW w:w="1003" w:type="dxa"/>
            <w:tcBorders/>
            <w:shd w:fill="auto" w:val="clear"/>
            <w:vAlign w:val="center"/>
          </w:tcPr>
          <w:p>
            <w:pPr>
              <w:pStyle w:val="TableContents"/>
              <w:spacing w:before="0" w:after="283"/>
              <w:rPr>
                <w:sz w:val="4"/>
                <w:szCs w:val="4"/>
              </w:rPr>
            </w:pPr>
            <w:r>
              <w:rPr>
                <w:sz w:val="4"/>
                <w:szCs w:val="4"/>
              </w:rPr>
            </w:r>
          </w:p>
        </w:tc>
        <w:tc>
          <w:tcPr>
            <w:tcW w:w="1429"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3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Kevin D. Mowbray</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3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Kevin D. Mowbray</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3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President and Chief Executive Officer</w:t>
            </w:r>
          </w:p>
        </w:tc>
      </w:tr>
    </w:tbl>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75260"/>
                <wp:effectExtent l="0" t="0" r="0" b="0"/>
                <wp:wrapNone/>
                <wp:docPr id="27" name="Frame27"/>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160" w:after="283"/>
        <w:jc w:val="right"/>
        <w:rPr>
          <w:rFonts w:ascii="Arial;sans-serif" w:hAnsi="Arial;sans-serif"/>
          <w:b/>
          <w:color w:val="000000"/>
          <w:sz w:val="20"/>
        </w:rPr>
      </w:pPr>
      <w:r>
        <w:rPr>
          <w:rFonts w:ascii="Arial;sans-serif" w:hAnsi="Arial;sans-serif"/>
          <w:b/>
          <w:color w:val="000000"/>
          <w:sz w:val="20"/>
        </w:rPr>
        <w:t>Exhibit 31.2</w:t>
      </w:r>
    </w:p>
    <w:p>
      <w:pPr>
        <w:pStyle w:val="TextBody"/>
        <w:spacing w:lineRule="auto" w:line="288" w:before="160" w:after="283"/>
        <w:jc w:val="center"/>
        <w:rPr>
          <w:rFonts w:ascii="Arial;sans-serif" w:hAnsi="Arial;sans-serif"/>
          <w:b/>
          <w:color w:val="000000"/>
          <w:sz w:val="20"/>
        </w:rPr>
      </w:pPr>
      <w:r>
        <w:rPr>
          <w:rFonts w:ascii="Arial;sans-serif" w:hAnsi="Arial;sans-serif"/>
          <w:b/>
          <w:color w:val="000000"/>
          <w:sz w:val="20"/>
        </w:rPr>
        <w:t>CERTIFICATION</w:t>
      </w:r>
    </w:p>
    <w:p>
      <w:pPr>
        <w:pStyle w:val="TextBody"/>
        <w:spacing w:lineRule="auto" w:line="288" w:before="160" w:after="283"/>
        <w:rPr>
          <w:rFonts w:ascii="Arial;sans-serif" w:hAnsi="Arial;sans-serif"/>
          <w:b w:val="false"/>
          <w:color w:val="000000"/>
          <w:sz w:val="20"/>
        </w:rPr>
      </w:pPr>
      <w:r>
        <w:rPr>
          <w:rFonts w:ascii="Arial;sans-serif" w:hAnsi="Arial;sans-serif"/>
          <w:b w:val="false"/>
          <w:color w:val="000000"/>
          <w:sz w:val="20"/>
        </w:rPr>
        <w:t>I, Timothy R. Millage, certify that:</w:t>
      </w:r>
    </w:p>
    <w:p>
      <w:pPr>
        <w:pStyle w:val="TextBody"/>
        <w:spacing w:lineRule="auto" w:line="288" w:before="160" w:after="283"/>
        <w:ind w:left="0" w:right="0" w:hanging="540"/>
        <w:rPr>
          <w:rFonts w:ascii="Arial;sans-serif" w:hAnsi="Arial;sans-serif"/>
          <w:b w:val="false"/>
          <w:color w:val="000000"/>
          <w:sz w:val="20"/>
        </w:rPr>
      </w:pPr>
      <w:r>
        <w:rPr>
          <w:rFonts w:ascii="Arial;sans-serif" w:hAnsi="Arial;sans-serif"/>
          <w:b w:val="false"/>
          <w:color w:val="000000"/>
          <w:sz w:val="20"/>
        </w:rPr>
        <w:t>1I have reviewed this Quarterly report on Form 10-Q ("Quarterly Report") of Lee Enterprises, Incorporated ("Registrant");</w:t>
      </w:r>
    </w:p>
    <w:p>
      <w:pPr>
        <w:pStyle w:val="TextBody"/>
        <w:spacing w:lineRule="auto" w:line="288" w:before="160" w:after="283"/>
        <w:ind w:left="0" w:right="0" w:hanging="540"/>
        <w:rPr>
          <w:rFonts w:ascii="Arial;sans-serif" w:hAnsi="Arial;sans-serif"/>
          <w:b w:val="false"/>
          <w:color w:val="000000"/>
          <w:sz w:val="20"/>
        </w:rPr>
      </w:pPr>
      <w:r>
        <w:rPr>
          <w:rFonts w:ascii="Arial;sans-serif" w:hAnsi="Arial;sans-serif"/>
          <w:b w:val="false"/>
          <w:color w:val="000000"/>
          <w:sz w:val="20"/>
        </w:rPr>
        <w:t>2Based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pStyle w:val="TextBody"/>
        <w:spacing w:lineRule="auto" w:line="288" w:before="160" w:after="283"/>
        <w:ind w:left="0" w:right="0" w:hanging="540"/>
        <w:rPr>
          <w:rFonts w:ascii="Arial;sans-serif" w:hAnsi="Arial;sans-serif"/>
          <w:b w:val="false"/>
          <w:color w:val="000000"/>
          <w:sz w:val="20"/>
        </w:rPr>
      </w:pPr>
      <w:r>
        <w:rPr>
          <w:rFonts w:ascii="Arial;sans-serif" w:hAnsi="Arial;sans-serif"/>
          <w:b w:val="false"/>
          <w:color w:val="000000"/>
          <w:sz w:val="20"/>
        </w:rPr>
        <w:t>3Based on my knowledge, the Consolidated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pStyle w:val="TextBody"/>
        <w:spacing w:lineRule="auto" w:line="288" w:before="160" w:after="283"/>
        <w:ind w:left="0" w:right="0" w:hanging="540"/>
        <w:rPr>
          <w:rFonts w:ascii="Arial;sans-serif" w:hAnsi="Arial;sans-serif"/>
          <w:b w:val="false"/>
          <w:color w:val="000000"/>
          <w:sz w:val="20"/>
        </w:rPr>
      </w:pPr>
      <w:r>
        <w:rPr>
          <w:rFonts w:ascii="Arial;sans-serif" w:hAnsi="Arial;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lineRule="auto" w:line="288" w:before="160" w:after="283"/>
        <w:ind w:left="0" w:right="0" w:hanging="540"/>
        <w:rPr>
          <w:rFonts w:ascii="Arial;sans-serif" w:hAnsi="Arial;sans-serif"/>
          <w:b w:val="false"/>
          <w:color w:val="000000"/>
          <w:sz w:val="20"/>
        </w:rPr>
      </w:pPr>
      <w:r>
        <w:rPr>
          <w:rFonts w:ascii="Arial;sans-serif" w:hAnsi="Arial;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pStyle w:val="TextBody"/>
        <w:spacing w:lineRule="auto" w:line="288" w:before="160" w:after="283"/>
        <w:ind w:left="0" w:right="0" w:hanging="540"/>
        <w:rPr>
          <w:rFonts w:ascii="Arial;sans-serif" w:hAnsi="Arial;sans-serif"/>
          <w:b w:val="false"/>
          <w:color w:val="000000"/>
          <w:sz w:val="20"/>
        </w:rPr>
      </w:pPr>
      <w:r>
        <w:rPr>
          <w:rFonts w:ascii="Arial;sans-serif" w:hAnsi="Arial;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lineRule="auto" w:line="288" w:before="160" w:after="283"/>
        <w:ind w:left="0" w:right="0" w:hanging="540"/>
        <w:rPr>
          <w:rFonts w:ascii="Arial;sans-serif" w:hAnsi="Arial;sans-serif"/>
          <w:b w:val="false"/>
          <w:color w:val="000000"/>
          <w:sz w:val="20"/>
        </w:rPr>
      </w:pPr>
      <w:r>
        <w:rPr>
          <w:rFonts w:ascii="Arial;sans-serif" w:hAnsi="Arial;sans-serif"/>
          <w:b w:val="false"/>
          <w:color w:val="000000"/>
          <w:sz w:val="20"/>
        </w:rPr>
        <w:t>c)evaluated the effectiveness of the Registrant's disclosure controls and procedures and presented in this Quarterly Report our conclusions about the effectiveness of the disclosure controls and procedures as of the end of the period covered by this Quarterly Report based on such evaluation; and</w:t>
      </w:r>
    </w:p>
    <w:p>
      <w:pPr>
        <w:pStyle w:val="TextBody"/>
        <w:spacing w:lineRule="auto" w:line="288" w:before="160" w:after="283"/>
        <w:ind w:left="0" w:right="0" w:hanging="540"/>
        <w:rPr>
          <w:rFonts w:ascii="Arial;sans-serif" w:hAnsi="Arial;sans-serif"/>
          <w:b w:val="false"/>
          <w:color w:val="000000"/>
          <w:sz w:val="20"/>
        </w:rPr>
      </w:pPr>
      <w:r>
        <w:rPr>
          <w:rFonts w:ascii="Arial;sans-serif" w:hAnsi="Arial;sans-serif"/>
          <w:b w:val="false"/>
          <w:color w:val="000000"/>
          <w:sz w:val="20"/>
        </w:rPr>
        <w:t>d)disclosed in this Quarterly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lineRule="auto" w:line="288" w:before="160" w:after="283"/>
        <w:ind w:left="0" w:right="0" w:hanging="720"/>
        <w:rPr>
          <w:rFonts w:ascii="Arial;sans-serif" w:hAnsi="Arial;sans-serif"/>
          <w:b w:val="false"/>
          <w:color w:val="000000"/>
          <w:sz w:val="20"/>
        </w:rPr>
      </w:pPr>
      <w:r>
        <w:rPr>
          <w:rFonts w:ascii="Arial;sans-serif" w:hAnsi="Arial;sans-serif"/>
          <w:b w:val="false"/>
          <w:color w:val="000000"/>
          <w:sz w:val="20"/>
        </w:rPr>
        <w:t>5The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pStyle w:val="TextBody"/>
        <w:spacing w:lineRule="auto" w:line="288" w:before="160" w:after="283"/>
        <w:ind w:left="0" w:right="0" w:hanging="540"/>
        <w:rPr>
          <w:rFonts w:ascii="Arial;sans-serif" w:hAnsi="Arial;sans-serif"/>
          <w:b w:val="false"/>
          <w:color w:val="000000"/>
          <w:sz w:val="20"/>
        </w:rPr>
      </w:pPr>
      <w:r>
        <w:rPr>
          <w:rFonts w:ascii="Arial;sans-serif" w:hAnsi="Arial;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lineRule="auto" w:line="288" w:before="160" w:after="283"/>
        <w:ind w:left="0" w:right="0" w:hanging="540"/>
        <w:rPr>
          <w:rFonts w:ascii="Arial;sans-serif" w:hAnsi="Arial;sans-serif"/>
          <w:b w:val="false"/>
          <w:color w:val="000000"/>
          <w:sz w:val="20"/>
        </w:rPr>
      </w:pPr>
      <w:r>
        <w:rPr>
          <w:rFonts w:ascii="Arial;sans-serif" w:hAnsi="Arial;sans-serif"/>
          <w:b w:val="false"/>
          <w:color w:val="000000"/>
          <w:sz w:val="20"/>
        </w:rPr>
        <w:t>b)any fraud, whether or not material, that involves management or other employees who have a significant role in the Registrant's internal control over financial reporting.</w:t>
      </w:r>
    </w:p>
    <w:p>
      <w:pPr>
        <w:pStyle w:val="TextBody"/>
        <w:spacing w:lineRule="auto" w:line="288" w:before="160" w:after="283"/>
        <w:rPr>
          <w:rFonts w:ascii="Arial;sans-serif" w:hAnsi="Arial;sans-serif"/>
          <w:b w:val="false"/>
          <w:color w:val="000000"/>
          <w:sz w:val="20"/>
        </w:rPr>
      </w:pPr>
      <w:r>
        <w:rPr>
          <w:rFonts w:ascii="Arial;sans-serif" w:hAnsi="Arial;sans-serif"/>
          <w:b w:val="false"/>
          <w:color w:val="000000"/>
          <w:sz w:val="20"/>
        </w:rPr>
        <w:t>Date: May 4, 2023</w:t>
      </w:r>
    </w:p>
    <w:tbl>
      <w:tblPr>
        <w:tblW w:w="5082" w:type="dxa"/>
        <w:jc w:val="left"/>
        <w:tblInd w:w="0" w:type="dxa"/>
        <w:tblCellMar>
          <w:top w:w="28" w:type="dxa"/>
          <w:left w:w="28" w:type="dxa"/>
          <w:bottom w:w="28" w:type="dxa"/>
          <w:right w:w="28" w:type="dxa"/>
        </w:tblCellMar>
      </w:tblPr>
      <w:tblGrid>
        <w:gridCol w:w="124"/>
        <w:gridCol w:w="109"/>
        <w:gridCol w:w="109"/>
        <w:gridCol w:w="1386"/>
        <w:gridCol w:w="1386"/>
        <w:gridCol w:w="1968"/>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86" w:type="dxa"/>
            <w:tcBorders/>
            <w:shd w:fill="auto" w:val="clear"/>
            <w:vAlign w:val="center"/>
          </w:tcPr>
          <w:p>
            <w:pPr>
              <w:pStyle w:val="TableContents"/>
              <w:spacing w:before="0" w:after="283"/>
              <w:rPr>
                <w:sz w:val="4"/>
                <w:szCs w:val="4"/>
              </w:rPr>
            </w:pPr>
            <w:r>
              <w:rPr>
                <w:sz w:val="4"/>
                <w:szCs w:val="4"/>
              </w:rPr>
            </w:r>
          </w:p>
        </w:tc>
        <w:tc>
          <w:tcPr>
            <w:tcW w:w="1386" w:type="dxa"/>
            <w:tcBorders/>
            <w:shd w:fill="auto" w:val="clear"/>
            <w:vAlign w:val="center"/>
          </w:tcPr>
          <w:p>
            <w:pPr>
              <w:pStyle w:val="TableContents"/>
              <w:spacing w:before="0" w:after="283"/>
              <w:rPr>
                <w:sz w:val="4"/>
                <w:szCs w:val="4"/>
              </w:rPr>
            </w:pPr>
            <w:r>
              <w:rPr>
                <w:sz w:val="4"/>
                <w:szCs w:val="4"/>
              </w:rPr>
            </w:r>
          </w:p>
        </w:tc>
        <w:tc>
          <w:tcPr>
            <w:tcW w:w="1968"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Timothy R. Millage</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4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Timothy R. Millage</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Vice President, Chief Financial Officer and Treasurer</w:t>
            </w:r>
          </w:p>
        </w:tc>
      </w:tr>
    </w:tbl>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75260"/>
                <wp:effectExtent l="0" t="0" r="0" b="0"/>
                <wp:wrapNone/>
                <wp:docPr id="28" name="Frame28"/>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200" w:after="283"/>
        <w:jc w:val="right"/>
        <w:rPr>
          <w:rFonts w:ascii="Arial;sans-serif" w:hAnsi="Arial;sans-serif"/>
          <w:b/>
          <w:color w:val="000000"/>
          <w:sz w:val="20"/>
        </w:rPr>
      </w:pPr>
      <w:r>
        <w:rPr>
          <w:rFonts w:ascii="Arial;sans-serif" w:hAnsi="Arial;sans-serif"/>
          <w:b/>
          <w:color w:val="000000"/>
          <w:sz w:val="20"/>
        </w:rPr>
        <w:t>Exhibit 32.1</w:t>
      </w:r>
    </w:p>
    <w:p>
      <w:pPr>
        <w:pStyle w:val="TextBody"/>
        <w:spacing w:lineRule="auto" w:line="288" w:before="200" w:after="283"/>
        <w:rPr>
          <w:rFonts w:ascii="Arial;sans-serif" w:hAnsi="Arial;sans-serif"/>
          <w:b w:val="false"/>
          <w:color w:val="000000"/>
          <w:sz w:val="20"/>
        </w:rPr>
      </w:pPr>
      <w:r>
        <w:rPr>
          <w:rFonts w:ascii="Arial;sans-serif" w:hAnsi="Arial;sans-serif"/>
          <w:b w:val="false"/>
          <w:color w:val="000000"/>
          <w:sz w:val="20"/>
        </w:rPr>
        <w:t>The following statement is being furnished to the Securities and Exchange Commission solely for purposes of Section 906 of the Sarbanes-Oxley Act of 2002 (18 U.S.C. 1350), which carries with it certain criminal penalties in the event of a knowing or willful misrepresentation.</w:t>
      </w:r>
    </w:p>
    <w:p>
      <w:pPr>
        <w:pStyle w:val="TextBody"/>
        <w:spacing w:lineRule="auto" w:line="288" w:before="200" w:after="283"/>
        <w:rPr>
          <w:rFonts w:ascii="Arial;sans-serif" w:hAnsi="Arial;sans-serif"/>
          <w:b w:val="false"/>
          <w:color w:val="000000"/>
          <w:sz w:val="20"/>
        </w:rPr>
      </w:pPr>
      <w:r>
        <w:rPr>
          <w:rFonts w:ascii="Arial;sans-serif" w:hAnsi="Arial;sans-serif"/>
          <w:b w:val="false"/>
          <w:color w:val="000000"/>
          <w:sz w:val="20"/>
        </w:rPr>
        <w:t>Securities and Exchange Commission</w:t>
      </w:r>
    </w:p>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450 Fifth Street, NW</w:t>
      </w:r>
    </w:p>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Washington, DC 20549</w:t>
      </w:r>
    </w:p>
    <w:p>
      <w:pPr>
        <w:pStyle w:val="TextBody"/>
        <w:spacing w:lineRule="auto" w:line="288" w:before="200" w:after="283"/>
        <w:rPr>
          <w:rFonts w:ascii="Arial;sans-serif" w:hAnsi="Arial;sans-serif"/>
          <w:b w:val="false"/>
          <w:color w:val="000000"/>
          <w:sz w:val="20"/>
        </w:rPr>
      </w:pPr>
      <w:r>
        <w:rPr>
          <w:rFonts w:ascii="Arial;sans-serif" w:hAnsi="Arial;sans-serif"/>
          <w:b w:val="false"/>
          <w:color w:val="000000"/>
          <w:sz w:val="20"/>
        </w:rPr>
        <w:t>Re: Lee Enterprises, Incorporated</w:t>
      </w:r>
    </w:p>
    <w:p>
      <w:pPr>
        <w:pStyle w:val="TextBody"/>
        <w:spacing w:lineRule="auto" w:line="288" w:before="200" w:after="283"/>
        <w:rPr>
          <w:rFonts w:ascii="Arial;sans-serif" w:hAnsi="Arial;sans-serif"/>
          <w:b w:val="false"/>
          <w:color w:val="000000"/>
          <w:sz w:val="20"/>
        </w:rPr>
      </w:pPr>
      <w:r>
        <w:rPr>
          <w:rFonts w:ascii="Arial;sans-serif" w:hAnsi="Arial;sans-serif"/>
          <w:b w:val="false"/>
          <w:color w:val="000000"/>
          <w:sz w:val="20"/>
        </w:rPr>
        <w:t>Ladies and Gentlemen:</w:t>
      </w:r>
    </w:p>
    <w:p>
      <w:pPr>
        <w:pStyle w:val="TextBody"/>
        <w:spacing w:lineRule="auto" w:line="288" w:before="200" w:after="283"/>
        <w:rPr>
          <w:rFonts w:ascii="Arial;sans-serif" w:hAnsi="Arial;sans-serif"/>
          <w:b w:val="false"/>
          <w:color w:val="000000"/>
          <w:sz w:val="20"/>
        </w:rPr>
      </w:pPr>
      <w:r>
        <w:rPr>
          <w:rFonts w:ascii="Arial;sans-serif" w:hAnsi="Arial;sans-serif"/>
          <w:b w:val="false"/>
          <w:color w:val="000000"/>
          <w:sz w:val="20"/>
        </w:rPr>
        <w:t>In accordance with the requirements of Section 906 of the Sarbanes-Oxley Act of 2002 (18 U.S.C. 1350), the undersigned hereby certifies that to his knowledge:</w:t>
      </w:r>
    </w:p>
    <w:p>
      <w:pPr>
        <w:pStyle w:val="TextBody"/>
        <w:spacing w:lineRule="auto" w:line="288" w:before="200" w:after="283"/>
        <w:ind w:left="0" w:right="0" w:hanging="540"/>
        <w:rPr>
          <w:rFonts w:ascii="Arial;sans-serif" w:hAnsi="Arial;sans-serif"/>
          <w:b w:val="false"/>
          <w:color w:val="000000"/>
          <w:sz w:val="20"/>
        </w:rPr>
      </w:pPr>
      <w:r>
        <w:rPr>
          <w:rFonts w:ascii="Arial;sans-serif" w:hAnsi="Arial;sans-serif"/>
          <w:b w:val="false"/>
          <w:color w:val="000000"/>
          <w:sz w:val="20"/>
        </w:rPr>
        <w:t>(i)this Quarterly report on Form 10-Q for the period ended March 26, 2023 ("Quarterly Report"), fully complies with the requirements of section 13(a) or 15(d) of the Securities Exchange Act of 1934 (15 U.S.C. 78m or 78o(d)); and</w:t>
      </w:r>
    </w:p>
    <w:p>
      <w:pPr>
        <w:pStyle w:val="TextBody"/>
        <w:spacing w:lineRule="auto" w:line="288" w:before="200" w:after="283"/>
        <w:ind w:left="0" w:right="0" w:hanging="540"/>
        <w:rPr>
          <w:rFonts w:ascii="Arial;sans-serif" w:hAnsi="Arial;sans-serif"/>
          <w:b w:val="false"/>
          <w:color w:val="000000"/>
          <w:sz w:val="20"/>
        </w:rPr>
      </w:pPr>
      <w:r>
        <w:rPr>
          <w:rFonts w:ascii="Arial;sans-serif" w:hAnsi="Arial;sans-serif"/>
          <w:b w:val="false"/>
          <w:color w:val="000000"/>
          <w:sz w:val="20"/>
        </w:rPr>
        <w:t>(ii)the information contained in this Quarterly Report fairly presents, in all material respects, the financial condition and results of operations of Lee Enterprises, Incorporated for the periods presented in the Quarterly Report.</w:t>
      </w:r>
    </w:p>
    <w:p>
      <w:pPr>
        <w:pStyle w:val="TextBody"/>
        <w:spacing w:lineRule="auto" w:line="288" w:before="200" w:after="283"/>
        <w:rPr>
          <w:rFonts w:ascii="Arial;sans-serif" w:hAnsi="Arial;sans-serif"/>
          <w:b w:val="false"/>
          <w:color w:val="000000"/>
          <w:sz w:val="20"/>
        </w:rPr>
      </w:pPr>
      <w:r>
        <w:rPr>
          <w:rFonts w:ascii="Arial;sans-serif" w:hAnsi="Arial;sans-serif"/>
          <w:b w:val="false"/>
          <w:color w:val="000000"/>
          <w:sz w:val="20"/>
        </w:rPr>
        <w:t>Date: May 4, 2023</w:t>
      </w:r>
    </w:p>
    <w:tbl>
      <w:tblPr>
        <w:tblW w:w="3777" w:type="dxa"/>
        <w:jc w:val="left"/>
        <w:tblInd w:w="0" w:type="dxa"/>
        <w:tblCellMar>
          <w:top w:w="28" w:type="dxa"/>
          <w:left w:w="28" w:type="dxa"/>
          <w:bottom w:w="28" w:type="dxa"/>
          <w:right w:w="28" w:type="dxa"/>
        </w:tblCellMar>
      </w:tblPr>
      <w:tblGrid>
        <w:gridCol w:w="1232"/>
        <w:gridCol w:w="1084"/>
        <w:gridCol w:w="1089"/>
        <w:gridCol w:w="109"/>
        <w:gridCol w:w="109"/>
        <w:gridCol w:w="154"/>
      </w:tblGrid>
      <w:tr>
        <w:trPr/>
        <w:tc>
          <w:tcPr>
            <w:tcW w:w="1232" w:type="dxa"/>
            <w:tcBorders/>
            <w:shd w:fill="auto" w:val="clear"/>
            <w:vAlign w:val="center"/>
          </w:tcPr>
          <w:p>
            <w:pPr>
              <w:pStyle w:val="TableContents"/>
              <w:spacing w:before="0" w:after="283"/>
              <w:rPr>
                <w:sz w:val="4"/>
                <w:szCs w:val="4"/>
              </w:rPr>
            </w:pPr>
            <w:r>
              <w:rPr>
                <w:sz w:val="4"/>
                <w:szCs w:val="4"/>
              </w:rPr>
            </w:r>
          </w:p>
        </w:tc>
        <w:tc>
          <w:tcPr>
            <w:tcW w:w="1084" w:type="dxa"/>
            <w:tcBorders/>
            <w:shd w:fill="auto" w:val="clear"/>
            <w:vAlign w:val="center"/>
          </w:tcPr>
          <w:p>
            <w:pPr>
              <w:pStyle w:val="TableContents"/>
              <w:spacing w:before="0" w:after="283"/>
              <w:rPr>
                <w:sz w:val="4"/>
                <w:szCs w:val="4"/>
              </w:rPr>
            </w:pPr>
            <w:r>
              <w:rPr>
                <w:sz w:val="4"/>
                <w:szCs w:val="4"/>
              </w:rPr>
            </w:r>
          </w:p>
        </w:tc>
        <w:tc>
          <w:tcPr>
            <w:tcW w:w="108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0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Kevin D. Mowbray</w:t>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340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Kevin D. Mowbray</w:t>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340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President and Chief Executive Officer</w:t>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bl>
    <w:p>
      <w:pPr>
        <w:pStyle w:val="TextBody"/>
        <w:spacing w:lineRule="auto" w:line="288" w:before="200" w:after="283"/>
        <w:rPr>
          <w:rFonts w:ascii="Arial;sans-serif" w:hAnsi="Arial;sans-serif"/>
          <w:b w:val="false"/>
          <w:color w:val="000000"/>
          <w:sz w:val="20"/>
        </w:rPr>
      </w:pPr>
      <w:r>
        <w:rPr>
          <w:rFonts w:ascii="Arial;sans-serif" w:hAnsi="Arial;sans-serif"/>
          <w:b w:val="false"/>
          <w:color w:val="000000"/>
          <w:sz w:val="20"/>
        </w:rPr>
        <w:t>A signed original of this written statement required by Section 906 has been provided to Lee Enterprises, Incorporated and will be retained by Lee Enterprises, Incorporated and furnished to the Securities and Exchange Commission upon request.</w:t>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75260"/>
                <wp:effectExtent l="0" t="0" r="0" b="0"/>
                <wp:wrapNone/>
                <wp:docPr id="29" name="Frame29"/>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200" w:after="283"/>
        <w:jc w:val="right"/>
        <w:rPr>
          <w:rFonts w:ascii="Arial;sans-serif" w:hAnsi="Arial;sans-serif"/>
          <w:b/>
          <w:color w:val="000000"/>
          <w:sz w:val="20"/>
        </w:rPr>
      </w:pPr>
      <w:r>
        <w:rPr>
          <w:rFonts w:ascii="Arial;sans-serif" w:hAnsi="Arial;sans-serif"/>
          <w:b/>
          <w:color w:val="000000"/>
          <w:sz w:val="20"/>
        </w:rPr>
        <w:t>Exhibit 32.2</w:t>
      </w:r>
    </w:p>
    <w:p>
      <w:pPr>
        <w:pStyle w:val="TextBody"/>
        <w:spacing w:lineRule="auto" w:line="288" w:before="200" w:after="283"/>
        <w:rPr>
          <w:rFonts w:ascii="Arial;sans-serif" w:hAnsi="Arial;sans-serif"/>
          <w:b w:val="false"/>
          <w:color w:val="000000"/>
          <w:sz w:val="20"/>
        </w:rPr>
      </w:pPr>
      <w:r>
        <w:rPr>
          <w:rFonts w:ascii="Arial;sans-serif" w:hAnsi="Arial;sans-serif"/>
          <w:b w:val="false"/>
          <w:color w:val="000000"/>
          <w:sz w:val="20"/>
        </w:rPr>
        <w:t>The following statement is being furnished to the Securities and Exchange Commission solely for purposes of Section 906 of the Sarbanes-Oxley Act of 2002 (18 U.S.C. 1350), which carries with it certain criminal penalties in the event of a knowing or willful misrepresentation.</w:t>
      </w:r>
    </w:p>
    <w:p>
      <w:pPr>
        <w:pStyle w:val="TextBody"/>
        <w:spacing w:lineRule="auto" w:line="288" w:before="200" w:after="283"/>
        <w:rPr>
          <w:rFonts w:ascii="Arial;sans-serif" w:hAnsi="Arial;sans-serif"/>
          <w:b w:val="false"/>
          <w:color w:val="000000"/>
          <w:sz w:val="20"/>
        </w:rPr>
      </w:pPr>
      <w:r>
        <w:rPr>
          <w:rFonts w:ascii="Arial;sans-serif" w:hAnsi="Arial;sans-serif"/>
          <w:b w:val="false"/>
          <w:color w:val="000000"/>
          <w:sz w:val="20"/>
        </w:rPr>
        <w:t>Securities and Exchange Commission</w:t>
      </w:r>
    </w:p>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450 Fifth Street, NW</w:t>
      </w:r>
    </w:p>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Washington, DC 20549</w:t>
      </w:r>
    </w:p>
    <w:p>
      <w:pPr>
        <w:pStyle w:val="TextBody"/>
        <w:spacing w:lineRule="auto" w:line="288" w:before="200" w:after="283"/>
        <w:rPr>
          <w:rFonts w:ascii="Arial;sans-serif" w:hAnsi="Arial;sans-serif"/>
          <w:b w:val="false"/>
          <w:color w:val="000000"/>
          <w:sz w:val="20"/>
        </w:rPr>
      </w:pPr>
      <w:r>
        <w:rPr>
          <w:rFonts w:ascii="Arial;sans-serif" w:hAnsi="Arial;sans-serif"/>
          <w:b w:val="false"/>
          <w:color w:val="000000"/>
          <w:sz w:val="20"/>
        </w:rPr>
        <w:t>Re: Lee Enterprises, Incorporated</w:t>
      </w:r>
    </w:p>
    <w:p>
      <w:pPr>
        <w:pStyle w:val="TextBody"/>
        <w:spacing w:lineRule="auto" w:line="288" w:before="200" w:after="283"/>
        <w:rPr>
          <w:rFonts w:ascii="Arial;sans-serif" w:hAnsi="Arial;sans-serif"/>
          <w:b w:val="false"/>
          <w:color w:val="000000"/>
          <w:sz w:val="20"/>
        </w:rPr>
      </w:pPr>
      <w:r>
        <w:rPr>
          <w:rFonts w:ascii="Arial;sans-serif" w:hAnsi="Arial;sans-serif"/>
          <w:b w:val="false"/>
          <w:color w:val="000000"/>
          <w:sz w:val="20"/>
        </w:rPr>
        <w:t>Ladies and Gentlemen:</w:t>
      </w:r>
    </w:p>
    <w:p>
      <w:pPr>
        <w:pStyle w:val="TextBody"/>
        <w:spacing w:lineRule="auto" w:line="288" w:before="200" w:after="283"/>
        <w:rPr>
          <w:rFonts w:ascii="Arial;sans-serif" w:hAnsi="Arial;sans-serif"/>
          <w:b w:val="false"/>
          <w:color w:val="000000"/>
          <w:sz w:val="20"/>
        </w:rPr>
      </w:pPr>
      <w:r>
        <w:rPr>
          <w:rFonts w:ascii="Arial;sans-serif" w:hAnsi="Arial;sans-serif"/>
          <w:b w:val="false"/>
          <w:color w:val="000000"/>
          <w:sz w:val="20"/>
        </w:rPr>
        <w:t>In accordance with the requirements of Section 906 of the Sarbanes-Oxley Act of 2002 (18 U.S.C. 1350), the undersigned hereby certifies that to his knowledge:</w:t>
      </w:r>
    </w:p>
    <w:p>
      <w:pPr>
        <w:pStyle w:val="TextBody"/>
        <w:spacing w:lineRule="auto" w:line="288" w:before="200" w:after="283"/>
        <w:ind w:left="0" w:right="0" w:hanging="540"/>
        <w:rPr>
          <w:rFonts w:ascii="Arial;sans-serif" w:hAnsi="Arial;sans-serif"/>
          <w:b w:val="false"/>
          <w:color w:val="000000"/>
          <w:sz w:val="20"/>
        </w:rPr>
      </w:pPr>
      <w:r>
        <w:rPr>
          <w:rFonts w:ascii="Arial;sans-serif" w:hAnsi="Arial;sans-serif"/>
          <w:b w:val="false"/>
          <w:color w:val="000000"/>
          <w:sz w:val="20"/>
        </w:rPr>
        <w:t>(i)this Quarterly report on Form 10-Q for the period ended March 26, 2023 ("Quarterly Report"), fully complies with the requirements of section 13(a) or 15(d) of the Securities Exchange Act of 1934 (15 U.S.C. 78m or 78o(d)); and</w:t>
      </w:r>
    </w:p>
    <w:p>
      <w:pPr>
        <w:pStyle w:val="TextBody"/>
        <w:spacing w:lineRule="auto" w:line="288" w:before="200" w:after="283"/>
        <w:ind w:left="0" w:right="0" w:hanging="540"/>
        <w:rPr>
          <w:rFonts w:ascii="Arial;sans-serif" w:hAnsi="Arial;sans-serif"/>
          <w:b w:val="false"/>
          <w:color w:val="000000"/>
          <w:sz w:val="20"/>
        </w:rPr>
      </w:pPr>
      <w:r>
        <w:rPr>
          <w:rFonts w:ascii="Arial;sans-serif" w:hAnsi="Arial;sans-serif"/>
          <w:b w:val="false"/>
          <w:color w:val="000000"/>
          <w:sz w:val="20"/>
        </w:rPr>
        <w:t>(ii)the information contained in this Quarterly Report fairly presents, in all material respects, the financial condition and results of operations of Lee Enterprises, Incorporated for the periods presented in the Quarterly Report.</w:t>
      </w:r>
    </w:p>
    <w:p>
      <w:pPr>
        <w:pStyle w:val="TextBody"/>
        <w:spacing w:lineRule="auto" w:line="288" w:before="200" w:after="283"/>
        <w:rPr>
          <w:rFonts w:ascii="Arial;sans-serif" w:hAnsi="Arial;sans-serif"/>
          <w:b w:val="false"/>
          <w:color w:val="000000"/>
          <w:sz w:val="20"/>
        </w:rPr>
      </w:pPr>
      <w:r>
        <w:rPr>
          <w:rFonts w:ascii="Arial;sans-serif" w:hAnsi="Arial;sans-serif"/>
          <w:b w:val="false"/>
          <w:color w:val="000000"/>
          <w:sz w:val="20"/>
        </w:rPr>
        <w:t>Date: May 4, 2023</w:t>
      </w:r>
    </w:p>
    <w:tbl>
      <w:tblPr>
        <w:tblW w:w="5082" w:type="dxa"/>
        <w:jc w:val="left"/>
        <w:tblInd w:w="0" w:type="dxa"/>
        <w:tblCellMar>
          <w:top w:w="28" w:type="dxa"/>
          <w:left w:w="28" w:type="dxa"/>
          <w:bottom w:w="28" w:type="dxa"/>
          <w:right w:w="28" w:type="dxa"/>
        </w:tblCellMar>
      </w:tblPr>
      <w:tblGrid>
        <w:gridCol w:w="1702"/>
        <w:gridCol w:w="1497"/>
        <w:gridCol w:w="1511"/>
        <w:gridCol w:w="109"/>
        <w:gridCol w:w="109"/>
        <w:gridCol w:w="154"/>
      </w:tblGrid>
      <w:tr>
        <w:trPr/>
        <w:tc>
          <w:tcPr>
            <w:tcW w:w="1702" w:type="dxa"/>
            <w:tcBorders/>
            <w:shd w:fill="auto" w:val="clear"/>
            <w:vAlign w:val="center"/>
          </w:tcPr>
          <w:p>
            <w:pPr>
              <w:pStyle w:val="TableContents"/>
              <w:spacing w:before="0" w:after="283"/>
              <w:rPr>
                <w:sz w:val="4"/>
                <w:szCs w:val="4"/>
              </w:rPr>
            </w:pPr>
            <w:r>
              <w:rPr>
                <w:sz w:val="4"/>
                <w:szCs w:val="4"/>
              </w:rPr>
            </w:r>
          </w:p>
        </w:tc>
        <w:tc>
          <w:tcPr>
            <w:tcW w:w="1497" w:type="dxa"/>
            <w:tcBorders/>
            <w:shd w:fill="auto" w:val="clear"/>
            <w:vAlign w:val="center"/>
          </w:tcPr>
          <w:p>
            <w:pPr>
              <w:pStyle w:val="TableContents"/>
              <w:spacing w:before="0" w:after="283"/>
              <w:rPr>
                <w:sz w:val="4"/>
                <w:szCs w:val="4"/>
              </w:rPr>
            </w:pPr>
            <w:r>
              <w:rPr>
                <w:sz w:val="4"/>
                <w:szCs w:val="4"/>
              </w:rPr>
            </w:r>
          </w:p>
        </w:tc>
        <w:tc>
          <w:tcPr>
            <w:tcW w:w="15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710"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Arial;sans-serif" w:hAnsi="Arial;sans-serif"/>
                <w:b w:val="false"/>
                <w:color w:val="000000"/>
                <w:sz w:val="20"/>
              </w:rPr>
            </w:pPr>
            <w:r>
              <w:rPr>
                <w:rFonts w:ascii="Arial;sans-serif" w:hAnsi="Arial;sans-serif"/>
                <w:b w:val="false"/>
                <w:color w:val="000000"/>
                <w:sz w:val="20"/>
              </w:rPr>
              <w:t>/s/ Timothy R. Millage</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1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left"/>
              <w:rPr>
                <w:rFonts w:ascii="Arial;sans-serif" w:hAnsi="Arial;sans-serif"/>
                <w:b w:val="false"/>
                <w:color w:val="000000"/>
                <w:sz w:val="20"/>
              </w:rPr>
            </w:pPr>
            <w:r>
              <w:rPr>
                <w:rFonts w:ascii="Arial;sans-serif" w:hAnsi="Arial;sans-serif"/>
                <w:b w:val="false"/>
                <w:color w:val="000000"/>
                <w:sz w:val="20"/>
              </w:rPr>
              <w:t>Timothy R. Millage</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10"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Arial;sans-serif" w:hAnsi="Arial;sans-serif"/>
                <w:b w:val="false"/>
                <w:color w:val="000000"/>
                <w:sz w:val="20"/>
              </w:rPr>
            </w:pPr>
            <w:r>
              <w:rPr>
                <w:rFonts w:ascii="Arial;sans-serif" w:hAnsi="Arial;sans-serif"/>
                <w:b w:val="false"/>
                <w:color w:val="000000"/>
                <w:sz w:val="20"/>
              </w:rPr>
              <w:t>Vice President, Chief Financial Officer and Treasurer</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00" w:after="283"/>
        <w:rPr>
          <w:rFonts w:ascii="Arial;sans-serif" w:hAnsi="Arial;sans-serif"/>
          <w:b w:val="false"/>
          <w:color w:val="000000"/>
          <w:sz w:val="20"/>
        </w:rPr>
      </w:pPr>
      <w:r>
        <w:rPr>
          <w:rFonts w:ascii="Arial;sans-serif" w:hAnsi="Arial;sans-serif"/>
          <w:b w:val="false"/>
          <w:color w:val="000000"/>
          <w:sz w:val="20"/>
        </w:rPr>
        <w:t>A signed original of this written statement required by Section 906 has been provided to Lee Enterprises, Incorporated and will be retained by Lee Enterprises, Incorporated and furnished to the Securities and Exchange Commission upon request.</w:t>
      </w:r>
      <w:r>
        <w:br w:type="page"/>
      </w:r>
    </w:p>
    <w:p>
      <w:pPr>
        <w:pStyle w:val="TextBody"/>
        <w:spacing w:before="0" w:after="283"/>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75260"/>
                <wp:effectExtent l="0" t="0" r="0" b="0"/>
                <wp:wrapNone/>
                <wp:docPr id="30" name="Frame30"/>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sans-serif"/>
    <w:charset w:val="00"/>
    <w:family w:val="auto"/>
    <w:pitch w:val="default"/>
  </w:font>
  <w:font w:name="Arial">
    <w:altName w:val="sans-serif"/>
    <w:charset w:val="00"/>
    <w:family w:val="auto"/>
    <w:pitch w:val="default"/>
  </w:font>
  <w:font w:name="Wingdings">
    <w:altName w:val="sans-serif"/>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7</Pages>
  <Words>10955</Words>
  <CharactersWithSpaces>72639</CharactersWithSpaces>
  <Paragraphs>1691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