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Hoffmann David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LEE ENTERPRISES,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4600 E. 53RD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DAVENPORT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LEE ENTERPRISES,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46"/>
        <w:gridCol w:w="454"/>
        <w:gridCol w:w="617"/>
        <w:gridCol w:w="1365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7,813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11,530,621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618,900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15"/>
        <w:gridCol w:w="2047"/>
        <w:gridCol w:w="2043"/>
      </w:tblGrid>
      <w:tr>
        <w:trPr/>
        <w:tc>
          <w:tcPr>
            <w:tcW w:w="6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B. Gulbranson, Limited POA, Attorney-in-Fact</w:t>
            </w:r>
          </w:p>
        </w:tc>
        <w:tc>
          <w:tcPr>
            <w:tcW w:w="20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Patricia Garinger-Strickland, Limited POA, Attorney-in-Fact for The Jerrilyn M. Hoffmann Revocable Trust dated May 30, 2001</w:t>
            </w:r>
          </w:p>
        </w:tc>
        <w:tc>
          <w:tcPr>
            <w:tcW w:w="20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899" TargetMode="External"/><Relationship Id="rId5" Type="http://schemas.openxmlformats.org/officeDocument/2006/relationships/hyperlink" Target="http://www.sec.gov/cgi-bin/browse-edgar?action=getcompany&amp;CIK=00000583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3246</Characters>
  <CharactersWithSpaces>3764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